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4.jpeg" ContentType="image/jpeg"/>
  <Override PartName="/word/media/image3.jpeg" ContentType="image/jpeg"/>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orizontalLine"/>
        <w:pBdr>
          <w:bottom w:val="single" w:sz="24" w:space="0" w:color="808080"/>
        </w:pBdr>
        <w:rPr/>
      </w:pPr>
      <w:r>
        <w:rPr/>
      </w:r>
      <w:bookmarkStart w:id="0" w:name="form10k.htm"/>
      <w:bookmarkStart w:id="1" w:name="ksform10k"/>
      <w:bookmarkStart w:id="2" w:name="form10k.htm"/>
      <w:bookmarkStart w:id="3" w:name="ksform10k"/>
      <w:bookmarkEnd w:id="2"/>
      <w:bookmarkEnd w:id="3"/>
    </w:p>
    <w:p>
      <w:pPr>
        <w:pStyle w:val="HorizontalLine"/>
        <w:pBdr>
          <w:bottom w:val="single" w:sz="6" w:space="0" w:color="808080"/>
        </w:pBdr>
        <w:rPr/>
      </w:pPr>
      <w:r>
        <w:rPr/>
      </w:r>
    </w:p>
    <w:p>
      <w:pPr>
        <w:pStyle w:val="TextBody"/>
        <w:spacing w:before="0" w:after="0"/>
        <w:rPr/>
      </w:pPr>
      <w:r>
        <w:rPr/>
      </w:r>
    </w:p>
    <w:p>
      <w:pPr>
        <w:pStyle w:val="TextBody"/>
        <w:spacing w:lineRule="auto" w:line="300" w:before="0" w:after="0"/>
        <w:ind w:left="0" w:right="0" w:hanging="0"/>
        <w:jc w:val="center"/>
        <w:rPr/>
      </w:pPr>
      <w:r>
        <w:rPr>
          <w:rStyle w:val="StrongEmphasis"/>
          <w:rFonts w:ascii="Times New Roman" w:hAnsi="Times New Roman"/>
          <w:sz w:val="20"/>
        </w:rPr>
        <w:t>UNITED STATES SECURITIES AND EXCHANGE COMMISSION</w:t>
      </w:r>
    </w:p>
    <w:p>
      <w:pPr>
        <w:pStyle w:val="TextBody"/>
        <w:spacing w:lineRule="auto" w:line="300" w:before="0" w:after="0"/>
        <w:ind w:left="0" w:right="0" w:hanging="0"/>
        <w:jc w:val="center"/>
        <w:rPr>
          <w:rFonts w:ascii="Times New Roman" w:hAnsi="Times New Roman"/>
          <w:sz w:val="20"/>
        </w:rPr>
      </w:pPr>
      <w:r>
        <w:rPr>
          <w:rFonts w:ascii="Times New Roman" w:hAnsi="Times New Roman"/>
          <w:sz w:val="20"/>
        </w:rPr>
        <w:t>Washington, D.C. 20549</w:t>
      </w:r>
    </w:p>
    <w:p>
      <w:pPr>
        <w:pStyle w:val="TextBody"/>
        <w:spacing w:before="0" w:after="0"/>
        <w:rPr/>
      </w:pPr>
      <w:r>
        <w:rPr/>
        <w:t> </w:t>
      </w:r>
    </w:p>
    <w:p>
      <w:pPr>
        <w:pStyle w:val="TextBody"/>
        <w:spacing w:lineRule="auto" w:line="300" w:before="0" w:after="0"/>
        <w:ind w:left="0" w:right="0" w:hanging="0"/>
        <w:jc w:val="both"/>
        <w:rPr/>
      </w:pPr>
      <w:r>
        <w:rPr/>
        <w:t> </w:t>
      </w:r>
    </w:p>
    <w:p>
      <w:pPr>
        <w:pStyle w:val="TextBody"/>
        <w:spacing w:lineRule="auto" w:line="300" w:before="0" w:after="0"/>
        <w:ind w:left="0" w:right="0" w:hanging="0"/>
        <w:jc w:val="center"/>
        <w:rPr/>
      </w:pPr>
      <w:r>
        <w:rPr>
          <w:rStyle w:val="StrongEmphasis"/>
          <w:rFonts w:ascii="Times New Roman" w:hAnsi="Times New Roman"/>
          <w:sz w:val="20"/>
        </w:rPr>
        <w:t>FORM 10-K</w:t>
      </w:r>
    </w:p>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4" w:name="hangingindent"/>
      <w:bookmarkStart w:id="5" w:name="hangingindent"/>
      <w:bookmarkEnd w:id="5"/>
    </w:p>
    <w:tbl>
      <w:tblPr>
        <w:tblW w:w="5000" w:type="pct"/>
        <w:jc w:val="center"/>
        <w:tblInd w:w="0" w:type="dxa"/>
        <w:tblCellMar>
          <w:top w:w="0" w:type="dxa"/>
          <w:left w:w="0" w:type="dxa"/>
          <w:bottom w:w="0" w:type="dxa"/>
          <w:right w:w="0" w:type="dxa"/>
        </w:tblCellMar>
      </w:tblPr>
      <w:tblGrid>
        <w:gridCol w:w="65"/>
        <w:gridCol w:w="253"/>
        <w:gridCol w:w="9887"/>
      </w:tblGrid>
      <w:tr>
        <w:trPr/>
        <w:tc>
          <w:tcPr>
            <w:tcW w:w="65" w:type="dxa"/>
            <w:tcBorders/>
            <w:shd w:fill="auto" w:val="clear"/>
          </w:tcPr>
          <w:p>
            <w:pPr>
              <w:pStyle w:val="TableContents"/>
              <w:spacing w:before="0" w:after="283"/>
              <w:rPr/>
            </w:pPr>
            <w:r>
              <w:rPr/>
              <w:t> </w:t>
            </w:r>
          </w:p>
        </w:tc>
        <w:tc>
          <w:tcPr>
            <w:tcW w:w="253" w:type="dxa"/>
            <w:tcBorders/>
            <w:shd w:fill="auto" w:val="clear"/>
          </w:tcPr>
          <w:p>
            <w:pPr>
              <w:pStyle w:val="TableContents"/>
              <w:spacing w:before="0" w:after="0"/>
              <w:ind w:left="0" w:right="0" w:hanging="0"/>
              <w:jc w:val="left"/>
              <w:rPr/>
            </w:pPr>
            <w:r>
              <w:rPr/>
              <w:t>☑</w:t>
            </w:r>
          </w:p>
        </w:tc>
        <w:tc>
          <w:tcPr>
            <w:tcW w:w="9887"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ANNUAL REPORT PURSUANT TO SECTION 13 OR 15(d) OF THE SECURITIES EXCHANGE ACT OF 1934</w:t>
            </w:r>
          </w:p>
        </w:tc>
      </w:tr>
    </w:tbl>
    <w:p>
      <w:pPr>
        <w:pStyle w:val="TextBody"/>
        <w:spacing w:lineRule="auto" w:line="300" w:before="0" w:after="0"/>
        <w:ind w:left="360" w:right="0" w:hanging="0"/>
        <w:jc w:val="left"/>
        <w:rPr/>
      </w:pPr>
      <w:r>
        <w:rPr/>
      </w:r>
    </w:p>
    <w:p>
      <w:pPr>
        <w:pStyle w:val="TextBody"/>
        <w:spacing w:lineRule="auto" w:line="300" w:before="0" w:after="0"/>
        <w:ind w:left="0" w:right="0" w:firstLine="720"/>
        <w:jc w:val="left"/>
        <w:rPr>
          <w:rFonts w:ascii="Times New Roman" w:hAnsi="Times New Roman"/>
          <w:sz w:val="20"/>
        </w:rPr>
      </w:pPr>
      <w:r>
        <w:rPr>
          <w:rFonts w:ascii="Times New Roman" w:hAnsi="Times New Roman"/>
          <w:sz w:val="20"/>
        </w:rPr>
        <w:t>For the fiscal year ended December 31, 2006</w:t>
      </w:r>
    </w:p>
    <w:p>
      <w:pPr>
        <w:pStyle w:val="TextBody"/>
        <w:spacing w:lineRule="auto" w:line="300" w:before="0" w:after="0"/>
        <w:ind w:left="0" w:right="0" w:firstLine="720"/>
        <w:jc w:val="center"/>
        <w:rPr>
          <w:rFonts w:ascii="Times New Roman" w:hAnsi="Times New Roman"/>
          <w:sz w:val="20"/>
        </w:rPr>
      </w:pPr>
      <w:r>
        <w:rPr>
          <w:rFonts w:ascii="Times New Roman" w:hAnsi="Times New Roman"/>
          <w:sz w:val="20"/>
        </w:rPr>
        <w:t>or</w:t>
      </w:r>
    </w:p>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6" w:name="hangingindent1"/>
      <w:bookmarkStart w:id="7" w:name="hangingindent1"/>
      <w:bookmarkEnd w:id="7"/>
    </w:p>
    <w:tbl>
      <w:tblPr>
        <w:tblW w:w="5000" w:type="pct"/>
        <w:jc w:val="center"/>
        <w:tblInd w:w="0" w:type="dxa"/>
        <w:tblCellMar>
          <w:top w:w="0" w:type="dxa"/>
          <w:left w:w="0" w:type="dxa"/>
          <w:bottom w:w="0" w:type="dxa"/>
          <w:right w:w="0" w:type="dxa"/>
        </w:tblCellMar>
      </w:tblPr>
      <w:tblGrid>
        <w:gridCol w:w="63"/>
        <w:gridCol w:w="244"/>
        <w:gridCol w:w="9898"/>
      </w:tblGrid>
      <w:tr>
        <w:trPr/>
        <w:tc>
          <w:tcPr>
            <w:tcW w:w="63" w:type="dxa"/>
            <w:tcBorders/>
            <w:shd w:fill="auto" w:val="clear"/>
          </w:tcPr>
          <w:p>
            <w:pPr>
              <w:pStyle w:val="TableContents"/>
              <w:spacing w:before="0" w:after="283"/>
              <w:rPr/>
            </w:pPr>
            <w:r>
              <w:rPr/>
              <w:t> </w:t>
            </w:r>
          </w:p>
        </w:tc>
        <w:tc>
          <w:tcPr>
            <w:tcW w:w="244" w:type="dxa"/>
            <w:tcBorders/>
            <w:shd w:fill="auto" w:val="clear"/>
          </w:tcPr>
          <w:p>
            <w:pPr>
              <w:pStyle w:val="TableContents"/>
              <w:spacing w:before="0" w:after="0"/>
              <w:ind w:left="0" w:right="0" w:hanging="0"/>
              <w:jc w:val="left"/>
              <w:rPr/>
            </w:pPr>
            <w:r>
              <w:rPr/>
              <w:t>☐</w:t>
            </w:r>
          </w:p>
        </w:tc>
        <w:tc>
          <w:tcPr>
            <w:tcW w:w="9898"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TRANSITION REPORT PURSUANT TO SECTION 13 OR 15(d) OF THE SECURITIES EXCHANGE ACT OF 1934</w:t>
            </w:r>
          </w:p>
        </w:tc>
      </w:tr>
    </w:tbl>
    <w:p>
      <w:pPr>
        <w:pStyle w:val="TextBody"/>
        <w:spacing w:lineRule="auto" w:line="300" w:before="0" w:after="0"/>
        <w:ind w:left="360" w:right="0" w:hanging="0"/>
        <w:jc w:val="left"/>
        <w:rPr/>
      </w:pPr>
      <w:r>
        <w:rPr/>
      </w:r>
    </w:p>
    <w:p>
      <w:pPr>
        <w:pStyle w:val="TextBody"/>
        <w:spacing w:lineRule="auto" w:line="300" w:before="0" w:after="0"/>
        <w:ind w:left="0" w:right="0" w:firstLine="720"/>
        <w:jc w:val="left"/>
        <w:rPr>
          <w:rFonts w:ascii="Times New Roman" w:hAnsi="Times New Roman"/>
          <w:sz w:val="20"/>
        </w:rPr>
      </w:pPr>
      <w:r>
        <w:rPr>
          <w:rFonts w:ascii="Times New Roman" w:hAnsi="Times New Roman"/>
          <w:sz w:val="20"/>
        </w:rPr>
        <w:t>For the transition period from _______ to ______</w:t>
      </w:r>
    </w:p>
    <w:p>
      <w:pPr>
        <w:pStyle w:val="TextBody"/>
        <w:spacing w:lineRule="auto" w:line="300" w:before="0" w:after="0"/>
        <w:ind w:left="0" w:right="0" w:hanging="0"/>
        <w:jc w:val="center"/>
        <w:rPr/>
      </w:pPr>
      <w:r>
        <w:rPr/>
        <w:t> </w:t>
      </w:r>
    </w:p>
    <w:p>
      <w:pPr>
        <w:pStyle w:val="TextBody"/>
        <w:spacing w:lineRule="auto" w:line="300" w:before="0" w:after="0"/>
        <w:ind w:left="0" w:right="0" w:hanging="0"/>
        <w:jc w:val="center"/>
        <w:rPr>
          <w:rFonts w:ascii="Times New Roman" w:hAnsi="Times New Roman"/>
          <w:sz w:val="20"/>
        </w:rPr>
      </w:pPr>
      <w:r>
        <w:rPr>
          <w:rFonts w:ascii="Times New Roman" w:hAnsi="Times New Roman"/>
          <w:sz w:val="20"/>
        </w:rPr>
        <w:t>Commission File No. 1-8625</w:t>
      </w:r>
    </w:p>
    <w:p>
      <w:pPr>
        <w:pStyle w:val="TextBody"/>
        <w:spacing w:lineRule="auto" w:line="300" w:before="0" w:after="0"/>
        <w:ind w:left="0" w:right="0" w:hanging="0"/>
        <w:jc w:val="center"/>
        <w:rPr/>
      </w:pPr>
      <w:r>
        <w:rPr/>
        <w:drawing>
          <wp:inline distT="0" distB="0" distL="0" distR="0">
            <wp:extent cx="2419350" cy="11715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19350" cy="1171575"/>
                    </a:xfrm>
                    <a:prstGeom prst="rect">
                      <a:avLst/>
                    </a:prstGeom>
                  </pic:spPr>
                </pic:pic>
              </a:graphicData>
            </a:graphic>
          </wp:inline>
        </w:drawing>
      </w:r>
    </w:p>
    <w:p>
      <w:pPr>
        <w:pStyle w:val="TextBody"/>
        <w:spacing w:lineRule="auto" w:line="300" w:before="0" w:after="0"/>
        <w:ind w:left="0" w:right="0" w:hanging="0"/>
        <w:jc w:val="center"/>
        <w:rPr/>
      </w:pPr>
      <w:r>
        <w:rPr>
          <w:rStyle w:val="StrongEmphasis"/>
          <w:rFonts w:ascii="Times New Roman" w:hAnsi="Times New Roman"/>
          <w:sz w:val="20"/>
        </w:rPr>
        <w:t>READING INTERNATIONAL, INC.</w:t>
      </w:r>
    </w:p>
    <w:p>
      <w:pPr>
        <w:pStyle w:val="TextBody"/>
        <w:spacing w:lineRule="auto" w:line="300" w:before="0" w:after="0"/>
        <w:ind w:left="0" w:right="0" w:hanging="0"/>
        <w:jc w:val="center"/>
        <w:rPr>
          <w:rFonts w:ascii="Times New Roman" w:hAnsi="Times New Roman"/>
          <w:sz w:val="20"/>
        </w:rPr>
      </w:pPr>
      <w:r>
        <w:rPr>
          <w:rFonts w:ascii="Times New Roman" w:hAnsi="Times New Roman"/>
          <w:sz w:val="20"/>
        </w:rPr>
        <w:t>(Exact name of registrant as specified in its charter)</w:t>
      </w:r>
    </w:p>
    <w:tbl>
      <w:tblPr>
        <w:tblW w:w="5000" w:type="pct"/>
        <w:jc w:val="left"/>
        <w:tblInd w:w="0" w:type="dxa"/>
        <w:tblCellMar>
          <w:top w:w="0" w:type="dxa"/>
          <w:left w:w="0" w:type="dxa"/>
          <w:bottom w:w="0" w:type="dxa"/>
          <w:right w:w="0" w:type="dxa"/>
        </w:tblCellMar>
      </w:tblPr>
      <w:tblGrid>
        <w:gridCol w:w="5102"/>
        <w:gridCol w:w="5103"/>
      </w:tblGrid>
      <w:tr>
        <w:trPr/>
        <w:tc>
          <w:tcPr>
            <w:tcW w:w="5102" w:type="dxa"/>
            <w:tcBorders/>
            <w:shd w:fill="auto" w:val="clear"/>
          </w:tcPr>
          <w:p>
            <w:pPr>
              <w:pStyle w:val="TableContents"/>
              <w:spacing w:lineRule="auto" w:line="300" w:before="0" w:after="0"/>
              <w:ind w:left="0" w:right="0" w:hanging="0"/>
              <w:jc w:val="center"/>
              <w:rPr/>
            </w:pPr>
            <w:r>
              <w:rPr>
                <w:rStyle w:val="StrongEmphasis"/>
                <w:rFonts w:ascii="Times New Roman" w:hAnsi="Times New Roman"/>
                <w:sz w:val="20"/>
              </w:rPr>
              <w:t>NEVADA</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(State or other jurisdiction of incorporation or organization)</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500 Citadel Drive, Suite 300</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 xml:space="preserve">Commerce, CA </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(Address of principal executive offices)</w:t>
            </w:r>
          </w:p>
        </w:tc>
        <w:tc>
          <w:tcPr>
            <w:tcW w:w="5103" w:type="dxa"/>
            <w:tcBorders/>
            <w:shd w:fill="auto" w:val="clear"/>
          </w:tcPr>
          <w:p>
            <w:pPr>
              <w:pStyle w:val="TableContents"/>
              <w:spacing w:lineRule="auto" w:line="300" w:before="0" w:after="0"/>
              <w:ind w:left="0" w:right="0" w:hanging="0"/>
              <w:jc w:val="center"/>
              <w:rPr/>
            </w:pPr>
            <w:r>
              <w:rPr>
                <w:rStyle w:val="StrongEmphasis"/>
                <w:rFonts w:ascii="Times New Roman" w:hAnsi="Times New Roman"/>
                <w:sz w:val="20"/>
              </w:rPr>
              <w:t>95-3885184</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(I.R.S. Employer Identification Number)</w:t>
            </w:r>
          </w:p>
          <w:p>
            <w:pPr>
              <w:pStyle w:val="TableContents"/>
              <w:spacing w:lineRule="auto" w:line="300" w:before="0" w:after="0"/>
              <w:ind w:left="0" w:right="0" w:hanging="0"/>
              <w:jc w:val="center"/>
              <w:rPr/>
            </w:pPr>
            <w:r>
              <w:rPr/>
              <w:t> </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90040</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(Zip Code)</w:t>
            </w:r>
          </w:p>
        </w:tc>
      </w:tr>
    </w:tbl>
    <w:p>
      <w:pPr>
        <w:pStyle w:val="TextBody"/>
        <w:spacing w:lineRule="auto" w:line="300" w:before="0" w:after="0"/>
        <w:ind w:left="0" w:right="0" w:hanging="0"/>
        <w:jc w:val="both"/>
        <w:rPr/>
      </w:pPr>
      <w:r>
        <w:rPr/>
        <w:t> </w:t>
      </w:r>
    </w:p>
    <w:p>
      <w:pPr>
        <w:pStyle w:val="TextBody"/>
        <w:spacing w:lineRule="auto" w:line="300" w:before="0" w:after="0"/>
        <w:ind w:left="0" w:right="0" w:hanging="0"/>
        <w:jc w:val="center"/>
        <w:rPr>
          <w:rFonts w:ascii="Times New Roman" w:hAnsi="Times New Roman"/>
          <w:sz w:val="20"/>
        </w:rPr>
      </w:pPr>
      <w:r>
        <w:rPr>
          <w:rFonts w:ascii="Times New Roman" w:hAnsi="Times New Roman"/>
          <w:sz w:val="20"/>
        </w:rPr>
        <w:t>Registrant’s telephone number, including Area Code: (213) 235-2240</w:t>
      </w:r>
    </w:p>
    <w:p>
      <w:pPr>
        <w:pStyle w:val="TextBody"/>
        <w:spacing w:lineRule="auto" w:line="300" w:before="0" w:after="0"/>
        <w:ind w:left="0" w:right="0" w:hanging="0"/>
        <w:jc w:val="both"/>
        <w:rPr/>
      </w:pPr>
      <w:r>
        <w:rPr/>
        <w:t> </w:t>
      </w:r>
    </w:p>
    <w:p>
      <w:pPr>
        <w:pStyle w:val="TextBody"/>
        <w:spacing w:lineRule="auto" w:line="300" w:before="0" w:after="0"/>
        <w:ind w:left="0" w:right="0" w:hanging="0"/>
        <w:jc w:val="center"/>
        <w:rPr>
          <w:rFonts w:ascii="Times New Roman" w:hAnsi="Times New Roman"/>
          <w:sz w:val="20"/>
        </w:rPr>
      </w:pPr>
      <w:r>
        <w:rPr>
          <w:rFonts w:ascii="Times New Roman" w:hAnsi="Times New Roman"/>
          <w:sz w:val="20"/>
        </w:rPr>
        <w:t>Securities Registered pursuant to Section 12(b) of the Act:</w:t>
      </w:r>
    </w:p>
    <w:p>
      <w:pPr>
        <w:pStyle w:val="TextBody"/>
        <w:spacing w:lineRule="auto" w:line="300" w:before="0" w:after="0"/>
        <w:ind w:left="0" w:right="0" w:hanging="0"/>
        <w:jc w:val="both"/>
        <w:rPr/>
      </w:pPr>
      <w:r>
        <w:rPr/>
        <w:t> </w:t>
      </w:r>
    </w:p>
    <w:tbl>
      <w:tblPr>
        <w:tblW w:w="5000" w:type="pct"/>
        <w:jc w:val="left"/>
        <w:tblInd w:w="0" w:type="dxa"/>
        <w:tblCellMar>
          <w:top w:w="0" w:type="dxa"/>
          <w:left w:w="0" w:type="dxa"/>
          <w:bottom w:w="28" w:type="dxa"/>
          <w:right w:w="0" w:type="dxa"/>
        </w:tblCellMar>
      </w:tblPr>
      <w:tblGrid>
        <w:gridCol w:w="5102"/>
        <w:gridCol w:w="5103"/>
      </w:tblGrid>
      <w:tr>
        <w:trPr/>
        <w:tc>
          <w:tcPr>
            <w:tcW w:w="5102" w:type="dxa"/>
            <w:tcBorders>
              <w:bottom w:val="single" w:sz="2" w:space="0" w:color="000000"/>
            </w:tcBorders>
            <w:shd w:fill="auto" w:val="clear"/>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Title of each class</w:t>
            </w:r>
          </w:p>
        </w:tc>
        <w:tc>
          <w:tcPr>
            <w:tcW w:w="5103" w:type="dxa"/>
            <w:tcBorders>
              <w:bottom w:val="single" w:sz="2" w:space="0" w:color="000000"/>
            </w:tcBorders>
            <w:shd w:fill="auto" w:val="clear"/>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Name of each exchange on which registered</w:t>
            </w:r>
          </w:p>
        </w:tc>
      </w:tr>
      <w:tr>
        <w:trPr/>
        <w:tc>
          <w:tcPr>
            <w:tcW w:w="5102" w:type="dxa"/>
            <w:tcBorders/>
            <w:shd w:fill="auto" w:val="clear"/>
            <w:tcMar>
              <w:bottom w:w="0" w:type="dxa"/>
            </w:tcMar>
          </w:tcPr>
          <w:p>
            <w:pPr>
              <w:pStyle w:val="TableContents"/>
              <w:spacing w:lineRule="auto" w:line="300" w:before="0" w:after="0"/>
              <w:ind w:left="0" w:right="0" w:hanging="0"/>
              <w:jc w:val="center"/>
              <w:rPr/>
            </w:pPr>
            <w:r>
              <w:rPr>
                <w:rStyle w:val="StrongEmphasis"/>
                <w:rFonts w:ascii="Times New Roman" w:hAnsi="Times New Roman"/>
                <w:sz w:val="20"/>
              </w:rPr>
              <w:t>Class A Nonvoting Common Stock, $0.01 par value</w:t>
            </w:r>
          </w:p>
        </w:tc>
        <w:tc>
          <w:tcPr>
            <w:tcW w:w="5103" w:type="dxa"/>
            <w:tcBorders/>
            <w:shd w:fill="auto" w:val="clear"/>
            <w:tcMar>
              <w:bottom w:w="0" w:type="dxa"/>
            </w:tcMar>
          </w:tcPr>
          <w:p>
            <w:pPr>
              <w:pStyle w:val="TableContents"/>
              <w:spacing w:lineRule="auto" w:line="300" w:before="0" w:after="0"/>
              <w:ind w:left="0" w:right="0" w:hanging="0"/>
              <w:jc w:val="center"/>
              <w:rPr/>
            </w:pPr>
            <w:r>
              <w:rPr>
                <w:rStyle w:val="StrongEmphasis"/>
                <w:rFonts w:ascii="Times New Roman" w:hAnsi="Times New Roman"/>
                <w:sz w:val="20"/>
              </w:rPr>
              <w:t>American Stock Exchange</w:t>
            </w:r>
          </w:p>
        </w:tc>
      </w:tr>
      <w:tr>
        <w:trPr/>
        <w:tc>
          <w:tcPr>
            <w:tcW w:w="5102" w:type="dxa"/>
            <w:tcBorders/>
            <w:shd w:fill="auto" w:val="clear"/>
            <w:tcMar>
              <w:bottom w:w="0" w:type="dxa"/>
            </w:tcMar>
          </w:tcPr>
          <w:p>
            <w:pPr>
              <w:pStyle w:val="TableContents"/>
              <w:spacing w:lineRule="auto" w:line="300" w:before="0" w:after="0"/>
              <w:ind w:left="0" w:right="0" w:hanging="0"/>
              <w:jc w:val="center"/>
              <w:rPr/>
            </w:pPr>
            <w:r>
              <w:rPr>
                <w:rStyle w:val="StrongEmphasis"/>
                <w:rFonts w:ascii="Times New Roman" w:hAnsi="Times New Roman"/>
                <w:sz w:val="20"/>
              </w:rPr>
              <w:t>Class B Voting Common Stock, $0.01 par value</w:t>
            </w:r>
          </w:p>
        </w:tc>
        <w:tc>
          <w:tcPr>
            <w:tcW w:w="5103" w:type="dxa"/>
            <w:tcBorders/>
            <w:shd w:fill="auto" w:val="clear"/>
            <w:tcMar>
              <w:bottom w:w="0" w:type="dxa"/>
            </w:tcMar>
          </w:tcPr>
          <w:p>
            <w:pPr>
              <w:pStyle w:val="TableContents"/>
              <w:spacing w:lineRule="auto" w:line="300" w:before="0" w:after="0"/>
              <w:ind w:left="0" w:right="0" w:hanging="0"/>
              <w:jc w:val="center"/>
              <w:rPr/>
            </w:pPr>
            <w:r>
              <w:rPr>
                <w:rStyle w:val="StrongEmphasis"/>
                <w:rFonts w:ascii="Times New Roman" w:hAnsi="Times New Roman"/>
                <w:sz w:val="20"/>
              </w:rPr>
              <w:t>American Stock Exchange</w:t>
            </w:r>
          </w:p>
        </w:tc>
      </w:tr>
    </w:tbl>
    <w:p>
      <w:pPr>
        <w:pStyle w:val="TextBody"/>
        <w:spacing w:lineRule="auto" w:line="300" w:before="0" w:after="0"/>
        <w:ind w:left="0" w:right="0" w:hanging="0"/>
        <w:jc w:val="both"/>
        <w:rPr/>
      </w:pPr>
      <w:r>
        <w:rPr/>
        <w:t> </w:t>
      </w:r>
    </w:p>
    <w:p>
      <w:pPr>
        <w:pStyle w:val="TextBody"/>
        <w:spacing w:lineRule="auto" w:line="300" w:before="0" w:after="0"/>
        <w:ind w:left="0" w:right="0" w:hanging="0"/>
        <w:jc w:val="center"/>
        <w:rPr/>
      </w:pPr>
      <w:r>
        <w:rPr>
          <w:rStyle w:val="StrongEmphasis"/>
          <w:rFonts w:ascii="Times New Roman" w:hAnsi="Times New Roman"/>
          <w:sz w:val="20"/>
        </w:rPr>
        <w:t>Securities registered pursuant to Section 12(g) of the Act: None</w:t>
      </w:r>
    </w:p>
    <w:p>
      <w:pPr>
        <w:pStyle w:val="TextBody"/>
        <w:spacing w:lineRule="auto" w:line="300" w:before="0" w:after="0"/>
        <w:ind w:left="0" w:right="0" w:hanging="0"/>
        <w:jc w:val="both"/>
        <w:rPr/>
      </w:pPr>
      <w:r>
        <w:rPr/>
        <w:t> </w:t>
      </w:r>
    </w:p>
    <w:p>
      <w:pPr>
        <w:pStyle w:val="TextBody"/>
        <w:spacing w:lineRule="auto" w:line="300" w:before="0" w:after="0"/>
        <w:ind w:left="360" w:right="0" w:hanging="0"/>
        <w:jc w:val="left"/>
        <w:rPr/>
      </w:pPr>
      <w:bookmarkStart w:id="8" w:name="TAB1"/>
      <w:bookmarkEnd w:id="8"/>
      <w:r>
        <w:rPr>
          <w:rFonts w:ascii="Times New Roman" w:hAnsi="Times New Roman"/>
          <w:sz w:val="20"/>
        </w:rPr>
        <w:t xml:space="preserve">Indicate by check mark if the registrant is a well-known seasoned issuer, as defined in Rule 405 of the Securities Act. Yes </w:t>
      </w:r>
      <w:r>
        <w:rPr/>
        <w:t xml:space="preserve">☐ </w:t>
      </w:r>
      <w:r>
        <w:rPr>
          <w:rFonts w:ascii="Times New Roman" w:hAnsi="Times New Roman"/>
          <w:sz w:val="20"/>
        </w:rPr>
        <w:t xml:space="preserve">No </w:t>
      </w:r>
      <w:r>
        <w:rPr/>
        <w:t>☑</w:t>
      </w:r>
    </w:p>
    <w:p>
      <w:pPr>
        <w:pStyle w:val="TextBody"/>
        <w:spacing w:lineRule="auto" w:line="300" w:before="0" w:after="0"/>
        <w:ind w:left="0" w:right="0" w:hanging="0"/>
        <w:jc w:val="both"/>
        <w:rPr/>
      </w:pPr>
      <w:r>
        <w:rPr/>
        <w:t> </w:t>
      </w:r>
    </w:p>
    <w:p>
      <w:pPr>
        <w:pStyle w:val="TextBody"/>
        <w:spacing w:lineRule="auto" w:line="300" w:before="0" w:after="0"/>
        <w:ind w:left="360" w:right="0" w:hanging="0"/>
        <w:jc w:val="left"/>
        <w:rPr/>
      </w:pPr>
      <w:bookmarkStart w:id="9" w:name="TAB11"/>
      <w:bookmarkEnd w:id="9"/>
      <w:r>
        <w:rPr>
          <w:rFonts w:ascii="Times New Roman" w:hAnsi="Times New Roman"/>
          <w:sz w:val="20"/>
        </w:rPr>
        <w:t xml:space="preserve">If this report is an annual or transition report, indicate by check mark if the registrant is not required to file reports pursuant to Section 13 or 15(d) of the Securities Exchange Act of 1934. Yes </w:t>
      </w:r>
      <w:r>
        <w:rPr/>
        <w:t xml:space="preserve">☐ </w:t>
      </w:r>
      <w:r>
        <w:rPr>
          <w:rFonts w:ascii="Times New Roman" w:hAnsi="Times New Roman"/>
          <w:sz w:val="20"/>
        </w:rPr>
        <w:t xml:space="preserve">No </w:t>
      </w:r>
      <w:r>
        <w:rPr/>
        <w:t>☑</w:t>
      </w:r>
    </w:p>
    <w:p>
      <w:pPr>
        <w:pStyle w:val="TextBody"/>
        <w:spacing w:lineRule="auto" w:line="300" w:before="0" w:after="0"/>
        <w:ind w:left="0" w:right="0" w:hanging="0"/>
        <w:jc w:val="both"/>
        <w:rPr/>
      </w:pPr>
      <w:r>
        <w:rPr/>
        <w:t> </w:t>
      </w:r>
    </w:p>
    <w:p>
      <w:pPr>
        <w:pStyle w:val="TextBody"/>
        <w:spacing w:lineRule="auto" w:line="300" w:before="0" w:after="0"/>
        <w:ind w:left="360" w:right="0" w:hanging="0"/>
        <w:jc w:val="both"/>
        <w:rPr/>
      </w:pPr>
      <w:bookmarkStart w:id="10" w:name="TAB12"/>
      <w:bookmarkEnd w:id="10"/>
      <w:r>
        <w:rPr>
          <w:rFonts w:ascii="Times New Roman" w:hAnsi="Times New Roman"/>
          <w:sz w:val="20"/>
        </w:rPr>
        <w:t xml:space="preserve">Indicate by check mark whether registrant (1) has filed all reports required to be filed by Section 13 or 15(d) of the Exchange Act of 1934 during the preceding 12 months (or for shorter period than the Registrant was required to file such reports), and (2) has been subject to such filing requirements for the past 90 days. Yes </w:t>
      </w:r>
      <w:r>
        <w:rPr/>
        <w:t>☑</w:t>
      </w:r>
      <w:bookmarkStart w:id="11" w:name="TAB2"/>
      <w:bookmarkEnd w:id="11"/>
      <w:r>
        <w:rPr>
          <w:color w:val="000000"/>
          <w:spacing w:val="180"/>
        </w:rPr>
        <w:t> </w:t>
      </w:r>
      <w:r>
        <w:rPr>
          <w:rFonts w:ascii="Times New Roman" w:hAnsi="Times New Roman"/>
          <w:sz w:val="20"/>
        </w:rPr>
        <w:t xml:space="preserve">No </w:t>
      </w:r>
      <w:r>
        <w:rPr/>
        <w:t>☐</w:t>
      </w:r>
    </w:p>
    <w:p>
      <w:pPr>
        <w:pStyle w:val="TextBody"/>
        <w:spacing w:lineRule="auto" w:line="300" w:before="0" w:after="0"/>
        <w:ind w:left="0" w:right="0" w:hanging="0"/>
        <w:jc w:val="both"/>
        <w:rPr/>
      </w:pPr>
      <w:r>
        <w:rPr/>
        <w:t> </w:t>
      </w:r>
    </w:p>
    <w:p>
      <w:pPr>
        <w:pStyle w:val="TextBody"/>
        <w:spacing w:lineRule="auto" w:line="300" w:before="0" w:after="0"/>
        <w:ind w:left="360" w:right="0" w:hanging="0"/>
        <w:jc w:val="both"/>
        <w:rPr/>
      </w:pPr>
      <w:bookmarkStart w:id="12" w:name="TAB13"/>
      <w:bookmarkEnd w:id="12"/>
      <w:r>
        <w:rPr>
          <w:rFonts w:ascii="Times New Roman" w:hAnsi="Times New Roman"/>
          <w:sz w:val="20"/>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of any amendments to this Form 10-K. </w:t>
      </w:r>
      <w:r>
        <w:rPr/>
        <w:t>☐</w:t>
      </w:r>
    </w:p>
    <w:p>
      <w:pPr>
        <w:pStyle w:val="TextBody"/>
        <w:spacing w:lineRule="auto" w:line="300" w:before="0" w:after="0"/>
        <w:ind w:left="0" w:right="0" w:hanging="0"/>
        <w:jc w:val="both"/>
        <w:rPr/>
      </w:pPr>
      <w:r>
        <w:rPr/>
        <w:t> </w:t>
      </w:r>
    </w:p>
    <w:p>
      <w:pPr>
        <w:pStyle w:val="TextBody"/>
        <w:spacing w:lineRule="auto" w:line="300" w:before="0" w:after="0"/>
        <w:ind w:left="360" w:right="0" w:hanging="0"/>
        <w:jc w:val="both"/>
        <w:rPr>
          <w:rFonts w:ascii="Times New Roman" w:hAnsi="Times New Roman"/>
          <w:sz w:val="20"/>
        </w:rPr>
      </w:pPr>
      <w:bookmarkStart w:id="13" w:name="TAB14"/>
      <w:bookmarkEnd w:id="13"/>
      <w:r>
        <w:rPr>
          <w:rFonts w:ascii="Times New Roman" w:hAnsi="Times New Roman"/>
          <w:sz w:val="20"/>
        </w:rPr>
        <w:t>Indicate by check mark whether the registrant is a large accelerated filer, an accelerated filer, or a non-accelerated filer. See definition of “accelerated filer and large accelerated filer” in Rule 12b-2 of the Exchange Act.</w:t>
      </w:r>
    </w:p>
    <w:p>
      <w:pPr>
        <w:pStyle w:val="TextBody"/>
        <w:spacing w:lineRule="auto" w:line="300" w:before="0" w:after="0"/>
        <w:ind w:left="0" w:right="0" w:hanging="0"/>
        <w:jc w:val="center"/>
        <w:rPr/>
      </w:pPr>
      <w:r>
        <w:rPr>
          <w:rFonts w:ascii="Times New Roman" w:hAnsi="Times New Roman"/>
          <w:sz w:val="20"/>
        </w:rPr>
        <w:t xml:space="preserve">Large accelerated filer </w:t>
      </w:r>
      <w:r>
        <w:rPr/>
        <w:t xml:space="preserve">☐ </w:t>
      </w:r>
      <w:r>
        <w:rPr>
          <w:rFonts w:ascii="Times New Roman" w:hAnsi="Times New Roman"/>
          <w:sz w:val="20"/>
        </w:rPr>
        <w:t xml:space="preserve">Accelerated filer </w:t>
      </w:r>
      <w:r>
        <w:rPr/>
        <w:t xml:space="preserve">☑ </w:t>
      </w:r>
      <w:r>
        <w:rPr>
          <w:rFonts w:ascii="Times New Roman" w:hAnsi="Times New Roman"/>
          <w:sz w:val="20"/>
        </w:rPr>
        <w:t xml:space="preserve">Non-accelerated filer </w:t>
      </w:r>
      <w:r>
        <w:rPr/>
        <w:t>☐</w:t>
      </w:r>
    </w:p>
    <w:p>
      <w:pPr>
        <w:pStyle w:val="TextBody"/>
        <w:spacing w:lineRule="auto" w:line="300" w:before="0" w:after="0"/>
        <w:ind w:left="0" w:right="0" w:hanging="0"/>
        <w:jc w:val="both"/>
        <w:rPr/>
      </w:pPr>
      <w:r>
        <w:rPr/>
        <w:t> </w:t>
      </w:r>
    </w:p>
    <w:p>
      <w:pPr>
        <w:pStyle w:val="TextBody"/>
        <w:spacing w:lineRule="auto" w:line="300" w:before="0" w:after="0"/>
        <w:ind w:left="360" w:right="0" w:hanging="0"/>
        <w:jc w:val="both"/>
        <w:rPr/>
      </w:pPr>
      <w:bookmarkStart w:id="14" w:name="TAB15"/>
      <w:bookmarkEnd w:id="14"/>
      <w:r>
        <w:rPr>
          <w:rFonts w:ascii="Times New Roman" w:hAnsi="Times New Roman"/>
          <w:sz w:val="20"/>
        </w:rPr>
        <w:t xml:space="preserve">Indicate by check mark whether the registrant is a shell company (as defined in Rule 12b-2 of the Exchange Act). Yes </w:t>
      </w:r>
      <w:r>
        <w:rPr/>
        <w:t xml:space="preserve">☐ </w:t>
      </w:r>
      <w:r>
        <w:rPr>
          <w:rFonts w:ascii="Times New Roman" w:hAnsi="Times New Roman"/>
          <w:sz w:val="20"/>
        </w:rPr>
        <w:t xml:space="preserve">No </w:t>
      </w:r>
      <w:r>
        <w:rPr/>
        <w:t>☑</w:t>
      </w:r>
    </w:p>
    <w:p>
      <w:pPr>
        <w:pStyle w:val="TextBody"/>
        <w:spacing w:lineRule="auto" w:line="300" w:before="0" w:after="0"/>
        <w:ind w:left="0" w:right="0" w:hanging="0"/>
        <w:jc w:val="both"/>
        <w:rPr/>
      </w:pPr>
      <w:r>
        <w:rPr/>
        <w:t> </w:t>
      </w:r>
    </w:p>
    <w:p>
      <w:pPr>
        <w:pStyle w:val="TextBody"/>
        <w:spacing w:lineRule="auto" w:line="300" w:before="0" w:after="0"/>
        <w:ind w:left="360" w:right="0" w:hanging="0"/>
        <w:jc w:val="left"/>
        <w:rPr/>
      </w:pPr>
      <w:bookmarkStart w:id="15" w:name="TAB16"/>
      <w:bookmarkEnd w:id="15"/>
      <w:r>
        <w:rPr>
          <w:rFonts w:ascii="Times New Roman" w:hAnsi="Times New Roman"/>
          <w:sz w:val="20"/>
        </w:rPr>
        <w:t>Indicate the number of shares outstanding of each of the issuer’s classes of common stock, as of the latest practicable date. As of March 28, 2007, there were 20,992,453 shares of Class A Non-voting Common Stock, par value $0.01 per share and 1,495,490 shares of Class B Voting Common Stock, par value $0.01 per share, outstanding.</w:t>
      </w:r>
      <w:r>
        <w:rPr/>
        <w:t> </w:t>
      </w:r>
      <w:r>
        <w:rPr>
          <w:rFonts w:ascii="Times New Roman" w:hAnsi="Times New Roman"/>
          <w:sz w:val="20"/>
        </w:rPr>
        <w:t xml:space="preserve">The aggregate market value of voting and nonvoting stock held by non-affiliates of the Registrant was $137,646,000 as of March 28, 2007. </w:t>
      </w:r>
    </w:p>
    <w:p>
      <w:pPr>
        <w:pStyle w:val="HorizontalLine"/>
        <w:pBdr>
          <w:bottom w:val="single" w:sz="6" w:space="0" w:color="808080"/>
        </w:pBdr>
        <w:rPr/>
      </w:pPr>
      <w:r>
        <w:rPr/>
      </w:r>
    </w:p>
    <w:p>
      <w:pPr>
        <w:pStyle w:val="HorizontalLine"/>
        <w:pBdr>
          <w:bottom w:val="single" w:sz="24" w:space="0" w:color="808080"/>
        </w:pBdr>
        <w:rPr/>
      </w:pPr>
      <w:r>
        <w:rPr/>
      </w:r>
    </w:p>
    <w:p>
      <w:pPr>
        <w:pStyle w:val="TextBody"/>
        <w:spacing w:before="0" w:after="0"/>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pStyle w:val="TextBody"/>
        <w:spacing w:lineRule="auto" w:line="300" w:before="0" w:after="0"/>
        <w:ind w:left="0" w:right="0" w:hanging="0"/>
        <w:jc w:val="center"/>
        <w:rPr/>
      </w:pPr>
      <w:bookmarkStart w:id="16" w:name="tableofcontents"/>
      <w:bookmarkEnd w:id="16"/>
      <w:r>
        <w:rPr>
          <w:rStyle w:val="StrongEmphasis"/>
          <w:rFonts w:ascii="Times New Roman" w:hAnsi="Times New Roman"/>
          <w:sz w:val="20"/>
        </w:rPr>
        <w:t>READING INTERNATIONAL, INC.</w:t>
      </w:r>
    </w:p>
    <w:p>
      <w:pPr>
        <w:pStyle w:val="TextBody"/>
        <w:spacing w:lineRule="auto" w:line="300" w:before="0" w:after="0"/>
        <w:ind w:left="0" w:right="0" w:hanging="0"/>
        <w:jc w:val="center"/>
        <w:rPr/>
      </w:pPr>
      <w:r>
        <w:rPr/>
      </w:r>
    </w:p>
    <w:p>
      <w:pPr>
        <w:pStyle w:val="TextBody"/>
        <w:spacing w:lineRule="auto" w:line="300" w:before="0" w:after="0"/>
        <w:ind w:left="0" w:right="0" w:hanging="0"/>
        <w:jc w:val="center"/>
        <w:rPr/>
      </w:pPr>
      <w:r>
        <w:rPr>
          <w:rStyle w:val="StrongEmphasis"/>
          <w:rFonts w:ascii="Times New Roman" w:hAnsi="Times New Roman"/>
          <w:sz w:val="20"/>
        </w:rPr>
        <w:t>ANNUAL REPORT ON FORM 10-K</w:t>
      </w:r>
    </w:p>
    <w:p>
      <w:pPr>
        <w:pStyle w:val="TextBody"/>
        <w:spacing w:lineRule="auto" w:line="300" w:before="0" w:after="0"/>
        <w:ind w:left="0" w:right="0" w:hanging="0"/>
        <w:jc w:val="center"/>
        <w:rPr/>
      </w:pPr>
      <w:r>
        <w:rPr>
          <w:rStyle w:val="StrongEmphasis"/>
          <w:rFonts w:ascii="Times New Roman" w:hAnsi="Times New Roman"/>
          <w:sz w:val="20"/>
        </w:rPr>
        <w:t>YEAR ENDED DECEMBER 31, 2006</w:t>
      </w:r>
    </w:p>
    <w:p>
      <w:pPr>
        <w:pStyle w:val="TextBody"/>
        <w:spacing w:lineRule="auto" w:line="300" w:before="0" w:after="0"/>
        <w:ind w:left="0" w:right="0" w:hanging="0"/>
        <w:jc w:val="center"/>
        <w:rPr/>
      </w:pPr>
      <w:r>
        <w:rPr>
          <w:rStyle w:val="StrongEmphasis"/>
          <w:rFonts w:ascii="Times New Roman" w:hAnsi="Times New Roman"/>
          <w:sz w:val="20"/>
          <w:u w:val="single"/>
        </w:rPr>
        <w:t>INDEX</w:t>
      </w:r>
    </w:p>
    <w:p>
      <w:pPr>
        <w:pStyle w:val="TextBody"/>
        <w:spacing w:lineRule="auto" w:line="300"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9385"/>
        <w:gridCol w:w="820"/>
      </w:tblGrid>
      <w:tr>
        <w:trPr/>
        <w:tc>
          <w:tcPr>
            <w:tcW w:w="9385" w:type="dxa"/>
            <w:tcBorders/>
            <w:shd w:fill="auto" w:val="clear"/>
            <w:vAlign w:val="bottom"/>
          </w:tcPr>
          <w:p>
            <w:pPr>
              <w:pStyle w:val="TableContents"/>
              <w:spacing w:lineRule="auto" w:line="300" w:before="0" w:after="0"/>
              <w:ind w:left="0" w:right="0" w:hanging="0"/>
              <w:jc w:val="both"/>
              <w:rPr/>
            </w:pPr>
            <w:r>
              <w:rPr/>
              <w:t> </w:t>
            </w:r>
          </w:p>
          <w:p>
            <w:pPr>
              <w:pStyle w:val="TableContents"/>
              <w:spacing w:lineRule="auto" w:line="300" w:before="0" w:after="0"/>
              <w:ind w:left="720" w:right="0" w:hanging="720"/>
              <w:jc w:val="left"/>
              <w:rPr/>
            </w:pPr>
            <w:hyperlink w:anchor="part1">
              <w:r>
                <w:rPr>
                  <w:rStyle w:val="StrongEmphasis"/>
                  <w:rFonts w:ascii="Times New Roman" w:hAnsi="Times New Roman"/>
                  <w:sz w:val="20"/>
                </w:rPr>
                <w:t>PART I</w:t>
              </w:r>
            </w:hyperlink>
          </w:p>
        </w:tc>
        <w:tc>
          <w:tcPr>
            <w:tcW w:w="820" w:type="dxa"/>
            <w:tcBorders/>
            <w:shd w:fill="auto" w:val="clear"/>
            <w:vAlign w:val="bottom"/>
          </w:tcPr>
          <w:p>
            <w:pPr>
              <w:pStyle w:val="TableContents"/>
              <w:spacing w:lineRule="auto" w:line="300" w:before="0" w:after="0"/>
              <w:ind w:left="0" w:right="0" w:hanging="0"/>
              <w:jc w:val="both"/>
              <w:rPr/>
            </w:pPr>
            <w:r>
              <w:rPr/>
              <w:t> </w:t>
            </w:r>
          </w:p>
          <w:p>
            <w:pPr>
              <w:pStyle w:val="TableContents"/>
              <w:spacing w:lineRule="auto" w:line="300" w:before="0" w:after="0"/>
              <w:ind w:left="0" w:right="0" w:hanging="720"/>
              <w:jc w:val="right"/>
              <w:rPr/>
            </w:pPr>
            <w:hyperlink w:anchor="part1">
              <w:r>
                <w:rPr>
                  <w:rStyle w:val="StrongEmphasis"/>
                  <w:rFonts w:ascii="Times New Roman" w:hAnsi="Times New Roman"/>
                  <w:sz w:val="20"/>
                </w:rPr>
                <w:t>1</w:t>
              </w:r>
            </w:hyperlink>
          </w:p>
        </w:tc>
      </w:tr>
      <w:tr>
        <w:trPr/>
        <w:tc>
          <w:tcPr>
            <w:tcW w:w="9385" w:type="dxa"/>
            <w:tcBorders/>
            <w:shd w:fill="auto" w:val="clear"/>
            <w:vAlign w:val="bottom"/>
          </w:tcPr>
          <w:p>
            <w:pPr>
              <w:pStyle w:val="TableContents"/>
              <w:spacing w:lineRule="auto" w:line="300" w:before="0" w:after="0"/>
              <w:ind w:left="0" w:right="0" w:hanging="0"/>
              <w:jc w:val="both"/>
              <w:rPr/>
            </w:pPr>
            <w:r>
              <w:rPr/>
              <w:t> </w:t>
            </w:r>
          </w:p>
          <w:p>
            <w:pPr>
              <w:pStyle w:val="TableContents"/>
              <w:spacing w:lineRule="auto" w:line="300" w:before="0" w:after="0"/>
              <w:ind w:left="720" w:right="0" w:hanging="720"/>
              <w:jc w:val="left"/>
              <w:rPr/>
            </w:pPr>
            <w:hyperlink w:anchor="part1">
              <w:r>
                <w:rPr>
                  <w:rStyle w:val="InternetLink"/>
                  <w:rFonts w:ascii="Times New Roman" w:hAnsi="Times New Roman"/>
                  <w:sz w:val="20"/>
                </w:rPr>
                <w:t>Item 1 - Our Business</w:t>
              </w:r>
            </w:hyperlink>
          </w:p>
        </w:tc>
        <w:tc>
          <w:tcPr>
            <w:tcW w:w="820" w:type="dxa"/>
            <w:tcBorders/>
            <w:shd w:fill="auto" w:val="clear"/>
            <w:vAlign w:val="bottom"/>
          </w:tcPr>
          <w:p>
            <w:pPr>
              <w:pStyle w:val="TableContents"/>
              <w:spacing w:lineRule="auto" w:line="300" w:before="0" w:after="0"/>
              <w:ind w:left="0" w:right="0" w:hanging="0"/>
              <w:jc w:val="both"/>
              <w:rPr/>
            </w:pPr>
            <w:r>
              <w:rPr/>
              <w:t> </w:t>
            </w:r>
          </w:p>
          <w:p>
            <w:pPr>
              <w:pStyle w:val="TableContents"/>
              <w:spacing w:lineRule="auto" w:line="300" w:before="0" w:after="0"/>
              <w:ind w:left="0" w:right="0" w:hanging="720"/>
              <w:jc w:val="right"/>
              <w:rPr/>
            </w:pPr>
            <w:hyperlink w:anchor="part1">
              <w:r>
                <w:rPr>
                  <w:rStyle w:val="InternetLink"/>
                  <w:rFonts w:ascii="Times New Roman" w:hAnsi="Times New Roman"/>
                  <w:sz w:val="20"/>
                </w:rPr>
                <w:t>1</w:t>
              </w:r>
            </w:hyperlink>
          </w:p>
        </w:tc>
      </w:tr>
      <w:tr>
        <w:trPr/>
        <w:tc>
          <w:tcPr>
            <w:tcW w:w="9385" w:type="dxa"/>
            <w:tcBorders/>
            <w:shd w:fill="auto" w:val="clear"/>
            <w:vAlign w:val="bottom"/>
          </w:tcPr>
          <w:p>
            <w:pPr>
              <w:pStyle w:val="TableContents"/>
              <w:spacing w:lineRule="auto" w:line="300" w:before="0" w:after="0"/>
              <w:ind w:left="0" w:right="0" w:hanging="0"/>
              <w:jc w:val="both"/>
              <w:rPr/>
            </w:pPr>
            <w:r>
              <w:rPr/>
              <w:t> </w:t>
            </w:r>
          </w:p>
          <w:p>
            <w:pPr>
              <w:pStyle w:val="TableContents"/>
              <w:spacing w:lineRule="auto" w:line="300" w:before="0" w:after="0"/>
              <w:ind w:left="720" w:right="0" w:hanging="720"/>
              <w:jc w:val="left"/>
              <w:rPr/>
            </w:pPr>
            <w:hyperlink w:anchor="item1a">
              <w:r>
                <w:rPr>
                  <w:rStyle w:val="InternetLink"/>
                  <w:rFonts w:ascii="Times New Roman" w:hAnsi="Times New Roman"/>
                  <w:sz w:val="20"/>
                </w:rPr>
                <w:t>Item 1A - Risk Factors</w:t>
              </w:r>
            </w:hyperlink>
          </w:p>
        </w:tc>
        <w:tc>
          <w:tcPr>
            <w:tcW w:w="820" w:type="dxa"/>
            <w:tcBorders/>
            <w:shd w:fill="auto" w:val="clear"/>
            <w:vAlign w:val="bottom"/>
          </w:tcPr>
          <w:p>
            <w:pPr>
              <w:pStyle w:val="TableContents"/>
              <w:spacing w:lineRule="auto" w:line="300" w:before="0" w:after="0"/>
              <w:ind w:left="0" w:right="0" w:hanging="0"/>
              <w:jc w:val="both"/>
              <w:rPr/>
            </w:pPr>
            <w:r>
              <w:rPr/>
              <w:t> </w:t>
            </w:r>
          </w:p>
          <w:p>
            <w:pPr>
              <w:pStyle w:val="TableContents"/>
              <w:spacing w:lineRule="auto" w:line="300" w:before="0" w:after="0"/>
              <w:ind w:left="0" w:right="0" w:hanging="720"/>
              <w:jc w:val="right"/>
              <w:rPr/>
            </w:pPr>
            <w:hyperlink w:anchor="item1a">
              <w:r>
                <w:rPr>
                  <w:rStyle w:val="InternetLink"/>
                  <w:rFonts w:ascii="Times New Roman" w:hAnsi="Times New Roman"/>
                  <w:sz w:val="20"/>
                </w:rPr>
                <w:t>24</w:t>
              </w:r>
            </w:hyperlink>
          </w:p>
        </w:tc>
      </w:tr>
      <w:tr>
        <w:trPr/>
        <w:tc>
          <w:tcPr>
            <w:tcW w:w="9385" w:type="dxa"/>
            <w:tcBorders/>
            <w:shd w:fill="auto" w:val="clear"/>
            <w:vAlign w:val="bottom"/>
          </w:tcPr>
          <w:p>
            <w:pPr>
              <w:pStyle w:val="TableContents"/>
              <w:spacing w:lineRule="auto" w:line="300" w:before="0" w:after="0"/>
              <w:ind w:left="0" w:right="0" w:hanging="0"/>
              <w:jc w:val="both"/>
              <w:rPr/>
            </w:pPr>
            <w:r>
              <w:rPr/>
              <w:t> </w:t>
            </w:r>
          </w:p>
          <w:p>
            <w:pPr>
              <w:pStyle w:val="TableContents"/>
              <w:spacing w:lineRule="auto" w:line="300" w:before="0" w:after="0"/>
              <w:ind w:left="720" w:right="0" w:hanging="720"/>
              <w:jc w:val="left"/>
              <w:rPr/>
            </w:pPr>
            <w:hyperlink w:anchor="item1b">
              <w:r>
                <w:rPr>
                  <w:rStyle w:val="InternetLink"/>
                  <w:rFonts w:ascii="Times New Roman" w:hAnsi="Times New Roman"/>
                  <w:sz w:val="20"/>
                </w:rPr>
                <w:t>Item 1B - Unresolved Staff Comments</w:t>
              </w:r>
            </w:hyperlink>
          </w:p>
        </w:tc>
        <w:tc>
          <w:tcPr>
            <w:tcW w:w="820" w:type="dxa"/>
            <w:tcBorders/>
            <w:shd w:fill="auto" w:val="clear"/>
            <w:vAlign w:val="bottom"/>
          </w:tcPr>
          <w:p>
            <w:pPr>
              <w:pStyle w:val="TableContents"/>
              <w:spacing w:lineRule="auto" w:line="300" w:before="0" w:after="0"/>
              <w:ind w:left="0" w:right="0" w:hanging="0"/>
              <w:jc w:val="both"/>
              <w:rPr/>
            </w:pPr>
            <w:r>
              <w:rPr/>
              <w:t> </w:t>
            </w:r>
          </w:p>
          <w:p>
            <w:pPr>
              <w:pStyle w:val="TableContents"/>
              <w:spacing w:lineRule="auto" w:line="300" w:before="0" w:after="0"/>
              <w:ind w:left="0" w:right="0" w:hanging="720"/>
              <w:jc w:val="right"/>
              <w:rPr/>
            </w:pPr>
            <w:hyperlink w:anchor="item1b">
              <w:r>
                <w:rPr>
                  <w:rStyle w:val="InternetLink"/>
                  <w:rFonts w:ascii="Times New Roman" w:hAnsi="Times New Roman"/>
                  <w:sz w:val="20"/>
                </w:rPr>
                <w:t>30</w:t>
              </w:r>
            </w:hyperlink>
          </w:p>
        </w:tc>
      </w:tr>
      <w:tr>
        <w:trPr/>
        <w:tc>
          <w:tcPr>
            <w:tcW w:w="9385" w:type="dxa"/>
            <w:tcBorders/>
            <w:shd w:fill="auto" w:val="clear"/>
            <w:vAlign w:val="bottom"/>
          </w:tcPr>
          <w:p>
            <w:pPr>
              <w:pStyle w:val="TableContents"/>
              <w:spacing w:lineRule="auto" w:line="300" w:before="0" w:after="0"/>
              <w:ind w:left="0" w:right="0" w:hanging="0"/>
              <w:jc w:val="both"/>
              <w:rPr/>
            </w:pPr>
            <w:r>
              <w:rPr/>
              <w:t> </w:t>
            </w:r>
          </w:p>
          <w:p>
            <w:pPr>
              <w:pStyle w:val="TableContents"/>
              <w:spacing w:lineRule="auto" w:line="300" w:before="0" w:after="0"/>
              <w:ind w:left="720" w:right="0" w:hanging="720"/>
              <w:jc w:val="left"/>
              <w:rPr/>
            </w:pPr>
            <w:hyperlink w:anchor="item2">
              <w:r>
                <w:rPr>
                  <w:rStyle w:val="InternetLink"/>
                  <w:rFonts w:ascii="Times New Roman" w:hAnsi="Times New Roman"/>
                  <w:sz w:val="20"/>
                </w:rPr>
                <w:t>Item 2 - Properties</w:t>
              </w:r>
            </w:hyperlink>
          </w:p>
        </w:tc>
        <w:tc>
          <w:tcPr>
            <w:tcW w:w="820" w:type="dxa"/>
            <w:tcBorders/>
            <w:shd w:fill="auto" w:val="clear"/>
            <w:vAlign w:val="bottom"/>
          </w:tcPr>
          <w:p>
            <w:pPr>
              <w:pStyle w:val="TableContents"/>
              <w:spacing w:lineRule="auto" w:line="300" w:before="0" w:after="0"/>
              <w:ind w:left="0" w:right="0" w:hanging="0"/>
              <w:jc w:val="both"/>
              <w:rPr/>
            </w:pPr>
            <w:r>
              <w:rPr/>
              <w:t> </w:t>
            </w:r>
          </w:p>
          <w:p>
            <w:pPr>
              <w:pStyle w:val="TableContents"/>
              <w:spacing w:lineRule="auto" w:line="300" w:before="0" w:after="0"/>
              <w:ind w:left="0" w:right="0" w:hanging="720"/>
              <w:jc w:val="right"/>
              <w:rPr/>
            </w:pPr>
            <w:hyperlink w:anchor="item2">
              <w:r>
                <w:rPr>
                  <w:rStyle w:val="InternetLink"/>
                  <w:rFonts w:ascii="Times New Roman" w:hAnsi="Times New Roman"/>
                  <w:sz w:val="20"/>
                </w:rPr>
                <w:t>31</w:t>
              </w:r>
            </w:hyperlink>
          </w:p>
        </w:tc>
      </w:tr>
      <w:tr>
        <w:trPr/>
        <w:tc>
          <w:tcPr>
            <w:tcW w:w="9385" w:type="dxa"/>
            <w:tcBorders/>
            <w:shd w:fill="auto" w:val="clear"/>
            <w:vAlign w:val="bottom"/>
          </w:tcPr>
          <w:p>
            <w:pPr>
              <w:pStyle w:val="TableContents"/>
              <w:spacing w:lineRule="auto" w:line="300" w:before="0" w:after="0"/>
              <w:ind w:left="0" w:right="0" w:hanging="0"/>
              <w:jc w:val="both"/>
              <w:rPr/>
            </w:pPr>
            <w:r>
              <w:rPr/>
              <w:t> </w:t>
            </w:r>
          </w:p>
          <w:p>
            <w:pPr>
              <w:pStyle w:val="TableContents"/>
              <w:spacing w:lineRule="auto" w:line="300" w:before="0" w:after="0"/>
              <w:ind w:left="720" w:right="0" w:hanging="720"/>
              <w:jc w:val="left"/>
              <w:rPr/>
            </w:pPr>
            <w:hyperlink w:anchor="item3">
              <w:r>
                <w:rPr>
                  <w:rStyle w:val="InternetLink"/>
                  <w:rFonts w:ascii="Times New Roman" w:hAnsi="Times New Roman"/>
                  <w:sz w:val="20"/>
                </w:rPr>
                <w:t>Item 3 - Legal Proceedings</w:t>
              </w:r>
            </w:hyperlink>
          </w:p>
        </w:tc>
        <w:tc>
          <w:tcPr>
            <w:tcW w:w="820" w:type="dxa"/>
            <w:tcBorders/>
            <w:shd w:fill="auto" w:val="clear"/>
            <w:vAlign w:val="bottom"/>
          </w:tcPr>
          <w:p>
            <w:pPr>
              <w:pStyle w:val="TableContents"/>
              <w:spacing w:lineRule="auto" w:line="300" w:before="0" w:after="0"/>
              <w:ind w:left="0" w:right="0" w:hanging="0"/>
              <w:jc w:val="both"/>
              <w:rPr/>
            </w:pPr>
            <w:r>
              <w:rPr/>
              <w:t> </w:t>
            </w:r>
          </w:p>
          <w:p>
            <w:pPr>
              <w:pStyle w:val="TableContents"/>
              <w:spacing w:lineRule="auto" w:line="300" w:before="0" w:after="0"/>
              <w:ind w:left="0" w:right="0" w:hanging="720"/>
              <w:jc w:val="right"/>
              <w:rPr/>
            </w:pPr>
            <w:hyperlink w:anchor="item3">
              <w:r>
                <w:rPr>
                  <w:rStyle w:val="InternetLink"/>
                  <w:rFonts w:ascii="Times New Roman" w:hAnsi="Times New Roman"/>
                  <w:sz w:val="20"/>
                </w:rPr>
                <w:t>35</w:t>
              </w:r>
            </w:hyperlink>
          </w:p>
        </w:tc>
      </w:tr>
      <w:tr>
        <w:trPr/>
        <w:tc>
          <w:tcPr>
            <w:tcW w:w="9385" w:type="dxa"/>
            <w:tcBorders/>
            <w:shd w:fill="auto" w:val="clear"/>
            <w:vAlign w:val="bottom"/>
          </w:tcPr>
          <w:p>
            <w:pPr>
              <w:pStyle w:val="TableContents"/>
              <w:spacing w:lineRule="auto" w:line="300" w:before="0" w:after="0"/>
              <w:ind w:left="0" w:right="0" w:hanging="0"/>
              <w:jc w:val="both"/>
              <w:rPr/>
            </w:pPr>
            <w:r>
              <w:rPr/>
              <w:t> </w:t>
            </w:r>
          </w:p>
          <w:p>
            <w:pPr>
              <w:pStyle w:val="TableContents"/>
              <w:spacing w:lineRule="auto" w:line="300" w:before="0" w:after="0"/>
              <w:ind w:left="720" w:right="0" w:hanging="720"/>
              <w:jc w:val="left"/>
              <w:rPr/>
            </w:pPr>
            <w:hyperlink w:anchor="item4">
              <w:r>
                <w:rPr>
                  <w:rStyle w:val="InternetLink"/>
                  <w:rFonts w:ascii="Times New Roman" w:hAnsi="Times New Roman"/>
                  <w:sz w:val="20"/>
                </w:rPr>
                <w:t>Item 4 - Submission of Matters to a Vote of Security Holders</w:t>
              </w:r>
            </w:hyperlink>
          </w:p>
        </w:tc>
        <w:tc>
          <w:tcPr>
            <w:tcW w:w="820" w:type="dxa"/>
            <w:tcBorders/>
            <w:shd w:fill="auto" w:val="clear"/>
            <w:vAlign w:val="bottom"/>
          </w:tcPr>
          <w:p>
            <w:pPr>
              <w:pStyle w:val="TableContents"/>
              <w:spacing w:lineRule="auto" w:line="300" w:before="0" w:after="0"/>
              <w:ind w:left="0" w:right="0" w:hanging="0"/>
              <w:jc w:val="both"/>
              <w:rPr/>
            </w:pPr>
            <w:r>
              <w:rPr/>
              <w:t> </w:t>
            </w:r>
          </w:p>
          <w:p>
            <w:pPr>
              <w:pStyle w:val="TableContents"/>
              <w:spacing w:lineRule="auto" w:line="300" w:before="0" w:after="0"/>
              <w:ind w:left="0" w:right="0" w:hanging="720"/>
              <w:jc w:val="right"/>
              <w:rPr/>
            </w:pPr>
            <w:hyperlink w:anchor="item4">
              <w:r>
                <w:rPr>
                  <w:rStyle w:val="InternetLink"/>
                  <w:rFonts w:ascii="Times New Roman" w:hAnsi="Times New Roman"/>
                  <w:sz w:val="20"/>
                </w:rPr>
                <w:t>38</w:t>
              </w:r>
            </w:hyperlink>
          </w:p>
        </w:tc>
      </w:tr>
      <w:tr>
        <w:trPr/>
        <w:tc>
          <w:tcPr>
            <w:tcW w:w="9385" w:type="dxa"/>
            <w:tcBorders/>
            <w:shd w:fill="auto" w:val="clear"/>
            <w:vAlign w:val="bottom"/>
          </w:tcPr>
          <w:p>
            <w:pPr>
              <w:pStyle w:val="TableContents"/>
              <w:spacing w:lineRule="auto" w:line="300" w:before="0" w:after="0"/>
              <w:ind w:left="0" w:right="0" w:hanging="0"/>
              <w:jc w:val="both"/>
              <w:rPr/>
            </w:pPr>
            <w:r>
              <w:rPr/>
              <w:t> </w:t>
            </w:r>
          </w:p>
          <w:p>
            <w:pPr>
              <w:pStyle w:val="TableContents"/>
              <w:spacing w:lineRule="auto" w:line="300" w:before="0" w:after="0"/>
              <w:ind w:left="720" w:right="0" w:hanging="720"/>
              <w:jc w:val="left"/>
              <w:rPr/>
            </w:pPr>
            <w:hyperlink w:anchor="part2">
              <w:r>
                <w:rPr>
                  <w:rStyle w:val="StrongEmphasis"/>
                  <w:rFonts w:ascii="Times New Roman" w:hAnsi="Times New Roman"/>
                  <w:sz w:val="20"/>
                </w:rPr>
                <w:t>PART II</w:t>
              </w:r>
            </w:hyperlink>
          </w:p>
        </w:tc>
        <w:tc>
          <w:tcPr>
            <w:tcW w:w="820" w:type="dxa"/>
            <w:tcBorders/>
            <w:shd w:fill="auto" w:val="clear"/>
            <w:vAlign w:val="bottom"/>
          </w:tcPr>
          <w:p>
            <w:pPr>
              <w:pStyle w:val="TableContents"/>
              <w:spacing w:lineRule="auto" w:line="300" w:before="0" w:after="0"/>
              <w:ind w:left="0" w:right="0" w:hanging="0"/>
              <w:jc w:val="both"/>
              <w:rPr/>
            </w:pPr>
            <w:r>
              <w:rPr/>
              <w:t> </w:t>
            </w:r>
          </w:p>
          <w:p>
            <w:pPr>
              <w:pStyle w:val="TableContents"/>
              <w:spacing w:lineRule="auto" w:line="300" w:before="0" w:after="0"/>
              <w:ind w:left="0" w:right="0" w:hanging="720"/>
              <w:jc w:val="right"/>
              <w:rPr/>
            </w:pPr>
            <w:hyperlink w:anchor="part2">
              <w:r>
                <w:rPr>
                  <w:rStyle w:val="StrongEmphasis"/>
                  <w:rFonts w:ascii="Times New Roman" w:hAnsi="Times New Roman"/>
                  <w:sz w:val="20"/>
                </w:rPr>
                <w:t>39</w:t>
              </w:r>
            </w:hyperlink>
          </w:p>
        </w:tc>
      </w:tr>
      <w:tr>
        <w:trPr/>
        <w:tc>
          <w:tcPr>
            <w:tcW w:w="9385" w:type="dxa"/>
            <w:tcBorders/>
            <w:shd w:fill="auto" w:val="clear"/>
            <w:vAlign w:val="bottom"/>
          </w:tcPr>
          <w:p>
            <w:pPr>
              <w:pStyle w:val="TableContents"/>
              <w:spacing w:lineRule="auto" w:line="300" w:before="0" w:after="0"/>
              <w:ind w:left="0" w:right="0" w:hanging="0"/>
              <w:jc w:val="both"/>
              <w:rPr/>
            </w:pPr>
            <w:r>
              <w:rPr/>
              <w:t> </w:t>
            </w:r>
          </w:p>
          <w:p>
            <w:pPr>
              <w:pStyle w:val="TableContents"/>
              <w:spacing w:lineRule="auto" w:line="300" w:before="0" w:after="0"/>
              <w:ind w:left="720" w:right="0" w:hanging="720"/>
              <w:jc w:val="left"/>
              <w:rPr/>
            </w:pPr>
            <w:hyperlink w:anchor="part2">
              <w:r>
                <w:rPr>
                  <w:rStyle w:val="InternetLink"/>
                  <w:rFonts w:ascii="Times New Roman" w:hAnsi="Times New Roman"/>
                  <w:sz w:val="20"/>
                </w:rPr>
                <w:t>Item 5 - Market for Registrant’s Common Equity and Related Stockholder Matters</w:t>
              </w:r>
            </w:hyperlink>
          </w:p>
        </w:tc>
        <w:tc>
          <w:tcPr>
            <w:tcW w:w="820" w:type="dxa"/>
            <w:tcBorders/>
            <w:shd w:fill="auto" w:val="clear"/>
            <w:vAlign w:val="bottom"/>
          </w:tcPr>
          <w:p>
            <w:pPr>
              <w:pStyle w:val="TableContents"/>
              <w:spacing w:lineRule="auto" w:line="300" w:before="0" w:after="0"/>
              <w:ind w:left="0" w:right="0" w:hanging="0"/>
              <w:jc w:val="both"/>
              <w:rPr/>
            </w:pPr>
            <w:r>
              <w:rPr/>
              <w:t> </w:t>
            </w:r>
          </w:p>
          <w:p>
            <w:pPr>
              <w:pStyle w:val="TableContents"/>
              <w:spacing w:lineRule="auto" w:line="300" w:before="0" w:after="0"/>
              <w:ind w:left="0" w:right="0" w:hanging="720"/>
              <w:jc w:val="right"/>
              <w:rPr/>
            </w:pPr>
            <w:hyperlink w:anchor="part2">
              <w:r>
                <w:rPr>
                  <w:rStyle w:val="InternetLink"/>
                  <w:rFonts w:ascii="Times New Roman" w:hAnsi="Times New Roman"/>
                  <w:sz w:val="20"/>
                </w:rPr>
                <w:t>39</w:t>
              </w:r>
            </w:hyperlink>
          </w:p>
        </w:tc>
      </w:tr>
      <w:tr>
        <w:trPr/>
        <w:tc>
          <w:tcPr>
            <w:tcW w:w="9385" w:type="dxa"/>
            <w:tcBorders/>
            <w:shd w:fill="auto" w:val="clear"/>
            <w:vAlign w:val="bottom"/>
          </w:tcPr>
          <w:p>
            <w:pPr>
              <w:pStyle w:val="TableContents"/>
              <w:spacing w:lineRule="auto" w:line="300" w:before="0" w:after="0"/>
              <w:ind w:left="0" w:right="0" w:hanging="0"/>
              <w:jc w:val="both"/>
              <w:rPr/>
            </w:pPr>
            <w:r>
              <w:rPr/>
              <w:t> </w:t>
            </w:r>
          </w:p>
          <w:p>
            <w:pPr>
              <w:pStyle w:val="TableContents"/>
              <w:spacing w:lineRule="auto" w:line="300" w:before="0" w:after="0"/>
              <w:ind w:left="720" w:right="0" w:hanging="720"/>
              <w:jc w:val="left"/>
              <w:rPr/>
            </w:pPr>
            <w:hyperlink w:anchor="item6">
              <w:r>
                <w:rPr>
                  <w:rStyle w:val="InternetLink"/>
                  <w:rFonts w:ascii="Times New Roman" w:hAnsi="Times New Roman"/>
                  <w:sz w:val="20"/>
                </w:rPr>
                <w:t>Item 6 - Selected Financial Data</w:t>
              </w:r>
            </w:hyperlink>
          </w:p>
        </w:tc>
        <w:tc>
          <w:tcPr>
            <w:tcW w:w="820" w:type="dxa"/>
            <w:tcBorders/>
            <w:shd w:fill="auto" w:val="clear"/>
            <w:vAlign w:val="bottom"/>
          </w:tcPr>
          <w:p>
            <w:pPr>
              <w:pStyle w:val="TableContents"/>
              <w:spacing w:lineRule="auto" w:line="300" w:before="0" w:after="0"/>
              <w:ind w:left="0" w:right="0" w:hanging="0"/>
              <w:jc w:val="both"/>
              <w:rPr/>
            </w:pPr>
            <w:r>
              <w:rPr/>
              <w:t> </w:t>
            </w:r>
          </w:p>
          <w:p>
            <w:pPr>
              <w:pStyle w:val="TableContents"/>
              <w:spacing w:lineRule="auto" w:line="300" w:before="0" w:after="0"/>
              <w:ind w:left="0" w:right="0" w:hanging="720"/>
              <w:jc w:val="right"/>
              <w:rPr/>
            </w:pPr>
            <w:hyperlink w:anchor="item6">
              <w:r>
                <w:rPr>
                  <w:rStyle w:val="InternetLink"/>
                  <w:rFonts w:ascii="Times New Roman" w:hAnsi="Times New Roman"/>
                  <w:sz w:val="20"/>
                </w:rPr>
                <w:t>40</w:t>
              </w:r>
            </w:hyperlink>
          </w:p>
        </w:tc>
      </w:tr>
      <w:tr>
        <w:trPr/>
        <w:tc>
          <w:tcPr>
            <w:tcW w:w="9385" w:type="dxa"/>
            <w:tcBorders/>
            <w:shd w:fill="auto" w:val="clear"/>
            <w:vAlign w:val="bottom"/>
          </w:tcPr>
          <w:p>
            <w:pPr>
              <w:pStyle w:val="TableContents"/>
              <w:spacing w:lineRule="auto" w:line="300" w:before="0" w:after="0"/>
              <w:ind w:left="0" w:right="0" w:hanging="0"/>
              <w:jc w:val="both"/>
              <w:rPr/>
            </w:pPr>
            <w:r>
              <w:rPr/>
              <w:t> </w:t>
            </w:r>
          </w:p>
          <w:p>
            <w:pPr>
              <w:pStyle w:val="TableContents"/>
              <w:spacing w:lineRule="auto" w:line="300" w:before="0" w:after="0"/>
              <w:ind w:left="720" w:right="0" w:hanging="720"/>
              <w:jc w:val="left"/>
              <w:rPr/>
            </w:pPr>
            <w:hyperlink w:anchor="item7">
              <w:r>
                <w:rPr>
                  <w:rStyle w:val="InternetLink"/>
                  <w:rFonts w:ascii="Times New Roman" w:hAnsi="Times New Roman"/>
                  <w:sz w:val="20"/>
                </w:rPr>
                <w:t>Item 7 - Management’s Discussions and Analysis of Financial Condition and Results of Operations</w:t>
              </w:r>
            </w:hyperlink>
          </w:p>
        </w:tc>
        <w:tc>
          <w:tcPr>
            <w:tcW w:w="820" w:type="dxa"/>
            <w:tcBorders/>
            <w:shd w:fill="auto" w:val="clear"/>
            <w:vAlign w:val="bottom"/>
          </w:tcPr>
          <w:p>
            <w:pPr>
              <w:pStyle w:val="TableContents"/>
              <w:spacing w:lineRule="auto" w:line="300" w:before="0" w:after="0"/>
              <w:ind w:left="0" w:right="0" w:hanging="0"/>
              <w:jc w:val="both"/>
              <w:rPr/>
            </w:pPr>
            <w:r>
              <w:rPr/>
              <w:t> </w:t>
            </w:r>
          </w:p>
          <w:p>
            <w:pPr>
              <w:pStyle w:val="TableContents"/>
              <w:spacing w:lineRule="auto" w:line="300" w:before="0" w:after="0"/>
              <w:ind w:left="0" w:right="0" w:hanging="720"/>
              <w:jc w:val="right"/>
              <w:rPr/>
            </w:pPr>
            <w:hyperlink w:anchor="item7">
              <w:r>
                <w:rPr>
                  <w:rStyle w:val="InternetLink"/>
                  <w:rFonts w:ascii="Times New Roman" w:hAnsi="Times New Roman"/>
                  <w:sz w:val="20"/>
                </w:rPr>
                <w:t>43</w:t>
              </w:r>
            </w:hyperlink>
          </w:p>
        </w:tc>
      </w:tr>
      <w:tr>
        <w:trPr/>
        <w:tc>
          <w:tcPr>
            <w:tcW w:w="9385" w:type="dxa"/>
            <w:tcBorders/>
            <w:shd w:fill="auto" w:val="clear"/>
            <w:vAlign w:val="bottom"/>
          </w:tcPr>
          <w:p>
            <w:pPr>
              <w:pStyle w:val="TableContents"/>
              <w:spacing w:lineRule="auto" w:line="300" w:before="0" w:after="0"/>
              <w:ind w:left="0" w:right="0" w:hanging="0"/>
              <w:jc w:val="both"/>
              <w:rPr/>
            </w:pPr>
            <w:r>
              <w:rPr/>
              <w:t> </w:t>
            </w:r>
          </w:p>
          <w:p>
            <w:pPr>
              <w:pStyle w:val="TableContents"/>
              <w:spacing w:lineRule="auto" w:line="300" w:before="0" w:after="0"/>
              <w:ind w:left="720" w:right="0" w:hanging="720"/>
              <w:jc w:val="left"/>
              <w:rPr/>
            </w:pPr>
            <w:hyperlink w:anchor="item7a">
              <w:r>
                <w:rPr>
                  <w:rStyle w:val="InternetLink"/>
                  <w:rFonts w:ascii="Times New Roman" w:hAnsi="Times New Roman"/>
                  <w:sz w:val="20"/>
                </w:rPr>
                <w:t>Item 7A - Quantitative and Qualitative Disclosure about Market Risk</w:t>
              </w:r>
            </w:hyperlink>
          </w:p>
        </w:tc>
        <w:tc>
          <w:tcPr>
            <w:tcW w:w="820" w:type="dxa"/>
            <w:tcBorders/>
            <w:shd w:fill="auto" w:val="clear"/>
            <w:vAlign w:val="bottom"/>
          </w:tcPr>
          <w:p>
            <w:pPr>
              <w:pStyle w:val="TableContents"/>
              <w:spacing w:lineRule="auto" w:line="300" w:before="0" w:after="0"/>
              <w:ind w:left="0" w:right="0" w:hanging="0"/>
              <w:jc w:val="both"/>
              <w:rPr/>
            </w:pPr>
            <w:r>
              <w:rPr/>
              <w:t> </w:t>
            </w:r>
          </w:p>
          <w:p>
            <w:pPr>
              <w:pStyle w:val="TableContents"/>
              <w:spacing w:lineRule="auto" w:line="300" w:before="0" w:after="0"/>
              <w:ind w:left="0" w:right="0" w:hanging="720"/>
              <w:jc w:val="right"/>
              <w:rPr/>
            </w:pPr>
            <w:hyperlink w:anchor="item7a">
              <w:r>
                <w:rPr>
                  <w:rStyle w:val="InternetLink"/>
                  <w:rFonts w:ascii="Times New Roman" w:hAnsi="Times New Roman"/>
                  <w:sz w:val="20"/>
                </w:rPr>
                <w:t>68</w:t>
              </w:r>
            </w:hyperlink>
          </w:p>
        </w:tc>
      </w:tr>
      <w:tr>
        <w:trPr/>
        <w:tc>
          <w:tcPr>
            <w:tcW w:w="9385" w:type="dxa"/>
            <w:tcBorders/>
            <w:shd w:fill="auto" w:val="clear"/>
            <w:vAlign w:val="bottom"/>
          </w:tcPr>
          <w:p>
            <w:pPr>
              <w:pStyle w:val="TableContents"/>
              <w:spacing w:lineRule="auto" w:line="300" w:before="0" w:after="0"/>
              <w:ind w:left="0" w:right="0" w:hanging="0"/>
              <w:jc w:val="both"/>
              <w:rPr/>
            </w:pPr>
            <w:r>
              <w:rPr/>
              <w:t> </w:t>
            </w:r>
          </w:p>
          <w:p>
            <w:pPr>
              <w:pStyle w:val="TableContents"/>
              <w:spacing w:lineRule="auto" w:line="300" w:before="0" w:after="0"/>
              <w:ind w:left="720" w:right="0" w:hanging="720"/>
              <w:jc w:val="left"/>
              <w:rPr/>
            </w:pPr>
            <w:hyperlink w:anchor="item8">
              <w:r>
                <w:rPr>
                  <w:rStyle w:val="InternetLink"/>
                  <w:rFonts w:ascii="Times New Roman" w:hAnsi="Times New Roman"/>
                  <w:sz w:val="20"/>
                </w:rPr>
                <w:t>Item 8 - Financial Statements and Supplementary Data</w:t>
              </w:r>
            </w:hyperlink>
          </w:p>
        </w:tc>
        <w:tc>
          <w:tcPr>
            <w:tcW w:w="820" w:type="dxa"/>
            <w:tcBorders/>
            <w:shd w:fill="auto" w:val="clear"/>
            <w:vAlign w:val="bottom"/>
          </w:tcPr>
          <w:p>
            <w:pPr>
              <w:pStyle w:val="TableContents"/>
              <w:spacing w:lineRule="auto" w:line="300" w:before="0" w:after="0"/>
              <w:ind w:left="0" w:right="0" w:hanging="0"/>
              <w:jc w:val="both"/>
              <w:rPr/>
            </w:pPr>
            <w:r>
              <w:rPr/>
              <w:t> </w:t>
            </w:r>
          </w:p>
          <w:p>
            <w:pPr>
              <w:pStyle w:val="TableContents"/>
              <w:spacing w:lineRule="auto" w:line="300" w:before="0" w:after="0"/>
              <w:ind w:left="0" w:right="0" w:hanging="720"/>
              <w:jc w:val="right"/>
              <w:rPr/>
            </w:pPr>
            <w:hyperlink w:anchor="item8">
              <w:r>
                <w:rPr>
                  <w:rStyle w:val="InternetLink"/>
                  <w:rFonts w:ascii="Times New Roman" w:hAnsi="Times New Roman"/>
                  <w:sz w:val="20"/>
                </w:rPr>
                <w:t>70</w:t>
              </w:r>
            </w:hyperlink>
          </w:p>
        </w:tc>
      </w:tr>
      <w:tr>
        <w:trPr/>
        <w:tc>
          <w:tcPr>
            <w:tcW w:w="9385" w:type="dxa"/>
            <w:tcBorders/>
            <w:shd w:fill="auto" w:val="clear"/>
            <w:vAlign w:val="bottom"/>
          </w:tcPr>
          <w:p>
            <w:pPr>
              <w:pStyle w:val="TableContents"/>
              <w:spacing w:lineRule="auto" w:line="300" w:before="0" w:after="0"/>
              <w:ind w:left="0" w:right="0" w:hanging="0"/>
              <w:jc w:val="both"/>
              <w:rPr/>
            </w:pPr>
            <w:r>
              <w:rPr/>
              <w:t> </w:t>
            </w:r>
          </w:p>
          <w:p>
            <w:pPr>
              <w:pStyle w:val="TableContents"/>
              <w:spacing w:lineRule="auto" w:line="300" w:before="0" w:after="0"/>
              <w:ind w:left="1440" w:right="0" w:hanging="720"/>
              <w:jc w:val="left"/>
              <w:rPr/>
            </w:pPr>
            <w:hyperlink w:anchor="reportofindependent">
              <w:r>
                <w:rPr>
                  <w:rStyle w:val="InternetLink"/>
                  <w:rFonts w:ascii="Times New Roman" w:hAnsi="Times New Roman"/>
                  <w:sz w:val="20"/>
                </w:rPr>
                <w:t>Report of Independent Registered Public Accountants</w:t>
              </w:r>
            </w:hyperlink>
          </w:p>
        </w:tc>
        <w:tc>
          <w:tcPr>
            <w:tcW w:w="820" w:type="dxa"/>
            <w:tcBorders/>
            <w:shd w:fill="auto" w:val="clear"/>
            <w:vAlign w:val="bottom"/>
          </w:tcPr>
          <w:p>
            <w:pPr>
              <w:pStyle w:val="TableContents"/>
              <w:spacing w:lineRule="auto" w:line="300" w:before="0" w:after="0"/>
              <w:ind w:left="0" w:right="0" w:hanging="0"/>
              <w:jc w:val="both"/>
              <w:rPr/>
            </w:pPr>
            <w:r>
              <w:rPr/>
              <w:t> </w:t>
            </w:r>
          </w:p>
          <w:p>
            <w:pPr>
              <w:pStyle w:val="TableContents"/>
              <w:spacing w:lineRule="auto" w:line="300" w:before="0" w:after="0"/>
              <w:ind w:left="0" w:right="0" w:hanging="720"/>
              <w:jc w:val="right"/>
              <w:rPr/>
            </w:pPr>
            <w:hyperlink w:anchor="reportofindependent">
              <w:r>
                <w:rPr>
                  <w:rStyle w:val="InternetLink"/>
                  <w:rFonts w:ascii="Times New Roman" w:hAnsi="Times New Roman"/>
                  <w:sz w:val="20"/>
                </w:rPr>
                <w:t>71</w:t>
              </w:r>
            </w:hyperlink>
          </w:p>
        </w:tc>
      </w:tr>
      <w:tr>
        <w:trPr/>
        <w:tc>
          <w:tcPr>
            <w:tcW w:w="9385" w:type="dxa"/>
            <w:tcBorders/>
            <w:shd w:fill="auto" w:val="clear"/>
            <w:vAlign w:val="bottom"/>
          </w:tcPr>
          <w:p>
            <w:pPr>
              <w:pStyle w:val="TableContents"/>
              <w:spacing w:lineRule="auto" w:line="300" w:before="0" w:after="0"/>
              <w:ind w:left="1440" w:right="0" w:hanging="720"/>
              <w:jc w:val="left"/>
              <w:rPr/>
            </w:pPr>
            <w:hyperlink w:anchor="balancesheet">
              <w:r>
                <w:rPr>
                  <w:rStyle w:val="InternetLink"/>
                  <w:rFonts w:ascii="Times New Roman" w:hAnsi="Times New Roman"/>
                  <w:sz w:val="20"/>
                </w:rPr>
                <w:t>Consolidated Balance Sheets as of December 31, 2006 and 2005</w:t>
              </w:r>
            </w:hyperlink>
          </w:p>
        </w:tc>
        <w:tc>
          <w:tcPr>
            <w:tcW w:w="820" w:type="dxa"/>
            <w:tcBorders/>
            <w:shd w:fill="auto" w:val="clear"/>
            <w:vAlign w:val="bottom"/>
          </w:tcPr>
          <w:p>
            <w:pPr>
              <w:pStyle w:val="TableContents"/>
              <w:spacing w:lineRule="auto" w:line="300" w:before="0" w:after="0"/>
              <w:ind w:left="0" w:right="0" w:hanging="720"/>
              <w:jc w:val="right"/>
              <w:rPr/>
            </w:pPr>
            <w:hyperlink w:anchor="balancesheet">
              <w:r>
                <w:rPr>
                  <w:rStyle w:val="InternetLink"/>
                  <w:rFonts w:ascii="Times New Roman" w:hAnsi="Times New Roman"/>
                  <w:sz w:val="20"/>
                </w:rPr>
                <w:t>72</w:t>
              </w:r>
            </w:hyperlink>
          </w:p>
        </w:tc>
      </w:tr>
      <w:tr>
        <w:trPr/>
        <w:tc>
          <w:tcPr>
            <w:tcW w:w="9385" w:type="dxa"/>
            <w:tcBorders/>
            <w:shd w:fill="auto" w:val="clear"/>
            <w:vAlign w:val="bottom"/>
          </w:tcPr>
          <w:p>
            <w:pPr>
              <w:pStyle w:val="TableContents"/>
              <w:spacing w:lineRule="auto" w:line="300" w:before="0" w:after="0"/>
              <w:ind w:left="1440" w:right="0" w:hanging="720"/>
              <w:jc w:val="left"/>
              <w:rPr/>
            </w:pPr>
            <w:hyperlink w:anchor="statementofoperations">
              <w:r>
                <w:rPr>
                  <w:rStyle w:val="InternetLink"/>
                  <w:rFonts w:ascii="Times New Roman" w:hAnsi="Times New Roman"/>
                  <w:sz w:val="20"/>
                </w:rPr>
                <w:t>Consolidated Statements of Operations for the Three Years Ended December 31, 2006</w:t>
              </w:r>
            </w:hyperlink>
          </w:p>
        </w:tc>
        <w:tc>
          <w:tcPr>
            <w:tcW w:w="820" w:type="dxa"/>
            <w:tcBorders/>
            <w:shd w:fill="auto" w:val="clear"/>
            <w:vAlign w:val="bottom"/>
          </w:tcPr>
          <w:p>
            <w:pPr>
              <w:pStyle w:val="TableContents"/>
              <w:spacing w:lineRule="auto" w:line="300" w:before="0" w:after="0"/>
              <w:ind w:left="0" w:right="0" w:hanging="720"/>
              <w:jc w:val="right"/>
              <w:rPr/>
            </w:pPr>
            <w:hyperlink w:anchor="statementofoperations">
              <w:r>
                <w:rPr>
                  <w:rStyle w:val="InternetLink"/>
                  <w:rFonts w:ascii="Times New Roman" w:hAnsi="Times New Roman"/>
                  <w:sz w:val="20"/>
                </w:rPr>
                <w:t>73</w:t>
              </w:r>
            </w:hyperlink>
          </w:p>
        </w:tc>
      </w:tr>
      <w:tr>
        <w:trPr/>
        <w:tc>
          <w:tcPr>
            <w:tcW w:w="9385" w:type="dxa"/>
            <w:tcBorders/>
            <w:shd w:fill="auto" w:val="clear"/>
            <w:vAlign w:val="bottom"/>
          </w:tcPr>
          <w:p>
            <w:pPr>
              <w:pStyle w:val="TableContents"/>
              <w:spacing w:lineRule="auto" w:line="300" w:before="0" w:after="0"/>
              <w:ind w:left="1440" w:right="0" w:hanging="720"/>
              <w:jc w:val="left"/>
              <w:rPr/>
            </w:pPr>
            <w:hyperlink w:anchor="stockholderequity">
              <w:r>
                <w:rPr>
                  <w:rStyle w:val="InternetLink"/>
                  <w:rFonts w:ascii="Times New Roman" w:hAnsi="Times New Roman"/>
                  <w:sz w:val="20"/>
                </w:rPr>
                <w:t>Consolidated Statements of Stockholders’ Equity for the Three Years Ended December 31, 2006</w:t>
              </w:r>
            </w:hyperlink>
          </w:p>
        </w:tc>
        <w:tc>
          <w:tcPr>
            <w:tcW w:w="820" w:type="dxa"/>
            <w:tcBorders/>
            <w:shd w:fill="auto" w:val="clear"/>
            <w:vAlign w:val="bottom"/>
          </w:tcPr>
          <w:p>
            <w:pPr>
              <w:pStyle w:val="TableContents"/>
              <w:spacing w:lineRule="auto" w:line="300" w:before="0" w:after="0"/>
              <w:ind w:left="0" w:right="0" w:hanging="720"/>
              <w:jc w:val="right"/>
              <w:rPr/>
            </w:pPr>
            <w:hyperlink w:anchor="stockholderequity">
              <w:r>
                <w:rPr>
                  <w:rStyle w:val="InternetLink"/>
                  <w:rFonts w:ascii="Times New Roman" w:hAnsi="Times New Roman"/>
                  <w:sz w:val="20"/>
                </w:rPr>
                <w:t>74</w:t>
              </w:r>
            </w:hyperlink>
          </w:p>
        </w:tc>
      </w:tr>
      <w:tr>
        <w:trPr/>
        <w:tc>
          <w:tcPr>
            <w:tcW w:w="9385" w:type="dxa"/>
            <w:tcBorders/>
            <w:shd w:fill="auto" w:val="clear"/>
            <w:vAlign w:val="bottom"/>
          </w:tcPr>
          <w:p>
            <w:pPr>
              <w:pStyle w:val="TableContents"/>
              <w:spacing w:lineRule="auto" w:line="300" w:before="0" w:after="0"/>
              <w:ind w:left="1440" w:right="0" w:hanging="720"/>
              <w:jc w:val="left"/>
              <w:rPr/>
            </w:pPr>
            <w:hyperlink w:anchor="cashflow">
              <w:r>
                <w:rPr>
                  <w:rStyle w:val="InternetLink"/>
                  <w:rFonts w:ascii="Times New Roman" w:hAnsi="Times New Roman"/>
                  <w:sz w:val="20"/>
                </w:rPr>
                <w:t>Consolidated Statements of Cash Flows for the Three Years Ended December 31, 2006</w:t>
              </w:r>
            </w:hyperlink>
          </w:p>
        </w:tc>
        <w:tc>
          <w:tcPr>
            <w:tcW w:w="820" w:type="dxa"/>
            <w:tcBorders/>
            <w:shd w:fill="auto" w:val="clear"/>
            <w:vAlign w:val="bottom"/>
          </w:tcPr>
          <w:p>
            <w:pPr>
              <w:pStyle w:val="TableContents"/>
              <w:spacing w:lineRule="auto" w:line="300" w:before="0" w:after="0"/>
              <w:ind w:left="0" w:right="0" w:hanging="720"/>
              <w:jc w:val="right"/>
              <w:rPr/>
            </w:pPr>
            <w:hyperlink w:anchor="cashflow">
              <w:r>
                <w:rPr>
                  <w:rStyle w:val="InternetLink"/>
                  <w:rFonts w:ascii="Times New Roman" w:hAnsi="Times New Roman"/>
                  <w:sz w:val="20"/>
                </w:rPr>
                <w:t>75</w:t>
              </w:r>
            </w:hyperlink>
          </w:p>
        </w:tc>
      </w:tr>
      <w:tr>
        <w:trPr/>
        <w:tc>
          <w:tcPr>
            <w:tcW w:w="9385" w:type="dxa"/>
            <w:tcBorders/>
            <w:shd w:fill="auto" w:val="clear"/>
            <w:vAlign w:val="bottom"/>
          </w:tcPr>
          <w:p>
            <w:pPr>
              <w:pStyle w:val="TableContents"/>
              <w:spacing w:lineRule="auto" w:line="300" w:before="0" w:after="0"/>
              <w:ind w:left="1440" w:right="0" w:hanging="720"/>
              <w:jc w:val="left"/>
              <w:rPr/>
            </w:pPr>
            <w:hyperlink w:anchor="notes">
              <w:r>
                <w:rPr>
                  <w:rStyle w:val="InternetLink"/>
                  <w:rFonts w:ascii="Times New Roman" w:hAnsi="Times New Roman"/>
                  <w:sz w:val="20"/>
                </w:rPr>
                <w:t>Notes to Consolidated Financial Statements</w:t>
              </w:r>
            </w:hyperlink>
          </w:p>
        </w:tc>
        <w:tc>
          <w:tcPr>
            <w:tcW w:w="820" w:type="dxa"/>
            <w:tcBorders/>
            <w:shd w:fill="auto" w:val="clear"/>
            <w:vAlign w:val="bottom"/>
          </w:tcPr>
          <w:p>
            <w:pPr>
              <w:pStyle w:val="TableContents"/>
              <w:spacing w:lineRule="auto" w:line="300" w:before="0" w:after="0"/>
              <w:ind w:left="0" w:right="0" w:hanging="720"/>
              <w:jc w:val="right"/>
              <w:rPr/>
            </w:pPr>
            <w:hyperlink w:anchor="notes">
              <w:r>
                <w:rPr>
                  <w:rStyle w:val="InternetLink"/>
                  <w:rFonts w:ascii="Times New Roman" w:hAnsi="Times New Roman"/>
                  <w:sz w:val="20"/>
                </w:rPr>
                <w:t>76</w:t>
              </w:r>
            </w:hyperlink>
          </w:p>
        </w:tc>
      </w:tr>
      <w:tr>
        <w:trPr/>
        <w:tc>
          <w:tcPr>
            <w:tcW w:w="9385" w:type="dxa"/>
            <w:tcBorders/>
            <w:shd w:fill="auto" w:val="clear"/>
            <w:vAlign w:val="bottom"/>
          </w:tcPr>
          <w:p>
            <w:pPr>
              <w:pStyle w:val="TableContents"/>
              <w:spacing w:lineRule="auto" w:line="300" w:before="0" w:after="0"/>
              <w:ind w:left="1440" w:right="0" w:hanging="720"/>
              <w:jc w:val="left"/>
              <w:rPr/>
            </w:pPr>
            <w:hyperlink w:anchor="schedule2">
              <w:r>
                <w:rPr>
                  <w:rStyle w:val="InternetLink"/>
                  <w:rFonts w:ascii="Times New Roman" w:hAnsi="Times New Roman"/>
                  <w:sz w:val="20"/>
                </w:rPr>
                <w:t>Schedule II - Valuation and Qualifying Accounts</w:t>
              </w:r>
            </w:hyperlink>
          </w:p>
        </w:tc>
        <w:tc>
          <w:tcPr>
            <w:tcW w:w="820" w:type="dxa"/>
            <w:tcBorders/>
            <w:shd w:fill="auto" w:val="clear"/>
            <w:vAlign w:val="bottom"/>
          </w:tcPr>
          <w:p>
            <w:pPr>
              <w:pStyle w:val="TableContents"/>
              <w:spacing w:lineRule="auto" w:line="300" w:before="0" w:after="0"/>
              <w:ind w:left="0" w:right="0" w:hanging="720"/>
              <w:jc w:val="right"/>
              <w:rPr/>
            </w:pPr>
            <w:hyperlink w:anchor="schedule2">
              <w:r>
                <w:rPr>
                  <w:rStyle w:val="InternetLink"/>
                  <w:rFonts w:ascii="Times New Roman" w:hAnsi="Times New Roman"/>
                  <w:sz w:val="20"/>
                </w:rPr>
                <w:t>117</w:t>
              </w:r>
            </w:hyperlink>
          </w:p>
        </w:tc>
      </w:tr>
      <w:tr>
        <w:trPr/>
        <w:tc>
          <w:tcPr>
            <w:tcW w:w="9385" w:type="dxa"/>
            <w:tcBorders/>
            <w:shd w:fill="auto" w:val="clear"/>
            <w:vAlign w:val="bottom"/>
          </w:tcPr>
          <w:p>
            <w:pPr>
              <w:pStyle w:val="TableContents"/>
              <w:spacing w:lineRule="auto" w:line="300" w:before="0" w:after="0"/>
              <w:ind w:left="0" w:right="0" w:hanging="0"/>
              <w:jc w:val="both"/>
              <w:rPr/>
            </w:pPr>
            <w:r>
              <w:rPr/>
              <w:t> </w:t>
            </w:r>
          </w:p>
          <w:p>
            <w:pPr>
              <w:pStyle w:val="TableContents"/>
              <w:spacing w:lineRule="auto" w:line="300" w:before="0" w:after="0"/>
              <w:ind w:left="720" w:right="0" w:hanging="720"/>
              <w:jc w:val="left"/>
              <w:rPr/>
            </w:pPr>
            <w:hyperlink w:anchor="item9">
              <w:r>
                <w:rPr>
                  <w:rStyle w:val="InternetLink"/>
                  <w:rFonts w:ascii="Times New Roman" w:hAnsi="Times New Roman"/>
                  <w:sz w:val="20"/>
                </w:rPr>
                <w:t>Item 9 - Change in and Disagreements with Accountants on Accounting and Financial Disclosure</w:t>
              </w:r>
            </w:hyperlink>
          </w:p>
        </w:tc>
        <w:tc>
          <w:tcPr>
            <w:tcW w:w="820" w:type="dxa"/>
            <w:tcBorders/>
            <w:shd w:fill="auto" w:val="clear"/>
            <w:vAlign w:val="bottom"/>
          </w:tcPr>
          <w:p>
            <w:pPr>
              <w:pStyle w:val="TableContents"/>
              <w:spacing w:lineRule="auto" w:line="300" w:before="0" w:after="0"/>
              <w:ind w:left="0" w:right="0" w:hanging="0"/>
              <w:jc w:val="both"/>
              <w:rPr/>
            </w:pPr>
            <w:r>
              <w:rPr/>
              <w:t> </w:t>
            </w:r>
          </w:p>
          <w:p>
            <w:pPr>
              <w:pStyle w:val="TableContents"/>
              <w:spacing w:lineRule="auto" w:line="300" w:before="0" w:after="0"/>
              <w:ind w:left="0" w:right="0" w:hanging="720"/>
              <w:jc w:val="right"/>
              <w:rPr/>
            </w:pPr>
            <w:hyperlink w:anchor="item9">
              <w:r>
                <w:rPr>
                  <w:rStyle w:val="InternetLink"/>
                  <w:rFonts w:ascii="Times New Roman" w:hAnsi="Times New Roman"/>
                  <w:sz w:val="20"/>
                </w:rPr>
                <w:t>118</w:t>
              </w:r>
            </w:hyperlink>
          </w:p>
        </w:tc>
      </w:tr>
      <w:tr>
        <w:trPr/>
        <w:tc>
          <w:tcPr>
            <w:tcW w:w="9385" w:type="dxa"/>
            <w:tcBorders/>
            <w:shd w:fill="auto" w:val="clear"/>
            <w:vAlign w:val="bottom"/>
          </w:tcPr>
          <w:p>
            <w:pPr>
              <w:pStyle w:val="TableContents"/>
              <w:spacing w:lineRule="auto" w:line="300" w:before="0" w:after="0"/>
              <w:ind w:left="0" w:right="0" w:hanging="0"/>
              <w:jc w:val="both"/>
              <w:rPr/>
            </w:pPr>
            <w:r>
              <w:rPr/>
              <w:t> </w:t>
            </w:r>
          </w:p>
          <w:p>
            <w:pPr>
              <w:pStyle w:val="TableContents"/>
              <w:spacing w:lineRule="auto" w:line="300" w:before="0" w:after="0"/>
              <w:ind w:left="720" w:right="0" w:hanging="720"/>
              <w:jc w:val="left"/>
              <w:rPr/>
            </w:pPr>
            <w:hyperlink w:anchor="item9a">
              <w:r>
                <w:rPr>
                  <w:rStyle w:val="InternetLink"/>
                  <w:rFonts w:ascii="Times New Roman" w:hAnsi="Times New Roman"/>
                  <w:sz w:val="20"/>
                </w:rPr>
                <w:t>Item 9A — Controls and Procedures</w:t>
              </w:r>
            </w:hyperlink>
          </w:p>
        </w:tc>
        <w:tc>
          <w:tcPr>
            <w:tcW w:w="820" w:type="dxa"/>
            <w:tcBorders/>
            <w:shd w:fill="auto" w:val="clear"/>
            <w:vAlign w:val="bottom"/>
          </w:tcPr>
          <w:p>
            <w:pPr>
              <w:pStyle w:val="TableContents"/>
              <w:spacing w:lineRule="auto" w:line="300" w:before="0" w:after="0"/>
              <w:ind w:left="0" w:right="0" w:hanging="0"/>
              <w:jc w:val="both"/>
              <w:rPr/>
            </w:pPr>
            <w:r>
              <w:rPr/>
              <w:t> </w:t>
            </w:r>
          </w:p>
          <w:p>
            <w:pPr>
              <w:pStyle w:val="TableContents"/>
              <w:spacing w:lineRule="auto" w:line="300" w:before="0" w:after="0"/>
              <w:ind w:left="0" w:right="0" w:hanging="720"/>
              <w:jc w:val="right"/>
              <w:rPr/>
            </w:pPr>
            <w:hyperlink w:anchor="item9a">
              <w:r>
                <w:rPr>
                  <w:rStyle w:val="InternetLink"/>
                  <w:rFonts w:ascii="Times New Roman" w:hAnsi="Times New Roman"/>
                  <w:sz w:val="20"/>
                </w:rPr>
                <w:t>119</w:t>
              </w:r>
            </w:hyperlink>
          </w:p>
        </w:tc>
      </w:tr>
      <w:tr>
        <w:trPr/>
        <w:tc>
          <w:tcPr>
            <w:tcW w:w="9385" w:type="dxa"/>
            <w:tcBorders/>
            <w:shd w:fill="auto" w:val="clear"/>
            <w:vAlign w:val="bottom"/>
          </w:tcPr>
          <w:p>
            <w:pPr>
              <w:pStyle w:val="TableContents"/>
              <w:spacing w:lineRule="auto" w:line="300" w:before="0" w:after="0"/>
              <w:ind w:left="0" w:right="0" w:hanging="0"/>
              <w:jc w:val="both"/>
              <w:rPr/>
            </w:pPr>
            <w:r>
              <w:rPr/>
              <w:t> </w:t>
            </w:r>
          </w:p>
          <w:p>
            <w:pPr>
              <w:pStyle w:val="TableContents"/>
              <w:spacing w:lineRule="auto" w:line="300" w:before="0" w:after="0"/>
              <w:ind w:left="720" w:right="0" w:hanging="720"/>
              <w:jc w:val="left"/>
              <w:rPr/>
            </w:pPr>
            <w:hyperlink w:anchor="part3">
              <w:r>
                <w:rPr>
                  <w:rStyle w:val="StrongEmphasis"/>
                  <w:rFonts w:ascii="Times New Roman" w:hAnsi="Times New Roman"/>
                  <w:sz w:val="20"/>
                </w:rPr>
                <w:t>PART III</w:t>
              </w:r>
            </w:hyperlink>
          </w:p>
        </w:tc>
        <w:tc>
          <w:tcPr>
            <w:tcW w:w="820" w:type="dxa"/>
            <w:tcBorders/>
            <w:shd w:fill="auto" w:val="clear"/>
            <w:vAlign w:val="bottom"/>
          </w:tcPr>
          <w:p>
            <w:pPr>
              <w:pStyle w:val="TableContents"/>
              <w:spacing w:lineRule="auto" w:line="300" w:before="0" w:after="0"/>
              <w:ind w:left="0" w:right="0" w:hanging="0"/>
              <w:jc w:val="both"/>
              <w:rPr/>
            </w:pPr>
            <w:r>
              <w:rPr/>
              <w:t> </w:t>
            </w:r>
          </w:p>
          <w:p>
            <w:pPr>
              <w:pStyle w:val="TableContents"/>
              <w:spacing w:lineRule="auto" w:line="300" w:before="0" w:after="0"/>
              <w:ind w:left="0" w:right="0" w:hanging="720"/>
              <w:jc w:val="right"/>
              <w:rPr/>
            </w:pPr>
            <w:hyperlink w:anchor="part3">
              <w:r>
                <w:rPr>
                  <w:rStyle w:val="StrongEmphasis"/>
                  <w:rFonts w:ascii="Times New Roman" w:hAnsi="Times New Roman"/>
                  <w:sz w:val="20"/>
                </w:rPr>
                <w:t>121</w:t>
              </w:r>
            </w:hyperlink>
          </w:p>
        </w:tc>
      </w:tr>
      <w:tr>
        <w:trPr/>
        <w:tc>
          <w:tcPr>
            <w:tcW w:w="9385" w:type="dxa"/>
            <w:tcBorders/>
            <w:shd w:fill="auto" w:val="clear"/>
            <w:vAlign w:val="bottom"/>
          </w:tcPr>
          <w:p>
            <w:pPr>
              <w:pStyle w:val="TableContents"/>
              <w:spacing w:lineRule="auto" w:line="300" w:before="0" w:after="0"/>
              <w:ind w:left="0" w:right="0" w:hanging="0"/>
              <w:jc w:val="both"/>
              <w:rPr/>
            </w:pPr>
            <w:r>
              <w:rPr/>
              <w:t> </w:t>
            </w:r>
          </w:p>
          <w:p>
            <w:pPr>
              <w:pStyle w:val="TableContents"/>
              <w:spacing w:lineRule="auto" w:line="300" w:before="0" w:after="0"/>
              <w:ind w:left="720" w:right="0" w:hanging="720"/>
              <w:jc w:val="left"/>
              <w:rPr/>
            </w:pPr>
            <w:hyperlink w:anchor="part4">
              <w:r>
                <w:rPr>
                  <w:rStyle w:val="StrongEmphasis"/>
                  <w:rFonts w:ascii="Times New Roman" w:hAnsi="Times New Roman"/>
                  <w:sz w:val="20"/>
                </w:rPr>
                <w:t>PART IV</w:t>
              </w:r>
            </w:hyperlink>
          </w:p>
        </w:tc>
        <w:tc>
          <w:tcPr>
            <w:tcW w:w="820" w:type="dxa"/>
            <w:tcBorders/>
            <w:shd w:fill="auto" w:val="clear"/>
            <w:vAlign w:val="bottom"/>
          </w:tcPr>
          <w:p>
            <w:pPr>
              <w:pStyle w:val="TableContents"/>
              <w:spacing w:lineRule="auto" w:line="300" w:before="0" w:after="0"/>
              <w:ind w:left="0" w:right="0" w:hanging="0"/>
              <w:jc w:val="both"/>
              <w:rPr/>
            </w:pPr>
            <w:r>
              <w:rPr/>
              <w:t> </w:t>
            </w:r>
          </w:p>
          <w:p>
            <w:pPr>
              <w:pStyle w:val="TableContents"/>
              <w:spacing w:lineRule="auto" w:line="300" w:before="0" w:after="0"/>
              <w:ind w:left="0" w:right="0" w:hanging="720"/>
              <w:jc w:val="right"/>
              <w:rPr/>
            </w:pPr>
            <w:hyperlink w:anchor="part4">
              <w:r>
                <w:rPr>
                  <w:rStyle w:val="StrongEmphasis"/>
                  <w:rFonts w:ascii="Times New Roman" w:hAnsi="Times New Roman"/>
                  <w:sz w:val="20"/>
                </w:rPr>
                <w:t>122</w:t>
              </w:r>
            </w:hyperlink>
          </w:p>
        </w:tc>
      </w:tr>
      <w:tr>
        <w:trPr/>
        <w:tc>
          <w:tcPr>
            <w:tcW w:w="9385" w:type="dxa"/>
            <w:tcBorders/>
            <w:shd w:fill="auto" w:val="clear"/>
            <w:vAlign w:val="bottom"/>
          </w:tcPr>
          <w:p>
            <w:pPr>
              <w:pStyle w:val="TableContents"/>
              <w:spacing w:lineRule="auto" w:line="300" w:before="0" w:after="0"/>
              <w:ind w:left="0" w:right="0" w:hanging="0"/>
              <w:jc w:val="both"/>
              <w:rPr/>
            </w:pPr>
            <w:r>
              <w:rPr/>
              <w:t> </w:t>
            </w:r>
          </w:p>
          <w:p>
            <w:pPr>
              <w:pStyle w:val="TableContents"/>
              <w:spacing w:lineRule="auto" w:line="300" w:before="0" w:after="0"/>
              <w:ind w:left="720" w:right="0" w:hanging="720"/>
              <w:jc w:val="left"/>
              <w:rPr/>
            </w:pPr>
            <w:hyperlink w:anchor="part4">
              <w:r>
                <w:rPr>
                  <w:rStyle w:val="InternetLink"/>
                  <w:rFonts w:ascii="Times New Roman" w:hAnsi="Times New Roman"/>
                  <w:sz w:val="20"/>
                </w:rPr>
                <w:t>Item 15 - Exhibits, Financial Statement Schedule, and Reports on Form 8-K</w:t>
              </w:r>
            </w:hyperlink>
          </w:p>
        </w:tc>
        <w:tc>
          <w:tcPr>
            <w:tcW w:w="820" w:type="dxa"/>
            <w:tcBorders/>
            <w:shd w:fill="auto" w:val="clear"/>
            <w:vAlign w:val="bottom"/>
          </w:tcPr>
          <w:p>
            <w:pPr>
              <w:pStyle w:val="TableContents"/>
              <w:spacing w:lineRule="auto" w:line="300" w:before="0" w:after="0"/>
              <w:ind w:left="0" w:right="0" w:hanging="0"/>
              <w:jc w:val="both"/>
              <w:rPr/>
            </w:pPr>
            <w:r>
              <w:rPr/>
              <w:t> </w:t>
            </w:r>
          </w:p>
          <w:p>
            <w:pPr>
              <w:pStyle w:val="TableContents"/>
              <w:spacing w:lineRule="auto" w:line="300" w:before="0" w:after="0"/>
              <w:ind w:left="0" w:right="0" w:hanging="720"/>
              <w:jc w:val="right"/>
              <w:rPr/>
            </w:pPr>
            <w:hyperlink w:anchor="part4">
              <w:r>
                <w:rPr>
                  <w:rStyle w:val="InternetLink"/>
                  <w:rFonts w:ascii="Times New Roman" w:hAnsi="Times New Roman"/>
                  <w:sz w:val="20"/>
                </w:rPr>
                <w:t>122</w:t>
              </w:r>
            </w:hyperlink>
          </w:p>
        </w:tc>
      </w:tr>
      <w:tr>
        <w:trPr/>
        <w:tc>
          <w:tcPr>
            <w:tcW w:w="9385" w:type="dxa"/>
            <w:tcBorders/>
            <w:shd w:fill="auto" w:val="clear"/>
            <w:vAlign w:val="bottom"/>
          </w:tcPr>
          <w:p>
            <w:pPr>
              <w:pStyle w:val="TableContents"/>
              <w:spacing w:lineRule="auto" w:line="300" w:before="0" w:after="0"/>
              <w:ind w:left="0" w:right="0" w:hanging="0"/>
              <w:jc w:val="both"/>
              <w:rPr/>
            </w:pPr>
            <w:r>
              <w:rPr/>
              <w:t> </w:t>
            </w:r>
          </w:p>
          <w:p>
            <w:pPr>
              <w:pStyle w:val="TableContents"/>
              <w:spacing w:lineRule="auto" w:line="300" w:before="0" w:after="0"/>
              <w:ind w:left="720" w:right="0" w:hanging="720"/>
              <w:jc w:val="left"/>
              <w:rPr/>
            </w:pPr>
            <w:hyperlink w:anchor="signatures">
              <w:r>
                <w:rPr>
                  <w:rStyle w:val="StrongEmphasis"/>
                  <w:rFonts w:ascii="Times New Roman" w:hAnsi="Times New Roman"/>
                  <w:sz w:val="20"/>
                </w:rPr>
                <w:t>SIGNATURES</w:t>
              </w:r>
            </w:hyperlink>
          </w:p>
        </w:tc>
        <w:tc>
          <w:tcPr>
            <w:tcW w:w="820" w:type="dxa"/>
            <w:tcBorders/>
            <w:shd w:fill="auto" w:val="clear"/>
            <w:vAlign w:val="bottom"/>
          </w:tcPr>
          <w:p>
            <w:pPr>
              <w:pStyle w:val="TableContents"/>
              <w:spacing w:lineRule="auto" w:line="300" w:before="0" w:after="0"/>
              <w:ind w:left="0" w:right="0" w:hanging="0"/>
              <w:jc w:val="both"/>
              <w:rPr/>
            </w:pPr>
            <w:r>
              <w:rPr/>
              <w:t> </w:t>
            </w:r>
          </w:p>
          <w:p>
            <w:pPr>
              <w:pStyle w:val="TableContents"/>
              <w:spacing w:lineRule="auto" w:line="300" w:before="0" w:after="0"/>
              <w:ind w:left="0" w:right="0" w:hanging="720"/>
              <w:jc w:val="right"/>
              <w:rPr/>
            </w:pPr>
            <w:hyperlink w:anchor="signatures">
              <w:r>
                <w:rPr>
                  <w:rStyle w:val="StrongEmphasis"/>
                  <w:rFonts w:ascii="Times New Roman" w:hAnsi="Times New Roman"/>
                  <w:sz w:val="20"/>
                </w:rPr>
                <w:t>141</w:t>
              </w:r>
            </w:hyperlink>
          </w:p>
        </w:tc>
      </w:tr>
      <w:tr>
        <w:trPr/>
        <w:tc>
          <w:tcPr>
            <w:tcW w:w="9385" w:type="dxa"/>
            <w:tcBorders/>
            <w:shd w:fill="auto" w:val="clear"/>
            <w:vAlign w:val="bottom"/>
          </w:tcPr>
          <w:p>
            <w:pPr>
              <w:pStyle w:val="TableContents"/>
              <w:spacing w:lineRule="auto" w:line="300" w:before="0" w:after="0"/>
              <w:ind w:left="0" w:right="0" w:hanging="0"/>
              <w:jc w:val="both"/>
              <w:rPr/>
            </w:pPr>
            <w:r>
              <w:rPr/>
              <w:t> </w:t>
            </w:r>
          </w:p>
        </w:tc>
        <w:tc>
          <w:tcPr>
            <w:tcW w:w="820" w:type="dxa"/>
            <w:tcBorders/>
            <w:shd w:fill="auto" w:val="clear"/>
            <w:vAlign w:val="bottom"/>
          </w:tcPr>
          <w:p>
            <w:pPr>
              <w:pStyle w:val="TableContents"/>
              <w:spacing w:lineRule="auto" w:line="300" w:before="0" w:after="0"/>
              <w:ind w:left="0" w:right="0" w:hanging="0"/>
              <w:jc w:val="both"/>
              <w:rPr/>
            </w:pPr>
            <w:r>
              <w:rPr/>
              <w:t> </w:t>
            </w:r>
          </w:p>
          <w:p>
            <w:pPr>
              <w:pStyle w:val="TableContents"/>
              <w:spacing w:lineRule="auto" w:line="300" w:before="0" w:after="0"/>
              <w:ind w:left="0" w:right="0" w:hanging="720"/>
              <w:jc w:val="right"/>
              <w:rPr/>
            </w:pPr>
            <w:r>
              <w:rPr/>
              <w:t> </w:t>
            </w:r>
          </w:p>
        </w:tc>
      </w:tr>
    </w:tbl>
    <w:p>
      <w:pPr>
        <w:pStyle w:val="TextBody"/>
        <w:spacing w:before="0" w:after="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7" w:name="PGBRK"/>
      <w:bookmarkStart w:id="18" w:name="PGBRK"/>
      <w:bookmarkEnd w:id="1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0"/>
        <w:ind w:left="0" w:right="0" w:hanging="0"/>
        <w:jc w:val="center"/>
        <w:rPr/>
      </w:pPr>
      <w:r>
        <w:rPr/>
      </w:r>
      <w:bookmarkStart w:id="19" w:name="FTR"/>
      <w:bookmarkStart w:id="20" w:name="FTR"/>
      <w:bookmarkEnd w:id="2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 w:name="GLFTR"/>
      <w:bookmarkStart w:id="22" w:name="GLFTR"/>
      <w:bookmarkEnd w:id="22"/>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12" w:space="0" w:color="808080"/>
        </w:pBdr>
        <w:jc w:val="center"/>
        <w:rPr/>
      </w:pPr>
      <w:r>
        <w:rPr/>
      </w:r>
      <w:bookmarkStart w:id="23" w:name="PN"/>
      <w:bookmarkStart w:id="24" w:name="PN"/>
      <w:bookmarkEnd w:id="2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5" w:name="HDR"/>
      <w:bookmarkStart w:id="26" w:name="HDR"/>
      <w:bookmarkEnd w:id="2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27" w:name="GLHDR"/>
        <w:bookmarkEnd w:id="27"/>
        <w:r>
          <w:rPr>
            <w:rStyle w:val="Emphasis"/>
            <w:rFonts w:ascii="Times New Roman" w:hAnsi="Times New Roman"/>
            <w:color w:val="000000"/>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pStyle w:val="TextBody"/>
        <w:spacing w:lineRule="auto" w:line="300" w:before="0" w:after="0"/>
        <w:ind w:left="0" w:right="0" w:hanging="0"/>
        <w:jc w:val="center"/>
        <w:rPr/>
      </w:pPr>
      <w:bookmarkStart w:id="28" w:name="part1"/>
      <w:bookmarkEnd w:id="28"/>
      <w:r>
        <w:rPr>
          <w:rStyle w:val="StrongEmphasis"/>
          <w:rFonts w:ascii="Times New Roman" w:hAnsi="Times New Roman"/>
          <w:sz w:val="20"/>
          <w:u w:val="single"/>
        </w:rPr>
        <w:t>PART I</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pPr>
      <w:r>
        <w:rPr/>
      </w:r>
    </w:p>
    <w:p>
      <w:pPr>
        <w:pStyle w:val="TextBody"/>
        <w:spacing w:lineRule="auto" w:line="300" w:before="0" w:after="0"/>
        <w:ind w:left="0" w:right="0" w:hanging="0"/>
        <w:jc w:val="center"/>
        <w:rPr/>
      </w:pPr>
      <w:r>
        <w:rPr>
          <w:rStyle w:val="StrongEmphasis"/>
          <w:rFonts w:ascii="Times New Roman" w:hAnsi="Times New Roman"/>
          <w:sz w:val="20"/>
          <w:u w:val="single"/>
        </w:rPr>
        <w:t>Item 1 - Our Business</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pPr>
      <w:r>
        <w:rPr/>
      </w:r>
    </w:p>
    <w:p>
      <w:pPr>
        <w:pStyle w:val="TextBody"/>
        <w:spacing w:lineRule="auto" w:line="300" w:before="0" w:after="0"/>
        <w:ind w:left="0" w:right="0" w:hanging="0"/>
        <w:jc w:val="both"/>
        <w:rPr/>
      </w:pPr>
      <w:r>
        <w:rPr>
          <w:rStyle w:val="StrongEmphasis"/>
          <w:rFonts w:ascii="Times New Roman" w:hAnsi="Times New Roman"/>
          <w:sz w:val="20"/>
          <w:u w:val="single"/>
        </w:rPr>
        <w:t>General Description of Our Business</w:t>
      </w:r>
    </w:p>
    <w:p>
      <w:pPr>
        <w:pStyle w:val="TextBody"/>
        <w:spacing w:lineRule="auto" w:line="300" w:before="0" w:after="0"/>
        <w:ind w:left="0" w:right="0" w:hanging="0"/>
        <w:jc w:val="both"/>
        <w:rPr/>
      </w:pPr>
      <w:r>
        <w:rPr/>
      </w:r>
    </w:p>
    <w:p>
      <w:pPr>
        <w:pStyle w:val="TextBody"/>
        <w:spacing w:lineRule="auto" w:line="300" w:before="0" w:after="0"/>
        <w:ind w:left="720" w:right="0" w:hanging="0"/>
        <w:jc w:val="both"/>
        <w:rPr/>
      </w:pPr>
      <w:bookmarkStart w:id="29" w:name="TAB17"/>
      <w:bookmarkEnd w:id="29"/>
      <w:r>
        <w:rPr>
          <w:rFonts w:ascii="Times New Roman" w:hAnsi="Times New Roman"/>
          <w:sz w:val="20"/>
        </w:rPr>
        <w:t xml:space="preserve">Reading International, Inc., a Nevada corporation (“RDI”), was incorporated in 1999 incident to our reincorporation in Nevada. However, we trace our corporate roots back to the Reading Railroad and its corporate predecessors, first incorporated in 1833. Our Class A Nonvoting Common Stock (“Class A Stock”) and Class B Voting Common Stock (“Class B Stock”) are listed for trading on the American Stock Exchange under the symbols RDI and RDI.B. Our principal executive offices are located at 500 Citadel Drive, Suite 300, Commerce, California 90040. Our general telephone number is (213) 235-2240. Our website can be found at </w:t>
      </w:r>
      <w:r>
        <w:rPr>
          <w:rFonts w:ascii="Times New Roman" w:hAnsi="Times New Roman"/>
          <w:sz w:val="20"/>
          <w:u w:val="single"/>
        </w:rPr>
        <w:t>www.readingrdi.com</w:t>
      </w:r>
      <w:r>
        <w:rPr>
          <w:rFonts w:ascii="Times New Roman" w:hAnsi="Times New Roman"/>
          <w:sz w:val="20"/>
        </w:rPr>
        <w:t>. In this Annual Report, we from time to time use terms such as the “Company,” “Reading” and “we,” “us,” or “our” to refer collectively to RDI and our various consolidated subsidiaries and corporate predecessors.</w:t>
      </w:r>
    </w:p>
    <w:p>
      <w:pPr>
        <w:pStyle w:val="TextBody"/>
        <w:spacing w:before="0" w:after="0"/>
        <w:rPr/>
      </w:pPr>
      <w:r>
        <w:rPr/>
        <w:t> </w:t>
      </w:r>
    </w:p>
    <w:p>
      <w:pPr>
        <w:pStyle w:val="TextBody"/>
        <w:spacing w:lineRule="auto" w:line="300" w:before="0" w:after="0"/>
        <w:ind w:left="720" w:right="0" w:hanging="0"/>
        <w:jc w:val="both"/>
        <w:rPr/>
      </w:pPr>
      <w:bookmarkStart w:id="30" w:name="TAB18"/>
      <w:bookmarkEnd w:id="30"/>
      <w:r>
        <w:rPr>
          <w:rStyle w:val="StrongEmphasis"/>
          <w:rFonts w:ascii="Times New Roman" w:hAnsi="Times New Roman"/>
          <w:sz w:val="20"/>
        </w:rPr>
        <w:t>Our businesses consist primarily of:</w:t>
      </w:r>
    </w:p>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31" w:name="hangingindent2"/>
      <w:bookmarkStart w:id="32" w:name="hangingindent2"/>
      <w:bookmarkEnd w:id="32"/>
    </w:p>
    <w:tbl>
      <w:tblPr>
        <w:tblW w:w="5000" w:type="pct"/>
        <w:jc w:val="center"/>
        <w:tblInd w:w="0" w:type="dxa"/>
        <w:tblCellMar>
          <w:top w:w="0" w:type="dxa"/>
          <w:left w:w="0" w:type="dxa"/>
          <w:bottom w:w="0" w:type="dxa"/>
          <w:right w:w="0" w:type="dxa"/>
        </w:tblCellMar>
      </w:tblPr>
      <w:tblGrid>
        <w:gridCol w:w="62"/>
        <w:gridCol w:w="99"/>
        <w:gridCol w:w="10044"/>
      </w:tblGrid>
      <w:tr>
        <w:trPr/>
        <w:tc>
          <w:tcPr>
            <w:tcW w:w="62" w:type="dxa"/>
            <w:tcBorders/>
            <w:shd w:fill="auto" w:val="clear"/>
          </w:tcPr>
          <w:p>
            <w:pPr>
              <w:pStyle w:val="TableContents"/>
              <w:spacing w:before="0" w:after="283"/>
              <w:rPr/>
            </w:pPr>
            <w:r>
              <w:rPr/>
              <w:t> </w:t>
            </w:r>
          </w:p>
        </w:tc>
        <w:tc>
          <w:tcPr>
            <w:tcW w:w="99"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4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development, ownership and operation of multiplex cinemas in the United States, Australia, and New Zealand; and</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33" w:name="hangingindent3"/>
      <w:bookmarkStart w:id="34" w:name="hangingindent3"/>
      <w:bookmarkEnd w:id="34"/>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the development, ownership and operation of retail and commercial real estate in Australia, New Zealand and the United States, including entertainment-themed retail centers (“ETRCs”) in Australia and New Zealand and live theater assets in Manhattan and Chicago in the United States. </w:t>
            </w:r>
          </w:p>
        </w:tc>
      </w:tr>
    </w:tbl>
    <w:p>
      <w:pPr>
        <w:pStyle w:val="TextBody"/>
        <w:spacing w:lineRule="auto" w:line="300" w:before="0" w:after="0"/>
        <w:ind w:left="1440" w:right="0" w:hanging="1440"/>
        <w:jc w:val="both"/>
        <w:rPr/>
      </w:pPr>
      <w:r>
        <w:rPr/>
      </w:r>
    </w:p>
    <w:p>
      <w:pPr>
        <w:pStyle w:val="TextBody"/>
        <w:spacing w:lineRule="auto" w:line="300" w:before="0" w:after="0"/>
        <w:ind w:left="720" w:right="0" w:hanging="0"/>
        <w:jc w:val="both"/>
        <w:rPr>
          <w:rFonts w:ascii="Times New Roman" w:hAnsi="Times New Roman"/>
          <w:sz w:val="20"/>
        </w:rPr>
      </w:pPr>
      <w:bookmarkStart w:id="35" w:name="TAB19"/>
      <w:bookmarkEnd w:id="35"/>
      <w:r>
        <w:rPr>
          <w:rFonts w:ascii="Times New Roman" w:hAnsi="Times New Roman"/>
          <w:sz w:val="20"/>
        </w:rPr>
        <w:t xml:space="preserve">While we do not believe the cinema exhibition business to be a growth business at this time, we do believe it to be a business that will likely continue to generate fairly consistent cash flows in the years ahead. This is based on our belief that people will continue to spend some reasonable portion of their entertainment dollar on entertainment outside of the home and that, when compared to other forms of outside the home entertainment, movies continue to be a popular and competitively priced option. However, since we believe the cinema exhibition business to be a mature business with most markets either adequately screened or over-screened, we see our future asset growth coming more from our real estate development activities than from the acquisition or development of additional cinemas. While we intend to be opportunistic in adding to our existing cinema portfolio, we believe it likely that, going forward, we will be reinvesting our free cash flow more in our general real estate development activities than in the acquisition or development of additional cinemas. Over time, we anticipate that our cinema operations will become increasingly a source of cash flow to support our real estate oriented activities, rather than a focus of growth, and that our real estate activities will become the principal thrust of our business. </w:t>
      </w:r>
    </w:p>
    <w:p>
      <w:pPr>
        <w:pStyle w:val="TextBody"/>
        <w:spacing w:lineRule="auto" w:line="300" w:before="0" w:after="0"/>
        <w:ind w:left="0" w:right="0" w:hanging="0"/>
        <w:jc w:val="both"/>
        <w:rPr/>
      </w:pPr>
      <w:r>
        <w:rPr/>
      </w:r>
    </w:p>
    <w:p>
      <w:pPr>
        <w:pStyle w:val="TextBody"/>
        <w:spacing w:lineRule="auto" w:line="300" w:before="0" w:after="0"/>
        <w:ind w:left="720" w:right="0" w:hanging="0"/>
        <w:jc w:val="both"/>
        <w:rPr>
          <w:rFonts w:ascii="Times New Roman" w:hAnsi="Times New Roman"/>
          <w:sz w:val="20"/>
        </w:rPr>
      </w:pPr>
      <w:bookmarkStart w:id="36" w:name="TAB110"/>
      <w:bookmarkEnd w:id="36"/>
      <w:r>
        <w:rPr>
          <w:rFonts w:ascii="Times New Roman" w:hAnsi="Times New Roman"/>
          <w:sz w:val="20"/>
        </w:rPr>
        <w:t>In short, while we do have operating company attributes, we see ourselves principally as a hard asset company and intend to add to shareholder value by building the value of our portfolio of tangible assets.</w:t>
      </w:r>
    </w:p>
    <w:p>
      <w:pPr>
        <w:pStyle w:val="TextBody"/>
        <w:spacing w:lineRule="auto" w:line="300" w:before="0" w:after="0"/>
        <w:ind w:left="0" w:right="0" w:hanging="0"/>
        <w:jc w:val="both"/>
        <w:rPr/>
      </w:pPr>
      <w:r>
        <w:rPr/>
      </w:r>
    </w:p>
    <w:p>
      <w:pPr>
        <w:pStyle w:val="TextBody"/>
        <w:spacing w:lineRule="auto" w:line="300" w:before="0" w:after="0"/>
        <w:ind w:left="720" w:right="0" w:hanging="0"/>
        <w:jc w:val="both"/>
        <w:rPr/>
      </w:pPr>
      <w:bookmarkStart w:id="37" w:name="TAB111"/>
      <w:bookmarkEnd w:id="37"/>
      <w:r>
        <w:rPr>
          <w:rStyle w:val="StrongEmphasis"/>
          <w:rFonts w:ascii="Times New Roman" w:hAnsi="Times New Roman"/>
          <w:sz w:val="20"/>
        </w:rPr>
        <w:t>Consistent with this business philosophy, during 2006, we have, with respect to our cinema assets and operations:</w:t>
      </w:r>
    </w:p>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38" w:name="hangingindent4"/>
      <w:bookmarkStart w:id="39" w:name="hangingindent4"/>
      <w:bookmarkEnd w:id="39"/>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worked to consolidate our joint venture cinema holdings and cut down our operating complexity by selling to our joint venture partner (Everard Entertainment) our 50% joint venture interests in three mainstream cinemas (aggregating 13 screens) operated under the “Berkeley” name in suburban Auckland, New Zealand, and acquired from Everard Entertainment its 50% interest in our joint venture cinema (8 screens) in Christchurch, New Zealand. As a result of these transactions, we only have one joint venture cinema remaining with Everard Entertainment; </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40" w:name="hangingindent5"/>
      <w:bookmarkStart w:id="41" w:name="hangingindent5"/>
      <w:bookmarkEnd w:id="41"/>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entered into an agreement to acquire the long-term ground lease interest underlying our Tower Theater in Sacramento, California (the principal art cinema in Sacramento); refurbished, expanded and reopened the Rialto art cinema in Auckland, in which we have a 50% unconsolidated joint venture interest with SkyCity Leisure Ltd. This Rialto cinema is the premier art house in New Zealand;</w:t>
            </w:r>
          </w:p>
        </w:tc>
      </w:tr>
    </w:tbl>
    <w:p>
      <w:pPr>
        <w:pStyle w:val="TextBody"/>
        <w:spacing w:before="0" w:after="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2" w:name="PGBRK1"/>
      <w:bookmarkStart w:id="43" w:name="PGBRK1"/>
      <w:bookmarkEnd w:id="4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4" w:name="FTR1"/>
      <w:bookmarkStart w:id="45" w:name="FTR1"/>
      <w:bookmarkEnd w:id="4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6" w:name="GLFTR1"/>
      <w:bookmarkStart w:id="47" w:name="GLFTR1"/>
      <w:bookmarkEnd w:id="4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48" w:name="PN1"/>
      <w:bookmarkEnd w:id="48"/>
      <w:r>
        <w:rPr>
          <w:rFonts w:ascii="Times New Roman" w:hAnsi="Times New Roman"/>
          <w:sz w:val="16"/>
        </w:rPr>
        <w:t>-1-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9" w:name="HDR1"/>
      <w:bookmarkStart w:id="50" w:name="HDR1"/>
      <w:bookmarkEnd w:id="5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51" w:name="GLHDR1"/>
        <w:bookmarkEnd w:id="51"/>
        <w:r>
          <w:rPr>
            <w:rStyle w:val="Emphasis"/>
            <w:rFonts w:ascii="Times New Roman" w:hAnsi="Times New Roman"/>
            <w:color w:val="000000"/>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pStyle w:val="Normal"/>
        <w:spacing w:before="0" w:after="0"/>
        <w:ind w:left="0" w:right="0" w:hanging="0"/>
        <w:rPr>
          <w:sz w:val="4"/>
          <w:szCs w:val="4"/>
        </w:rPr>
      </w:pPr>
      <w:r>
        <w:rPr>
          <w:sz w:val="4"/>
          <w:szCs w:val="4"/>
        </w:rPr>
      </w:r>
      <w:bookmarkStart w:id="52" w:name="hangingindent6"/>
      <w:bookmarkStart w:id="53" w:name="hangingindent6"/>
      <w:bookmarkEnd w:id="53"/>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283"/>
              <w:rPr>
                <w:sz w:val="20"/>
              </w:rPr>
            </w:pPr>
            <w:r>
              <w:rPr>
                <w:sz w:val="20"/>
              </w:rPr>
              <w:t>entered into agreements for lease with respect to two new 8-screen cinemas currently under development in regional shopping centers located in fast growing residential areas in Australia. It is anticipated that these cinemas will open in the first quarters of 2008 and 2010. One of these agreements to lease was executed in 2006 and the other in February 2007; and</w:t>
            </w:r>
          </w:p>
        </w:tc>
      </w:tr>
    </w:tbl>
    <w:p>
      <w:pPr>
        <w:pStyle w:val="TextBody"/>
        <w:spacing w:lineRule="auto" w:line="300" w:before="0" w:after="0"/>
        <w:jc w:val="both"/>
        <w:rPr/>
      </w:pPr>
      <w:r>
        <w:rPr/>
        <w:t> </w:t>
      </w:r>
    </w:p>
    <w:p>
      <w:pPr>
        <w:pStyle w:val="Normal"/>
        <w:spacing w:before="0" w:after="0"/>
        <w:rPr>
          <w:sz w:val="4"/>
          <w:szCs w:val="4"/>
        </w:rPr>
      </w:pPr>
      <w:r>
        <w:rPr>
          <w:sz w:val="4"/>
          <w:szCs w:val="4"/>
        </w:rPr>
      </w:r>
      <w:bookmarkStart w:id="54" w:name="hangingindent7"/>
      <w:bookmarkStart w:id="55" w:name="hangingindent7"/>
      <w:bookmarkEnd w:id="55"/>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obtained the final governmental approvals required for the construction of the approximately 33,000 square foot cinema component of our Newmarket ETRC.</w:t>
            </w:r>
          </w:p>
        </w:tc>
      </w:tr>
    </w:tbl>
    <w:p>
      <w:pPr>
        <w:pStyle w:val="TextBody"/>
        <w:spacing w:lineRule="auto" w:line="300" w:before="0" w:after="0"/>
        <w:ind w:left="0" w:right="0" w:hanging="0"/>
        <w:jc w:val="both"/>
        <w:rPr/>
      </w:pPr>
      <w:r>
        <w:rPr/>
        <w:t> </w:t>
      </w:r>
    </w:p>
    <w:p>
      <w:pPr>
        <w:pStyle w:val="TextBody"/>
        <w:spacing w:lineRule="auto" w:line="300" w:before="0" w:after="0"/>
        <w:ind w:left="0" w:right="0" w:hanging="0"/>
        <w:jc w:val="both"/>
        <w:rPr/>
      </w:pPr>
      <w:r>
        <w:rPr>
          <w:rStyle w:val="StrongEmphasis"/>
          <w:rFonts w:ascii="Times New Roman" w:hAnsi="Times New Roman"/>
          <w:sz w:val="20"/>
        </w:rPr>
        <w:t>and with respect to our real estate assets and operations:</w:t>
      </w:r>
    </w:p>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56" w:name="hangingindent8"/>
      <w:bookmarkStart w:id="57" w:name="hangingindent8"/>
      <w:bookmarkEnd w:id="57"/>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obtained final approval for the rezoning of our 50.6 acre Burwood property from an essentially extractive industry use to a mixed retail, entertainment, commercial and residential use;</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58" w:name="hangingindent9"/>
      <w:bookmarkStart w:id="59" w:name="hangingindent9"/>
      <w:bookmarkEnd w:id="59"/>
    </w:p>
    <w:tbl>
      <w:tblPr>
        <w:tblW w:w="5000" w:type="pct"/>
        <w:jc w:val="center"/>
        <w:tblInd w:w="0" w:type="dxa"/>
        <w:tblCellMar>
          <w:top w:w="0" w:type="dxa"/>
          <w:left w:w="0" w:type="dxa"/>
          <w:bottom w:w="0" w:type="dxa"/>
          <w:right w:w="0" w:type="dxa"/>
        </w:tblCellMar>
      </w:tblPr>
      <w:tblGrid>
        <w:gridCol w:w="84"/>
        <w:gridCol w:w="133"/>
        <w:gridCol w:w="9988"/>
      </w:tblGrid>
      <w:tr>
        <w:trPr/>
        <w:tc>
          <w:tcPr>
            <w:tcW w:w="84" w:type="dxa"/>
            <w:tcBorders/>
            <w:shd w:fill="auto" w:val="clear"/>
          </w:tcPr>
          <w:p>
            <w:pPr>
              <w:pStyle w:val="TableContents"/>
              <w:spacing w:before="0" w:after="283"/>
              <w:rPr/>
            </w:pPr>
            <w:r>
              <w:rPr/>
              <w:t> </w:t>
            </w:r>
          </w:p>
        </w:tc>
        <w:tc>
          <w:tcPr>
            <w:tcW w:w="133"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998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completed construction and lease-up of the retail components of our Newmarket ETRC;</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60" w:name="hangingindent10"/>
      <w:bookmarkStart w:id="61" w:name="hangingindent10"/>
      <w:bookmarkEnd w:id="61"/>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completed the assemblage of two additional parcels of land, totaling 0.4 acres, into our existing Moonee Ponds property. This acquisition increases our holdings at Moonee Ponds (a suburb of Melbourne) to 3.3 acres and gives us frontage facing the principal transit station servicing the area. We are currently working to finalize plans for the development of this property into a mixed use entertainment based retail and commercial complex;</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62" w:name="hangingindent11"/>
      <w:bookmarkStart w:id="63" w:name="hangingindent11"/>
      <w:bookmarkEnd w:id="63"/>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formed Landplan Property Partners, Ltd (“Landplan”) to identify, acquire and develop or redevelop properties in Australia and New Zealand on an opportunistic basis. Through March 28, 2007, we have acquired two such properties, one in Australia and one in New Zealand, for a total investment of approximately $6.7 million;</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64" w:name="hangingindent12"/>
      <w:bookmarkStart w:id="65" w:name="hangingindent12"/>
      <w:bookmarkEnd w:id="65"/>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acquired for $1.8 million, an 18.4% equity interest in Malulani Investments, Limited (“MIL”), a closely held Hawaiian company that currently owns approximately 763,000 square feet of developed commercial real estate principally in California, Hawaii and Texas, and approximately 22,000 acres of agricultural land in Northern California. Included among MIL’s assets is the Guenoc Winery, consisting of approximately 400 acres of vineyard land and a winery equipped to bottle up to 120,000 cases of wine annually. This land and commercial real estate holdings are encumbered by debt; and</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66" w:name="hangingindent13"/>
      <w:bookmarkStart w:id="67" w:name="hangingindent13"/>
      <w:bookmarkEnd w:id="67"/>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on the financing front, in February 2007 we privately placed $50.0 million of 20-year Trust Preferred Securities, with dividends fixed at 9.22% for the first five years, to serve as a long term financing foundation for our real estate assets. There are no principal payments until maturity in 2027 when the notes are paid in full. Although structured as the issuance of trust preferred securities by a related trust, the financing is essentially the same as an issuance of fully subordinated debt: the payments are tax deductible to us and the default remedies are the same as debt. The net proceeds of this issuance have been used principally to retire all of our bank indebtedness in New Zealand of $34.4 million (NZ$50.0 million) and to pay down our bank indebtedness in Australia by $5.8 million (AUS$7.4 million).</w:t>
            </w:r>
          </w:p>
        </w:tc>
      </w:tr>
    </w:tbl>
    <w:p>
      <w:pPr>
        <w:pStyle w:val="TextBody"/>
        <w:spacing w:lineRule="auto" w:line="300" w:before="0" w:after="0"/>
        <w:ind w:left="0" w:right="0" w:hanging="0"/>
        <w:jc w:val="both"/>
        <w:rPr/>
      </w:pPr>
      <w:r>
        <w:rPr/>
      </w:r>
    </w:p>
    <w:p>
      <w:pPr>
        <w:pStyle w:val="TextBody"/>
        <w:spacing w:lineRule="auto" w:line="300" w:before="0" w:after="0"/>
        <w:ind w:left="720" w:right="0" w:hanging="0"/>
        <w:jc w:val="both"/>
        <w:rPr/>
      </w:pPr>
      <w:r>
        <w:rPr>
          <w:rStyle w:val="StrongEmphasis"/>
          <w:rFonts w:ascii="Times New Roman" w:hAnsi="Times New Roman"/>
          <w:sz w:val="20"/>
        </w:rPr>
        <w:t>At December 31, 2006, our assets include:</w:t>
      </w:r>
    </w:p>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68" w:name="hangingindent14"/>
      <w:bookmarkStart w:id="69" w:name="hangingindent14"/>
      <w:bookmarkEnd w:id="69"/>
    </w:p>
    <w:tbl>
      <w:tblPr>
        <w:tblW w:w="5000" w:type="pct"/>
        <w:jc w:val="center"/>
        <w:tblInd w:w="0" w:type="dxa"/>
        <w:tblCellMar>
          <w:top w:w="0" w:type="dxa"/>
          <w:left w:w="0" w:type="dxa"/>
          <w:bottom w:w="0" w:type="dxa"/>
          <w:right w:w="0" w:type="dxa"/>
        </w:tblCellMar>
      </w:tblPr>
      <w:tblGrid>
        <w:gridCol w:w="134"/>
        <w:gridCol w:w="214"/>
        <w:gridCol w:w="9857"/>
      </w:tblGrid>
      <w:tr>
        <w:trPr/>
        <w:tc>
          <w:tcPr>
            <w:tcW w:w="134" w:type="dxa"/>
            <w:tcBorders/>
            <w:shd w:fill="auto" w:val="clear"/>
          </w:tcPr>
          <w:p>
            <w:pPr>
              <w:pStyle w:val="TableContents"/>
              <w:spacing w:before="0" w:after="283"/>
              <w:rPr/>
            </w:pPr>
            <w:r>
              <w:rPr/>
              <w:t> </w:t>
            </w:r>
          </w:p>
        </w:tc>
        <w:tc>
          <w:tcPr>
            <w:tcW w:w="214"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985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interests in 44 cinemas comprising some 286 screens; </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70" w:name="hangingindent15"/>
      <w:bookmarkStart w:id="71" w:name="hangingindent15"/>
      <w:bookmarkEnd w:id="71"/>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fee ownership of approximately 1.1 million square feet of developed commercial real estate, and approximately 16.9 million square feet of land (including approximately 2.5 million square feet of land held for development), located principally in urbanized areas of Australia, New Zealand and the United States; </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72" w:name="hangingindent16"/>
      <w:bookmarkStart w:id="73" w:name="hangingindent16"/>
      <w:bookmarkEnd w:id="73"/>
    </w:p>
    <w:tbl>
      <w:tblPr>
        <w:tblW w:w="5000" w:type="pct"/>
        <w:jc w:val="center"/>
        <w:tblInd w:w="0" w:type="dxa"/>
        <w:tblCellMar>
          <w:top w:w="0" w:type="dxa"/>
          <w:left w:w="0" w:type="dxa"/>
          <w:bottom w:w="0" w:type="dxa"/>
          <w:right w:w="0" w:type="dxa"/>
        </w:tblCellMar>
      </w:tblPr>
      <w:tblGrid>
        <w:gridCol w:w="81"/>
        <w:gridCol w:w="128"/>
        <w:gridCol w:w="9996"/>
      </w:tblGrid>
      <w:tr>
        <w:trPr/>
        <w:tc>
          <w:tcPr>
            <w:tcW w:w="81" w:type="dxa"/>
            <w:tcBorders/>
            <w:shd w:fill="auto" w:val="clear"/>
          </w:tcPr>
          <w:p>
            <w:pPr>
              <w:pStyle w:val="TableContents"/>
              <w:spacing w:before="0" w:after="283"/>
              <w:rPr/>
            </w:pPr>
            <w:r>
              <w:rPr/>
              <w:t> </w:t>
            </w:r>
          </w:p>
        </w:tc>
        <w:tc>
          <w:tcPr>
            <w:tcW w:w="128"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99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cash, cash equivalents and investments in marketable securities aggregating $19.4 million;</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74" w:name="hangingindent17"/>
      <w:bookmarkStart w:id="75" w:name="hangingindent17"/>
      <w:bookmarkEnd w:id="75"/>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both"/>
              <w:rPr/>
            </w:pPr>
            <w:r>
              <w:rPr>
                <w:rFonts w:ascii="Times New Roman" w:hAnsi="Times New Roman"/>
                <w:sz w:val="20"/>
              </w:rPr>
              <w:t xml:space="preserve">a 25% interest, representing an investment of $3.0 million, in the limited liability company currently completing final sell-out of </w:t>
            </w:r>
            <w:r>
              <w:rPr>
                <w:rStyle w:val="Emphasis"/>
                <w:rFonts w:ascii="Times New Roman" w:hAnsi="Times New Roman"/>
                <w:sz w:val="20"/>
              </w:rPr>
              <w:t>Place 57</w:t>
            </w:r>
            <w:r>
              <w:rPr>
                <w:rFonts w:ascii="Times New Roman" w:hAnsi="Times New Roman"/>
                <w:sz w:val="20"/>
              </w:rPr>
              <w:t>, the 36-story, 68-residential unit mixed use condominium project on 57</w:t>
            </w:r>
            <w:r>
              <w:rPr>
                <w:rFonts w:ascii="Times New Roman" w:hAnsi="Times New Roman"/>
                <w:position w:val="7"/>
                <w:sz w:val="16"/>
                <w:sz w:val="20"/>
              </w:rPr>
              <w:t>th</w:t>
            </w:r>
            <w:r>
              <w:rPr/>
              <w:t xml:space="preserve"> </w:t>
            </w:r>
            <w:r>
              <w:rPr>
                <w:rFonts w:ascii="Times New Roman" w:hAnsi="Times New Roman"/>
                <w:sz w:val="20"/>
              </w:rPr>
              <w:t>Street near 3</w:t>
            </w:r>
            <w:r>
              <w:rPr>
                <w:rFonts w:ascii="Times New Roman" w:hAnsi="Times New Roman"/>
                <w:position w:val="7"/>
                <w:sz w:val="16"/>
                <w:sz w:val="20"/>
              </w:rPr>
              <w:t>rd</w:t>
            </w:r>
            <w:r>
              <w:rPr/>
              <w:t xml:space="preserve"> </w:t>
            </w:r>
            <w:r>
              <w:rPr>
                <w:rFonts w:ascii="Times New Roman" w:hAnsi="Times New Roman"/>
                <w:sz w:val="20"/>
              </w:rPr>
              <w:t>Avenue in Manhattan; and</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76" w:name="hangingindent18"/>
      <w:bookmarkStart w:id="77" w:name="hangingindent18"/>
      <w:bookmarkEnd w:id="77"/>
    </w:p>
    <w:tbl>
      <w:tblPr>
        <w:tblW w:w="5000" w:type="pct"/>
        <w:jc w:val="center"/>
        <w:tblInd w:w="0" w:type="dxa"/>
        <w:tblCellMar>
          <w:top w:w="0" w:type="dxa"/>
          <w:left w:w="0" w:type="dxa"/>
          <w:bottom w:w="0" w:type="dxa"/>
          <w:right w:w="0" w:type="dxa"/>
        </w:tblCellMar>
      </w:tblPr>
      <w:tblGrid>
        <w:gridCol w:w="142"/>
        <w:gridCol w:w="225"/>
        <w:gridCol w:w="9838"/>
      </w:tblGrid>
      <w:tr>
        <w:trPr/>
        <w:tc>
          <w:tcPr>
            <w:tcW w:w="142" w:type="dxa"/>
            <w:tcBorders/>
            <w:shd w:fill="auto" w:val="clear"/>
          </w:tcPr>
          <w:p>
            <w:pPr>
              <w:pStyle w:val="TableContents"/>
              <w:spacing w:before="0" w:after="283"/>
              <w:rPr/>
            </w:pPr>
            <w:r>
              <w:rPr/>
              <w:t> </w:t>
            </w:r>
          </w:p>
        </w:tc>
        <w:tc>
          <w:tcPr>
            <w:tcW w:w="225"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983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an 18.4% interest in MIL, already described above.</w:t>
            </w:r>
          </w:p>
        </w:tc>
      </w:tr>
    </w:tbl>
    <w:p>
      <w:pPr>
        <w:pStyle w:val="TextBody"/>
        <w:spacing w:lineRule="auto" w:line="300" w:before="0" w:after="0"/>
        <w:ind w:left="0" w:right="0" w:firstLine="72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 xml:space="preserve">At December 31, 2006, the book value of our assets was approximately $289.2 million; and as of that same date, we had a consolidated stockholders’ book equity of approximately $107.7 million. Calculated based on book value, nearly 70% of our assets, or approximately $202.1 million, relates to our real estate activities. Calculated based on book value, nearly 74% of our assets, or approximately $214.7 million, represents assets located in Australia and New Zealand.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center"/>
        <w:rPr/>
      </w:pPr>
      <w:r>
        <w:rPr/>
      </w:r>
      <w:bookmarkStart w:id="78" w:name="PGBRK2"/>
      <w:bookmarkStart w:id="79" w:name="PGBRK2"/>
      <w:bookmarkEnd w:id="7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80" w:name="FTR2"/>
      <w:bookmarkStart w:id="81" w:name="FTR2"/>
      <w:bookmarkEnd w:id="8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82" w:name="GLFTR2"/>
      <w:bookmarkStart w:id="83" w:name="GLFTR2"/>
      <w:bookmarkEnd w:id="8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84" w:name="PN2"/>
      <w:bookmarkEnd w:id="84"/>
      <w:r>
        <w:rPr>
          <w:rFonts w:ascii="Times New Roman" w:hAnsi="Times New Roman"/>
          <w:sz w:val="16"/>
        </w:rPr>
        <w:t>-2-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85" w:name="HDR2"/>
      <w:bookmarkStart w:id="86" w:name="HDR2"/>
      <w:bookmarkEnd w:id="8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87" w:name="GLHDR2"/>
        <w:bookmarkEnd w:id="87"/>
        <w:r>
          <w:rPr>
            <w:rStyle w:val="Emphasis"/>
            <w:rFonts w:ascii="Times New Roman" w:hAnsi="Times New Roman"/>
            <w:color w:val="000000"/>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300" w:before="0" w:after="0"/>
        <w:ind w:left="0" w:right="0" w:hanging="0"/>
        <w:jc w:val="center"/>
        <w:rPr/>
      </w:pPr>
      <w:r>
        <w:rPr/>
        <w:drawing>
          <wp:inline distT="0" distB="0" distL="0" distR="0">
            <wp:extent cx="3000375" cy="22002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000375" cy="2200275"/>
                    </a:xfrm>
                    <a:prstGeom prst="rect">
                      <a:avLst/>
                    </a:prstGeom>
                  </pic:spPr>
                </pic:pic>
              </a:graphicData>
            </a:graphic>
          </wp:inline>
        </w:drawing>
      </w:r>
    </w:p>
    <w:p>
      <w:pPr>
        <w:pStyle w:val="TextBody"/>
        <w:spacing w:lineRule="auto" w:line="300" w:before="0" w:after="0"/>
        <w:ind w:left="0" w:right="0" w:firstLine="72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At December 31, 2006, the allocation between our cinema assets and our non-cinema assets was approximately 22% and 78%, respectively.</w:t>
      </w:r>
    </w:p>
    <w:p>
      <w:pPr>
        <w:pStyle w:val="TextBody"/>
        <w:spacing w:lineRule="auto" w:line="300" w:before="0" w:after="0"/>
        <w:ind w:left="0" w:right="0" w:firstLine="720"/>
        <w:jc w:val="both"/>
        <w:rPr/>
      </w:pPr>
      <w:r>
        <w:rPr/>
      </w:r>
    </w:p>
    <w:p>
      <w:pPr>
        <w:pStyle w:val="TextBody"/>
        <w:spacing w:lineRule="auto" w:line="300" w:before="0" w:after="0"/>
        <w:ind w:left="0" w:right="0" w:hanging="0"/>
        <w:jc w:val="center"/>
        <w:rPr/>
      </w:pPr>
      <w:r>
        <w:rPr/>
        <w:drawing>
          <wp:inline distT="0" distB="0" distL="0" distR="0">
            <wp:extent cx="3000375" cy="21621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3000375" cy="2162175"/>
                    </a:xfrm>
                    <a:prstGeom prst="rect">
                      <a:avLst/>
                    </a:prstGeom>
                  </pic:spPr>
                </pic:pic>
              </a:graphicData>
            </a:graphic>
          </wp:inline>
        </w:drawing>
      </w:r>
    </w:p>
    <w:p>
      <w:pPr>
        <w:pStyle w:val="TextBody"/>
        <w:spacing w:lineRule="auto" w:line="300" w:before="0" w:after="0"/>
        <w:ind w:left="0" w:right="0" w:hanging="0"/>
        <w:jc w:val="both"/>
        <w:rPr/>
      </w:pPr>
      <w:r>
        <w:rPr/>
      </w:r>
    </w:p>
    <w:p>
      <w:pPr>
        <w:pStyle w:val="TextBody"/>
        <w:spacing w:lineRule="auto" w:line="300" w:before="0" w:after="0"/>
        <w:ind w:left="720" w:right="0" w:hanging="0"/>
        <w:jc w:val="both"/>
        <w:rPr>
          <w:rFonts w:ascii="Times New Roman" w:hAnsi="Times New Roman"/>
          <w:sz w:val="20"/>
        </w:rPr>
      </w:pPr>
      <w:bookmarkStart w:id="88" w:name="TAB112"/>
      <w:bookmarkEnd w:id="88"/>
      <w:r>
        <w:rPr>
          <w:rFonts w:ascii="Times New Roman" w:hAnsi="Times New Roman"/>
          <w:sz w:val="20"/>
        </w:rPr>
        <w:t>We believe that, given the nature of our real estate oriented balance sheet, our development activities, and the appreciation enjoyed by real estate assets over the past several years, that our book value substantially understates the fair market value of our assets.</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pPr>
      <w:r>
        <w:rPr/>
      </w:r>
    </w:p>
    <w:p>
      <w:pPr>
        <w:pStyle w:val="TextBody"/>
        <w:spacing w:lineRule="auto" w:line="300" w:before="0" w:after="0"/>
        <w:ind w:left="0" w:right="0" w:hanging="0"/>
        <w:jc w:val="both"/>
        <w:rPr/>
      </w:pPr>
      <w:r>
        <w:rPr>
          <w:rStyle w:val="StrongEmphasis"/>
          <w:rFonts w:ascii="Times New Roman" w:hAnsi="Times New Roman"/>
          <w:sz w:val="20"/>
          <w:u w:val="single"/>
        </w:rPr>
        <w:t>Summary of Our Cinema Exhibition Activities</w:t>
      </w:r>
    </w:p>
    <w:p>
      <w:pPr>
        <w:pStyle w:val="TextBody"/>
        <w:spacing w:lineRule="auto" w:line="300" w:before="0" w:after="0"/>
        <w:ind w:left="0" w:right="0" w:hanging="0"/>
        <w:jc w:val="both"/>
        <w:rPr/>
      </w:pPr>
      <w:r>
        <w:rPr/>
      </w:r>
    </w:p>
    <w:p>
      <w:pPr>
        <w:pStyle w:val="TextBody"/>
        <w:spacing w:lineRule="auto" w:line="300" w:before="0" w:after="0"/>
        <w:ind w:left="720" w:right="0" w:hanging="0"/>
        <w:jc w:val="both"/>
        <w:rPr/>
      </w:pPr>
      <w:bookmarkStart w:id="89" w:name="TAB113"/>
      <w:bookmarkEnd w:id="89"/>
      <w:r>
        <w:rPr>
          <w:rStyle w:val="StrongEmphasis"/>
          <w:rFonts w:ascii="Times New Roman" w:hAnsi="Times New Roman"/>
          <w:sz w:val="20"/>
        </w:rPr>
        <w:t>We conduct our cinema operations on four basic and rather simple premises:</w:t>
      </w:r>
    </w:p>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90" w:name="hangingindent19"/>
      <w:bookmarkStart w:id="91" w:name="hangingindent19"/>
      <w:bookmarkEnd w:id="91"/>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first, notwithstanding the enormous advances that have been made in home entertainment technology, humans are essentially social beings, and will continue to want to go beyond the home for their entertainment, provided that the they are offered clean, comfortable and convenient facilities, with state of the art technology;</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92" w:name="hangingindent20"/>
      <w:bookmarkStart w:id="93" w:name="hangingindent20"/>
      <w:bookmarkEnd w:id="93"/>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second, cinemas can be used as anchors for larger retail developments, and our involvement in the cinema business can give us an advantage over other real estate developers or redevelopers who must identify and negotiate exclusively with third party anchor tenants;</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94" w:name="hangingindent21"/>
      <w:bookmarkStart w:id="95" w:name="hangingindent21"/>
      <w:bookmarkEnd w:id="95"/>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third, pure cinema operators can get themselves into financial difficulty as demands upon them to produce cinema based earnings growth tempt them into reinvesting their cash flow into increasingly marginal cinema sites. While we believe that there will continue to be attractive cinema acquisition opportunities in the future, we do not feel pressure to build or acquire cinemas for the sake of simply adding on units, and intend to focus our cash flow on our real estate development and operating activities, to the extent that attractive cinema opportunities are not available to us; and</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96" w:name="PGBRK3"/>
      <w:bookmarkStart w:id="97" w:name="PGBRK3"/>
      <w:bookmarkEnd w:id="9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8" w:name="FTR3"/>
      <w:bookmarkStart w:id="99" w:name="FTR3"/>
      <w:bookmarkEnd w:id="9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0" w:name="GLFTR3"/>
      <w:bookmarkStart w:id="101" w:name="GLFTR3"/>
      <w:bookmarkEnd w:id="10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102" w:name="PN3"/>
      <w:bookmarkEnd w:id="102"/>
      <w:r>
        <w:rPr>
          <w:rFonts w:ascii="Times New Roman" w:hAnsi="Times New Roman"/>
          <w:sz w:val="16"/>
        </w:rPr>
        <w:t>-3-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3" w:name="HDR3"/>
      <w:bookmarkStart w:id="104" w:name="HDR3"/>
      <w:bookmarkEnd w:id="10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105" w:name="GLHDR3"/>
        <w:bookmarkEnd w:id="105"/>
        <w:r>
          <w:rPr>
            <w:rStyle w:val="Emphasis"/>
            <w:rFonts w:ascii="Times New Roman" w:hAnsi="Times New Roman"/>
            <w:color w:val="000000"/>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pStyle w:val="Normal"/>
        <w:spacing w:before="0" w:after="0"/>
        <w:rPr>
          <w:sz w:val="4"/>
          <w:szCs w:val="4"/>
        </w:rPr>
      </w:pPr>
      <w:r>
        <w:rPr>
          <w:sz w:val="4"/>
          <w:szCs w:val="4"/>
        </w:rPr>
      </w:r>
      <w:bookmarkStart w:id="106" w:name="hangingindent22"/>
      <w:bookmarkStart w:id="107" w:name="hangingindent22"/>
      <w:bookmarkEnd w:id="107"/>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fourth, we are never afraid to convert an entertainment property to another use, if that is a higher and better use of our property, or to sell individual assets, if we are presented with an attractive opportunity.</w:t>
            </w:r>
          </w:p>
        </w:tc>
      </w:tr>
    </w:tbl>
    <w:p>
      <w:pPr>
        <w:pStyle w:val="TextBody"/>
        <w:spacing w:lineRule="auto" w:line="300" w:before="0" w:after="0"/>
        <w:ind w:left="0" w:right="0" w:hanging="0"/>
        <w:jc w:val="both"/>
        <w:rPr/>
      </w:pPr>
      <w:r>
        <w:rPr/>
      </w:r>
    </w:p>
    <w:p>
      <w:pPr>
        <w:pStyle w:val="TextBody"/>
        <w:spacing w:lineRule="auto" w:line="300" w:before="0" w:after="0"/>
        <w:ind w:left="720" w:right="0" w:hanging="0"/>
        <w:jc w:val="both"/>
        <w:rPr/>
      </w:pPr>
      <w:bookmarkStart w:id="108" w:name="TAB114"/>
      <w:bookmarkEnd w:id="108"/>
      <w:r>
        <w:rPr>
          <w:rStyle w:val="StrongEmphasis"/>
          <w:rFonts w:ascii="Times New Roman" w:hAnsi="Times New Roman"/>
          <w:sz w:val="20"/>
        </w:rPr>
        <w:t xml:space="preserve">Our current cinema assets are described in the following chart: </w:t>
      </w:r>
    </w:p>
    <w:p>
      <w:pPr>
        <w:pStyle w:val="TextBody"/>
        <w:spacing w:lineRule="auto" w:line="300" w:before="0" w:after="0"/>
        <w:ind w:left="0" w:right="0" w:hanging="0"/>
        <w:jc w:val="both"/>
        <w:rPr/>
      </w:pPr>
      <w:r>
        <w:rPr/>
        <w:t> </w:t>
      </w:r>
    </w:p>
    <w:tbl>
      <w:tblPr>
        <w:tblW w:w="5000" w:type="pct"/>
        <w:jc w:val="left"/>
        <w:tblInd w:w="0" w:type="dxa"/>
        <w:tblCellMar>
          <w:top w:w="0" w:type="dxa"/>
          <w:left w:w="0" w:type="dxa"/>
          <w:bottom w:w="28" w:type="dxa"/>
          <w:right w:w="0" w:type="dxa"/>
        </w:tblCellMar>
      </w:tblPr>
      <w:tblGrid>
        <w:gridCol w:w="1817"/>
        <w:gridCol w:w="1817"/>
        <w:gridCol w:w="1817"/>
        <w:gridCol w:w="1958"/>
        <w:gridCol w:w="1398"/>
        <w:gridCol w:w="1398"/>
      </w:tblGrid>
      <w:tr>
        <w:trPr/>
        <w:tc>
          <w:tcPr>
            <w:tcW w:w="1817" w:type="dxa"/>
            <w:tcBorders>
              <w:bottom w:val="double" w:sz="2" w:space="0" w:color="000000"/>
            </w:tcBorders>
            <w:shd w:fill="auto" w:val="clear"/>
          </w:tcPr>
          <w:p>
            <w:pPr>
              <w:pStyle w:val="TableContents"/>
              <w:spacing w:before="0" w:after="283"/>
              <w:jc w:val="both"/>
              <w:rPr/>
            </w:pPr>
            <w:r>
              <w:rPr/>
              <w:t> </w:t>
            </w:r>
          </w:p>
        </w:tc>
        <w:tc>
          <w:tcPr>
            <w:tcW w:w="1817" w:type="dxa"/>
            <w:tcBorders>
              <w:bottom w:val="double" w:sz="2" w:space="0" w:color="000000"/>
            </w:tcBorders>
            <w:shd w:fill="auto" w:val="clear"/>
            <w:vAlign w:val="bottom"/>
          </w:tcPr>
          <w:p>
            <w:pPr>
              <w:pStyle w:val="TableContents"/>
              <w:spacing w:lineRule="auto" w:line="300" w:before="0" w:after="0"/>
              <w:ind w:left="0" w:right="0" w:hanging="0"/>
              <w:jc w:val="both"/>
              <w:rPr/>
            </w:pPr>
            <w:r>
              <w:rPr/>
              <w:t> </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Wholly Owned</w:t>
            </w:r>
          </w:p>
        </w:tc>
        <w:tc>
          <w:tcPr>
            <w:tcW w:w="1817" w:type="dxa"/>
            <w:tcBorders>
              <w:bottom w:val="double" w:sz="2" w:space="0" w:color="000000"/>
            </w:tcBorders>
            <w:shd w:fill="auto" w:val="clear"/>
            <w:vAlign w:val="bottom"/>
          </w:tcPr>
          <w:p>
            <w:pPr>
              <w:pStyle w:val="TableContents"/>
              <w:spacing w:lineRule="auto" w:line="300" w:before="0" w:after="0"/>
              <w:ind w:left="0" w:right="0" w:hanging="0"/>
              <w:jc w:val="both"/>
              <w:rPr/>
            </w:pPr>
            <w:r>
              <w:rPr/>
              <w:t> </w:t>
            </w:r>
          </w:p>
          <w:p>
            <w:pPr>
              <w:pStyle w:val="TableContents"/>
              <w:spacing w:lineRule="auto" w:line="300" w:before="0" w:after="0"/>
              <w:ind w:left="0" w:right="0" w:hanging="0"/>
              <w:jc w:val="center"/>
              <w:rPr/>
            </w:pPr>
            <w:r>
              <w:rPr>
                <w:rFonts w:ascii="Times New Roman" w:hAnsi="Times New Roman"/>
                <w:sz w:val="20"/>
              </w:rPr>
              <w:t>Consolidated</w:t>
            </w:r>
            <w:r>
              <w:rPr>
                <w:rFonts w:ascii="Times New Roman" w:hAnsi="Times New Roman"/>
                <w:position w:val="7"/>
                <w:sz w:val="16"/>
                <w:sz w:val="20"/>
              </w:rPr>
              <w:t>1</w:t>
            </w:r>
          </w:p>
        </w:tc>
        <w:tc>
          <w:tcPr>
            <w:tcW w:w="1958" w:type="dxa"/>
            <w:tcBorders>
              <w:bottom w:val="double" w:sz="2" w:space="0" w:color="000000"/>
            </w:tcBorders>
            <w:shd w:fill="auto" w:val="clear"/>
            <w:vAlign w:val="bottom"/>
          </w:tcPr>
          <w:p>
            <w:pPr>
              <w:pStyle w:val="TableContents"/>
              <w:spacing w:lineRule="auto" w:line="300" w:before="0" w:after="0"/>
              <w:ind w:left="0" w:right="0" w:hanging="0"/>
              <w:jc w:val="both"/>
              <w:rPr/>
            </w:pPr>
            <w:r>
              <w:rPr/>
              <w:t> </w:t>
            </w:r>
          </w:p>
          <w:p>
            <w:pPr>
              <w:pStyle w:val="TableContents"/>
              <w:spacing w:lineRule="auto" w:line="300" w:before="0" w:after="0"/>
              <w:ind w:left="0" w:right="0" w:hanging="0"/>
              <w:jc w:val="center"/>
              <w:rPr/>
            </w:pPr>
            <w:r>
              <w:rPr>
                <w:rFonts w:ascii="Times New Roman" w:hAnsi="Times New Roman"/>
                <w:sz w:val="20"/>
              </w:rPr>
              <w:t>Unconsolidated</w:t>
            </w:r>
            <w:r>
              <w:rPr>
                <w:rFonts w:ascii="Times New Roman" w:hAnsi="Times New Roman"/>
                <w:position w:val="7"/>
                <w:sz w:val="16"/>
                <w:sz w:val="20"/>
              </w:rPr>
              <w:t>2</w:t>
            </w:r>
            <w:r>
              <w:rPr/>
              <w:t> </w:t>
            </w:r>
          </w:p>
        </w:tc>
        <w:tc>
          <w:tcPr>
            <w:tcW w:w="1398" w:type="dxa"/>
            <w:tcBorders>
              <w:bottom w:val="double" w:sz="2" w:space="0" w:color="000000"/>
            </w:tcBorders>
            <w:shd w:fill="auto" w:val="clear"/>
            <w:vAlign w:val="bottom"/>
          </w:tcPr>
          <w:p>
            <w:pPr>
              <w:pStyle w:val="TableContents"/>
              <w:spacing w:lineRule="auto" w:line="300" w:before="0" w:after="0"/>
              <w:ind w:left="0" w:right="0" w:hanging="0"/>
              <w:jc w:val="both"/>
              <w:rPr/>
            </w:pPr>
            <w:r>
              <w:rPr/>
              <w:t> </w:t>
            </w:r>
          </w:p>
          <w:p>
            <w:pPr>
              <w:pStyle w:val="TableContents"/>
              <w:spacing w:lineRule="auto" w:line="300" w:before="0" w:after="0"/>
              <w:ind w:left="0" w:right="0" w:hanging="0"/>
              <w:jc w:val="center"/>
              <w:rPr/>
            </w:pPr>
            <w:r>
              <w:rPr>
                <w:rFonts w:ascii="Times New Roman" w:hAnsi="Times New Roman"/>
                <w:sz w:val="20"/>
              </w:rPr>
              <w:t>Managed</w:t>
            </w:r>
            <w:r>
              <w:rPr>
                <w:rFonts w:ascii="Times New Roman" w:hAnsi="Times New Roman"/>
                <w:position w:val="7"/>
                <w:sz w:val="16"/>
                <w:sz w:val="20"/>
              </w:rPr>
              <w:t>3</w:t>
            </w:r>
            <w:r>
              <w:rPr/>
              <w:t> </w:t>
            </w:r>
          </w:p>
        </w:tc>
        <w:tc>
          <w:tcPr>
            <w:tcW w:w="1398" w:type="dxa"/>
            <w:tcBorders>
              <w:bottom w:val="double" w:sz="2" w:space="0" w:color="000000"/>
            </w:tcBorders>
            <w:shd w:fill="auto" w:val="clear"/>
            <w:vAlign w:val="bottom"/>
          </w:tcPr>
          <w:p>
            <w:pPr>
              <w:pStyle w:val="TableContents"/>
              <w:spacing w:lineRule="auto" w:line="300" w:before="0" w:after="0"/>
              <w:ind w:left="0" w:right="0" w:hanging="0"/>
              <w:jc w:val="both"/>
              <w:rPr/>
            </w:pPr>
            <w:r>
              <w:rPr/>
              <w:t> </w:t>
            </w:r>
          </w:p>
          <w:p>
            <w:pPr>
              <w:pStyle w:val="TableContents"/>
              <w:spacing w:lineRule="auto" w:line="300" w:before="0" w:after="0"/>
              <w:ind w:left="0" w:right="0" w:hanging="0"/>
              <w:jc w:val="center"/>
              <w:rPr/>
            </w:pPr>
            <w:r>
              <w:rPr>
                <w:rStyle w:val="StrongEmphasis"/>
                <w:rFonts w:ascii="Times New Roman" w:hAnsi="Times New Roman"/>
                <w:sz w:val="20"/>
              </w:rPr>
              <w:t>Totals</w:t>
            </w:r>
          </w:p>
        </w:tc>
      </w:tr>
      <w:tr>
        <w:trPr/>
        <w:tc>
          <w:tcPr>
            <w:tcW w:w="1817" w:type="dxa"/>
            <w:tcBorders/>
            <w:shd w:fill="CCEEFF" w:val="clear"/>
            <w:tcMar>
              <w:bottom w:w="0" w:type="dxa"/>
            </w:tcMar>
          </w:tcPr>
          <w:p>
            <w:pPr>
              <w:pStyle w:val="TableContents"/>
              <w:spacing w:lineRule="auto" w:line="300" w:before="0" w:after="0"/>
              <w:ind w:left="0" w:right="0" w:hanging="0"/>
              <w:jc w:val="both"/>
              <w:rPr/>
            </w:pPr>
            <w:r>
              <w:rPr/>
              <w:t> </w:t>
            </w:r>
          </w:p>
          <w:p>
            <w:pPr>
              <w:pStyle w:val="TableContents"/>
              <w:spacing w:lineRule="auto" w:line="300" w:before="0" w:after="0"/>
              <w:ind w:left="0" w:right="0" w:hanging="0"/>
              <w:jc w:val="both"/>
              <w:rPr>
                <w:rFonts w:ascii="Times New Roman" w:hAnsi="Times New Roman"/>
                <w:sz w:val="20"/>
              </w:rPr>
            </w:pPr>
            <w:r>
              <w:rPr>
                <w:rFonts w:ascii="Times New Roman" w:hAnsi="Times New Roman"/>
                <w:sz w:val="20"/>
              </w:rPr>
              <w:t>Australia</w:t>
            </w:r>
          </w:p>
          <w:p>
            <w:pPr>
              <w:pStyle w:val="TableContents"/>
              <w:spacing w:lineRule="auto" w:line="300" w:before="0" w:after="0"/>
              <w:ind w:left="0" w:right="0" w:hanging="0"/>
              <w:jc w:val="both"/>
              <w:rPr/>
            </w:pPr>
            <w:r>
              <w:rPr/>
              <w:t> </w:t>
            </w:r>
          </w:p>
        </w:tc>
        <w:tc>
          <w:tcPr>
            <w:tcW w:w="1817" w:type="dxa"/>
            <w:tcBorders/>
            <w:shd w:fill="CCEEFF" w:val="clear"/>
            <w:tcMar>
              <w:bottom w:w="0" w:type="dxa"/>
            </w:tcMar>
          </w:tcPr>
          <w:p>
            <w:pPr>
              <w:pStyle w:val="TableContents"/>
              <w:spacing w:lineRule="auto" w:line="300" w:before="0" w:after="0"/>
              <w:ind w:left="0" w:right="0" w:hanging="0"/>
              <w:jc w:val="both"/>
              <w:rPr/>
            </w:pPr>
            <w:r>
              <w:rPr/>
              <w:t> </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16 cinemas</w:t>
            </w:r>
          </w:p>
          <w:p>
            <w:pPr>
              <w:pStyle w:val="TableContents"/>
              <w:spacing w:lineRule="auto" w:line="300" w:before="0" w:after="0"/>
              <w:ind w:left="0" w:right="0" w:hanging="0"/>
              <w:jc w:val="both"/>
              <w:rPr/>
            </w:pPr>
            <w:r>
              <w:rPr/>
              <w:t> </w:t>
            </w:r>
          </w:p>
          <w:p>
            <w:pPr>
              <w:pStyle w:val="TableContents"/>
              <w:spacing w:lineRule="auto" w:line="300" w:before="0" w:after="0"/>
              <w:ind w:left="0" w:right="0" w:hanging="0"/>
              <w:jc w:val="both"/>
              <w:rPr/>
            </w:pPr>
            <w:r>
              <w:rPr/>
              <w:t> </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120 screens</w:t>
            </w:r>
          </w:p>
          <w:p>
            <w:pPr>
              <w:pStyle w:val="TableContents"/>
              <w:spacing w:lineRule="auto" w:line="300" w:before="0" w:after="0"/>
              <w:ind w:left="0" w:right="0" w:hanging="0"/>
              <w:jc w:val="both"/>
              <w:rPr/>
            </w:pPr>
            <w:r>
              <w:rPr/>
              <w:t> </w:t>
            </w:r>
          </w:p>
        </w:tc>
        <w:tc>
          <w:tcPr>
            <w:tcW w:w="1817" w:type="dxa"/>
            <w:tcBorders/>
            <w:shd w:fill="CCEEFF" w:val="clear"/>
            <w:tcMar>
              <w:bottom w:w="0" w:type="dxa"/>
            </w:tcMar>
          </w:tcPr>
          <w:p>
            <w:pPr>
              <w:pStyle w:val="TableContents"/>
              <w:spacing w:lineRule="auto" w:line="300" w:before="0" w:after="0"/>
              <w:ind w:left="0" w:right="0" w:hanging="0"/>
              <w:jc w:val="both"/>
              <w:rPr/>
            </w:pPr>
            <w:r>
              <w:rPr/>
              <w:t> </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 xml:space="preserve">3 cinemas </w:t>
            </w:r>
          </w:p>
          <w:p>
            <w:pPr>
              <w:pStyle w:val="TableContents"/>
              <w:spacing w:lineRule="auto" w:line="300" w:before="0" w:after="0"/>
              <w:ind w:left="0" w:right="0" w:hanging="0"/>
              <w:jc w:val="both"/>
              <w:rPr/>
            </w:pPr>
            <w:r>
              <w:rPr/>
              <w:t> </w:t>
            </w:r>
          </w:p>
          <w:p>
            <w:pPr>
              <w:pStyle w:val="TableContents"/>
              <w:spacing w:lineRule="auto" w:line="300" w:before="0" w:after="0"/>
              <w:ind w:left="0" w:right="0" w:hanging="0"/>
              <w:jc w:val="both"/>
              <w:rPr/>
            </w:pPr>
            <w:r>
              <w:rPr/>
              <w:t> </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16 screens</w:t>
            </w:r>
          </w:p>
          <w:p>
            <w:pPr>
              <w:pStyle w:val="TableContents"/>
              <w:spacing w:lineRule="auto" w:line="300" w:before="0" w:after="0"/>
              <w:ind w:left="0" w:right="0" w:hanging="0"/>
              <w:jc w:val="both"/>
              <w:rPr/>
            </w:pPr>
            <w:r>
              <w:rPr/>
              <w:t> </w:t>
            </w:r>
          </w:p>
        </w:tc>
        <w:tc>
          <w:tcPr>
            <w:tcW w:w="1958" w:type="dxa"/>
            <w:tcBorders/>
            <w:shd w:fill="CCEEFF" w:val="clear"/>
            <w:tcMar>
              <w:bottom w:w="0" w:type="dxa"/>
            </w:tcMar>
          </w:tcPr>
          <w:p>
            <w:pPr>
              <w:pStyle w:val="TableContents"/>
              <w:spacing w:lineRule="auto" w:line="300" w:before="0" w:after="0"/>
              <w:ind w:left="0" w:right="0" w:hanging="0"/>
              <w:jc w:val="both"/>
              <w:rPr/>
            </w:pPr>
            <w:r>
              <w:rPr/>
              <w:t> </w:t>
            </w:r>
          </w:p>
          <w:p>
            <w:pPr>
              <w:pStyle w:val="TableContents"/>
              <w:spacing w:lineRule="auto" w:line="300" w:before="0" w:after="0"/>
              <w:ind w:left="0" w:right="0" w:hanging="0"/>
              <w:jc w:val="center"/>
              <w:rPr/>
            </w:pPr>
            <w:r>
              <w:rPr>
                <w:rFonts w:ascii="Times New Roman" w:hAnsi="Times New Roman"/>
                <w:sz w:val="20"/>
              </w:rPr>
              <w:t>1 cinema</w:t>
            </w:r>
            <w:r>
              <w:rPr>
                <w:rFonts w:ascii="Times New Roman" w:hAnsi="Times New Roman"/>
                <w:position w:val="7"/>
                <w:sz w:val="16"/>
                <w:sz w:val="20"/>
              </w:rPr>
              <w:t>4</w:t>
            </w:r>
          </w:p>
          <w:p>
            <w:pPr>
              <w:pStyle w:val="TableContents"/>
              <w:spacing w:lineRule="auto" w:line="300" w:before="0" w:after="0"/>
              <w:ind w:left="0" w:right="0" w:hanging="0"/>
              <w:jc w:val="both"/>
              <w:rPr/>
            </w:pPr>
            <w:r>
              <w:rPr/>
              <w:t> </w:t>
            </w:r>
          </w:p>
          <w:p>
            <w:pPr>
              <w:pStyle w:val="TableContents"/>
              <w:spacing w:lineRule="auto" w:line="300" w:before="0" w:after="0"/>
              <w:ind w:left="0" w:right="0" w:hanging="0"/>
              <w:jc w:val="both"/>
              <w:rPr/>
            </w:pPr>
            <w:r>
              <w:rPr/>
              <w:t> </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16 screens</w:t>
            </w:r>
          </w:p>
          <w:p>
            <w:pPr>
              <w:pStyle w:val="TableContents"/>
              <w:spacing w:lineRule="auto" w:line="300" w:before="0" w:after="0"/>
              <w:ind w:left="0" w:right="0" w:hanging="0"/>
              <w:jc w:val="both"/>
              <w:rPr/>
            </w:pPr>
            <w:r>
              <w:rPr/>
              <w:t> </w:t>
            </w:r>
          </w:p>
        </w:tc>
        <w:tc>
          <w:tcPr>
            <w:tcW w:w="1398" w:type="dxa"/>
            <w:tcBorders/>
            <w:shd w:fill="CCEEFF" w:val="clear"/>
            <w:tcMar>
              <w:bottom w:w="0" w:type="dxa"/>
            </w:tcMar>
          </w:tcPr>
          <w:p>
            <w:pPr>
              <w:pStyle w:val="TableContents"/>
              <w:spacing w:lineRule="auto" w:line="300" w:before="0" w:after="0"/>
              <w:ind w:left="0" w:right="0" w:hanging="0"/>
              <w:jc w:val="both"/>
              <w:rPr/>
            </w:pPr>
            <w:r>
              <w:rPr/>
              <w:t> </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None</w:t>
            </w:r>
          </w:p>
          <w:p>
            <w:pPr>
              <w:pStyle w:val="TableContents"/>
              <w:spacing w:lineRule="auto" w:line="300" w:before="0" w:after="0"/>
              <w:ind w:left="0" w:right="0" w:hanging="0"/>
              <w:jc w:val="both"/>
              <w:rPr/>
            </w:pPr>
            <w:r>
              <w:rPr/>
              <w:t> </w:t>
            </w:r>
          </w:p>
        </w:tc>
        <w:tc>
          <w:tcPr>
            <w:tcW w:w="1398" w:type="dxa"/>
            <w:tcBorders/>
            <w:shd w:fill="CCEEFF" w:val="clear"/>
            <w:tcMar>
              <w:bottom w:w="0" w:type="dxa"/>
            </w:tcMar>
          </w:tcPr>
          <w:p>
            <w:pPr>
              <w:pStyle w:val="TableContents"/>
              <w:spacing w:lineRule="auto" w:line="300" w:before="0" w:after="0"/>
              <w:ind w:left="0" w:right="0" w:hanging="0"/>
              <w:jc w:val="both"/>
              <w:rPr/>
            </w:pPr>
            <w:r>
              <w:rPr/>
              <w:t> </w:t>
            </w:r>
          </w:p>
          <w:p>
            <w:pPr>
              <w:pStyle w:val="TableContents"/>
              <w:spacing w:lineRule="auto" w:line="300" w:before="0" w:after="0"/>
              <w:ind w:left="0" w:right="0" w:hanging="0"/>
              <w:jc w:val="center"/>
              <w:rPr/>
            </w:pPr>
            <w:r>
              <w:rPr>
                <w:rStyle w:val="StrongEmphasis"/>
                <w:rFonts w:ascii="Times New Roman" w:hAnsi="Times New Roman"/>
                <w:sz w:val="20"/>
              </w:rPr>
              <w:t>20 cinemas</w:t>
            </w:r>
          </w:p>
          <w:p>
            <w:pPr>
              <w:pStyle w:val="TableContents"/>
              <w:spacing w:lineRule="auto" w:line="300" w:before="0" w:after="0"/>
              <w:ind w:left="0" w:right="0" w:hanging="0"/>
              <w:jc w:val="both"/>
              <w:rPr/>
            </w:pPr>
            <w:r>
              <w:rPr/>
              <w:t> </w:t>
            </w:r>
          </w:p>
          <w:p>
            <w:pPr>
              <w:pStyle w:val="TableContents"/>
              <w:spacing w:lineRule="auto" w:line="300" w:before="0" w:after="0"/>
              <w:ind w:left="0" w:right="0" w:hanging="0"/>
              <w:jc w:val="both"/>
              <w:rPr/>
            </w:pPr>
            <w:r>
              <w:rPr/>
              <w:t> </w:t>
            </w:r>
          </w:p>
          <w:p>
            <w:pPr>
              <w:pStyle w:val="TableContents"/>
              <w:spacing w:lineRule="auto" w:line="300" w:before="0" w:after="0"/>
              <w:ind w:left="0" w:right="0" w:hanging="0"/>
              <w:jc w:val="center"/>
              <w:rPr/>
            </w:pPr>
            <w:r>
              <w:rPr>
                <w:rStyle w:val="StrongEmphasis"/>
                <w:rFonts w:ascii="Times New Roman" w:hAnsi="Times New Roman"/>
                <w:sz w:val="20"/>
              </w:rPr>
              <w:t>152 screens</w:t>
            </w:r>
          </w:p>
          <w:p>
            <w:pPr>
              <w:pStyle w:val="TableContents"/>
              <w:spacing w:lineRule="auto" w:line="300" w:before="0" w:after="0"/>
              <w:ind w:left="0" w:right="0" w:hanging="0"/>
              <w:jc w:val="both"/>
              <w:rPr/>
            </w:pPr>
            <w:r>
              <w:rPr/>
              <w:t> </w:t>
            </w:r>
          </w:p>
        </w:tc>
      </w:tr>
      <w:tr>
        <w:trPr/>
        <w:tc>
          <w:tcPr>
            <w:tcW w:w="1817" w:type="dxa"/>
            <w:tcBorders/>
            <w:shd w:fill="FFFFFF" w:val="clear"/>
            <w:tcMar>
              <w:bottom w:w="0" w:type="dxa"/>
            </w:tcMar>
          </w:tcPr>
          <w:p>
            <w:pPr>
              <w:pStyle w:val="TableContents"/>
              <w:spacing w:lineRule="auto" w:line="300" w:before="0" w:after="0"/>
              <w:ind w:left="0" w:right="0" w:hanging="0"/>
              <w:jc w:val="both"/>
              <w:rPr/>
            </w:pPr>
            <w:r>
              <w:rPr/>
              <w:t> </w:t>
            </w:r>
          </w:p>
          <w:p>
            <w:pPr>
              <w:pStyle w:val="TableContents"/>
              <w:spacing w:lineRule="auto" w:line="300" w:before="0" w:after="0"/>
              <w:ind w:left="0" w:right="0" w:hanging="0"/>
              <w:jc w:val="both"/>
              <w:rPr>
                <w:rFonts w:ascii="Times New Roman" w:hAnsi="Times New Roman"/>
                <w:sz w:val="20"/>
              </w:rPr>
            </w:pPr>
            <w:r>
              <w:rPr>
                <w:rFonts w:ascii="Times New Roman" w:hAnsi="Times New Roman"/>
                <w:sz w:val="20"/>
              </w:rPr>
              <w:t>New Zealand</w:t>
            </w:r>
          </w:p>
          <w:p>
            <w:pPr>
              <w:pStyle w:val="TableContents"/>
              <w:spacing w:lineRule="auto" w:line="300" w:before="0" w:after="0"/>
              <w:ind w:left="0" w:right="0" w:hanging="0"/>
              <w:jc w:val="both"/>
              <w:rPr/>
            </w:pPr>
            <w:r>
              <w:rPr/>
              <w:t> </w:t>
            </w:r>
          </w:p>
        </w:tc>
        <w:tc>
          <w:tcPr>
            <w:tcW w:w="1817" w:type="dxa"/>
            <w:tcBorders/>
            <w:shd w:fill="FFFFFF" w:val="clear"/>
            <w:tcMar>
              <w:bottom w:w="0" w:type="dxa"/>
            </w:tcMar>
          </w:tcPr>
          <w:p>
            <w:pPr>
              <w:pStyle w:val="TableContents"/>
              <w:spacing w:lineRule="auto" w:line="300" w:before="0" w:after="0"/>
              <w:ind w:left="0" w:right="0" w:hanging="0"/>
              <w:jc w:val="both"/>
              <w:rPr/>
            </w:pPr>
            <w:r>
              <w:rPr/>
              <w:t> </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9 cinemas</w:t>
            </w:r>
          </w:p>
          <w:p>
            <w:pPr>
              <w:pStyle w:val="TableContents"/>
              <w:spacing w:lineRule="auto" w:line="300" w:before="0" w:after="0"/>
              <w:ind w:left="0" w:right="0" w:hanging="0"/>
              <w:jc w:val="both"/>
              <w:rPr/>
            </w:pPr>
            <w:r>
              <w:rPr/>
              <w:t> </w:t>
            </w:r>
          </w:p>
          <w:p>
            <w:pPr>
              <w:pStyle w:val="TableContents"/>
              <w:spacing w:lineRule="auto" w:line="300" w:before="0" w:after="0"/>
              <w:ind w:left="0" w:right="0" w:hanging="0"/>
              <w:jc w:val="both"/>
              <w:rPr/>
            </w:pPr>
            <w:r>
              <w:rPr/>
              <w:t> </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48 screens</w:t>
            </w:r>
          </w:p>
          <w:p>
            <w:pPr>
              <w:pStyle w:val="TableContents"/>
              <w:spacing w:lineRule="auto" w:line="300" w:before="0" w:after="0"/>
              <w:ind w:left="0" w:right="0" w:hanging="0"/>
              <w:jc w:val="both"/>
              <w:rPr/>
            </w:pPr>
            <w:r>
              <w:rPr/>
              <w:t> </w:t>
            </w:r>
          </w:p>
        </w:tc>
        <w:tc>
          <w:tcPr>
            <w:tcW w:w="1817" w:type="dxa"/>
            <w:tcBorders/>
            <w:shd w:fill="FFFFFF" w:val="clear"/>
            <w:tcMar>
              <w:bottom w:w="0" w:type="dxa"/>
            </w:tcMar>
          </w:tcPr>
          <w:p>
            <w:pPr>
              <w:pStyle w:val="TableContents"/>
              <w:spacing w:lineRule="auto" w:line="300" w:before="0" w:after="0"/>
              <w:ind w:left="0" w:right="0" w:hanging="0"/>
              <w:jc w:val="both"/>
              <w:rPr/>
            </w:pPr>
            <w:r>
              <w:rPr/>
              <w:t> </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None</w:t>
            </w:r>
          </w:p>
          <w:p>
            <w:pPr>
              <w:pStyle w:val="TableContents"/>
              <w:spacing w:lineRule="auto" w:line="300" w:before="0" w:after="0"/>
              <w:ind w:left="0" w:right="0" w:hanging="0"/>
              <w:jc w:val="both"/>
              <w:rPr/>
            </w:pPr>
            <w:r>
              <w:rPr/>
              <w:t> </w:t>
            </w:r>
          </w:p>
        </w:tc>
        <w:tc>
          <w:tcPr>
            <w:tcW w:w="1958" w:type="dxa"/>
            <w:tcBorders/>
            <w:shd w:fill="FFFFFF" w:val="clear"/>
            <w:tcMar>
              <w:bottom w:w="0" w:type="dxa"/>
            </w:tcMar>
          </w:tcPr>
          <w:p>
            <w:pPr>
              <w:pStyle w:val="TableContents"/>
              <w:spacing w:lineRule="auto" w:line="300" w:before="0" w:after="0"/>
              <w:ind w:left="0" w:right="0" w:hanging="0"/>
              <w:jc w:val="both"/>
              <w:rPr/>
            </w:pPr>
            <w:r>
              <w:rPr/>
              <w:t> </w:t>
            </w:r>
          </w:p>
          <w:p>
            <w:pPr>
              <w:pStyle w:val="TableContents"/>
              <w:spacing w:lineRule="auto" w:line="300" w:before="0" w:after="0"/>
              <w:ind w:left="0" w:right="0" w:hanging="0"/>
              <w:jc w:val="center"/>
              <w:rPr/>
            </w:pPr>
            <w:r>
              <w:rPr>
                <w:rFonts w:ascii="Times New Roman" w:hAnsi="Times New Roman"/>
                <w:sz w:val="20"/>
              </w:rPr>
              <w:t>6 cinemas</w:t>
            </w:r>
            <w:r>
              <w:rPr>
                <w:rFonts w:ascii="Times New Roman" w:hAnsi="Times New Roman"/>
                <w:position w:val="7"/>
                <w:sz w:val="16"/>
                <w:sz w:val="20"/>
              </w:rPr>
              <w:t>5</w:t>
            </w:r>
          </w:p>
          <w:p>
            <w:pPr>
              <w:pStyle w:val="TableContents"/>
              <w:spacing w:lineRule="auto" w:line="300" w:before="0" w:after="0"/>
              <w:ind w:left="0" w:right="0" w:hanging="0"/>
              <w:jc w:val="both"/>
              <w:rPr/>
            </w:pPr>
            <w:r>
              <w:rPr/>
              <w:t> </w:t>
            </w:r>
          </w:p>
          <w:p>
            <w:pPr>
              <w:pStyle w:val="TableContents"/>
              <w:spacing w:lineRule="auto" w:line="300" w:before="0" w:after="0"/>
              <w:ind w:left="0" w:right="0" w:hanging="0"/>
              <w:jc w:val="both"/>
              <w:rPr/>
            </w:pPr>
            <w:r>
              <w:rPr/>
              <w:t> </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30 screens</w:t>
            </w:r>
          </w:p>
          <w:p>
            <w:pPr>
              <w:pStyle w:val="TableContents"/>
              <w:spacing w:lineRule="auto" w:line="300" w:before="0" w:after="0"/>
              <w:ind w:left="0" w:right="0" w:hanging="0"/>
              <w:jc w:val="both"/>
              <w:rPr/>
            </w:pPr>
            <w:r>
              <w:rPr/>
              <w:t> </w:t>
            </w:r>
          </w:p>
        </w:tc>
        <w:tc>
          <w:tcPr>
            <w:tcW w:w="1398" w:type="dxa"/>
            <w:tcBorders/>
            <w:shd w:fill="FFFFFF" w:val="clear"/>
            <w:tcMar>
              <w:bottom w:w="0" w:type="dxa"/>
            </w:tcMar>
          </w:tcPr>
          <w:p>
            <w:pPr>
              <w:pStyle w:val="TableContents"/>
              <w:spacing w:lineRule="auto" w:line="300" w:before="0" w:after="0"/>
              <w:ind w:left="0" w:right="0" w:hanging="0"/>
              <w:jc w:val="both"/>
              <w:rPr/>
            </w:pPr>
            <w:r>
              <w:rPr/>
              <w:t> </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None</w:t>
            </w:r>
          </w:p>
          <w:p>
            <w:pPr>
              <w:pStyle w:val="TableContents"/>
              <w:spacing w:lineRule="auto" w:line="300" w:before="0" w:after="0"/>
              <w:ind w:left="0" w:right="0" w:hanging="0"/>
              <w:jc w:val="both"/>
              <w:rPr/>
            </w:pPr>
            <w:r>
              <w:rPr/>
              <w:t> </w:t>
            </w:r>
          </w:p>
        </w:tc>
        <w:tc>
          <w:tcPr>
            <w:tcW w:w="1398" w:type="dxa"/>
            <w:tcBorders/>
            <w:shd w:fill="FFFFFF" w:val="clear"/>
            <w:tcMar>
              <w:bottom w:w="0" w:type="dxa"/>
            </w:tcMar>
          </w:tcPr>
          <w:p>
            <w:pPr>
              <w:pStyle w:val="TableContents"/>
              <w:spacing w:lineRule="auto" w:line="300" w:before="0" w:after="0"/>
              <w:ind w:left="0" w:right="0" w:hanging="0"/>
              <w:jc w:val="both"/>
              <w:rPr/>
            </w:pPr>
            <w:r>
              <w:rPr/>
              <w:t> </w:t>
            </w:r>
          </w:p>
          <w:p>
            <w:pPr>
              <w:pStyle w:val="TableContents"/>
              <w:spacing w:lineRule="auto" w:line="300" w:before="0" w:after="0"/>
              <w:ind w:left="0" w:right="0" w:hanging="0"/>
              <w:jc w:val="center"/>
              <w:rPr/>
            </w:pPr>
            <w:r>
              <w:rPr>
                <w:rStyle w:val="StrongEmphasis"/>
                <w:rFonts w:ascii="Times New Roman" w:hAnsi="Times New Roman"/>
                <w:sz w:val="20"/>
              </w:rPr>
              <w:t>15 cinemas</w:t>
            </w:r>
          </w:p>
          <w:p>
            <w:pPr>
              <w:pStyle w:val="TableContents"/>
              <w:spacing w:lineRule="auto" w:line="300" w:before="0" w:after="0"/>
              <w:ind w:left="0" w:right="0" w:hanging="0"/>
              <w:jc w:val="both"/>
              <w:rPr/>
            </w:pPr>
            <w:r>
              <w:rPr/>
              <w:t> </w:t>
            </w:r>
          </w:p>
          <w:p>
            <w:pPr>
              <w:pStyle w:val="TableContents"/>
              <w:spacing w:lineRule="auto" w:line="300" w:before="0" w:after="0"/>
              <w:ind w:left="0" w:right="0" w:hanging="0"/>
              <w:jc w:val="both"/>
              <w:rPr/>
            </w:pPr>
            <w:r>
              <w:rPr/>
              <w:t> </w:t>
            </w:r>
          </w:p>
          <w:p>
            <w:pPr>
              <w:pStyle w:val="TableContents"/>
              <w:spacing w:lineRule="auto" w:line="300" w:before="0" w:after="0"/>
              <w:ind w:left="0" w:right="0" w:hanging="0"/>
              <w:jc w:val="center"/>
              <w:rPr/>
            </w:pPr>
            <w:r>
              <w:rPr>
                <w:rStyle w:val="StrongEmphasis"/>
                <w:rFonts w:ascii="Times New Roman" w:hAnsi="Times New Roman"/>
                <w:sz w:val="20"/>
              </w:rPr>
              <w:t>78 screens</w:t>
            </w:r>
          </w:p>
          <w:p>
            <w:pPr>
              <w:pStyle w:val="TableContents"/>
              <w:spacing w:lineRule="auto" w:line="300" w:before="0" w:after="0"/>
              <w:ind w:left="0" w:right="0" w:hanging="0"/>
              <w:jc w:val="both"/>
              <w:rPr/>
            </w:pPr>
            <w:r>
              <w:rPr/>
              <w:t> </w:t>
            </w:r>
          </w:p>
        </w:tc>
      </w:tr>
      <w:tr>
        <w:trPr/>
        <w:tc>
          <w:tcPr>
            <w:tcW w:w="1817" w:type="dxa"/>
            <w:tcBorders>
              <w:bottom w:val="single" w:sz="2" w:space="0" w:color="000000"/>
            </w:tcBorders>
            <w:shd w:fill="CCEEFF" w:val="clear"/>
          </w:tcPr>
          <w:p>
            <w:pPr>
              <w:pStyle w:val="TableContents"/>
              <w:spacing w:lineRule="auto" w:line="300" w:before="0" w:after="0"/>
              <w:ind w:left="0" w:right="0" w:hanging="0"/>
              <w:jc w:val="both"/>
              <w:rPr/>
            </w:pPr>
            <w:r>
              <w:rPr/>
              <w:t> </w:t>
            </w:r>
          </w:p>
          <w:p>
            <w:pPr>
              <w:pStyle w:val="TableContents"/>
              <w:spacing w:lineRule="auto" w:line="300" w:before="0" w:after="0"/>
              <w:ind w:left="0" w:right="0" w:hanging="0"/>
              <w:jc w:val="both"/>
              <w:rPr>
                <w:rFonts w:ascii="Times New Roman" w:hAnsi="Times New Roman"/>
                <w:sz w:val="20"/>
              </w:rPr>
            </w:pPr>
            <w:r>
              <w:rPr>
                <w:rFonts w:ascii="Times New Roman" w:hAnsi="Times New Roman"/>
                <w:sz w:val="20"/>
              </w:rPr>
              <w:t>United States</w:t>
            </w:r>
          </w:p>
          <w:p>
            <w:pPr>
              <w:pStyle w:val="TableContents"/>
              <w:spacing w:lineRule="auto" w:line="300" w:before="0" w:after="0"/>
              <w:ind w:left="0" w:right="0" w:hanging="0"/>
              <w:jc w:val="both"/>
              <w:rPr/>
            </w:pPr>
            <w:r>
              <w:rPr/>
              <w:t> </w:t>
            </w:r>
          </w:p>
        </w:tc>
        <w:tc>
          <w:tcPr>
            <w:tcW w:w="1817" w:type="dxa"/>
            <w:tcBorders>
              <w:bottom w:val="single" w:sz="2" w:space="0" w:color="000000"/>
            </w:tcBorders>
            <w:shd w:fill="CCEEFF" w:val="clear"/>
          </w:tcPr>
          <w:p>
            <w:pPr>
              <w:pStyle w:val="TableContents"/>
              <w:spacing w:lineRule="auto" w:line="300" w:before="0" w:after="0"/>
              <w:ind w:left="0" w:right="0" w:hanging="0"/>
              <w:jc w:val="both"/>
              <w:rPr/>
            </w:pPr>
            <w:r>
              <w:rPr/>
              <w:t> </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6 cinemas</w:t>
            </w:r>
          </w:p>
          <w:p>
            <w:pPr>
              <w:pStyle w:val="TableContents"/>
              <w:spacing w:lineRule="auto" w:line="300" w:before="0" w:after="0"/>
              <w:ind w:left="0" w:right="0" w:hanging="0"/>
              <w:jc w:val="both"/>
              <w:rPr/>
            </w:pPr>
            <w:r>
              <w:rPr/>
              <w:t> </w:t>
            </w:r>
          </w:p>
          <w:p>
            <w:pPr>
              <w:pStyle w:val="TableContents"/>
              <w:spacing w:lineRule="auto" w:line="300" w:before="0" w:after="0"/>
              <w:ind w:left="0" w:right="0" w:hanging="0"/>
              <w:jc w:val="both"/>
              <w:rPr/>
            </w:pPr>
            <w:r>
              <w:rPr/>
              <w:t> </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41 screens</w:t>
            </w:r>
          </w:p>
          <w:p>
            <w:pPr>
              <w:pStyle w:val="TableContents"/>
              <w:spacing w:lineRule="auto" w:line="300" w:before="0" w:after="0"/>
              <w:ind w:left="0" w:right="0" w:hanging="0"/>
              <w:jc w:val="both"/>
              <w:rPr/>
            </w:pPr>
            <w:r>
              <w:rPr/>
              <w:t> </w:t>
            </w:r>
          </w:p>
        </w:tc>
        <w:tc>
          <w:tcPr>
            <w:tcW w:w="1817" w:type="dxa"/>
            <w:tcBorders>
              <w:bottom w:val="single" w:sz="2" w:space="0" w:color="000000"/>
            </w:tcBorders>
            <w:shd w:fill="CCEEFF" w:val="clear"/>
          </w:tcPr>
          <w:p>
            <w:pPr>
              <w:pStyle w:val="TableContents"/>
              <w:spacing w:lineRule="auto" w:line="300" w:before="0" w:after="0"/>
              <w:ind w:left="0" w:right="0" w:hanging="0"/>
              <w:jc w:val="both"/>
              <w:rPr/>
            </w:pPr>
            <w:r>
              <w:rPr/>
              <w:t> </w:t>
            </w:r>
          </w:p>
          <w:p>
            <w:pPr>
              <w:pStyle w:val="TableContents"/>
              <w:spacing w:lineRule="auto" w:line="300" w:before="0" w:after="0"/>
              <w:ind w:left="0" w:right="0" w:hanging="0"/>
              <w:jc w:val="center"/>
              <w:rPr/>
            </w:pPr>
            <w:r>
              <w:rPr>
                <w:rFonts w:ascii="Times New Roman" w:hAnsi="Times New Roman"/>
                <w:sz w:val="20"/>
              </w:rPr>
              <w:t>1 cinema</w:t>
            </w:r>
            <w:r>
              <w:rPr>
                <w:rFonts w:ascii="Times New Roman" w:hAnsi="Times New Roman"/>
                <w:position w:val="7"/>
                <w:sz w:val="16"/>
                <w:sz w:val="20"/>
              </w:rPr>
              <w:t>6</w:t>
            </w:r>
          </w:p>
          <w:p>
            <w:pPr>
              <w:pStyle w:val="TableContents"/>
              <w:spacing w:lineRule="auto" w:line="300" w:before="0" w:after="0"/>
              <w:ind w:left="0" w:right="0" w:hanging="0"/>
              <w:jc w:val="both"/>
              <w:rPr/>
            </w:pPr>
            <w:r>
              <w:rPr/>
              <w:t> </w:t>
            </w:r>
          </w:p>
          <w:p>
            <w:pPr>
              <w:pStyle w:val="TableContents"/>
              <w:spacing w:lineRule="auto" w:line="300" w:before="0" w:after="0"/>
              <w:ind w:left="0" w:right="0" w:hanging="0"/>
              <w:jc w:val="both"/>
              <w:rPr/>
            </w:pPr>
            <w:r>
              <w:rPr/>
              <w:t> </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6 screens</w:t>
            </w:r>
          </w:p>
          <w:p>
            <w:pPr>
              <w:pStyle w:val="TableContents"/>
              <w:spacing w:lineRule="auto" w:line="300" w:before="0" w:after="0"/>
              <w:ind w:left="0" w:right="0" w:hanging="0"/>
              <w:jc w:val="both"/>
              <w:rPr/>
            </w:pPr>
            <w:r>
              <w:rPr/>
              <w:t> </w:t>
            </w:r>
          </w:p>
        </w:tc>
        <w:tc>
          <w:tcPr>
            <w:tcW w:w="1958" w:type="dxa"/>
            <w:tcBorders>
              <w:bottom w:val="single" w:sz="2" w:space="0" w:color="000000"/>
            </w:tcBorders>
            <w:shd w:fill="CCEEFF" w:val="clear"/>
          </w:tcPr>
          <w:p>
            <w:pPr>
              <w:pStyle w:val="TableContents"/>
              <w:spacing w:lineRule="auto" w:line="300" w:before="0" w:after="0"/>
              <w:ind w:left="0" w:right="0" w:hanging="0"/>
              <w:jc w:val="both"/>
              <w:rPr/>
            </w:pPr>
            <w:r>
              <w:rPr/>
              <w:t> </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None</w:t>
            </w:r>
          </w:p>
          <w:p>
            <w:pPr>
              <w:pStyle w:val="TableContents"/>
              <w:spacing w:lineRule="auto" w:line="300" w:before="0" w:after="0"/>
              <w:ind w:left="0" w:right="0" w:hanging="0"/>
              <w:jc w:val="both"/>
              <w:rPr/>
            </w:pPr>
            <w:r>
              <w:rPr/>
              <w:t> </w:t>
            </w:r>
          </w:p>
        </w:tc>
        <w:tc>
          <w:tcPr>
            <w:tcW w:w="1398" w:type="dxa"/>
            <w:tcBorders>
              <w:bottom w:val="single" w:sz="2" w:space="0" w:color="000000"/>
            </w:tcBorders>
            <w:shd w:fill="CCEEFF" w:val="clear"/>
          </w:tcPr>
          <w:p>
            <w:pPr>
              <w:pStyle w:val="TableContents"/>
              <w:spacing w:lineRule="auto" w:line="300" w:before="0" w:after="0"/>
              <w:ind w:left="0" w:right="0" w:hanging="0"/>
              <w:jc w:val="both"/>
              <w:rPr/>
            </w:pPr>
            <w:r>
              <w:rPr/>
              <w:t> </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2 cinemas</w:t>
            </w:r>
          </w:p>
          <w:p>
            <w:pPr>
              <w:pStyle w:val="TableContents"/>
              <w:spacing w:lineRule="auto" w:line="300" w:before="0" w:after="0"/>
              <w:ind w:left="0" w:right="0" w:hanging="0"/>
              <w:jc w:val="both"/>
              <w:rPr/>
            </w:pPr>
            <w:r>
              <w:rPr/>
              <w:t> </w:t>
            </w:r>
          </w:p>
          <w:p>
            <w:pPr>
              <w:pStyle w:val="TableContents"/>
              <w:spacing w:lineRule="auto" w:line="300" w:before="0" w:after="0"/>
              <w:ind w:left="0" w:right="0" w:hanging="0"/>
              <w:jc w:val="both"/>
              <w:rPr/>
            </w:pPr>
            <w:r>
              <w:rPr/>
              <w:t> </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9 screens</w:t>
            </w:r>
          </w:p>
          <w:p>
            <w:pPr>
              <w:pStyle w:val="TableContents"/>
              <w:spacing w:lineRule="auto" w:line="300" w:before="0" w:after="0"/>
              <w:ind w:left="0" w:right="0" w:hanging="0"/>
              <w:jc w:val="both"/>
              <w:rPr/>
            </w:pPr>
            <w:r>
              <w:rPr/>
              <w:t> </w:t>
            </w:r>
          </w:p>
        </w:tc>
        <w:tc>
          <w:tcPr>
            <w:tcW w:w="1398" w:type="dxa"/>
            <w:tcBorders>
              <w:bottom w:val="single" w:sz="2" w:space="0" w:color="000000"/>
            </w:tcBorders>
            <w:shd w:fill="CCEEFF" w:val="clear"/>
          </w:tcPr>
          <w:p>
            <w:pPr>
              <w:pStyle w:val="TableContents"/>
              <w:spacing w:lineRule="auto" w:line="300" w:before="0" w:after="0"/>
              <w:ind w:left="0" w:right="0" w:hanging="0"/>
              <w:jc w:val="both"/>
              <w:rPr/>
            </w:pPr>
            <w:r>
              <w:rPr/>
              <w:t> </w:t>
            </w:r>
          </w:p>
          <w:p>
            <w:pPr>
              <w:pStyle w:val="TableContents"/>
              <w:spacing w:lineRule="auto" w:line="300" w:before="0" w:after="0"/>
              <w:ind w:left="0" w:right="0" w:hanging="0"/>
              <w:jc w:val="center"/>
              <w:rPr/>
            </w:pPr>
            <w:r>
              <w:rPr>
                <w:rStyle w:val="StrongEmphasis"/>
                <w:rFonts w:ascii="Times New Roman" w:hAnsi="Times New Roman"/>
                <w:sz w:val="20"/>
              </w:rPr>
              <w:t>9 cinemas</w:t>
            </w:r>
          </w:p>
          <w:p>
            <w:pPr>
              <w:pStyle w:val="TableContents"/>
              <w:spacing w:lineRule="auto" w:line="300" w:before="0" w:after="0"/>
              <w:ind w:left="0" w:right="0" w:hanging="0"/>
              <w:jc w:val="both"/>
              <w:rPr/>
            </w:pPr>
            <w:r>
              <w:rPr/>
              <w:t> </w:t>
            </w:r>
          </w:p>
          <w:p>
            <w:pPr>
              <w:pStyle w:val="TableContents"/>
              <w:spacing w:lineRule="auto" w:line="300" w:before="0" w:after="0"/>
              <w:ind w:left="0" w:right="0" w:hanging="0"/>
              <w:jc w:val="both"/>
              <w:rPr/>
            </w:pPr>
            <w:r>
              <w:rPr/>
              <w:t> </w:t>
            </w:r>
          </w:p>
          <w:p>
            <w:pPr>
              <w:pStyle w:val="TableContents"/>
              <w:spacing w:lineRule="auto" w:line="300" w:before="0" w:after="0"/>
              <w:ind w:left="0" w:right="0" w:hanging="0"/>
              <w:jc w:val="center"/>
              <w:rPr/>
            </w:pPr>
            <w:r>
              <w:rPr>
                <w:rStyle w:val="StrongEmphasis"/>
                <w:rFonts w:ascii="Times New Roman" w:hAnsi="Times New Roman"/>
                <w:sz w:val="20"/>
              </w:rPr>
              <w:t>56 screens</w:t>
            </w:r>
          </w:p>
          <w:p>
            <w:pPr>
              <w:pStyle w:val="TableContents"/>
              <w:spacing w:lineRule="auto" w:line="300" w:before="0" w:after="0"/>
              <w:ind w:left="0" w:right="0" w:hanging="0"/>
              <w:jc w:val="both"/>
              <w:rPr/>
            </w:pPr>
            <w:r>
              <w:rPr/>
              <w:t> </w:t>
            </w:r>
          </w:p>
        </w:tc>
      </w:tr>
      <w:tr>
        <w:trPr/>
        <w:tc>
          <w:tcPr>
            <w:tcW w:w="1817" w:type="dxa"/>
            <w:tcBorders>
              <w:bottom w:val="double" w:sz="2" w:space="0" w:color="000000"/>
            </w:tcBorders>
            <w:shd w:fill="FFFFFF" w:val="clear"/>
          </w:tcPr>
          <w:p>
            <w:pPr>
              <w:pStyle w:val="TableContents"/>
              <w:spacing w:lineRule="auto" w:line="300" w:before="0" w:after="0"/>
              <w:ind w:left="0" w:right="0" w:hanging="0"/>
              <w:jc w:val="both"/>
              <w:rPr/>
            </w:pPr>
            <w:r>
              <w:rPr/>
              <w:t> </w:t>
            </w:r>
          </w:p>
          <w:p>
            <w:pPr>
              <w:pStyle w:val="TableContents"/>
              <w:spacing w:lineRule="auto" w:line="300" w:before="0" w:after="0"/>
              <w:ind w:left="0" w:right="0" w:hanging="0"/>
              <w:jc w:val="left"/>
              <w:rPr/>
            </w:pPr>
            <w:r>
              <w:rPr>
                <w:rStyle w:val="StrongEmphasis"/>
                <w:rFonts w:ascii="Times New Roman" w:hAnsi="Times New Roman"/>
                <w:sz w:val="20"/>
              </w:rPr>
              <w:t>TOTALS</w:t>
            </w:r>
          </w:p>
          <w:p>
            <w:pPr>
              <w:pStyle w:val="TableContents"/>
              <w:spacing w:lineRule="auto" w:line="300" w:before="0" w:after="0"/>
              <w:ind w:left="0" w:right="0" w:hanging="0"/>
              <w:jc w:val="both"/>
              <w:rPr/>
            </w:pPr>
            <w:r>
              <w:rPr/>
              <w:t> </w:t>
            </w:r>
          </w:p>
        </w:tc>
        <w:tc>
          <w:tcPr>
            <w:tcW w:w="1817" w:type="dxa"/>
            <w:tcBorders>
              <w:bottom w:val="double" w:sz="2" w:space="0" w:color="000000"/>
            </w:tcBorders>
            <w:shd w:fill="FFFFFF" w:val="clear"/>
          </w:tcPr>
          <w:p>
            <w:pPr>
              <w:pStyle w:val="TableContents"/>
              <w:spacing w:lineRule="auto" w:line="300" w:before="0" w:after="0"/>
              <w:ind w:left="0" w:right="0" w:hanging="0"/>
              <w:jc w:val="both"/>
              <w:rPr/>
            </w:pPr>
            <w:r>
              <w:rPr/>
              <w:t> </w:t>
            </w:r>
          </w:p>
          <w:p>
            <w:pPr>
              <w:pStyle w:val="TableContents"/>
              <w:spacing w:lineRule="auto" w:line="300" w:before="0" w:after="0"/>
              <w:ind w:left="0" w:right="0" w:hanging="0"/>
              <w:jc w:val="center"/>
              <w:rPr/>
            </w:pPr>
            <w:r>
              <w:rPr>
                <w:rStyle w:val="StrongEmphasis"/>
                <w:rFonts w:ascii="Times New Roman" w:hAnsi="Times New Roman"/>
                <w:sz w:val="20"/>
              </w:rPr>
              <w:t>31 cinemas</w:t>
            </w:r>
          </w:p>
          <w:p>
            <w:pPr>
              <w:pStyle w:val="TableContents"/>
              <w:spacing w:lineRule="auto" w:line="300" w:before="0" w:after="0"/>
              <w:ind w:left="0" w:right="0" w:hanging="0"/>
              <w:jc w:val="both"/>
              <w:rPr/>
            </w:pPr>
            <w:r>
              <w:rPr/>
              <w:t> </w:t>
            </w:r>
          </w:p>
          <w:p>
            <w:pPr>
              <w:pStyle w:val="TableContents"/>
              <w:spacing w:lineRule="auto" w:line="300" w:before="0" w:after="0"/>
              <w:ind w:left="0" w:right="0" w:hanging="0"/>
              <w:jc w:val="both"/>
              <w:rPr/>
            </w:pPr>
            <w:r>
              <w:rPr/>
              <w:t> </w:t>
            </w:r>
          </w:p>
          <w:p>
            <w:pPr>
              <w:pStyle w:val="TableContents"/>
              <w:spacing w:lineRule="auto" w:line="300" w:before="0" w:after="0"/>
              <w:ind w:left="0" w:right="0" w:hanging="0"/>
              <w:jc w:val="center"/>
              <w:rPr/>
            </w:pPr>
            <w:r>
              <w:rPr>
                <w:rStyle w:val="StrongEmphasis"/>
                <w:rFonts w:ascii="Times New Roman" w:hAnsi="Times New Roman"/>
                <w:sz w:val="20"/>
              </w:rPr>
              <w:t>209 screens</w:t>
            </w:r>
          </w:p>
          <w:p>
            <w:pPr>
              <w:pStyle w:val="TableContents"/>
              <w:spacing w:lineRule="auto" w:line="300" w:before="0" w:after="0"/>
              <w:ind w:left="0" w:right="0" w:hanging="0"/>
              <w:jc w:val="both"/>
              <w:rPr/>
            </w:pPr>
            <w:r>
              <w:rPr/>
              <w:t> </w:t>
            </w:r>
          </w:p>
        </w:tc>
        <w:tc>
          <w:tcPr>
            <w:tcW w:w="1817" w:type="dxa"/>
            <w:tcBorders>
              <w:bottom w:val="double" w:sz="2" w:space="0" w:color="000000"/>
            </w:tcBorders>
            <w:shd w:fill="FFFFFF" w:val="clear"/>
          </w:tcPr>
          <w:p>
            <w:pPr>
              <w:pStyle w:val="TableContents"/>
              <w:spacing w:lineRule="auto" w:line="300" w:before="0" w:after="0"/>
              <w:ind w:left="0" w:right="0" w:hanging="0"/>
              <w:jc w:val="both"/>
              <w:rPr/>
            </w:pPr>
            <w:r>
              <w:rPr/>
              <w:t> </w:t>
            </w:r>
          </w:p>
          <w:p>
            <w:pPr>
              <w:pStyle w:val="TableContents"/>
              <w:spacing w:lineRule="auto" w:line="300" w:before="0" w:after="0"/>
              <w:ind w:left="0" w:right="0" w:hanging="0"/>
              <w:jc w:val="center"/>
              <w:rPr/>
            </w:pPr>
            <w:r>
              <w:rPr>
                <w:rStyle w:val="StrongEmphasis"/>
                <w:rFonts w:ascii="Times New Roman" w:hAnsi="Times New Roman"/>
                <w:sz w:val="20"/>
              </w:rPr>
              <w:t>4 cinemas</w:t>
            </w:r>
          </w:p>
          <w:p>
            <w:pPr>
              <w:pStyle w:val="TableContents"/>
              <w:spacing w:lineRule="auto" w:line="300" w:before="0" w:after="0"/>
              <w:ind w:left="0" w:right="0" w:hanging="0"/>
              <w:jc w:val="both"/>
              <w:rPr/>
            </w:pPr>
            <w:r>
              <w:rPr/>
              <w:t> </w:t>
            </w:r>
          </w:p>
          <w:p>
            <w:pPr>
              <w:pStyle w:val="TableContents"/>
              <w:spacing w:lineRule="auto" w:line="300" w:before="0" w:after="0"/>
              <w:ind w:left="0" w:right="0" w:hanging="0"/>
              <w:jc w:val="both"/>
              <w:rPr/>
            </w:pPr>
            <w:r>
              <w:rPr/>
              <w:t> </w:t>
            </w:r>
          </w:p>
          <w:p>
            <w:pPr>
              <w:pStyle w:val="TableContents"/>
              <w:spacing w:lineRule="auto" w:line="300" w:before="0" w:after="0"/>
              <w:ind w:left="0" w:right="0" w:hanging="0"/>
              <w:jc w:val="center"/>
              <w:rPr/>
            </w:pPr>
            <w:r>
              <w:rPr>
                <w:rStyle w:val="StrongEmphasis"/>
                <w:rFonts w:ascii="Times New Roman" w:hAnsi="Times New Roman"/>
                <w:sz w:val="20"/>
              </w:rPr>
              <w:t>22 screens</w:t>
            </w:r>
          </w:p>
          <w:p>
            <w:pPr>
              <w:pStyle w:val="TableContents"/>
              <w:spacing w:lineRule="auto" w:line="300" w:before="0" w:after="0"/>
              <w:ind w:left="0" w:right="0" w:hanging="0"/>
              <w:jc w:val="both"/>
              <w:rPr/>
            </w:pPr>
            <w:r>
              <w:rPr/>
              <w:t> </w:t>
            </w:r>
          </w:p>
        </w:tc>
        <w:tc>
          <w:tcPr>
            <w:tcW w:w="1958" w:type="dxa"/>
            <w:tcBorders>
              <w:bottom w:val="double" w:sz="2" w:space="0" w:color="000000"/>
            </w:tcBorders>
            <w:shd w:fill="FFFFFF" w:val="clear"/>
          </w:tcPr>
          <w:p>
            <w:pPr>
              <w:pStyle w:val="TableContents"/>
              <w:spacing w:lineRule="auto" w:line="300" w:before="0" w:after="0"/>
              <w:ind w:left="0" w:right="0" w:hanging="0"/>
              <w:jc w:val="both"/>
              <w:rPr/>
            </w:pPr>
            <w:r>
              <w:rPr/>
              <w:t> </w:t>
            </w:r>
          </w:p>
          <w:p>
            <w:pPr>
              <w:pStyle w:val="TableContents"/>
              <w:spacing w:lineRule="auto" w:line="300" w:before="0" w:after="0"/>
              <w:ind w:left="0" w:right="0" w:hanging="0"/>
              <w:jc w:val="center"/>
              <w:rPr/>
            </w:pPr>
            <w:r>
              <w:rPr>
                <w:rStyle w:val="StrongEmphasis"/>
                <w:rFonts w:ascii="Times New Roman" w:hAnsi="Times New Roman"/>
                <w:sz w:val="20"/>
              </w:rPr>
              <w:t>7 cinemas</w:t>
            </w:r>
          </w:p>
          <w:p>
            <w:pPr>
              <w:pStyle w:val="TableContents"/>
              <w:spacing w:lineRule="auto" w:line="300" w:before="0" w:after="0"/>
              <w:ind w:left="0" w:right="0" w:hanging="0"/>
              <w:jc w:val="both"/>
              <w:rPr/>
            </w:pPr>
            <w:r>
              <w:rPr/>
              <w:t> </w:t>
            </w:r>
          </w:p>
          <w:p>
            <w:pPr>
              <w:pStyle w:val="TableContents"/>
              <w:spacing w:lineRule="auto" w:line="300" w:before="0" w:after="0"/>
              <w:ind w:left="0" w:right="0" w:hanging="0"/>
              <w:jc w:val="both"/>
              <w:rPr/>
            </w:pPr>
            <w:r>
              <w:rPr/>
              <w:t> </w:t>
            </w:r>
          </w:p>
          <w:p>
            <w:pPr>
              <w:pStyle w:val="TableContents"/>
              <w:spacing w:lineRule="auto" w:line="300" w:before="0" w:after="0"/>
              <w:ind w:left="0" w:right="0" w:hanging="0"/>
              <w:jc w:val="center"/>
              <w:rPr/>
            </w:pPr>
            <w:r>
              <w:rPr>
                <w:rStyle w:val="StrongEmphasis"/>
                <w:rFonts w:ascii="Times New Roman" w:hAnsi="Times New Roman"/>
                <w:sz w:val="20"/>
              </w:rPr>
              <w:t>46 screens</w:t>
            </w:r>
          </w:p>
          <w:p>
            <w:pPr>
              <w:pStyle w:val="TableContents"/>
              <w:spacing w:lineRule="auto" w:line="300" w:before="0" w:after="0"/>
              <w:ind w:left="0" w:right="0" w:hanging="0"/>
              <w:jc w:val="both"/>
              <w:rPr/>
            </w:pPr>
            <w:r>
              <w:rPr/>
              <w:t> </w:t>
            </w:r>
          </w:p>
        </w:tc>
        <w:tc>
          <w:tcPr>
            <w:tcW w:w="1398" w:type="dxa"/>
            <w:tcBorders>
              <w:bottom w:val="double" w:sz="2" w:space="0" w:color="000000"/>
            </w:tcBorders>
            <w:shd w:fill="FFFFFF" w:val="clear"/>
          </w:tcPr>
          <w:p>
            <w:pPr>
              <w:pStyle w:val="TableContents"/>
              <w:spacing w:lineRule="auto" w:line="300" w:before="0" w:after="0"/>
              <w:ind w:left="0" w:right="0" w:hanging="0"/>
              <w:jc w:val="both"/>
              <w:rPr/>
            </w:pPr>
            <w:r>
              <w:rPr/>
              <w:t> </w:t>
            </w:r>
          </w:p>
          <w:p>
            <w:pPr>
              <w:pStyle w:val="TableContents"/>
              <w:spacing w:lineRule="auto" w:line="300" w:before="0" w:after="0"/>
              <w:ind w:left="0" w:right="0" w:hanging="0"/>
              <w:jc w:val="center"/>
              <w:rPr/>
            </w:pPr>
            <w:r>
              <w:rPr>
                <w:rStyle w:val="StrongEmphasis"/>
                <w:rFonts w:ascii="Times New Roman" w:hAnsi="Times New Roman"/>
                <w:sz w:val="20"/>
              </w:rPr>
              <w:t>2 cinemas</w:t>
            </w:r>
          </w:p>
          <w:p>
            <w:pPr>
              <w:pStyle w:val="TableContents"/>
              <w:spacing w:lineRule="auto" w:line="300" w:before="0" w:after="0"/>
              <w:ind w:left="0" w:right="0" w:hanging="0"/>
              <w:jc w:val="both"/>
              <w:rPr/>
            </w:pPr>
            <w:r>
              <w:rPr/>
              <w:t> </w:t>
            </w:r>
          </w:p>
          <w:p>
            <w:pPr>
              <w:pStyle w:val="TableContents"/>
              <w:spacing w:lineRule="auto" w:line="300" w:before="0" w:after="0"/>
              <w:ind w:left="0" w:right="0" w:hanging="0"/>
              <w:jc w:val="both"/>
              <w:rPr/>
            </w:pPr>
            <w:r>
              <w:rPr/>
              <w:t> </w:t>
            </w:r>
          </w:p>
          <w:p>
            <w:pPr>
              <w:pStyle w:val="TableContents"/>
              <w:spacing w:lineRule="auto" w:line="300" w:before="0" w:after="0"/>
              <w:ind w:left="0" w:right="0" w:hanging="0"/>
              <w:jc w:val="center"/>
              <w:rPr/>
            </w:pPr>
            <w:r>
              <w:rPr>
                <w:rStyle w:val="StrongEmphasis"/>
                <w:rFonts w:ascii="Times New Roman" w:hAnsi="Times New Roman"/>
                <w:sz w:val="20"/>
              </w:rPr>
              <w:t>9</w:t>
            </w:r>
            <w:r>
              <w:rPr>
                <w:rStyle w:val="StrongEmphasis"/>
              </w:rPr>
              <w:t xml:space="preserve"> </w:t>
            </w:r>
            <w:r>
              <w:rPr>
                <w:rStyle w:val="StrongEmphasis"/>
                <w:rFonts w:ascii="Times New Roman" w:hAnsi="Times New Roman"/>
                <w:sz w:val="20"/>
              </w:rPr>
              <w:t>screens</w:t>
            </w:r>
          </w:p>
          <w:p>
            <w:pPr>
              <w:pStyle w:val="TableContents"/>
              <w:spacing w:lineRule="auto" w:line="300" w:before="0" w:after="0"/>
              <w:ind w:left="0" w:right="0" w:hanging="0"/>
              <w:jc w:val="both"/>
              <w:rPr/>
            </w:pPr>
            <w:r>
              <w:rPr/>
              <w:t> </w:t>
            </w:r>
          </w:p>
        </w:tc>
        <w:tc>
          <w:tcPr>
            <w:tcW w:w="1398" w:type="dxa"/>
            <w:tcBorders>
              <w:bottom w:val="double" w:sz="2" w:space="0" w:color="000000"/>
            </w:tcBorders>
            <w:shd w:fill="FFFFFF" w:val="clear"/>
          </w:tcPr>
          <w:p>
            <w:pPr>
              <w:pStyle w:val="TableContents"/>
              <w:spacing w:lineRule="auto" w:line="300" w:before="0" w:after="0"/>
              <w:ind w:left="0" w:right="0" w:hanging="0"/>
              <w:jc w:val="both"/>
              <w:rPr/>
            </w:pPr>
            <w:r>
              <w:rPr/>
              <w:t> </w:t>
            </w:r>
          </w:p>
          <w:p>
            <w:pPr>
              <w:pStyle w:val="TableContents"/>
              <w:spacing w:lineRule="auto" w:line="300" w:before="0" w:after="0"/>
              <w:ind w:left="0" w:right="0" w:hanging="0"/>
              <w:jc w:val="center"/>
              <w:rPr/>
            </w:pPr>
            <w:r>
              <w:rPr>
                <w:rStyle w:val="StrongEmphasis"/>
                <w:rFonts w:ascii="Times New Roman" w:hAnsi="Times New Roman"/>
                <w:sz w:val="20"/>
              </w:rPr>
              <w:t>44 cinemas</w:t>
            </w:r>
          </w:p>
          <w:p>
            <w:pPr>
              <w:pStyle w:val="TableContents"/>
              <w:spacing w:lineRule="auto" w:line="300" w:before="0" w:after="0"/>
              <w:ind w:left="0" w:right="0" w:hanging="0"/>
              <w:jc w:val="both"/>
              <w:rPr/>
            </w:pPr>
            <w:r>
              <w:rPr/>
              <w:t> </w:t>
            </w:r>
          </w:p>
          <w:p>
            <w:pPr>
              <w:pStyle w:val="TableContents"/>
              <w:spacing w:lineRule="auto" w:line="300" w:before="0" w:after="0"/>
              <w:ind w:left="0" w:right="0" w:hanging="0"/>
              <w:jc w:val="both"/>
              <w:rPr/>
            </w:pPr>
            <w:r>
              <w:rPr/>
              <w:t> </w:t>
            </w:r>
          </w:p>
          <w:p>
            <w:pPr>
              <w:pStyle w:val="TableContents"/>
              <w:spacing w:lineRule="auto" w:line="300" w:before="0" w:after="0"/>
              <w:ind w:left="0" w:right="0" w:hanging="0"/>
              <w:jc w:val="center"/>
              <w:rPr/>
            </w:pPr>
            <w:r>
              <w:rPr>
                <w:rStyle w:val="StrongEmphasis"/>
                <w:rFonts w:ascii="Times New Roman" w:hAnsi="Times New Roman"/>
                <w:sz w:val="20"/>
              </w:rPr>
              <w:t>286 screens</w:t>
            </w:r>
          </w:p>
          <w:p>
            <w:pPr>
              <w:pStyle w:val="TableContents"/>
              <w:spacing w:lineRule="auto" w:line="300" w:before="0" w:after="0"/>
              <w:ind w:left="0" w:right="0" w:hanging="0"/>
              <w:jc w:val="both"/>
              <w:rPr/>
            </w:pPr>
            <w:r>
              <w:rPr/>
              <w:t> </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position w:val="7"/>
          <w:sz w:val="16"/>
          <w:sz w:val="20"/>
        </w:rPr>
        <w:t>1 </w:t>
      </w:r>
      <w:r>
        <w:rPr>
          <w:rFonts w:ascii="Times New Roman" w:hAnsi="Times New Roman"/>
          <w:sz w:val="20"/>
        </w:rPr>
        <w:t xml:space="preserve"> Cinemas owned and operated through consolidated, but not wholly owned, majority owned subsidiaries. </w:t>
      </w:r>
    </w:p>
    <w:p>
      <w:pPr>
        <w:pStyle w:val="TextBody"/>
        <w:spacing w:before="0" w:after="0"/>
        <w:rPr>
          <w:rFonts w:ascii="Times New Roman" w:hAnsi="Times New Roman"/>
          <w:sz w:val="20"/>
        </w:rPr>
      </w:pPr>
      <w:r>
        <w:rPr>
          <w:rFonts w:ascii="Times New Roman" w:hAnsi="Times New Roman"/>
          <w:position w:val="7"/>
          <w:sz w:val="16"/>
          <w:sz w:val="20"/>
        </w:rPr>
        <w:t>2 </w:t>
      </w:r>
      <w:r>
        <w:rPr>
          <w:rFonts w:ascii="Times New Roman" w:hAnsi="Times New Roman"/>
          <w:sz w:val="20"/>
        </w:rPr>
        <w:t xml:space="preserve"> Cinemas owned and operated through unconsolidated subsidiaries.</w:t>
      </w:r>
    </w:p>
    <w:p>
      <w:pPr>
        <w:pStyle w:val="TextBody"/>
        <w:spacing w:before="0" w:after="0"/>
        <w:rPr>
          <w:rFonts w:ascii="Times New Roman" w:hAnsi="Times New Roman"/>
          <w:sz w:val="20"/>
        </w:rPr>
      </w:pPr>
      <w:r>
        <w:rPr>
          <w:rFonts w:ascii="Times New Roman" w:hAnsi="Times New Roman"/>
          <w:position w:val="7"/>
          <w:sz w:val="16"/>
          <w:sz w:val="20"/>
        </w:rPr>
        <w:t xml:space="preserve">3  </w:t>
      </w:r>
      <w:r>
        <w:rPr>
          <w:rFonts w:ascii="Times New Roman" w:hAnsi="Times New Roman"/>
          <w:sz w:val="20"/>
        </w:rPr>
        <w:t>Cinemas in which we have no ownership interest, but which are operated by us under management agreements.</w:t>
      </w:r>
    </w:p>
    <w:p>
      <w:pPr>
        <w:pStyle w:val="TextBody"/>
        <w:spacing w:before="0" w:after="0"/>
        <w:rPr>
          <w:rFonts w:ascii="Times New Roman" w:hAnsi="Times New Roman"/>
          <w:sz w:val="20"/>
        </w:rPr>
      </w:pPr>
      <w:r>
        <w:rPr>
          <w:rFonts w:ascii="Times New Roman" w:hAnsi="Times New Roman"/>
          <w:position w:val="7"/>
          <w:sz w:val="16"/>
          <w:sz w:val="20"/>
        </w:rPr>
        <w:t xml:space="preserve">4  </w:t>
      </w:r>
      <w:r>
        <w:rPr>
          <w:rFonts w:ascii="Times New Roman" w:hAnsi="Times New Roman"/>
          <w:sz w:val="20"/>
        </w:rPr>
        <w:t>33.3% unincorporated joint venture interest.</w:t>
      </w:r>
    </w:p>
    <w:p>
      <w:pPr>
        <w:pStyle w:val="TextBody"/>
        <w:spacing w:before="0" w:after="0"/>
        <w:rPr>
          <w:rFonts w:ascii="Times New Roman" w:hAnsi="Times New Roman"/>
          <w:sz w:val="20"/>
        </w:rPr>
      </w:pPr>
      <w:r>
        <w:rPr>
          <w:rFonts w:ascii="Times New Roman" w:hAnsi="Times New Roman"/>
          <w:position w:val="7"/>
          <w:sz w:val="16"/>
          <w:sz w:val="20"/>
        </w:rPr>
        <w:t>5</w:t>
      </w:r>
      <w:r>
        <w:rPr>
          <w:rFonts w:ascii="Times New Roman" w:hAnsi="Times New Roman"/>
          <w:sz w:val="20"/>
        </w:rPr>
        <w:t>  50% unincorporated joint venture interests.</w:t>
      </w:r>
    </w:p>
    <w:p>
      <w:pPr>
        <w:pStyle w:val="TextBody"/>
        <w:spacing w:lineRule="auto" w:line="300" w:before="0" w:after="0"/>
        <w:ind w:left="0" w:right="0" w:hanging="0"/>
        <w:jc w:val="left"/>
        <w:rPr/>
      </w:pPr>
      <w:r>
        <w:rPr>
          <w:rFonts w:ascii="Times New Roman" w:hAnsi="Times New Roman"/>
          <w:position w:val="7"/>
          <w:sz w:val="16"/>
          <w:sz w:val="20"/>
        </w:rPr>
        <w:t>6</w:t>
      </w:r>
      <w:r>
        <w:rPr/>
        <w:t> </w:t>
      </w:r>
      <w:r>
        <w:rPr>
          <w:rFonts w:ascii="Times New Roman" w:hAnsi="Times New Roman"/>
          <w:sz w:val="20"/>
        </w:rPr>
        <w:t>The Angelika Film Center and Café in Manhattan is owned by a limited liability company in which we own a 50% interest with rights to manage.</w:t>
      </w:r>
    </w:p>
    <w:p>
      <w:pPr>
        <w:pStyle w:val="TextBody"/>
        <w:spacing w:lineRule="auto" w:line="300" w:before="0" w:after="0"/>
        <w:ind w:left="0" w:right="0" w:hanging="0"/>
        <w:jc w:val="both"/>
        <w:rPr/>
      </w:pPr>
      <w:r>
        <w:rPr/>
        <w:t> </w:t>
      </w:r>
    </w:p>
    <w:p>
      <w:pPr>
        <w:pStyle w:val="TextBody"/>
        <w:spacing w:lineRule="auto" w:line="300" w:before="0" w:after="0"/>
        <w:ind w:left="720" w:right="0" w:hanging="0"/>
        <w:jc w:val="both"/>
        <w:rPr>
          <w:rFonts w:ascii="Times New Roman" w:hAnsi="Times New Roman"/>
          <w:sz w:val="20"/>
        </w:rPr>
      </w:pPr>
      <w:bookmarkStart w:id="109" w:name="TAB115"/>
      <w:bookmarkEnd w:id="109"/>
      <w:r>
        <w:rPr>
          <w:rFonts w:ascii="Times New Roman" w:hAnsi="Times New Roman"/>
          <w:sz w:val="20"/>
        </w:rPr>
        <w:t xml:space="preserve">We focus on the ownership and operation of three categories of cinemas: </w:t>
      </w:r>
    </w:p>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10" w:name="hangingindent23"/>
      <w:bookmarkStart w:id="111" w:name="hangingindent23"/>
      <w:bookmarkEnd w:id="111"/>
    </w:p>
    <w:tbl>
      <w:tblPr>
        <w:tblW w:w="5000" w:type="pct"/>
        <w:jc w:val="center"/>
        <w:tblInd w:w="0" w:type="dxa"/>
        <w:tblCellMar>
          <w:top w:w="0" w:type="dxa"/>
          <w:left w:w="0" w:type="dxa"/>
          <w:bottom w:w="0" w:type="dxa"/>
          <w:right w:w="0" w:type="dxa"/>
        </w:tblCellMar>
      </w:tblPr>
      <w:tblGrid>
        <w:gridCol w:w="86"/>
        <w:gridCol w:w="137"/>
        <w:gridCol w:w="9982"/>
      </w:tblGrid>
      <w:tr>
        <w:trPr/>
        <w:tc>
          <w:tcPr>
            <w:tcW w:w="86" w:type="dxa"/>
            <w:tcBorders/>
            <w:shd w:fill="auto" w:val="clear"/>
          </w:tcPr>
          <w:p>
            <w:pPr>
              <w:pStyle w:val="TableContents"/>
              <w:spacing w:before="0" w:after="283"/>
              <w:rPr/>
            </w:pPr>
            <w:r>
              <w:rPr/>
              <w:t> </w:t>
            </w:r>
          </w:p>
        </w:tc>
        <w:tc>
          <w:tcPr>
            <w:tcW w:w="137"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998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first, modern stadium seating multiplex cinemas featuring conventional film product;</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12" w:name="hangingindent24"/>
      <w:bookmarkStart w:id="113" w:name="hangingindent24"/>
      <w:bookmarkEnd w:id="113"/>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second, specialty and art cinemas, such as our Angelika Film Centers in Manhattan and Dallas and the Rialto cinema chain in New Zealand; and </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14" w:name="hangingindent25"/>
      <w:bookmarkStart w:id="115" w:name="hangingindent25"/>
      <w:bookmarkEnd w:id="115"/>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third, in some markets, particularly small town markets that will not support the development of a modern stadium design multiplex cinema, conventional sloped floor cinemas. </w:t>
            </w:r>
          </w:p>
        </w:tc>
      </w:tr>
    </w:tbl>
    <w:p>
      <w:pPr>
        <w:pStyle w:val="TextBody"/>
        <w:spacing w:lineRule="auto" w:line="300" w:before="0" w:after="0"/>
        <w:ind w:left="0" w:right="0" w:hanging="0"/>
        <w:jc w:val="both"/>
        <w:rPr/>
      </w:pPr>
      <w:r>
        <w:rPr/>
        <w:t> </w:t>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With the exception of certain of our joint venture cinemas, we operate and book all of our cinemas on an “in-house” basis, through cinema executives located in Manhattan, Melbourne, Australia and Wellington, New Zealand.</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pPr>
      <w:r>
        <w:rPr/>
      </w:r>
    </w:p>
    <w:p>
      <w:pPr>
        <w:pStyle w:val="TextBody"/>
        <w:spacing w:lineRule="auto" w:line="300" w:before="0" w:after="0"/>
        <w:ind w:left="0" w:right="0" w:hanging="0"/>
        <w:jc w:val="both"/>
        <w:rPr/>
      </w:pPr>
      <w:r>
        <w:rPr>
          <w:rStyle w:val="StrongEmphasis"/>
          <w:rFonts w:ascii="Times New Roman" w:hAnsi="Times New Roman"/>
          <w:sz w:val="20"/>
          <w:u w:val="single"/>
        </w:rPr>
        <w:t>Summary of Our Real Estate Activities</w:t>
      </w:r>
    </w:p>
    <w:p>
      <w:pPr>
        <w:pStyle w:val="TextBody"/>
        <w:spacing w:lineRule="auto" w:line="300" w:before="0" w:after="0"/>
        <w:ind w:left="0" w:right="0" w:hanging="0"/>
        <w:jc w:val="both"/>
        <w:rPr/>
      </w:pPr>
      <w:r>
        <w:rPr/>
      </w:r>
    </w:p>
    <w:p>
      <w:pPr>
        <w:pStyle w:val="TextBody"/>
        <w:spacing w:lineRule="auto" w:line="300" w:before="0" w:after="0"/>
        <w:ind w:left="720" w:right="0" w:hanging="0"/>
        <w:jc w:val="both"/>
        <w:rPr>
          <w:rFonts w:ascii="Times New Roman" w:hAnsi="Times New Roman"/>
          <w:sz w:val="20"/>
        </w:rPr>
      </w:pPr>
      <w:bookmarkStart w:id="116" w:name="TAB116"/>
      <w:bookmarkEnd w:id="116"/>
      <w:r>
        <w:rPr>
          <w:rFonts w:ascii="Times New Roman" w:hAnsi="Times New Roman"/>
          <w:sz w:val="20"/>
        </w:rPr>
        <w:t xml:space="preserve">Our real estate activities have historically consisted principally of: </w:t>
      </w:r>
    </w:p>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17" w:name="hangingindent26"/>
      <w:bookmarkStart w:id="118" w:name="hangingindent26"/>
      <w:bookmarkEnd w:id="118"/>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the ownership of fee or long term leasehold interests in properties used in our cinema exhibition and live theater activities or which were acquired in anticipation of the development of cinemas or ETRCs; </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19" w:name="hangingindent27"/>
      <w:bookmarkStart w:id="120" w:name="hangingindent27"/>
      <w:bookmarkEnd w:id="120"/>
    </w:p>
    <w:tbl>
      <w:tblPr>
        <w:tblW w:w="5000" w:type="pct"/>
        <w:jc w:val="center"/>
        <w:tblInd w:w="0" w:type="dxa"/>
        <w:tblCellMar>
          <w:top w:w="0" w:type="dxa"/>
          <w:left w:w="0" w:type="dxa"/>
          <w:bottom w:w="0" w:type="dxa"/>
          <w:right w:w="0" w:type="dxa"/>
        </w:tblCellMar>
      </w:tblPr>
      <w:tblGrid>
        <w:gridCol w:w="94"/>
        <w:gridCol w:w="151"/>
        <w:gridCol w:w="9960"/>
      </w:tblGrid>
      <w:tr>
        <w:trPr/>
        <w:tc>
          <w:tcPr>
            <w:tcW w:w="94" w:type="dxa"/>
            <w:tcBorders/>
            <w:shd w:fill="auto" w:val="clear"/>
          </w:tcPr>
          <w:p>
            <w:pPr>
              <w:pStyle w:val="TableContents"/>
              <w:spacing w:before="0" w:after="283"/>
              <w:rPr/>
            </w:pPr>
            <w:r>
              <w:rPr/>
              <w:t> </w:t>
            </w:r>
          </w:p>
        </w:tc>
        <w:tc>
          <w:tcPr>
            <w:tcW w:w="151"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996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acquisition of fee interests for the development of cinemas or ETRCs; and</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21" w:name="hangingindent28"/>
      <w:bookmarkStart w:id="122" w:name="hangingindent28"/>
      <w:bookmarkEnd w:id="122"/>
    </w:p>
    <w:tbl>
      <w:tblPr>
        <w:tblW w:w="5000" w:type="pct"/>
        <w:jc w:val="center"/>
        <w:tblInd w:w="0" w:type="dxa"/>
        <w:tblCellMar>
          <w:top w:w="0" w:type="dxa"/>
          <w:left w:w="0" w:type="dxa"/>
          <w:bottom w:w="0" w:type="dxa"/>
          <w:right w:w="0" w:type="dxa"/>
        </w:tblCellMar>
      </w:tblPr>
      <w:tblGrid>
        <w:gridCol w:w="101"/>
        <w:gridCol w:w="160"/>
        <w:gridCol w:w="9944"/>
      </w:tblGrid>
      <w:tr>
        <w:trPr/>
        <w:tc>
          <w:tcPr>
            <w:tcW w:w="101" w:type="dxa"/>
            <w:tcBorders/>
            <w:shd w:fill="auto" w:val="clear"/>
          </w:tcPr>
          <w:p>
            <w:pPr>
              <w:pStyle w:val="TableContents"/>
              <w:spacing w:before="0" w:after="283"/>
              <w:rPr/>
            </w:pPr>
            <w:r>
              <w:rPr/>
              <w:t> </w:t>
            </w:r>
          </w:p>
        </w:tc>
        <w:tc>
          <w:tcPr>
            <w:tcW w:w="160"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994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the redevelopment of existing cinema sites to their highest and best use. </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23" w:name="PGBRK4"/>
      <w:bookmarkStart w:id="124" w:name="PGBRK4"/>
      <w:bookmarkEnd w:id="12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5" w:name="FTR4"/>
      <w:bookmarkStart w:id="126" w:name="FTR4"/>
      <w:bookmarkEnd w:id="12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7" w:name="GLFTR4"/>
      <w:bookmarkStart w:id="128" w:name="GLFTR4"/>
      <w:bookmarkEnd w:id="1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129" w:name="PN4"/>
      <w:bookmarkEnd w:id="129"/>
      <w:r>
        <w:rPr>
          <w:rFonts w:ascii="Times New Roman" w:hAnsi="Times New Roman"/>
          <w:sz w:val="16"/>
        </w:rPr>
        <w:t>-4-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0" w:name="HDR4"/>
      <w:bookmarkStart w:id="131" w:name="HDR4"/>
      <w:bookmarkEnd w:id="13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132" w:name="GLHDR4"/>
        <w:bookmarkEnd w:id="132"/>
        <w:r>
          <w:rPr>
            <w:rStyle w:val="Emphasis"/>
            <w:rFonts w:ascii="Times New Roman" w:hAnsi="Times New Roman"/>
            <w:color w:val="000000"/>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pStyle w:val="TextBody"/>
        <w:spacing w:lineRule="auto" w:line="300" w:before="0" w:after="0"/>
        <w:ind w:left="720" w:right="0" w:hanging="0"/>
        <w:jc w:val="both"/>
        <w:rPr/>
      </w:pPr>
      <w:bookmarkStart w:id="133" w:name="TAB117"/>
      <w:bookmarkEnd w:id="133"/>
      <w:r>
        <w:rPr>
          <w:rFonts w:ascii="Times New Roman" w:hAnsi="Times New Roman"/>
          <w:sz w:val="20"/>
        </w:rPr>
        <w:t xml:space="preserve">For example, </w:t>
      </w:r>
      <w:r>
        <w:rPr>
          <w:rStyle w:val="Emphasis"/>
          <w:rFonts w:ascii="Times New Roman" w:hAnsi="Times New Roman"/>
          <w:sz w:val="20"/>
        </w:rPr>
        <w:t>Place 57</w:t>
      </w:r>
      <w:r>
        <w:rPr>
          <w:rFonts w:ascii="Times New Roman" w:hAnsi="Times New Roman"/>
          <w:sz w:val="20"/>
        </w:rPr>
        <w:t>, a 36-story 68-residential unit mixed-use condominium project on 57</w:t>
      </w:r>
      <w:r>
        <w:rPr>
          <w:rFonts w:ascii="Times New Roman" w:hAnsi="Times New Roman"/>
          <w:position w:val="7"/>
          <w:sz w:val="16"/>
          <w:sz w:val="20"/>
        </w:rPr>
        <w:t>th</w:t>
      </w:r>
      <w:r>
        <w:rPr/>
        <w:t xml:space="preserve"> </w:t>
      </w:r>
      <w:r>
        <w:rPr>
          <w:rFonts w:ascii="Times New Roman" w:hAnsi="Times New Roman"/>
          <w:sz w:val="20"/>
        </w:rPr>
        <w:t>Street near 3</w:t>
      </w:r>
      <w:r>
        <w:rPr>
          <w:rFonts w:ascii="Times New Roman" w:hAnsi="Times New Roman"/>
          <w:position w:val="7"/>
          <w:sz w:val="16"/>
          <w:sz w:val="20"/>
        </w:rPr>
        <w:t>rd</w:t>
      </w:r>
      <w:r>
        <w:rPr/>
        <w:t xml:space="preserve"> </w:t>
      </w:r>
      <w:r>
        <w:rPr>
          <w:rFonts w:ascii="Times New Roman" w:hAnsi="Times New Roman"/>
          <w:sz w:val="20"/>
        </w:rPr>
        <w:t xml:space="preserve">Avenue was the result of the redevelopment of one of our Manhattan cinema sites. Recently, however, we have begun to diversify into other types of real estate investments. </w:t>
      </w:r>
    </w:p>
    <w:p>
      <w:pPr>
        <w:pStyle w:val="TextBody"/>
        <w:spacing w:lineRule="auto" w:line="300" w:before="0" w:after="0"/>
        <w:ind w:left="0" w:right="0" w:hanging="0"/>
        <w:jc w:val="both"/>
        <w:rPr/>
      </w:pPr>
      <w:r>
        <w:rPr/>
      </w:r>
    </w:p>
    <w:p>
      <w:pPr>
        <w:pStyle w:val="TextBody"/>
        <w:spacing w:lineRule="auto" w:line="300" w:before="0" w:after="0"/>
        <w:ind w:left="720" w:right="0" w:hanging="0"/>
        <w:jc w:val="both"/>
        <w:rPr>
          <w:rFonts w:ascii="Times New Roman" w:hAnsi="Times New Roman"/>
          <w:sz w:val="20"/>
        </w:rPr>
      </w:pPr>
      <w:bookmarkStart w:id="134" w:name="TAB118"/>
      <w:bookmarkEnd w:id="134"/>
      <w:r>
        <w:rPr>
          <w:rFonts w:ascii="Times New Roman" w:hAnsi="Times New Roman"/>
          <w:sz w:val="20"/>
        </w:rPr>
        <w:t xml:space="preserve">In 2006, we formed Landplan Property Partners, Ltd, to identify, acquire and develop or redevelop properties on an opportunistic basis. Typically, properties are acquired or held in individual special purpose entities. We refer to Landplan Property Partners, Ltd, collectively with these special purpose entities as “Landplan.” To date, Landplan has acquired one property in Australia and one in New Zealand for an aggregate investment of $6.7 million. The Australia property was acquired in September 2006 and the New Zealand property was acquired in February 2007. </w:t>
      </w:r>
    </w:p>
    <w:p>
      <w:pPr>
        <w:pStyle w:val="TextBody"/>
        <w:spacing w:before="0" w:after="0"/>
        <w:rPr/>
      </w:pPr>
      <w:r>
        <w:rPr/>
        <w:t> </w:t>
      </w:r>
    </w:p>
    <w:p>
      <w:pPr>
        <w:pStyle w:val="TextBody"/>
        <w:spacing w:lineRule="auto" w:line="300" w:before="0" w:after="0"/>
        <w:ind w:left="720" w:right="0" w:hanging="0"/>
        <w:jc w:val="both"/>
        <w:rPr>
          <w:rFonts w:ascii="Times New Roman" w:hAnsi="Times New Roman"/>
          <w:sz w:val="20"/>
        </w:rPr>
      </w:pPr>
      <w:bookmarkStart w:id="135" w:name="TAB119"/>
      <w:bookmarkEnd w:id="135"/>
      <w:r>
        <w:rPr>
          <w:rFonts w:ascii="Times New Roman" w:hAnsi="Times New Roman"/>
          <w:sz w:val="20"/>
        </w:rPr>
        <w:t>In addition, we have acquired an approximately 18.4% common equity interests in Malulani Investments Limited, a closely held Hawaiian company which currently owns approximately 763,000 square feet of developed commercial real estate principally in California, Hawaii and Texas, and approximately 22,000 acres of agricultural land in Northern California. Included among Malulani’s assets are the Guenoc Winery, consisting of approximately 400 acres of vineyard land and a winery configured to bottle up to 120,000 cases of wine annually and Langtry Estates and Vineyards. This land and commercial real estate holdings are encumbered by debt.</w:t>
      </w:r>
    </w:p>
    <w:p>
      <w:pPr>
        <w:pStyle w:val="TextBody"/>
        <w:spacing w:lineRule="auto" w:line="300" w:before="0" w:after="0"/>
        <w:ind w:left="0" w:right="0" w:hanging="0"/>
        <w:jc w:val="both"/>
        <w:rPr/>
      </w:pPr>
      <w:r>
        <w:rPr/>
      </w:r>
    </w:p>
    <w:p>
      <w:pPr>
        <w:pStyle w:val="TextBody"/>
        <w:spacing w:lineRule="auto" w:line="300" w:before="0" w:after="0"/>
        <w:ind w:left="720" w:right="0" w:hanging="0"/>
        <w:jc w:val="both"/>
        <w:rPr>
          <w:rFonts w:ascii="Times New Roman" w:hAnsi="Times New Roman"/>
          <w:sz w:val="20"/>
        </w:rPr>
      </w:pPr>
      <w:bookmarkStart w:id="136" w:name="TAB120"/>
      <w:bookmarkEnd w:id="136"/>
      <w:r>
        <w:rPr>
          <w:rFonts w:ascii="Times New Roman" w:hAnsi="Times New Roman"/>
          <w:sz w:val="20"/>
        </w:rPr>
        <w:t xml:space="preserve">To date, we have developed, in Australia and New Zealand, three ETRCs comprising approximately 337,000 square feet of development and the shopping center component of a fourth ETRC, comprising some 100,000 square of development. The 100,000 square feet of shopping center space in this fourth ETRC is fully leased, and it is anticipated that the cinema component will be completed in early 2009. </w:t>
      </w:r>
    </w:p>
    <w:p>
      <w:pPr>
        <w:pStyle w:val="TextBody"/>
        <w:spacing w:lineRule="auto" w:line="300" w:before="0" w:after="0"/>
        <w:ind w:left="0" w:right="0" w:hanging="0"/>
        <w:jc w:val="both"/>
        <w:rPr/>
      </w:pPr>
      <w:r>
        <w:rPr/>
      </w:r>
    </w:p>
    <w:p>
      <w:pPr>
        <w:pStyle w:val="TextBody"/>
        <w:spacing w:lineRule="auto" w:line="300" w:before="0" w:after="0"/>
        <w:ind w:left="720" w:right="0" w:hanging="0"/>
        <w:jc w:val="both"/>
        <w:rPr/>
      </w:pPr>
      <w:bookmarkStart w:id="137" w:name="TAB121"/>
      <w:bookmarkEnd w:id="137"/>
      <w:r>
        <w:rPr>
          <w:rStyle w:val="StrongEmphasis"/>
          <w:rFonts w:ascii="Times New Roman" w:hAnsi="Times New Roman"/>
          <w:sz w:val="20"/>
        </w:rPr>
        <w:t>Set forth below is a list and brief description of our principal development properties</w:t>
      </w:r>
      <w:r>
        <w:rPr>
          <w:rFonts w:ascii="Times New Roman" w:hAnsi="Times New Roman"/>
          <w:sz w:val="20"/>
        </w:rPr>
        <w:t>:</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u w:val="single"/>
        </w:rPr>
      </w:pPr>
      <w:r>
        <w:rPr>
          <w:rFonts w:ascii="Times New Roman" w:hAnsi="Times New Roman"/>
          <w:sz w:val="20"/>
          <w:u w:val="single"/>
        </w:rPr>
        <w:t>The Burwood Project: Melbourne, Australia</w:t>
      </w:r>
    </w:p>
    <w:p>
      <w:pPr>
        <w:pStyle w:val="TextBody"/>
        <w:spacing w:lineRule="auto" w:line="300" w:before="0" w:after="0"/>
        <w:ind w:left="0" w:right="0" w:hanging="0"/>
        <w:jc w:val="both"/>
        <w:rPr/>
      </w:pPr>
      <w:r>
        <w:rPr/>
      </w:r>
    </w:p>
    <w:p>
      <w:pPr>
        <w:pStyle w:val="TextBody"/>
        <w:spacing w:lineRule="auto" w:line="300" w:before="0" w:after="0"/>
        <w:ind w:left="720" w:right="0" w:hanging="0"/>
        <w:jc w:val="both"/>
        <w:rPr>
          <w:rFonts w:ascii="Times New Roman" w:hAnsi="Times New Roman"/>
          <w:sz w:val="20"/>
        </w:rPr>
      </w:pPr>
      <w:bookmarkStart w:id="138" w:name="TAB122"/>
      <w:bookmarkEnd w:id="138"/>
      <w:r>
        <w:rPr>
          <w:rFonts w:ascii="Times New Roman" w:hAnsi="Times New Roman"/>
          <w:sz w:val="20"/>
        </w:rPr>
        <w:t xml:space="preserve">Our Burwood Project is an approximately 50.6 acre parcel of unimproved real estate located in the demographic center of Melbourne and now zoned for mixed retail, entertainment, commercial and residential uses. The build-out of our Burwood project will likely be an area of particular focus for us over the next several years. </w:t>
      </w:r>
    </w:p>
    <w:p>
      <w:pPr>
        <w:pStyle w:val="TextBody"/>
        <w:spacing w:lineRule="auto" w:line="300" w:before="0" w:after="0"/>
        <w:ind w:left="0" w:right="0" w:hanging="0"/>
        <w:jc w:val="both"/>
        <w:rPr/>
      </w:pPr>
      <w:r>
        <w:rPr/>
      </w:r>
    </w:p>
    <w:p>
      <w:pPr>
        <w:pStyle w:val="TextBody"/>
        <w:spacing w:lineRule="auto" w:line="300" w:before="0" w:after="0"/>
        <w:ind w:left="720" w:right="0" w:hanging="0"/>
        <w:jc w:val="both"/>
        <w:rPr>
          <w:rFonts w:ascii="Times New Roman" w:hAnsi="Times New Roman"/>
          <w:sz w:val="20"/>
        </w:rPr>
      </w:pPr>
      <w:bookmarkStart w:id="139" w:name="TAB123"/>
      <w:bookmarkEnd w:id="139"/>
      <w:r>
        <w:rPr>
          <w:rFonts w:ascii="Times New Roman" w:hAnsi="Times New Roman"/>
          <w:sz w:val="20"/>
        </w:rPr>
        <w:t>We purchased this property, originally zoned for extractive industry purposes, with the intention of upgrading the zoning and developing an ETRC. Our Burwood project, together with certain adjoining properties owned by third parties, was designated as a “major activity centre” in 2002. In order to qualify as a “major activity centre” an area must have the following characteristics:</w:t>
      </w:r>
    </w:p>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40" w:name="hangingindent29"/>
      <w:bookmarkStart w:id="141" w:name="hangingindent29"/>
      <w:bookmarkEnd w:id="141"/>
    </w:p>
    <w:tbl>
      <w:tblPr>
        <w:tblW w:w="5000" w:type="pct"/>
        <w:jc w:val="center"/>
        <w:tblInd w:w="0" w:type="dxa"/>
        <w:tblCellMar>
          <w:top w:w="0" w:type="dxa"/>
          <w:left w:w="0" w:type="dxa"/>
          <w:bottom w:w="0" w:type="dxa"/>
          <w:right w:w="0" w:type="dxa"/>
        </w:tblCellMar>
      </w:tblPr>
      <w:tblGrid>
        <w:gridCol w:w="68"/>
        <w:gridCol w:w="110"/>
        <w:gridCol w:w="10027"/>
      </w:tblGrid>
      <w:tr>
        <w:trPr/>
        <w:tc>
          <w:tcPr>
            <w:tcW w:w="68" w:type="dxa"/>
            <w:tcBorders/>
            <w:shd w:fill="auto" w:val="clear"/>
          </w:tcPr>
          <w:p>
            <w:pPr>
              <w:pStyle w:val="TableContents"/>
              <w:spacing w:before="0" w:after="283"/>
              <w:rPr/>
            </w:pPr>
            <w:r>
              <w:rPr/>
              <w:t> </w:t>
            </w:r>
          </w:p>
        </w:tc>
        <w:tc>
          <w:tcPr>
            <w:tcW w:w="110"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2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a mix of activities that generate high number of trips, including business, retail services and entertainment; </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42" w:name="hangingindent30"/>
      <w:bookmarkStart w:id="143" w:name="hangingindent30"/>
      <w:bookmarkEnd w:id="143"/>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being generally well-served by multiple transport routes (some being on the rail network) and on the Principal Public Transport Network or capable of being linked to that network;</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44" w:name="hangingindent31"/>
      <w:bookmarkStart w:id="145" w:name="hangingindent31"/>
      <w:bookmarkEnd w:id="145"/>
    </w:p>
    <w:tbl>
      <w:tblPr>
        <w:tblW w:w="5000" w:type="pct"/>
        <w:jc w:val="center"/>
        <w:tblInd w:w="0" w:type="dxa"/>
        <w:tblCellMar>
          <w:top w:w="0" w:type="dxa"/>
          <w:left w:w="0" w:type="dxa"/>
          <w:bottom w:w="0" w:type="dxa"/>
          <w:right w:w="0" w:type="dxa"/>
        </w:tblCellMar>
      </w:tblPr>
      <w:tblGrid>
        <w:gridCol w:w="62"/>
        <w:gridCol w:w="100"/>
        <w:gridCol w:w="10043"/>
      </w:tblGrid>
      <w:tr>
        <w:trPr/>
        <w:tc>
          <w:tcPr>
            <w:tcW w:w="62" w:type="dxa"/>
            <w:tcBorders/>
            <w:shd w:fill="auto" w:val="clear"/>
          </w:tcPr>
          <w:p>
            <w:pPr>
              <w:pStyle w:val="TableContents"/>
              <w:spacing w:before="0" w:after="283"/>
              <w:rPr/>
            </w:pPr>
            <w:r>
              <w:rPr/>
              <w:t> </w:t>
            </w:r>
          </w:p>
        </w:tc>
        <w:tc>
          <w:tcPr>
            <w:tcW w:w="100"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4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having potential to grow and support intensive housing development without conflicting with surrounding land uses;</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46" w:name="hangingindent32"/>
      <w:bookmarkStart w:id="147" w:name="hangingindent32"/>
      <w:bookmarkEnd w:id="147"/>
    </w:p>
    <w:tbl>
      <w:tblPr>
        <w:tblW w:w="5000" w:type="pct"/>
        <w:jc w:val="center"/>
        <w:tblInd w:w="0" w:type="dxa"/>
        <w:tblCellMar>
          <w:top w:w="0" w:type="dxa"/>
          <w:left w:w="0" w:type="dxa"/>
          <w:bottom w:w="0" w:type="dxa"/>
          <w:right w:w="0" w:type="dxa"/>
        </w:tblCellMar>
      </w:tblPr>
      <w:tblGrid>
        <w:gridCol w:w="124"/>
        <w:gridCol w:w="198"/>
        <w:gridCol w:w="9883"/>
      </w:tblGrid>
      <w:tr>
        <w:trPr/>
        <w:tc>
          <w:tcPr>
            <w:tcW w:w="124" w:type="dxa"/>
            <w:tcBorders/>
            <w:shd w:fill="auto" w:val="clear"/>
          </w:tcPr>
          <w:p>
            <w:pPr>
              <w:pStyle w:val="TableContents"/>
              <w:spacing w:before="0" w:after="283"/>
              <w:rPr/>
            </w:pPr>
            <w:r>
              <w:rPr/>
              <w:t> </w:t>
            </w:r>
          </w:p>
        </w:tc>
        <w:tc>
          <w:tcPr>
            <w:tcW w:w="198"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988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supplement the network of Principal Activity Centres; and</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48" w:name="hangingindent33"/>
      <w:bookmarkStart w:id="149" w:name="hangingindent33"/>
      <w:bookmarkEnd w:id="149"/>
    </w:p>
    <w:tbl>
      <w:tblPr>
        <w:tblW w:w="5000" w:type="pct"/>
        <w:jc w:val="center"/>
        <w:tblInd w:w="0" w:type="dxa"/>
        <w:tblCellMar>
          <w:top w:w="0" w:type="dxa"/>
          <w:left w:w="0" w:type="dxa"/>
          <w:bottom w:w="0" w:type="dxa"/>
          <w:right w:w="0" w:type="dxa"/>
        </w:tblCellMar>
      </w:tblPr>
      <w:tblGrid>
        <w:gridCol w:w="60"/>
        <w:gridCol w:w="96"/>
        <w:gridCol w:w="10049"/>
      </w:tblGrid>
      <w:tr>
        <w:trPr/>
        <w:tc>
          <w:tcPr>
            <w:tcW w:w="60" w:type="dxa"/>
            <w:tcBorders/>
            <w:shd w:fill="auto" w:val="clear"/>
          </w:tcPr>
          <w:p>
            <w:pPr>
              <w:pStyle w:val="TableContents"/>
              <w:spacing w:before="0" w:after="283"/>
              <w:rPr/>
            </w:pPr>
            <w:r>
              <w:rPr/>
              <w:t> </w:t>
            </w:r>
          </w:p>
        </w:tc>
        <w:tc>
          <w:tcPr>
            <w:tcW w:w="96"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4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provide additional scope to accommodate ongoing investment and change in retail, office, service and residential markets.</w:t>
            </w:r>
          </w:p>
        </w:tc>
      </w:tr>
    </w:tbl>
    <w:p>
      <w:pPr>
        <w:pStyle w:val="TextBody"/>
        <w:spacing w:lineRule="auto" w:line="300" w:before="0" w:after="0"/>
        <w:ind w:left="0" w:right="0" w:hanging="0"/>
        <w:jc w:val="both"/>
        <w:rPr/>
      </w:pPr>
      <w:r>
        <w:rPr/>
        <w:t> </w:t>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This re-designation has allowed us to substantially increase the intensity and diversity of the permitted use for the property and we were last year successful in obtaining a final rezoning of the property for mixed retail, entertainment, commercial and residential uses.</w:t>
      </w:r>
    </w:p>
    <w:p>
      <w:pPr>
        <w:pStyle w:val="TextBody"/>
        <w:spacing w:lineRule="auto" w:line="300" w:before="0" w:after="0"/>
        <w:ind w:left="0" w:right="0" w:hanging="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 xml:space="preserve">Our Burwood property is located at the intersection of the Burwood Highway and Middleborough Road and is the largest undeveloped parcel of land in any “major activity centre” in Victoria, Australia. Approximately 430,000 people live within five miles of the site, which is well served by both public transit and surface streets. We estimate that approximately 70,000 people pass by the site each day. </w:t>
      </w:r>
    </w:p>
    <w:p>
      <w:pPr>
        <w:pStyle w:val="TextBody"/>
        <w:spacing w:lineRule="auto" w:line="300" w:before="0" w:after="0"/>
        <w:ind w:left="0" w:right="0" w:firstLine="720"/>
        <w:jc w:val="both"/>
        <w:rPr/>
      </w:pPr>
      <w:r>
        <w:rPr/>
        <w:t> </w:t>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Incident to the development of our Burwood property, in late 2006, we began various fill and earth moving operations. In late February 2007, it became apparent that our cost estimates with respect to site preparation were low, as the extent of the contaminated soil present at the site - a former brickworks - was greater than we had originally believed. We are currently evaluating the additional site preparation costs likely to be associated with the removal of this contaminated soil. As we were not the source of this contamination, we are not currently under any legal obligation to remove this contaminated soil from the site. However, as a practical matter we intend to address these issues in connection with our planned redevelopment of the site as a mixed-use retail, entertainment, commercial and residential complex.</w:t>
      </w:r>
    </w:p>
    <w:p>
      <w:pPr>
        <w:pStyle w:val="TextBody"/>
        <w:spacing w:lineRule="auto" w:line="300"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50" w:name="PGBRK5"/>
      <w:bookmarkStart w:id="151" w:name="PGBRK5"/>
      <w:bookmarkEnd w:id="15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2" w:name="FTR5"/>
      <w:bookmarkStart w:id="153" w:name="FTR5"/>
      <w:bookmarkEnd w:id="15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4" w:name="GLFTR5"/>
      <w:bookmarkStart w:id="155" w:name="GLFTR5"/>
      <w:bookmarkEnd w:id="15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156" w:name="PN5"/>
      <w:bookmarkEnd w:id="156"/>
      <w:r>
        <w:rPr>
          <w:rFonts w:ascii="Times New Roman" w:hAnsi="Times New Roman"/>
          <w:sz w:val="16"/>
        </w:rPr>
        <w:t>-5-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7" w:name="HDR5"/>
      <w:bookmarkStart w:id="158" w:name="HDR5"/>
      <w:bookmarkEnd w:id="15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159" w:name="GLHDR5"/>
        <w:bookmarkEnd w:id="159"/>
        <w:r>
          <w:rPr>
            <w:rStyle w:val="Emphasis"/>
            <w:rFonts w:ascii="Times New Roman" w:hAnsi="Times New Roman"/>
            <w:color w:val="000000"/>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300" w:before="0" w:after="0"/>
        <w:ind w:left="720" w:right="0" w:hanging="0"/>
        <w:jc w:val="both"/>
        <w:rPr>
          <w:rFonts w:ascii="Times New Roman" w:hAnsi="Times New Roman"/>
          <w:sz w:val="20"/>
        </w:rPr>
      </w:pPr>
      <w:bookmarkStart w:id="160" w:name="TAB124"/>
      <w:bookmarkEnd w:id="160"/>
      <w:r>
        <w:rPr>
          <w:rFonts w:ascii="Times New Roman" w:hAnsi="Times New Roman"/>
          <w:sz w:val="20"/>
        </w:rPr>
        <w:t>We anticipate that the project will be constructed in a variety of separate phases, commencing late in 2007 and looking to final completion sometime in 2015 and will require an investment in excess of $500.0 million. Under the now approved zoning scheme, each of these separate phases will still require the approval of specific development plans consistent with this overall zoning designation. The zoning approval has provided a framework for allowable uses that can be defined in a Development Plan Overlay currently in the process of approval. Key issues are building envelopes and traffic generation. To date, 32,000 square feet of retail - as of right, with entertainment, commercial, and residential uses are being considered under this Development Plan Overlay.</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u w:val="single"/>
        </w:rPr>
      </w:pPr>
      <w:r>
        <w:rPr>
          <w:rFonts w:ascii="Times New Roman" w:hAnsi="Times New Roman"/>
          <w:sz w:val="20"/>
          <w:u w:val="single"/>
        </w:rPr>
        <w:t>The Courtenay Central, Phase II Project; Wellington, New Zealand</w:t>
      </w:r>
    </w:p>
    <w:p>
      <w:pPr>
        <w:pStyle w:val="TextBody"/>
        <w:spacing w:lineRule="auto" w:line="300" w:before="0" w:after="0"/>
        <w:ind w:left="0" w:right="0" w:hanging="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 xml:space="preserve">Courtenay Central is an approximately 160,000 square foot ETRC we developed in central Wellington, New Zealand. Phase II is an approximately 38,000 square foot property adjacent to Courtenay Central, and currently used as an auto sales yard. We anticipate the construction of an approximately 155,000 square foot retail project. </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u w:val="single"/>
        </w:rPr>
      </w:pPr>
      <w:r>
        <w:rPr>
          <w:rFonts w:ascii="Times New Roman" w:hAnsi="Times New Roman"/>
          <w:sz w:val="20"/>
          <w:u w:val="single"/>
        </w:rPr>
        <w:t>The Moonee Ponds Project, Melbourne, Australia</w:t>
      </w:r>
    </w:p>
    <w:p>
      <w:pPr>
        <w:pStyle w:val="TextBody"/>
        <w:spacing w:lineRule="auto" w:line="300" w:before="0" w:after="0"/>
        <w:ind w:left="0" w:right="0" w:hanging="0"/>
        <w:jc w:val="both"/>
        <w:rPr/>
      </w:pPr>
      <w:r>
        <w:rPr/>
      </w:r>
    </w:p>
    <w:p>
      <w:pPr>
        <w:pStyle w:val="TextBody"/>
        <w:spacing w:lineRule="auto" w:line="300" w:before="0" w:after="0"/>
        <w:ind w:left="720" w:right="0" w:hanging="0"/>
        <w:jc w:val="both"/>
        <w:rPr>
          <w:rFonts w:ascii="Times New Roman" w:hAnsi="Times New Roman"/>
          <w:sz w:val="20"/>
        </w:rPr>
      </w:pPr>
      <w:bookmarkStart w:id="161" w:name="TAB125"/>
      <w:bookmarkEnd w:id="161"/>
      <w:r>
        <w:rPr>
          <w:rFonts w:ascii="Times New Roman" w:hAnsi="Times New Roman"/>
          <w:sz w:val="20"/>
        </w:rPr>
        <w:t xml:space="preserve">Our Moonee Ponds Project is a 3.3 acre unimproved infill site in suburban Melbourne. Moonee Ponds has been designated under the Melbourne 2030 Planning Strategy as a Principal Activity Centre and our land benefits from the allowable density of development. During 2006, we added approximately 0.4 acres to the project site, through the acquisition of two additional parcels. These additions have, in our view, added significant value to our holdings, by giving our property frontage onto the site of the area’s major transit station. We are currently in the planning stages with respect to this property, and currently anticipate development of a cinema based mixed-use project. </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u w:val="single"/>
        </w:rPr>
      </w:pPr>
      <w:r>
        <w:rPr>
          <w:rFonts w:ascii="Times New Roman" w:hAnsi="Times New Roman"/>
          <w:sz w:val="20"/>
          <w:u w:val="single"/>
        </w:rPr>
        <w:t>The Redyard Phase II Project; Auburn, Sydney, Australia.</w:t>
      </w:r>
    </w:p>
    <w:p>
      <w:pPr>
        <w:pStyle w:val="TextBody"/>
        <w:spacing w:lineRule="auto" w:line="300" w:before="0" w:after="0"/>
        <w:ind w:left="0" w:right="0" w:hanging="0"/>
        <w:jc w:val="both"/>
        <w:rPr/>
      </w:pPr>
      <w:r>
        <w:rPr/>
      </w:r>
    </w:p>
    <w:p>
      <w:pPr>
        <w:pStyle w:val="TextBody"/>
        <w:spacing w:lineRule="auto" w:line="300" w:before="0" w:after="0"/>
        <w:ind w:left="720" w:right="0" w:hanging="0"/>
        <w:jc w:val="both"/>
        <w:rPr>
          <w:rFonts w:ascii="Times New Roman" w:hAnsi="Times New Roman"/>
          <w:sz w:val="20"/>
        </w:rPr>
      </w:pPr>
      <w:bookmarkStart w:id="162" w:name="TAB126"/>
      <w:bookmarkEnd w:id="162"/>
      <w:r>
        <w:rPr>
          <w:rFonts w:ascii="Times New Roman" w:hAnsi="Times New Roman"/>
          <w:sz w:val="20"/>
        </w:rPr>
        <w:t xml:space="preserve">Redyard is an approximately 109,383 square foot ETRC we developed in Auburn, Australia along Parramatta Road. Auburn is a suburb of Sydney located adjacent to the site of the 2000 Sydney Summer Olympics. Phase II is an approximately 96,000 square foot unimproved parcel located adjacent to our existing ETRC. </w:t>
      </w:r>
    </w:p>
    <w:p>
      <w:pPr>
        <w:pStyle w:val="TextBody"/>
        <w:spacing w:lineRule="auto" w:line="300" w:before="0" w:after="0"/>
        <w:ind w:left="0" w:right="0" w:hanging="0"/>
        <w:jc w:val="both"/>
        <w:rPr/>
      </w:pPr>
      <w:r>
        <w:rPr/>
      </w:r>
    </w:p>
    <w:p>
      <w:pPr>
        <w:pStyle w:val="TextBody"/>
        <w:spacing w:lineRule="auto" w:line="300" w:before="0" w:after="0"/>
        <w:ind w:left="720" w:right="0" w:hanging="0"/>
        <w:jc w:val="both"/>
        <w:rPr>
          <w:rFonts w:ascii="Times New Roman" w:hAnsi="Times New Roman"/>
          <w:sz w:val="20"/>
        </w:rPr>
      </w:pPr>
      <w:bookmarkStart w:id="163" w:name="TAB127"/>
      <w:bookmarkEnd w:id="163"/>
      <w:r>
        <w:rPr>
          <w:rFonts w:ascii="Times New Roman" w:hAnsi="Times New Roman"/>
          <w:sz w:val="20"/>
        </w:rPr>
        <w:t>The Parramatta Road area is currently undergoing a land use review by the local governments having jurisdiction over the area. We understand the intention of this review is to develop a plan for a more intensive and upgraded use for the area, designed to develop Parramatta Road as the “Gateway to Sydney.” Our intention is to continue to hold this property and to work with this review process with the goal of obtaining use rights for a more intensive use of this property than our existing ETRC use.</w:t>
      </w:r>
    </w:p>
    <w:p>
      <w:pPr>
        <w:pStyle w:val="TextBody"/>
        <w:spacing w:lineRule="auto" w:line="300" w:before="0" w:after="0"/>
        <w:ind w:left="1440" w:right="0" w:hanging="1440"/>
        <w:jc w:val="both"/>
        <w:rPr/>
      </w:pPr>
      <w:r>
        <w:rPr/>
      </w:r>
    </w:p>
    <w:p>
      <w:pPr>
        <w:pStyle w:val="TextBody"/>
        <w:spacing w:lineRule="auto" w:line="300" w:before="0" w:after="0"/>
        <w:ind w:left="1440" w:right="0" w:hanging="1440"/>
        <w:jc w:val="both"/>
        <w:rPr>
          <w:rFonts w:ascii="Times New Roman" w:hAnsi="Times New Roman"/>
          <w:sz w:val="20"/>
          <w:u w:val="single"/>
        </w:rPr>
      </w:pPr>
      <w:r>
        <w:rPr>
          <w:rFonts w:ascii="Times New Roman" w:hAnsi="Times New Roman"/>
          <w:sz w:val="20"/>
          <w:u w:val="single"/>
        </w:rPr>
        <w:t>Entertainment Property Redevelopment Projects</w:t>
      </w:r>
    </w:p>
    <w:p>
      <w:pPr>
        <w:pStyle w:val="TextBody"/>
        <w:spacing w:before="0" w:after="0"/>
        <w:rPr/>
      </w:pPr>
      <w:r>
        <w:rPr/>
        <w:t> </w:t>
      </w:r>
    </w:p>
    <w:p>
      <w:pPr>
        <w:pStyle w:val="TextBody"/>
        <w:spacing w:lineRule="auto" w:line="300" w:before="0" w:after="0"/>
        <w:ind w:left="720" w:right="0" w:hanging="0"/>
        <w:jc w:val="both"/>
        <w:rPr/>
      </w:pPr>
      <w:bookmarkStart w:id="164" w:name="TAB128"/>
      <w:bookmarkEnd w:id="164"/>
      <w:r>
        <w:rPr>
          <w:rFonts w:ascii="Times New Roman" w:hAnsi="Times New Roman"/>
          <w:sz w:val="20"/>
        </w:rPr>
        <w:t xml:space="preserve">While, other than the </w:t>
      </w:r>
      <w:r>
        <w:rPr>
          <w:rStyle w:val="Emphasis"/>
          <w:rFonts w:ascii="Times New Roman" w:hAnsi="Times New Roman"/>
          <w:sz w:val="20"/>
        </w:rPr>
        <w:t>Place 57</w:t>
      </w:r>
      <w:r>
        <w:rPr/>
        <w:t xml:space="preserve"> </w:t>
      </w:r>
      <w:r>
        <w:rPr>
          <w:rFonts w:ascii="Times New Roman" w:hAnsi="Times New Roman"/>
          <w:sz w:val="20"/>
        </w:rPr>
        <w:t xml:space="preserve">project, we are not currently actively involved in the redevelopment of any of our entertainment properties, we continue to monitor these properties with an eye towards potential redevelopment, and continue to have discussions with parties interested in participating with us in such redevelopment endeavors. We currently own the fee interest in one of our domestic cinemas, four of our Australian cinemas (28 screens), and in four of our New Zealand cinemas (24 screens). In addition, three of our domestic cinemas are on long-term leases, which are not restricted to cinema use. Included in our non-cinema real estate holdings are the fee interests in three “off Broadway” style live theaters located in Manhattan (the Union Square, Orpheum and Minetta Lane), and in our four stage “off Broadway” style theater/restaurant/office complex in Chicago (the Royal George). </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u w:val="single"/>
        </w:rPr>
      </w:pPr>
      <w:r>
        <w:rPr>
          <w:rFonts w:ascii="Times New Roman" w:hAnsi="Times New Roman"/>
          <w:sz w:val="20"/>
          <w:u w:val="single"/>
        </w:rPr>
        <w:t>Miscellaneous Real Estate Assets</w:t>
      </w:r>
    </w:p>
    <w:p>
      <w:pPr>
        <w:pStyle w:val="TextBody"/>
        <w:spacing w:lineRule="auto" w:line="300" w:before="0" w:after="0"/>
        <w:ind w:left="0" w:right="0" w:hanging="0"/>
        <w:jc w:val="both"/>
        <w:rPr/>
      </w:pPr>
      <w:r>
        <w:rPr/>
      </w:r>
    </w:p>
    <w:p>
      <w:pPr>
        <w:pStyle w:val="TextBody"/>
        <w:spacing w:lineRule="auto" w:line="300" w:before="0" w:after="0"/>
        <w:ind w:left="720" w:right="0" w:hanging="0"/>
        <w:jc w:val="both"/>
        <w:rPr>
          <w:rFonts w:ascii="Times New Roman" w:hAnsi="Times New Roman"/>
          <w:sz w:val="20"/>
        </w:rPr>
      </w:pPr>
      <w:bookmarkStart w:id="165" w:name="TAB129"/>
      <w:bookmarkEnd w:id="165"/>
      <w:r>
        <w:rPr>
          <w:rFonts w:ascii="Times New Roman" w:hAnsi="Times New Roman"/>
          <w:sz w:val="20"/>
        </w:rPr>
        <w:t>We currently own approximately 317.5 acres of land previously used in connection with our Company’s long ago discontinued railroad operations, most of which is located in Delaware and Pennsylvania. Insofar as we are aware, this land is not of material value to our Company as it is located principally in rural areas of Pennsylvania. We currently carry this property on our books at approximately $1.3 million. While this land is not used in our operations, we are not currently engaged in any active marketing efforts with respect to these properties. Rather, we respond to offers, when and if made. Included within our fee land holdings is approximately 2.1 acres of raised railroad right of way, located in the City of Philadelphia. While we have received a number of inquiries from prospective purchasers of that property, no decision has been made with respect to its possible disposition.</w:t>
      </w:r>
    </w:p>
    <w:p>
      <w:pPr>
        <w:pStyle w:val="TextBody"/>
        <w:spacing w:lineRule="auto" w:line="300"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66" w:name="PGBRK6"/>
      <w:bookmarkStart w:id="167" w:name="PGBRK6"/>
      <w:bookmarkEnd w:id="16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68" w:name="FTR6"/>
      <w:bookmarkStart w:id="169" w:name="FTR6"/>
      <w:bookmarkEnd w:id="16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70" w:name="GLFTR6"/>
      <w:bookmarkStart w:id="171" w:name="GLFTR6"/>
      <w:bookmarkEnd w:id="17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172" w:name="PN6"/>
      <w:bookmarkEnd w:id="172"/>
      <w:r>
        <w:rPr>
          <w:rFonts w:ascii="Times New Roman" w:hAnsi="Times New Roman"/>
          <w:sz w:val="16"/>
        </w:rPr>
        <w:t>-6-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73" w:name="HDR6"/>
      <w:bookmarkStart w:id="174" w:name="HDR6"/>
      <w:bookmarkEnd w:id="17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175" w:name="GLHDR6"/>
        <w:bookmarkEnd w:id="175"/>
        <w:r>
          <w:rPr>
            <w:rStyle w:val="Emphasis"/>
            <w:rFonts w:ascii="Times New Roman" w:hAnsi="Times New Roman"/>
            <w:color w:val="000000"/>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300" w:before="0" w:after="0"/>
        <w:ind w:left="0" w:right="0" w:hanging="0"/>
        <w:jc w:val="both"/>
        <w:rPr/>
      </w:pPr>
      <w:r>
        <w:rPr>
          <w:rStyle w:val="StrongEmphasis"/>
          <w:rFonts w:ascii="Times New Roman" w:hAnsi="Times New Roman"/>
          <w:sz w:val="20"/>
          <w:u w:val="single"/>
        </w:rPr>
        <w:t>Certain Segment and Geographical Distribution Information</w:t>
      </w:r>
    </w:p>
    <w:p>
      <w:pPr>
        <w:pStyle w:val="TextBody"/>
        <w:spacing w:lineRule="auto" w:line="300" w:before="0" w:after="0"/>
        <w:ind w:left="0" w:right="0" w:hanging="0"/>
        <w:jc w:val="both"/>
        <w:rPr/>
      </w:pPr>
      <w:r>
        <w:rPr/>
      </w:r>
    </w:p>
    <w:p>
      <w:pPr>
        <w:pStyle w:val="TextBody"/>
        <w:spacing w:lineRule="auto" w:line="300" w:before="0" w:after="0"/>
        <w:ind w:left="720" w:right="0" w:hanging="0"/>
        <w:jc w:val="both"/>
        <w:rPr/>
      </w:pPr>
      <w:bookmarkStart w:id="176" w:name="TAB130"/>
      <w:bookmarkEnd w:id="176"/>
      <w:r>
        <w:rPr>
          <w:rFonts w:ascii="Times New Roman" w:hAnsi="Times New Roman"/>
          <w:sz w:val="20"/>
        </w:rPr>
        <w:t xml:space="preserve">Financial Information about our various segments is set out in Note 21 - </w:t>
      </w:r>
      <w:r>
        <w:rPr>
          <w:rStyle w:val="Emphasis"/>
          <w:rFonts w:ascii="Times New Roman" w:hAnsi="Times New Roman"/>
          <w:sz w:val="20"/>
        </w:rPr>
        <w:t>Business Segments and Geographic Area Information</w:t>
      </w:r>
      <w:r>
        <w:rPr>
          <w:rFonts w:ascii="Times New Roman" w:hAnsi="Times New Roman"/>
          <w:sz w:val="20"/>
        </w:rPr>
        <w:t xml:space="preserve">. </w:t>
      </w:r>
    </w:p>
    <w:p>
      <w:pPr>
        <w:pStyle w:val="TextBody"/>
        <w:spacing w:lineRule="auto" w:line="300" w:before="0" w:after="0"/>
        <w:ind w:left="0" w:right="0" w:hanging="0"/>
        <w:jc w:val="both"/>
        <w:rPr/>
      </w:pPr>
      <w:r>
        <w:rPr/>
      </w:r>
    </w:p>
    <w:p>
      <w:pPr>
        <w:pStyle w:val="TextBody"/>
        <w:spacing w:lineRule="auto" w:line="300" w:before="0" w:after="0"/>
        <w:ind w:left="720" w:right="0" w:hanging="0"/>
        <w:jc w:val="both"/>
        <w:rPr>
          <w:rFonts w:ascii="Times New Roman" w:hAnsi="Times New Roman"/>
          <w:sz w:val="20"/>
        </w:rPr>
      </w:pPr>
      <w:bookmarkStart w:id="177" w:name="TAB131"/>
      <w:bookmarkEnd w:id="177"/>
      <w:r>
        <w:rPr>
          <w:rFonts w:ascii="Times New Roman" w:hAnsi="Times New Roman"/>
          <w:sz w:val="20"/>
        </w:rPr>
        <w:t>The following table sets forth the book value of our property and equipment by geographical area (dollars in thousands):</w:t>
      </w:r>
    </w:p>
    <w:p>
      <w:pPr>
        <w:pStyle w:val="TextBody"/>
        <w:spacing w:lineRule="auto" w:line="300" w:before="0" w:after="0"/>
        <w:ind w:left="0" w:right="0" w:hanging="0"/>
        <w:jc w:val="both"/>
        <w:rPr/>
      </w:pPr>
      <w:r>
        <w:rPr/>
      </w:r>
    </w:p>
    <w:p>
      <w:pPr>
        <w:pStyle w:val="Normal"/>
        <w:spacing w:before="0" w:after="0"/>
        <w:rPr>
          <w:sz w:val="4"/>
          <w:szCs w:val="4"/>
        </w:rPr>
      </w:pPr>
      <w:r>
        <w:rPr>
          <w:sz w:val="4"/>
          <w:szCs w:val="4"/>
        </w:rPr>
      </w:r>
      <w:bookmarkStart w:id="178" w:name="ftable"/>
      <w:bookmarkStart w:id="179" w:name="ftable"/>
      <w:bookmarkEnd w:id="179"/>
    </w:p>
    <w:tbl>
      <w:tblPr>
        <w:tblW w:w="5000" w:type="pct"/>
        <w:jc w:val="left"/>
        <w:tblInd w:w="0" w:type="dxa"/>
        <w:tblCellMar>
          <w:top w:w="0" w:type="dxa"/>
          <w:left w:w="0" w:type="dxa"/>
          <w:bottom w:w="28" w:type="dxa"/>
          <w:right w:w="0" w:type="dxa"/>
        </w:tblCellMar>
      </w:tblPr>
      <w:tblGrid>
        <w:gridCol w:w="6959"/>
        <w:gridCol w:w="204"/>
        <w:gridCol w:w="128"/>
        <w:gridCol w:w="1231"/>
        <w:gridCol w:w="204"/>
        <w:gridCol w:w="128"/>
        <w:gridCol w:w="1231"/>
        <w:gridCol w:w="120"/>
      </w:tblGrid>
      <w:tr>
        <w:trPr/>
        <w:tc>
          <w:tcPr>
            <w:tcW w:w="6959" w:type="dxa"/>
            <w:tcBorders>
              <w:bottom w:val="single" w:sz="4" w:space="0" w:color="FFFFFF"/>
            </w:tcBorders>
            <w:shd w:fill="auto" w:val="clear"/>
            <w:vAlign w:val="bottom"/>
          </w:tcPr>
          <w:p>
            <w:pPr>
              <w:pStyle w:val="TableContents"/>
              <w:spacing w:before="0" w:after="283"/>
              <w:jc w:val="left"/>
              <w:rPr/>
            </w:pPr>
            <w:r>
              <w:rPr/>
              <w:t> </w:t>
            </w:r>
          </w:p>
        </w:tc>
        <w:tc>
          <w:tcPr>
            <w:tcW w:w="204" w:type="dxa"/>
            <w:tcBorders>
              <w:bottom w:val="single" w:sz="2" w:space="0" w:color="FFFFFF"/>
            </w:tcBorders>
            <w:shd w:fill="auto" w:val="clear"/>
            <w:vAlign w:val="center"/>
          </w:tcPr>
          <w:p>
            <w:pPr>
              <w:pStyle w:val="TableContents"/>
              <w:spacing w:before="0" w:after="283"/>
              <w:rPr/>
            </w:pPr>
            <w:r>
              <w:rPr/>
              <w:t> </w:t>
            </w:r>
          </w:p>
        </w:tc>
        <w:tc>
          <w:tcPr>
            <w:tcW w:w="2922" w:type="dxa"/>
            <w:gridSpan w:val="5"/>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December 31,</w:t>
            </w:r>
          </w:p>
        </w:tc>
        <w:tc>
          <w:tcPr>
            <w:tcW w:w="120" w:type="dxa"/>
            <w:tcBorders>
              <w:bottom w:val="single" w:sz="2" w:space="0" w:color="FFFFFF"/>
            </w:tcBorders>
            <w:shd w:fill="auto" w:val="clear"/>
            <w:vAlign w:val="bottom"/>
          </w:tcPr>
          <w:p>
            <w:pPr>
              <w:pStyle w:val="TableContents"/>
              <w:spacing w:before="0" w:after="283"/>
              <w:jc w:val="left"/>
              <w:rPr/>
            </w:pPr>
            <w:r>
              <w:rPr/>
              <w:t> </w:t>
            </w:r>
          </w:p>
        </w:tc>
      </w:tr>
      <w:tr>
        <w:trPr/>
        <w:tc>
          <w:tcPr>
            <w:tcW w:w="6959" w:type="dxa"/>
            <w:tcBorders>
              <w:bottom w:val="double" w:sz="2" w:space="0" w:color="000000"/>
            </w:tcBorders>
            <w:shd w:fill="auto" w:val="clear"/>
            <w:vAlign w:val="bottom"/>
          </w:tcPr>
          <w:p>
            <w:pPr>
              <w:pStyle w:val="TableContents"/>
              <w:spacing w:before="0" w:after="283"/>
              <w:jc w:val="left"/>
              <w:rPr/>
            </w:pPr>
            <w:r>
              <w:rPr/>
              <w:t> </w:t>
            </w:r>
          </w:p>
        </w:tc>
        <w:tc>
          <w:tcPr>
            <w:tcW w:w="204" w:type="dxa"/>
            <w:tcBorders>
              <w:bottom w:val="single" w:sz="4" w:space="0" w:color="FFFFFF"/>
            </w:tcBorders>
            <w:shd w:fill="auto" w:val="clear"/>
            <w:vAlign w:val="center"/>
          </w:tcPr>
          <w:p>
            <w:pPr>
              <w:pStyle w:val="TableContents"/>
              <w:spacing w:before="0" w:after="283"/>
              <w:rPr/>
            </w:pPr>
            <w:r>
              <w:rPr/>
              <w:t> </w:t>
            </w:r>
          </w:p>
        </w:tc>
        <w:tc>
          <w:tcPr>
            <w:tcW w:w="1359"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2006</w:t>
            </w:r>
          </w:p>
        </w:tc>
        <w:tc>
          <w:tcPr>
            <w:tcW w:w="204" w:type="dxa"/>
            <w:tcBorders>
              <w:bottom w:val="single" w:sz="4" w:space="0" w:color="FFFFFF"/>
            </w:tcBorders>
            <w:shd w:fill="auto" w:val="clear"/>
            <w:vAlign w:val="bottom"/>
          </w:tcPr>
          <w:p>
            <w:pPr>
              <w:pStyle w:val="TableContents"/>
              <w:spacing w:before="0" w:after="283"/>
              <w:jc w:val="left"/>
              <w:rPr/>
            </w:pPr>
            <w:r>
              <w:rPr/>
              <w:t> </w:t>
            </w:r>
          </w:p>
        </w:tc>
        <w:tc>
          <w:tcPr>
            <w:tcW w:w="1359"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2005</w:t>
            </w:r>
          </w:p>
        </w:tc>
        <w:tc>
          <w:tcPr>
            <w:tcW w:w="120" w:type="dxa"/>
            <w:tcBorders>
              <w:bottom w:val="single" w:sz="4" w:space="0" w:color="FFFFFF"/>
            </w:tcBorders>
            <w:shd w:fill="auto" w:val="clear"/>
            <w:vAlign w:val="bottom"/>
          </w:tcPr>
          <w:p>
            <w:pPr>
              <w:pStyle w:val="TableContents"/>
              <w:spacing w:before="0" w:after="283"/>
              <w:jc w:val="left"/>
              <w:rPr/>
            </w:pPr>
            <w:r>
              <w:rPr/>
              <w:t> </w:t>
            </w:r>
          </w:p>
        </w:tc>
      </w:tr>
      <w:tr>
        <w:trPr/>
        <w:tc>
          <w:tcPr>
            <w:tcW w:w="6959"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Australia</w:t>
            </w:r>
          </w:p>
        </w:tc>
        <w:tc>
          <w:tcPr>
            <w:tcW w:w="204" w:type="dxa"/>
            <w:tcBorders/>
            <w:shd w:fill="CCEEFF" w:val="clear"/>
            <w:tcMar>
              <w:bottom w:w="0" w:type="dxa"/>
            </w:tcMar>
            <w:vAlign w:val="center"/>
          </w:tcPr>
          <w:p>
            <w:pPr>
              <w:pStyle w:val="TableContents"/>
              <w:spacing w:before="0" w:after="283"/>
              <w:rPr/>
            </w:pPr>
            <w:r>
              <w:rPr/>
              <w:t> </w:t>
            </w:r>
          </w:p>
        </w:tc>
        <w:tc>
          <w:tcPr>
            <w:tcW w:w="128"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180" w:name="TAB132"/>
            <w:bookmarkEnd w:id="180"/>
            <w:r>
              <w:rPr>
                <w:rFonts w:ascii="Times New Roman" w:hAnsi="Times New Roman"/>
                <w:sz w:val="20"/>
              </w:rPr>
              <w:t>$</w:t>
            </w:r>
          </w:p>
        </w:tc>
        <w:tc>
          <w:tcPr>
            <w:tcW w:w="1231"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81" w:name="TAB133"/>
            <w:bookmarkEnd w:id="181"/>
            <w:r>
              <w:rPr>
                <w:rFonts w:ascii="Times New Roman" w:hAnsi="Times New Roman"/>
                <w:sz w:val="20"/>
              </w:rPr>
              <w:t>86,317</w:t>
            </w:r>
          </w:p>
        </w:tc>
        <w:tc>
          <w:tcPr>
            <w:tcW w:w="204" w:type="dxa"/>
            <w:tcBorders/>
            <w:shd w:fill="CCEEFF" w:val="clear"/>
            <w:tcMar>
              <w:bottom w:w="0" w:type="dxa"/>
            </w:tcMar>
            <w:vAlign w:val="bottom"/>
          </w:tcPr>
          <w:p>
            <w:pPr>
              <w:pStyle w:val="TableContents"/>
              <w:spacing w:before="0" w:after="283"/>
              <w:jc w:val="left"/>
              <w:rPr/>
            </w:pPr>
            <w:r>
              <w:rPr/>
              <w:t> </w:t>
            </w:r>
          </w:p>
        </w:tc>
        <w:tc>
          <w:tcPr>
            <w:tcW w:w="128"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182" w:name="TAB134"/>
            <w:bookmarkEnd w:id="182"/>
            <w:r>
              <w:rPr>
                <w:rFonts w:ascii="Times New Roman" w:hAnsi="Times New Roman"/>
                <w:sz w:val="20"/>
              </w:rPr>
              <w:t>$</w:t>
            </w:r>
          </w:p>
        </w:tc>
        <w:tc>
          <w:tcPr>
            <w:tcW w:w="1231"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83" w:name="TAB135"/>
            <w:bookmarkEnd w:id="183"/>
            <w:r>
              <w:rPr>
                <w:rFonts w:ascii="Times New Roman" w:hAnsi="Times New Roman"/>
                <w:sz w:val="20"/>
              </w:rPr>
              <w:t>84,615</w:t>
            </w:r>
          </w:p>
        </w:tc>
        <w:tc>
          <w:tcPr>
            <w:tcW w:w="120" w:type="dxa"/>
            <w:tcBorders/>
            <w:shd w:fill="CCEEFF" w:val="clear"/>
            <w:tcMar>
              <w:bottom w:w="0" w:type="dxa"/>
            </w:tcMar>
            <w:vAlign w:val="bottom"/>
          </w:tcPr>
          <w:p>
            <w:pPr>
              <w:pStyle w:val="TableContents"/>
              <w:spacing w:before="0" w:after="283"/>
              <w:jc w:val="left"/>
              <w:rPr/>
            </w:pPr>
            <w:r>
              <w:rPr/>
              <w:t> </w:t>
            </w:r>
          </w:p>
        </w:tc>
      </w:tr>
      <w:tr>
        <w:trPr/>
        <w:tc>
          <w:tcPr>
            <w:tcW w:w="6959"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New Zealand</w:t>
            </w:r>
          </w:p>
        </w:tc>
        <w:tc>
          <w:tcPr>
            <w:tcW w:w="204" w:type="dxa"/>
            <w:tcBorders/>
            <w:shd w:fill="FFFFFF" w:val="clear"/>
            <w:tcMar>
              <w:bottom w:w="0" w:type="dxa"/>
            </w:tcMar>
            <w:vAlign w:val="center"/>
          </w:tcPr>
          <w:p>
            <w:pPr>
              <w:pStyle w:val="TableContents"/>
              <w:spacing w:before="0" w:after="283"/>
              <w:rPr/>
            </w:pPr>
            <w:r>
              <w:rPr/>
              <w:t> </w:t>
            </w:r>
          </w:p>
        </w:tc>
        <w:tc>
          <w:tcPr>
            <w:tcW w:w="128" w:type="dxa"/>
            <w:tcBorders/>
            <w:shd w:fill="FFFFFF" w:val="clear"/>
            <w:tcMar>
              <w:bottom w:w="0" w:type="dxa"/>
            </w:tcMar>
            <w:vAlign w:val="bottom"/>
          </w:tcPr>
          <w:p>
            <w:pPr>
              <w:pStyle w:val="TableContents"/>
              <w:spacing w:before="0" w:after="283"/>
              <w:jc w:val="left"/>
              <w:rPr/>
            </w:pPr>
            <w:r>
              <w:rPr/>
              <w:t> </w:t>
            </w:r>
          </w:p>
        </w:tc>
        <w:tc>
          <w:tcPr>
            <w:tcW w:w="1231"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38,772</w:t>
            </w:r>
          </w:p>
        </w:tc>
        <w:tc>
          <w:tcPr>
            <w:tcW w:w="204" w:type="dxa"/>
            <w:tcBorders/>
            <w:shd w:fill="FFFFFF" w:val="clear"/>
            <w:tcMar>
              <w:bottom w:w="0" w:type="dxa"/>
            </w:tcMar>
            <w:vAlign w:val="bottom"/>
          </w:tcPr>
          <w:p>
            <w:pPr>
              <w:pStyle w:val="TableContents"/>
              <w:spacing w:before="0" w:after="283"/>
              <w:jc w:val="left"/>
              <w:rPr/>
            </w:pPr>
            <w:r>
              <w:rPr/>
              <w:t> </w:t>
            </w:r>
          </w:p>
        </w:tc>
        <w:tc>
          <w:tcPr>
            <w:tcW w:w="128" w:type="dxa"/>
            <w:tcBorders/>
            <w:shd w:fill="FFFFFF" w:val="clear"/>
            <w:tcMar>
              <w:bottom w:w="0" w:type="dxa"/>
            </w:tcMar>
            <w:vAlign w:val="bottom"/>
          </w:tcPr>
          <w:p>
            <w:pPr>
              <w:pStyle w:val="TableContents"/>
              <w:spacing w:before="0" w:after="283"/>
              <w:jc w:val="left"/>
              <w:rPr/>
            </w:pPr>
            <w:r>
              <w:rPr/>
              <w:t> </w:t>
            </w:r>
          </w:p>
        </w:tc>
        <w:tc>
          <w:tcPr>
            <w:tcW w:w="1231"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37,025</w:t>
            </w:r>
          </w:p>
        </w:tc>
        <w:tc>
          <w:tcPr>
            <w:tcW w:w="120" w:type="dxa"/>
            <w:tcBorders/>
            <w:shd w:fill="FFFFFF" w:val="clear"/>
            <w:tcMar>
              <w:bottom w:w="0" w:type="dxa"/>
            </w:tcMar>
            <w:vAlign w:val="bottom"/>
          </w:tcPr>
          <w:p>
            <w:pPr>
              <w:pStyle w:val="TableContents"/>
              <w:spacing w:before="0" w:after="283"/>
              <w:jc w:val="left"/>
              <w:rPr/>
            </w:pPr>
            <w:r>
              <w:rPr/>
              <w:t> </w:t>
            </w:r>
          </w:p>
        </w:tc>
      </w:tr>
      <w:tr>
        <w:trPr/>
        <w:tc>
          <w:tcPr>
            <w:tcW w:w="6959" w:type="dxa"/>
            <w:tcBorders>
              <w:bottom w:val="sing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United States</w:t>
            </w:r>
          </w:p>
        </w:tc>
        <w:tc>
          <w:tcPr>
            <w:tcW w:w="204" w:type="dxa"/>
            <w:tcBorders>
              <w:bottom w:val="single" w:sz="2" w:space="0" w:color="CCEEFF"/>
            </w:tcBorders>
            <w:shd w:fill="CCEEFF" w:val="clear"/>
            <w:vAlign w:val="center"/>
          </w:tcPr>
          <w:p>
            <w:pPr>
              <w:pStyle w:val="TableContents"/>
              <w:spacing w:before="0" w:after="283"/>
              <w:rPr/>
            </w:pPr>
            <w:r>
              <w:rPr/>
              <w:t> </w:t>
            </w:r>
          </w:p>
        </w:tc>
        <w:tc>
          <w:tcPr>
            <w:tcW w:w="128" w:type="dxa"/>
            <w:tcBorders>
              <w:bottom w:val="single" w:sz="2" w:space="0" w:color="000000"/>
            </w:tcBorders>
            <w:shd w:fill="CCEEFF" w:val="clear"/>
            <w:vAlign w:val="bottom"/>
          </w:tcPr>
          <w:p>
            <w:pPr>
              <w:pStyle w:val="TableContents"/>
              <w:spacing w:before="0" w:after="283"/>
              <w:jc w:val="left"/>
              <w:rPr/>
            </w:pPr>
            <w:r>
              <w:rPr/>
              <w:t> </w:t>
            </w:r>
          </w:p>
        </w:tc>
        <w:tc>
          <w:tcPr>
            <w:tcW w:w="1231"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45,578</w:t>
            </w:r>
          </w:p>
        </w:tc>
        <w:tc>
          <w:tcPr>
            <w:tcW w:w="204" w:type="dxa"/>
            <w:tcBorders>
              <w:bottom w:val="single" w:sz="2" w:space="0" w:color="CCEEFF"/>
            </w:tcBorders>
            <w:shd w:fill="CCEEFF" w:val="clear"/>
            <w:vAlign w:val="bottom"/>
          </w:tcPr>
          <w:p>
            <w:pPr>
              <w:pStyle w:val="TableContents"/>
              <w:spacing w:before="0" w:after="283"/>
              <w:jc w:val="left"/>
              <w:rPr/>
            </w:pPr>
            <w:r>
              <w:rPr/>
              <w:t> </w:t>
            </w:r>
          </w:p>
        </w:tc>
        <w:tc>
          <w:tcPr>
            <w:tcW w:w="128" w:type="dxa"/>
            <w:tcBorders>
              <w:bottom w:val="single" w:sz="2" w:space="0" w:color="000000"/>
            </w:tcBorders>
            <w:shd w:fill="CCEEFF" w:val="clear"/>
            <w:vAlign w:val="bottom"/>
          </w:tcPr>
          <w:p>
            <w:pPr>
              <w:pStyle w:val="TableContents"/>
              <w:spacing w:before="0" w:after="283"/>
              <w:jc w:val="left"/>
              <w:rPr/>
            </w:pPr>
            <w:r>
              <w:rPr/>
              <w:t> </w:t>
            </w:r>
          </w:p>
        </w:tc>
        <w:tc>
          <w:tcPr>
            <w:tcW w:w="1231"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45,749</w:t>
            </w:r>
          </w:p>
        </w:tc>
        <w:tc>
          <w:tcPr>
            <w:tcW w:w="120" w:type="dxa"/>
            <w:tcBorders>
              <w:bottom w:val="single" w:sz="2" w:space="0" w:color="CCEEFF"/>
            </w:tcBorders>
            <w:shd w:fill="CCEEFF" w:val="clear"/>
            <w:vAlign w:val="bottom"/>
          </w:tcPr>
          <w:p>
            <w:pPr>
              <w:pStyle w:val="TableContents"/>
              <w:spacing w:before="0" w:after="283"/>
              <w:jc w:val="left"/>
              <w:rPr/>
            </w:pPr>
            <w:r>
              <w:rPr/>
              <w:t> </w:t>
            </w:r>
          </w:p>
        </w:tc>
      </w:tr>
      <w:tr>
        <w:trPr/>
        <w:tc>
          <w:tcPr>
            <w:tcW w:w="6959" w:type="dxa"/>
            <w:tcBorders>
              <w:bottom w:val="doub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Property and equipment</w:t>
            </w:r>
          </w:p>
        </w:tc>
        <w:tc>
          <w:tcPr>
            <w:tcW w:w="204" w:type="dxa"/>
            <w:tcBorders>
              <w:bottom w:val="single" w:sz="4" w:space="0" w:color="FFFFFF"/>
            </w:tcBorders>
            <w:shd w:fill="FFFFFF" w:val="clear"/>
            <w:vAlign w:val="center"/>
          </w:tcPr>
          <w:p>
            <w:pPr>
              <w:pStyle w:val="TableContents"/>
              <w:spacing w:before="0" w:after="283"/>
              <w:rPr/>
            </w:pPr>
            <w:r>
              <w:rPr/>
              <w:t> </w:t>
            </w:r>
          </w:p>
        </w:tc>
        <w:tc>
          <w:tcPr>
            <w:tcW w:w="128" w:type="dxa"/>
            <w:tcBorders>
              <w:bottom w:val="doub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bookmarkStart w:id="184" w:name="TAB136"/>
            <w:bookmarkEnd w:id="184"/>
            <w:r>
              <w:rPr>
                <w:rFonts w:ascii="Times New Roman" w:hAnsi="Times New Roman"/>
                <w:sz w:val="20"/>
              </w:rPr>
              <w:t>$</w:t>
            </w:r>
          </w:p>
        </w:tc>
        <w:tc>
          <w:tcPr>
            <w:tcW w:w="1231"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185" w:name="TAB137"/>
            <w:bookmarkEnd w:id="185"/>
            <w:r>
              <w:rPr>
                <w:rFonts w:ascii="Times New Roman" w:hAnsi="Times New Roman"/>
                <w:sz w:val="20"/>
              </w:rPr>
              <w:t>170,667</w:t>
            </w:r>
          </w:p>
        </w:tc>
        <w:tc>
          <w:tcPr>
            <w:tcW w:w="204" w:type="dxa"/>
            <w:tcBorders>
              <w:bottom w:val="single" w:sz="4" w:space="0" w:color="FFFFFF"/>
            </w:tcBorders>
            <w:shd w:fill="FFFFFF" w:val="clear"/>
            <w:vAlign w:val="bottom"/>
          </w:tcPr>
          <w:p>
            <w:pPr>
              <w:pStyle w:val="TableContents"/>
              <w:spacing w:before="0" w:after="283"/>
              <w:jc w:val="left"/>
              <w:rPr/>
            </w:pPr>
            <w:r>
              <w:rPr/>
              <w:t> </w:t>
            </w:r>
          </w:p>
        </w:tc>
        <w:tc>
          <w:tcPr>
            <w:tcW w:w="128" w:type="dxa"/>
            <w:tcBorders>
              <w:bottom w:val="doub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bookmarkStart w:id="186" w:name="TAB138"/>
            <w:bookmarkEnd w:id="186"/>
            <w:r>
              <w:rPr>
                <w:rFonts w:ascii="Times New Roman" w:hAnsi="Times New Roman"/>
                <w:sz w:val="20"/>
              </w:rPr>
              <w:t>$</w:t>
            </w:r>
          </w:p>
        </w:tc>
        <w:tc>
          <w:tcPr>
            <w:tcW w:w="1231"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187" w:name="TAB139"/>
            <w:bookmarkEnd w:id="187"/>
            <w:r>
              <w:rPr>
                <w:rFonts w:ascii="Times New Roman" w:hAnsi="Times New Roman"/>
                <w:sz w:val="20"/>
              </w:rPr>
              <w:t>167,389</w:t>
            </w:r>
          </w:p>
        </w:tc>
        <w:tc>
          <w:tcPr>
            <w:tcW w:w="120" w:type="dxa"/>
            <w:tcBorders>
              <w:bottom w:val="single" w:sz="4" w:space="0" w:color="FFFFFF"/>
            </w:tcBorders>
            <w:shd w:fill="FFFFFF" w:val="clear"/>
            <w:vAlign w:val="bottom"/>
          </w:tcPr>
          <w:p>
            <w:pPr>
              <w:pStyle w:val="TableContents"/>
              <w:spacing w:before="0" w:after="283"/>
              <w:jc w:val="left"/>
              <w:rPr/>
            </w:pPr>
            <w:r>
              <w:rPr/>
              <w:t> </w:t>
            </w:r>
          </w:p>
        </w:tc>
      </w:tr>
    </w:tbl>
    <w:p>
      <w:pPr>
        <w:pStyle w:val="TextBody"/>
        <w:spacing w:before="0" w:after="0"/>
        <w:rPr/>
      </w:pPr>
      <w:r>
        <w:rPr/>
        <w:t> </w:t>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The following table sets forth our revenues by geographical area (dollars in thousands):</w:t>
      </w:r>
    </w:p>
    <w:p>
      <w:pPr>
        <w:pStyle w:val="TextBody"/>
        <w:spacing w:lineRule="auto" w:line="300" w:before="0" w:after="0"/>
        <w:ind w:left="0" w:right="0" w:hanging="0"/>
        <w:jc w:val="both"/>
        <w:rPr/>
      </w:pPr>
      <w:r>
        <w:rPr/>
      </w:r>
    </w:p>
    <w:p>
      <w:pPr>
        <w:pStyle w:val="Normal"/>
        <w:spacing w:before="0" w:after="0"/>
        <w:rPr>
          <w:sz w:val="4"/>
          <w:szCs w:val="4"/>
        </w:rPr>
      </w:pPr>
      <w:r>
        <w:rPr>
          <w:sz w:val="4"/>
          <w:szCs w:val="4"/>
        </w:rPr>
      </w:r>
      <w:bookmarkStart w:id="188" w:name="ftable1"/>
      <w:bookmarkStart w:id="189" w:name="ftable1"/>
      <w:bookmarkEnd w:id="189"/>
    </w:p>
    <w:tbl>
      <w:tblPr>
        <w:tblW w:w="5000" w:type="pct"/>
        <w:jc w:val="left"/>
        <w:tblInd w:w="0" w:type="dxa"/>
        <w:tblCellMar>
          <w:top w:w="0" w:type="dxa"/>
          <w:left w:w="0" w:type="dxa"/>
          <w:bottom w:w="28" w:type="dxa"/>
          <w:right w:w="0" w:type="dxa"/>
        </w:tblCellMar>
      </w:tblPr>
      <w:tblGrid>
        <w:gridCol w:w="5528"/>
        <w:gridCol w:w="201"/>
        <w:gridCol w:w="127"/>
        <w:gridCol w:w="1211"/>
        <w:gridCol w:w="201"/>
        <w:gridCol w:w="127"/>
        <w:gridCol w:w="1181"/>
        <w:gridCol w:w="201"/>
        <w:gridCol w:w="127"/>
        <w:gridCol w:w="1181"/>
        <w:gridCol w:w="120"/>
      </w:tblGrid>
      <w:tr>
        <w:trPr/>
        <w:tc>
          <w:tcPr>
            <w:tcW w:w="5528" w:type="dxa"/>
            <w:tcBorders>
              <w:bottom w:val="single" w:sz="4" w:space="0" w:color="FFFFFF"/>
            </w:tcBorders>
            <w:shd w:fill="auto" w:val="clear"/>
            <w:vAlign w:val="bottom"/>
          </w:tcPr>
          <w:p>
            <w:pPr>
              <w:pStyle w:val="TableContents"/>
              <w:spacing w:before="0" w:after="283"/>
              <w:jc w:val="left"/>
              <w:rPr/>
            </w:pPr>
            <w:r>
              <w:rPr/>
              <w:t> </w:t>
            </w:r>
          </w:p>
        </w:tc>
        <w:tc>
          <w:tcPr>
            <w:tcW w:w="201" w:type="dxa"/>
            <w:tcBorders>
              <w:bottom w:val="single" w:sz="2" w:space="0" w:color="FFFFFF"/>
            </w:tcBorders>
            <w:shd w:fill="auto" w:val="clear"/>
            <w:vAlign w:val="center"/>
          </w:tcPr>
          <w:p>
            <w:pPr>
              <w:pStyle w:val="TableContents"/>
              <w:spacing w:before="0" w:after="283"/>
              <w:rPr/>
            </w:pPr>
            <w:r>
              <w:rPr/>
              <w:t> </w:t>
            </w:r>
          </w:p>
        </w:tc>
        <w:tc>
          <w:tcPr>
            <w:tcW w:w="4356" w:type="dxa"/>
            <w:gridSpan w:val="8"/>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December 31,</w:t>
            </w:r>
          </w:p>
        </w:tc>
        <w:tc>
          <w:tcPr>
            <w:tcW w:w="120" w:type="dxa"/>
            <w:tcBorders>
              <w:bottom w:val="single" w:sz="2" w:space="0" w:color="FFFFFF"/>
            </w:tcBorders>
            <w:shd w:fill="auto" w:val="clear"/>
            <w:vAlign w:val="bottom"/>
          </w:tcPr>
          <w:p>
            <w:pPr>
              <w:pStyle w:val="TableContents"/>
              <w:spacing w:before="0" w:after="283"/>
              <w:jc w:val="left"/>
              <w:rPr/>
            </w:pPr>
            <w:r>
              <w:rPr/>
              <w:t> </w:t>
            </w:r>
          </w:p>
        </w:tc>
      </w:tr>
      <w:tr>
        <w:trPr/>
        <w:tc>
          <w:tcPr>
            <w:tcW w:w="5528" w:type="dxa"/>
            <w:tcBorders>
              <w:bottom w:val="double" w:sz="2" w:space="0" w:color="000000"/>
            </w:tcBorders>
            <w:shd w:fill="auto" w:val="clear"/>
            <w:vAlign w:val="bottom"/>
          </w:tcPr>
          <w:p>
            <w:pPr>
              <w:pStyle w:val="TableContents"/>
              <w:spacing w:before="0" w:after="283"/>
              <w:jc w:val="left"/>
              <w:rPr/>
            </w:pPr>
            <w:r>
              <w:rPr/>
              <w:t> </w:t>
            </w:r>
          </w:p>
        </w:tc>
        <w:tc>
          <w:tcPr>
            <w:tcW w:w="201" w:type="dxa"/>
            <w:tcBorders>
              <w:bottom w:val="single" w:sz="4" w:space="0" w:color="FFFFFF"/>
            </w:tcBorders>
            <w:shd w:fill="auto" w:val="clear"/>
            <w:vAlign w:val="center"/>
          </w:tcPr>
          <w:p>
            <w:pPr>
              <w:pStyle w:val="TableContents"/>
              <w:spacing w:before="0" w:after="283"/>
              <w:rPr/>
            </w:pPr>
            <w:r>
              <w:rPr/>
              <w:t> </w:t>
            </w:r>
          </w:p>
        </w:tc>
        <w:tc>
          <w:tcPr>
            <w:tcW w:w="1338"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2006</w:t>
            </w:r>
          </w:p>
        </w:tc>
        <w:tc>
          <w:tcPr>
            <w:tcW w:w="201" w:type="dxa"/>
            <w:tcBorders>
              <w:bottom w:val="single" w:sz="4" w:space="0" w:color="FFFFFF"/>
            </w:tcBorders>
            <w:shd w:fill="auto" w:val="clear"/>
            <w:vAlign w:val="bottom"/>
          </w:tcPr>
          <w:p>
            <w:pPr>
              <w:pStyle w:val="TableContents"/>
              <w:spacing w:before="0" w:after="283"/>
              <w:jc w:val="left"/>
              <w:rPr/>
            </w:pPr>
            <w:r>
              <w:rPr/>
              <w:t> </w:t>
            </w:r>
          </w:p>
        </w:tc>
        <w:tc>
          <w:tcPr>
            <w:tcW w:w="1308"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2005</w:t>
            </w:r>
          </w:p>
        </w:tc>
        <w:tc>
          <w:tcPr>
            <w:tcW w:w="201" w:type="dxa"/>
            <w:tcBorders>
              <w:bottom w:val="single" w:sz="4" w:space="0" w:color="FFFFFF"/>
            </w:tcBorders>
            <w:shd w:fill="auto" w:val="clear"/>
            <w:vAlign w:val="bottom"/>
          </w:tcPr>
          <w:p>
            <w:pPr>
              <w:pStyle w:val="TableContents"/>
              <w:spacing w:before="0" w:after="283"/>
              <w:jc w:val="left"/>
              <w:rPr/>
            </w:pPr>
            <w:r>
              <w:rPr/>
              <w:t> </w:t>
            </w:r>
          </w:p>
        </w:tc>
        <w:tc>
          <w:tcPr>
            <w:tcW w:w="1308"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2004</w:t>
            </w:r>
          </w:p>
        </w:tc>
        <w:tc>
          <w:tcPr>
            <w:tcW w:w="120" w:type="dxa"/>
            <w:tcBorders>
              <w:bottom w:val="single" w:sz="4" w:space="0" w:color="FFFFFF"/>
            </w:tcBorders>
            <w:shd w:fill="auto" w:val="clear"/>
            <w:vAlign w:val="bottom"/>
          </w:tcPr>
          <w:p>
            <w:pPr>
              <w:pStyle w:val="TableContents"/>
              <w:spacing w:before="0" w:after="283"/>
              <w:jc w:val="left"/>
              <w:rPr/>
            </w:pPr>
            <w:r>
              <w:rPr/>
              <w:t> </w:t>
            </w:r>
          </w:p>
        </w:tc>
      </w:tr>
      <w:tr>
        <w:trPr/>
        <w:tc>
          <w:tcPr>
            <w:tcW w:w="5528"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Australia</w:t>
            </w:r>
          </w:p>
        </w:tc>
        <w:tc>
          <w:tcPr>
            <w:tcW w:w="201" w:type="dxa"/>
            <w:tcBorders/>
            <w:shd w:fill="CCEEFF" w:val="clear"/>
            <w:tcMar>
              <w:bottom w:w="0" w:type="dxa"/>
            </w:tcMar>
            <w:vAlign w:val="center"/>
          </w:tcPr>
          <w:p>
            <w:pPr>
              <w:pStyle w:val="TableContents"/>
              <w:spacing w:before="0" w:after="283"/>
              <w:rPr/>
            </w:pPr>
            <w:r>
              <w:rPr/>
              <w:t> </w:t>
            </w:r>
          </w:p>
        </w:tc>
        <w:tc>
          <w:tcPr>
            <w:tcW w:w="127"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190" w:name="TAB140"/>
            <w:bookmarkEnd w:id="190"/>
            <w:r>
              <w:rPr>
                <w:rFonts w:ascii="Times New Roman" w:hAnsi="Times New Roman"/>
                <w:sz w:val="20"/>
              </w:rPr>
              <w:t>$</w:t>
            </w:r>
          </w:p>
        </w:tc>
        <w:tc>
          <w:tcPr>
            <w:tcW w:w="1211"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91" w:name="TAB141"/>
            <w:bookmarkEnd w:id="191"/>
            <w:r>
              <w:rPr>
                <w:rFonts w:ascii="Times New Roman" w:hAnsi="Times New Roman"/>
                <w:sz w:val="20"/>
              </w:rPr>
              <w:t>53,434</w:t>
            </w:r>
          </w:p>
        </w:tc>
        <w:tc>
          <w:tcPr>
            <w:tcW w:w="201" w:type="dxa"/>
            <w:tcBorders/>
            <w:shd w:fill="CCEEFF" w:val="clear"/>
            <w:tcMar>
              <w:bottom w:w="0" w:type="dxa"/>
            </w:tcMar>
            <w:vAlign w:val="bottom"/>
          </w:tcPr>
          <w:p>
            <w:pPr>
              <w:pStyle w:val="TableContents"/>
              <w:spacing w:before="0" w:after="283"/>
              <w:jc w:val="left"/>
              <w:rPr/>
            </w:pPr>
            <w:r>
              <w:rPr/>
              <w:t> </w:t>
            </w:r>
          </w:p>
        </w:tc>
        <w:tc>
          <w:tcPr>
            <w:tcW w:w="127"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192" w:name="TAB142"/>
            <w:bookmarkEnd w:id="192"/>
            <w:r>
              <w:rPr>
                <w:rFonts w:ascii="Times New Roman" w:hAnsi="Times New Roman"/>
                <w:sz w:val="20"/>
              </w:rPr>
              <w:t>$</w:t>
            </w:r>
          </w:p>
        </w:tc>
        <w:tc>
          <w:tcPr>
            <w:tcW w:w="1181"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93" w:name="TAB143"/>
            <w:bookmarkEnd w:id="193"/>
            <w:r>
              <w:rPr>
                <w:rFonts w:ascii="Times New Roman" w:hAnsi="Times New Roman"/>
                <w:sz w:val="20"/>
              </w:rPr>
              <w:t>47,181</w:t>
            </w:r>
          </w:p>
        </w:tc>
        <w:tc>
          <w:tcPr>
            <w:tcW w:w="201" w:type="dxa"/>
            <w:tcBorders/>
            <w:shd w:fill="CCEEFF" w:val="clear"/>
            <w:tcMar>
              <w:bottom w:w="0" w:type="dxa"/>
            </w:tcMar>
            <w:vAlign w:val="bottom"/>
          </w:tcPr>
          <w:p>
            <w:pPr>
              <w:pStyle w:val="TableContents"/>
              <w:spacing w:before="0" w:after="283"/>
              <w:jc w:val="left"/>
              <w:rPr/>
            </w:pPr>
            <w:r>
              <w:rPr/>
              <w:t> </w:t>
            </w:r>
          </w:p>
        </w:tc>
        <w:tc>
          <w:tcPr>
            <w:tcW w:w="127"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194" w:name="TAB144"/>
            <w:bookmarkEnd w:id="194"/>
            <w:r>
              <w:rPr>
                <w:rFonts w:ascii="Times New Roman" w:hAnsi="Times New Roman"/>
                <w:sz w:val="20"/>
              </w:rPr>
              <w:t>$</w:t>
            </w:r>
          </w:p>
        </w:tc>
        <w:tc>
          <w:tcPr>
            <w:tcW w:w="1181"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95" w:name="TAB145"/>
            <w:bookmarkEnd w:id="195"/>
            <w:r>
              <w:rPr>
                <w:rFonts w:ascii="Times New Roman" w:hAnsi="Times New Roman"/>
                <w:sz w:val="20"/>
              </w:rPr>
              <w:t>43,666</w:t>
            </w:r>
          </w:p>
        </w:tc>
        <w:tc>
          <w:tcPr>
            <w:tcW w:w="120" w:type="dxa"/>
            <w:tcBorders/>
            <w:shd w:fill="CCEEFF" w:val="clear"/>
            <w:tcMar>
              <w:bottom w:w="0" w:type="dxa"/>
            </w:tcMar>
            <w:vAlign w:val="bottom"/>
          </w:tcPr>
          <w:p>
            <w:pPr>
              <w:pStyle w:val="TableContents"/>
              <w:spacing w:before="0" w:after="283"/>
              <w:jc w:val="left"/>
              <w:rPr/>
            </w:pPr>
            <w:r>
              <w:rPr/>
              <w:t> </w:t>
            </w:r>
          </w:p>
        </w:tc>
      </w:tr>
      <w:tr>
        <w:trPr/>
        <w:tc>
          <w:tcPr>
            <w:tcW w:w="5528"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New Zealand</w:t>
            </w:r>
          </w:p>
        </w:tc>
        <w:tc>
          <w:tcPr>
            <w:tcW w:w="201" w:type="dxa"/>
            <w:tcBorders/>
            <w:shd w:fill="FFFFFF" w:val="clear"/>
            <w:tcMar>
              <w:bottom w:w="0" w:type="dxa"/>
            </w:tcMar>
            <w:vAlign w:val="center"/>
          </w:tcPr>
          <w:p>
            <w:pPr>
              <w:pStyle w:val="TableContents"/>
              <w:spacing w:before="0" w:after="283"/>
              <w:rPr/>
            </w:pPr>
            <w:r>
              <w:rPr/>
              <w:t> </w:t>
            </w:r>
          </w:p>
        </w:tc>
        <w:tc>
          <w:tcPr>
            <w:tcW w:w="127" w:type="dxa"/>
            <w:tcBorders/>
            <w:shd w:fill="FFFFFF" w:val="clear"/>
            <w:tcMar>
              <w:bottom w:w="0" w:type="dxa"/>
            </w:tcMar>
            <w:vAlign w:val="bottom"/>
          </w:tcPr>
          <w:p>
            <w:pPr>
              <w:pStyle w:val="TableContents"/>
              <w:spacing w:before="0" w:after="283"/>
              <w:jc w:val="left"/>
              <w:rPr/>
            </w:pPr>
            <w:r>
              <w:rPr/>
              <w:t> </w:t>
            </w:r>
          </w:p>
        </w:tc>
        <w:tc>
          <w:tcPr>
            <w:tcW w:w="1211"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21,230</w:t>
            </w:r>
          </w:p>
        </w:tc>
        <w:tc>
          <w:tcPr>
            <w:tcW w:w="201" w:type="dxa"/>
            <w:tcBorders/>
            <w:shd w:fill="FFFFFF" w:val="clear"/>
            <w:tcMar>
              <w:bottom w:w="0" w:type="dxa"/>
            </w:tcMar>
            <w:vAlign w:val="bottom"/>
          </w:tcPr>
          <w:p>
            <w:pPr>
              <w:pStyle w:val="TableContents"/>
              <w:spacing w:before="0" w:after="283"/>
              <w:jc w:val="left"/>
              <w:rPr/>
            </w:pPr>
            <w:r>
              <w:rPr/>
              <w:t> </w:t>
            </w:r>
          </w:p>
        </w:tc>
        <w:tc>
          <w:tcPr>
            <w:tcW w:w="127" w:type="dxa"/>
            <w:tcBorders/>
            <w:shd w:fill="FFFFFF" w:val="clear"/>
            <w:tcMar>
              <w:bottom w:w="0" w:type="dxa"/>
            </w:tcMar>
            <w:vAlign w:val="bottom"/>
          </w:tcPr>
          <w:p>
            <w:pPr>
              <w:pStyle w:val="TableContents"/>
              <w:spacing w:before="0" w:after="283"/>
              <w:jc w:val="left"/>
              <w:rPr/>
            </w:pPr>
            <w:r>
              <w:rPr/>
              <w:t> </w:t>
            </w:r>
          </w:p>
        </w:tc>
        <w:tc>
          <w:tcPr>
            <w:tcW w:w="1181"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20,179</w:t>
            </w:r>
          </w:p>
        </w:tc>
        <w:tc>
          <w:tcPr>
            <w:tcW w:w="201" w:type="dxa"/>
            <w:tcBorders/>
            <w:shd w:fill="FFFFFF" w:val="clear"/>
            <w:tcMar>
              <w:bottom w:w="0" w:type="dxa"/>
            </w:tcMar>
            <w:vAlign w:val="bottom"/>
          </w:tcPr>
          <w:p>
            <w:pPr>
              <w:pStyle w:val="TableContents"/>
              <w:spacing w:before="0" w:after="283"/>
              <w:jc w:val="left"/>
              <w:rPr/>
            </w:pPr>
            <w:r>
              <w:rPr/>
              <w:t> </w:t>
            </w:r>
          </w:p>
        </w:tc>
        <w:tc>
          <w:tcPr>
            <w:tcW w:w="127" w:type="dxa"/>
            <w:tcBorders/>
            <w:shd w:fill="FFFFFF" w:val="clear"/>
            <w:tcMar>
              <w:bottom w:w="0" w:type="dxa"/>
            </w:tcMar>
            <w:vAlign w:val="bottom"/>
          </w:tcPr>
          <w:p>
            <w:pPr>
              <w:pStyle w:val="TableContents"/>
              <w:spacing w:before="0" w:after="283"/>
              <w:jc w:val="left"/>
              <w:rPr/>
            </w:pPr>
            <w:r>
              <w:rPr/>
              <w:t> </w:t>
            </w:r>
          </w:p>
        </w:tc>
        <w:tc>
          <w:tcPr>
            <w:tcW w:w="1181"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13,531</w:t>
            </w:r>
          </w:p>
        </w:tc>
        <w:tc>
          <w:tcPr>
            <w:tcW w:w="120" w:type="dxa"/>
            <w:tcBorders/>
            <w:shd w:fill="FFFFFF" w:val="clear"/>
            <w:tcMar>
              <w:bottom w:w="0" w:type="dxa"/>
            </w:tcMar>
            <w:vAlign w:val="bottom"/>
          </w:tcPr>
          <w:p>
            <w:pPr>
              <w:pStyle w:val="TableContents"/>
              <w:spacing w:before="0" w:after="283"/>
              <w:jc w:val="left"/>
              <w:rPr/>
            </w:pPr>
            <w:r>
              <w:rPr/>
              <w:t> </w:t>
            </w:r>
          </w:p>
        </w:tc>
      </w:tr>
      <w:tr>
        <w:trPr/>
        <w:tc>
          <w:tcPr>
            <w:tcW w:w="5528" w:type="dxa"/>
            <w:tcBorders>
              <w:bottom w:val="sing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United States</w:t>
            </w:r>
          </w:p>
        </w:tc>
        <w:tc>
          <w:tcPr>
            <w:tcW w:w="201" w:type="dxa"/>
            <w:tcBorders>
              <w:bottom w:val="single" w:sz="2" w:space="0" w:color="CCEEFF"/>
            </w:tcBorders>
            <w:shd w:fill="CCEEFF" w:val="clear"/>
            <w:vAlign w:val="center"/>
          </w:tcPr>
          <w:p>
            <w:pPr>
              <w:pStyle w:val="TableContents"/>
              <w:spacing w:before="0" w:after="283"/>
              <w:rPr/>
            </w:pPr>
            <w:r>
              <w:rPr/>
              <w:t> </w:t>
            </w:r>
          </w:p>
        </w:tc>
        <w:tc>
          <w:tcPr>
            <w:tcW w:w="127" w:type="dxa"/>
            <w:tcBorders>
              <w:bottom w:val="single" w:sz="2" w:space="0" w:color="000000"/>
            </w:tcBorders>
            <w:shd w:fill="CCEEFF" w:val="clear"/>
            <w:vAlign w:val="bottom"/>
          </w:tcPr>
          <w:p>
            <w:pPr>
              <w:pStyle w:val="TableContents"/>
              <w:spacing w:before="0" w:after="283"/>
              <w:jc w:val="left"/>
              <w:rPr/>
            </w:pPr>
            <w:r>
              <w:rPr/>
              <w:t> </w:t>
            </w:r>
          </w:p>
        </w:tc>
        <w:tc>
          <w:tcPr>
            <w:tcW w:w="1211"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31,461</w:t>
            </w:r>
          </w:p>
        </w:tc>
        <w:tc>
          <w:tcPr>
            <w:tcW w:w="201" w:type="dxa"/>
            <w:tcBorders>
              <w:bottom w:val="single" w:sz="2" w:space="0" w:color="CCEEFF"/>
            </w:tcBorders>
            <w:shd w:fill="CCEEFF" w:val="clear"/>
            <w:vAlign w:val="bottom"/>
          </w:tcPr>
          <w:p>
            <w:pPr>
              <w:pStyle w:val="TableContents"/>
              <w:spacing w:before="0" w:after="283"/>
              <w:jc w:val="left"/>
              <w:rPr/>
            </w:pPr>
            <w:r>
              <w:rPr/>
              <w:t> </w:t>
            </w:r>
          </w:p>
        </w:tc>
        <w:tc>
          <w:tcPr>
            <w:tcW w:w="127" w:type="dxa"/>
            <w:tcBorders>
              <w:bottom w:val="single" w:sz="2" w:space="0" w:color="000000"/>
            </w:tcBorders>
            <w:shd w:fill="CCEEFF" w:val="clear"/>
            <w:vAlign w:val="bottom"/>
          </w:tcPr>
          <w:p>
            <w:pPr>
              <w:pStyle w:val="TableContents"/>
              <w:spacing w:before="0" w:after="283"/>
              <w:jc w:val="left"/>
              <w:rPr/>
            </w:pPr>
            <w:r>
              <w:rPr/>
              <w:t> </w:t>
            </w:r>
          </w:p>
        </w:tc>
        <w:tc>
          <w:tcPr>
            <w:tcW w:w="1181"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30,745</w:t>
            </w:r>
          </w:p>
        </w:tc>
        <w:tc>
          <w:tcPr>
            <w:tcW w:w="201" w:type="dxa"/>
            <w:tcBorders>
              <w:bottom w:val="single" w:sz="2" w:space="0" w:color="CCEEFF"/>
            </w:tcBorders>
            <w:shd w:fill="CCEEFF" w:val="clear"/>
            <w:vAlign w:val="bottom"/>
          </w:tcPr>
          <w:p>
            <w:pPr>
              <w:pStyle w:val="TableContents"/>
              <w:spacing w:before="0" w:after="283"/>
              <w:jc w:val="left"/>
              <w:rPr/>
            </w:pPr>
            <w:r>
              <w:rPr/>
              <w:t> </w:t>
            </w:r>
          </w:p>
        </w:tc>
        <w:tc>
          <w:tcPr>
            <w:tcW w:w="127" w:type="dxa"/>
            <w:tcBorders>
              <w:bottom w:val="single" w:sz="2" w:space="0" w:color="000000"/>
            </w:tcBorders>
            <w:shd w:fill="CCEEFF" w:val="clear"/>
            <w:vAlign w:val="bottom"/>
          </w:tcPr>
          <w:p>
            <w:pPr>
              <w:pStyle w:val="TableContents"/>
              <w:spacing w:before="0" w:after="283"/>
              <w:jc w:val="left"/>
              <w:rPr/>
            </w:pPr>
            <w:r>
              <w:rPr/>
              <w:t> </w:t>
            </w:r>
          </w:p>
        </w:tc>
        <w:tc>
          <w:tcPr>
            <w:tcW w:w="1181"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26,892</w:t>
            </w:r>
          </w:p>
        </w:tc>
        <w:tc>
          <w:tcPr>
            <w:tcW w:w="120" w:type="dxa"/>
            <w:tcBorders>
              <w:bottom w:val="single" w:sz="2" w:space="0" w:color="CCEEFF"/>
            </w:tcBorders>
            <w:shd w:fill="CCEEFF" w:val="clear"/>
            <w:vAlign w:val="bottom"/>
          </w:tcPr>
          <w:p>
            <w:pPr>
              <w:pStyle w:val="TableContents"/>
              <w:spacing w:before="0" w:after="283"/>
              <w:jc w:val="left"/>
              <w:rPr/>
            </w:pPr>
            <w:r>
              <w:rPr/>
              <w:t> </w:t>
            </w:r>
          </w:p>
        </w:tc>
      </w:tr>
      <w:tr>
        <w:trPr/>
        <w:tc>
          <w:tcPr>
            <w:tcW w:w="5528" w:type="dxa"/>
            <w:tcBorders>
              <w:bottom w:val="double" w:sz="2" w:space="0" w:color="000000"/>
            </w:tcBorders>
            <w:shd w:fill="FFFFFF" w:val="clear"/>
            <w:vAlign w:val="bottom"/>
          </w:tcPr>
          <w:p>
            <w:pPr>
              <w:pStyle w:val="TableContents"/>
              <w:spacing w:lineRule="auto" w:line="300" w:before="0" w:after="0"/>
              <w:ind w:left="0" w:right="0" w:hanging="0"/>
              <w:jc w:val="left"/>
              <w:rPr/>
            </w:pPr>
            <w:r>
              <w:rPr>
                <w:rFonts w:ascii="Times New Roman" w:hAnsi="Times New Roman"/>
                <w:sz w:val="20"/>
              </w:rPr>
              <w:t>Total Revenues</w:t>
            </w:r>
            <w:r>
              <w:rPr>
                <w:rFonts w:ascii="Times New Roman" w:hAnsi="Times New Roman"/>
                <w:position w:val="7"/>
                <w:sz w:val="16"/>
                <w:sz w:val="20"/>
              </w:rPr>
              <w:t>7</w:t>
            </w:r>
            <w:r>
              <w:rPr/>
              <w:t> </w:t>
            </w:r>
          </w:p>
        </w:tc>
        <w:tc>
          <w:tcPr>
            <w:tcW w:w="201" w:type="dxa"/>
            <w:tcBorders>
              <w:bottom w:val="single" w:sz="4" w:space="0" w:color="FFFFFF"/>
            </w:tcBorders>
            <w:shd w:fill="FFFFFF" w:val="clear"/>
            <w:vAlign w:val="center"/>
          </w:tcPr>
          <w:p>
            <w:pPr>
              <w:pStyle w:val="TableContents"/>
              <w:spacing w:before="0" w:after="283"/>
              <w:rPr/>
            </w:pPr>
            <w:r>
              <w:rPr/>
              <w:t> </w:t>
            </w:r>
          </w:p>
        </w:tc>
        <w:tc>
          <w:tcPr>
            <w:tcW w:w="127" w:type="dxa"/>
            <w:tcBorders>
              <w:bottom w:val="doub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bookmarkStart w:id="196" w:name="TAB146"/>
            <w:bookmarkEnd w:id="196"/>
            <w:r>
              <w:rPr>
                <w:rFonts w:ascii="Times New Roman" w:hAnsi="Times New Roman"/>
                <w:sz w:val="20"/>
              </w:rPr>
              <w:t>$</w:t>
            </w:r>
          </w:p>
        </w:tc>
        <w:tc>
          <w:tcPr>
            <w:tcW w:w="1211"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197" w:name="TAB147"/>
            <w:bookmarkEnd w:id="197"/>
            <w:r>
              <w:rPr>
                <w:rFonts w:ascii="Times New Roman" w:hAnsi="Times New Roman"/>
                <w:sz w:val="20"/>
              </w:rPr>
              <w:t>106,125</w:t>
            </w:r>
          </w:p>
        </w:tc>
        <w:tc>
          <w:tcPr>
            <w:tcW w:w="201" w:type="dxa"/>
            <w:tcBorders>
              <w:bottom w:val="single" w:sz="4" w:space="0" w:color="FFFFFF"/>
            </w:tcBorders>
            <w:shd w:fill="FFFFFF" w:val="clear"/>
            <w:vAlign w:val="bottom"/>
          </w:tcPr>
          <w:p>
            <w:pPr>
              <w:pStyle w:val="TableContents"/>
              <w:spacing w:before="0" w:after="283"/>
              <w:jc w:val="left"/>
              <w:rPr/>
            </w:pPr>
            <w:r>
              <w:rPr/>
              <w:t> </w:t>
            </w:r>
          </w:p>
        </w:tc>
        <w:tc>
          <w:tcPr>
            <w:tcW w:w="127" w:type="dxa"/>
            <w:tcBorders>
              <w:bottom w:val="doub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bookmarkStart w:id="198" w:name="TAB148"/>
            <w:bookmarkEnd w:id="198"/>
            <w:r>
              <w:rPr>
                <w:rFonts w:ascii="Times New Roman" w:hAnsi="Times New Roman"/>
                <w:sz w:val="20"/>
              </w:rPr>
              <w:t>$</w:t>
            </w:r>
          </w:p>
        </w:tc>
        <w:tc>
          <w:tcPr>
            <w:tcW w:w="1181"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199" w:name="TAB149"/>
            <w:bookmarkEnd w:id="199"/>
            <w:r>
              <w:rPr>
                <w:rFonts w:ascii="Times New Roman" w:hAnsi="Times New Roman"/>
                <w:sz w:val="20"/>
              </w:rPr>
              <w:t>98,105</w:t>
            </w:r>
          </w:p>
        </w:tc>
        <w:tc>
          <w:tcPr>
            <w:tcW w:w="201" w:type="dxa"/>
            <w:tcBorders>
              <w:bottom w:val="single" w:sz="4" w:space="0" w:color="FFFFFF"/>
            </w:tcBorders>
            <w:shd w:fill="FFFFFF" w:val="clear"/>
            <w:vAlign w:val="bottom"/>
          </w:tcPr>
          <w:p>
            <w:pPr>
              <w:pStyle w:val="TableContents"/>
              <w:spacing w:before="0" w:after="283"/>
              <w:jc w:val="left"/>
              <w:rPr/>
            </w:pPr>
            <w:r>
              <w:rPr/>
              <w:t> </w:t>
            </w:r>
          </w:p>
        </w:tc>
        <w:tc>
          <w:tcPr>
            <w:tcW w:w="127" w:type="dxa"/>
            <w:tcBorders>
              <w:bottom w:val="doub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bookmarkStart w:id="200" w:name="TAB150"/>
            <w:bookmarkEnd w:id="200"/>
            <w:r>
              <w:rPr>
                <w:rFonts w:ascii="Times New Roman" w:hAnsi="Times New Roman"/>
                <w:sz w:val="20"/>
              </w:rPr>
              <w:t>$</w:t>
            </w:r>
          </w:p>
        </w:tc>
        <w:tc>
          <w:tcPr>
            <w:tcW w:w="1181"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201" w:name="TAB151"/>
            <w:bookmarkEnd w:id="201"/>
            <w:r>
              <w:rPr>
                <w:rFonts w:ascii="Times New Roman" w:hAnsi="Times New Roman"/>
                <w:sz w:val="20"/>
              </w:rPr>
              <w:t>84,089</w:t>
            </w:r>
          </w:p>
        </w:tc>
        <w:tc>
          <w:tcPr>
            <w:tcW w:w="120" w:type="dxa"/>
            <w:tcBorders>
              <w:bottom w:val="single" w:sz="4" w:space="0" w:color="FFFFFF"/>
            </w:tcBorders>
            <w:shd w:fill="FFFFFF" w:val="clear"/>
            <w:vAlign w:val="bottom"/>
          </w:tcPr>
          <w:p>
            <w:pPr>
              <w:pStyle w:val="TableContents"/>
              <w:spacing w:before="0" w:after="283"/>
              <w:jc w:val="left"/>
              <w:rPr/>
            </w:pPr>
            <w:r>
              <w:rPr/>
              <w:t> </w:t>
            </w:r>
          </w:p>
        </w:tc>
      </w:tr>
    </w:tbl>
    <w:p>
      <w:pPr>
        <w:pStyle w:val="TextBody"/>
        <w:spacing w:lineRule="auto" w:line="300" w:before="0" w:after="0"/>
        <w:ind w:left="0" w:right="0" w:hanging="0"/>
        <w:jc w:val="both"/>
        <w:rPr/>
      </w:pPr>
      <w:r>
        <w:rPr/>
        <w:t> </w:t>
      </w:r>
    </w:p>
    <w:p>
      <w:pPr>
        <w:pStyle w:val="TextBody"/>
        <w:spacing w:lineRule="auto" w:line="300" w:before="0" w:after="0"/>
        <w:ind w:left="0" w:right="0" w:hanging="0"/>
        <w:jc w:val="both"/>
        <w:rPr/>
      </w:pPr>
      <w:r>
        <w:rPr>
          <w:rFonts w:ascii="Times New Roman" w:hAnsi="Times New Roman"/>
          <w:color w:val="000000"/>
          <w:position w:val="7"/>
          <w:sz w:val="16"/>
          <w:sz w:val="20"/>
        </w:rPr>
        <w:t>7</w:t>
      </w:r>
      <w:r>
        <w:rPr/>
        <w:t xml:space="preserve">  </w:t>
      </w:r>
      <w:r>
        <w:rPr>
          <w:rFonts w:ascii="Times New Roman" w:hAnsi="Times New Roman"/>
          <w:sz w:val="20"/>
        </w:rPr>
        <w:t>2005 and 2004 revenues have been adjusted from the amounts previously reported. See Note 2 and Note 21 to the 2006 Consolidated Financial Statements.</w:t>
      </w:r>
    </w:p>
    <w:p>
      <w:pPr>
        <w:pStyle w:val="TextBody"/>
        <w:spacing w:before="0" w:after="0"/>
        <w:rPr/>
      </w:pPr>
      <w:r>
        <w:rPr/>
        <w:t> </w:t>
      </w:r>
    </w:p>
    <w:p>
      <w:pPr>
        <w:pStyle w:val="TextBody"/>
        <w:spacing w:lineRule="auto" w:line="300" w:before="0" w:after="0"/>
        <w:ind w:left="0" w:right="0" w:hanging="0"/>
        <w:jc w:val="both"/>
        <w:rPr/>
      </w:pPr>
      <w:r>
        <w:rPr>
          <w:rStyle w:val="StrongEmphasis"/>
          <w:rFonts w:ascii="Times New Roman" w:hAnsi="Times New Roman"/>
          <w:sz w:val="20"/>
          <w:u w:val="single"/>
        </w:rPr>
        <w:t>We Are a Controlled Company under American Stock Exchange Rules and Regulations</w:t>
      </w:r>
    </w:p>
    <w:p>
      <w:pPr>
        <w:pStyle w:val="TextBody"/>
        <w:spacing w:lineRule="auto" w:line="300" w:before="0" w:after="0"/>
        <w:ind w:left="0" w:right="0" w:hanging="0"/>
        <w:jc w:val="both"/>
        <w:rPr/>
      </w:pPr>
      <w:r>
        <w:rPr/>
      </w:r>
    </w:p>
    <w:p>
      <w:pPr>
        <w:pStyle w:val="TextBody"/>
        <w:spacing w:lineRule="auto" w:line="300" w:before="0" w:after="0"/>
        <w:ind w:left="720" w:right="0" w:hanging="0"/>
        <w:jc w:val="both"/>
        <w:rPr>
          <w:rFonts w:ascii="Times New Roman" w:hAnsi="Times New Roman"/>
          <w:sz w:val="20"/>
        </w:rPr>
      </w:pPr>
      <w:bookmarkStart w:id="202" w:name="TAB152"/>
      <w:bookmarkEnd w:id="202"/>
      <w:r>
        <w:rPr>
          <w:rFonts w:ascii="Times New Roman" w:hAnsi="Times New Roman"/>
          <w:sz w:val="20"/>
        </w:rPr>
        <w:t xml:space="preserve">We are a “Controlled Company” under Section 801(a) of the American Stock Exchange Company Guide. Accordingly, we are not subject to the American Stock Exchange requirements that at least half of our directors be independent or that we have an independent nominating committee. </w:t>
      </w:r>
    </w:p>
    <w:p>
      <w:pPr>
        <w:pStyle w:val="TextBody"/>
        <w:spacing w:lineRule="auto" w:line="300" w:before="0" w:after="0"/>
        <w:ind w:left="0" w:right="0" w:hanging="0"/>
        <w:jc w:val="both"/>
        <w:rPr/>
      </w:pPr>
      <w:r>
        <w:rPr/>
      </w:r>
    </w:p>
    <w:p>
      <w:pPr>
        <w:pStyle w:val="TextBody"/>
        <w:spacing w:lineRule="auto" w:line="300" w:before="0" w:after="0"/>
        <w:ind w:left="720" w:right="0" w:hanging="0"/>
        <w:jc w:val="both"/>
        <w:rPr>
          <w:rFonts w:ascii="Times New Roman" w:hAnsi="Times New Roman"/>
          <w:sz w:val="20"/>
        </w:rPr>
      </w:pPr>
      <w:bookmarkStart w:id="203" w:name="TAB153"/>
      <w:bookmarkEnd w:id="203"/>
      <w:r>
        <w:rPr>
          <w:rFonts w:ascii="Times New Roman" w:hAnsi="Times New Roman"/>
          <w:sz w:val="20"/>
        </w:rPr>
        <w:t>As of December 31, 2006, we had outstanding 20,980,865 shares of our Class A Stock and 1,495,490 shares of our Class B Stock. As of this same date, Mr. James J. Cotter was our controlling stockholder, with fully diluted beneficial ownership of 1,161,388 shares of our Class B Stock, representing approximately 71.1% of such shares. In addition, Mr. Cotter, his affiliates, and members of his immediate family are the fully diluted beneficial owners of 5,788,430 shares of our Class A Stock. Collectively, their beneficial ownership represents approximately 30.7% of our aggregate outstanding Class A Stock and Class B Stock.</w:t>
      </w:r>
    </w:p>
    <w:p>
      <w:pPr>
        <w:pStyle w:val="TextBody"/>
        <w:spacing w:lineRule="auto" w:line="300" w:before="0" w:after="0"/>
        <w:ind w:left="0" w:right="0" w:hanging="0"/>
        <w:jc w:val="both"/>
        <w:rPr/>
      </w:pPr>
      <w:r>
        <w:rPr/>
      </w:r>
    </w:p>
    <w:p>
      <w:pPr>
        <w:pStyle w:val="TextBody"/>
        <w:spacing w:lineRule="auto" w:line="300" w:before="0" w:after="0"/>
        <w:ind w:left="720" w:right="0" w:hanging="0"/>
        <w:jc w:val="both"/>
        <w:rPr>
          <w:rFonts w:ascii="Times New Roman" w:hAnsi="Times New Roman"/>
          <w:sz w:val="20"/>
        </w:rPr>
      </w:pPr>
      <w:bookmarkStart w:id="204" w:name="TAB154"/>
      <w:bookmarkEnd w:id="204"/>
      <w:r>
        <w:rPr>
          <w:rFonts w:ascii="Times New Roman" w:hAnsi="Times New Roman"/>
          <w:sz w:val="20"/>
        </w:rPr>
        <w:t>Mr. Cotter and two of his children, Margaret Cotter and James J. Cotter, Jr., currently serve as three of the eight members of the our Company’s Board of Directors. Ms. Ellen Cotter, also a child of Mr. Cotter, Sr., is the Chief Operating Officer for our Domestic Cinemas. A company wholly owned by Ms. Margaret Cotter manages our live theater operations.</w:t>
      </w:r>
    </w:p>
    <w:p>
      <w:pPr>
        <w:pStyle w:val="TextBody"/>
        <w:spacing w:lineRule="auto" w:line="300" w:before="0" w:after="0"/>
        <w:ind w:left="0" w:right="0" w:hanging="0"/>
        <w:jc w:val="both"/>
        <w:rPr/>
      </w:pPr>
      <w:r>
        <w:rPr/>
      </w:r>
    </w:p>
    <w:p>
      <w:pPr>
        <w:pStyle w:val="TextBody"/>
        <w:spacing w:lineRule="auto" w:line="300" w:before="0" w:after="0"/>
        <w:ind w:left="720" w:right="0" w:hanging="0"/>
        <w:jc w:val="both"/>
        <w:rPr>
          <w:rFonts w:ascii="Times New Roman" w:hAnsi="Times New Roman"/>
          <w:sz w:val="20"/>
        </w:rPr>
      </w:pPr>
      <w:bookmarkStart w:id="205" w:name="TAB155"/>
      <w:bookmarkEnd w:id="205"/>
      <w:r>
        <w:rPr>
          <w:rFonts w:ascii="Times New Roman" w:hAnsi="Times New Roman"/>
          <w:sz w:val="20"/>
        </w:rPr>
        <w:t>The Cotter Family has advised us that they consider their investment in our Company to be a long term investment, and that they do not currently contemplate any change of control transaction with respect to the Company or any material portion of its assets.</w:t>
      </w:r>
    </w:p>
    <w:p>
      <w:pPr>
        <w:pStyle w:val="TextBody"/>
        <w:spacing w:lineRule="auto" w:line="300" w:before="0" w:after="0"/>
        <w:ind w:left="0" w:right="0" w:hanging="0"/>
        <w:jc w:val="both"/>
        <w:rPr/>
      </w:pPr>
      <w:r>
        <w:rPr/>
      </w:r>
    </w:p>
    <w:p>
      <w:pPr>
        <w:pStyle w:val="TextBody"/>
        <w:spacing w:lineRule="auto" w:line="300" w:before="0" w:after="0"/>
        <w:ind w:left="720" w:right="0" w:hanging="0"/>
        <w:jc w:val="both"/>
        <w:rPr/>
      </w:pPr>
      <w:bookmarkStart w:id="206" w:name="TAB156"/>
      <w:bookmarkEnd w:id="206"/>
      <w:r>
        <w:rPr>
          <w:rFonts w:ascii="Times New Roman" w:hAnsi="Times New Roman"/>
          <w:sz w:val="20"/>
        </w:rPr>
        <w:t xml:space="preserve">A discussion of related party transactions is set forth in Note 25 - </w:t>
      </w:r>
      <w:r>
        <w:rPr>
          <w:rStyle w:val="Emphasis"/>
          <w:rFonts w:ascii="Times New Roman" w:hAnsi="Times New Roman"/>
          <w:sz w:val="20"/>
        </w:rPr>
        <w:t>Related Parties and Transactions</w:t>
      </w:r>
      <w:r>
        <w:rPr/>
        <w:t xml:space="preserve"> </w:t>
      </w:r>
      <w:r>
        <w:rPr>
          <w:rFonts w:ascii="Times New Roman" w:hAnsi="Times New Roman"/>
          <w:sz w:val="20"/>
        </w:rPr>
        <w:t>to the 2006 Consolidated Financial Statements.</w:t>
      </w:r>
    </w:p>
    <w:p>
      <w:pPr>
        <w:pStyle w:val="TextBody"/>
        <w:spacing w:lineRule="auto" w:line="300"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07" w:name="PGBRK7"/>
      <w:bookmarkStart w:id="208" w:name="PGBRK7"/>
      <w:bookmarkEnd w:id="20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9" w:name="FTR7"/>
      <w:bookmarkStart w:id="210" w:name="FTR7"/>
      <w:bookmarkEnd w:id="21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1" w:name="GLFTR7"/>
      <w:bookmarkStart w:id="212" w:name="GLFTR7"/>
      <w:bookmarkEnd w:id="21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213" w:name="PN7"/>
      <w:bookmarkEnd w:id="213"/>
      <w:r>
        <w:rPr>
          <w:rFonts w:ascii="Times New Roman" w:hAnsi="Times New Roman"/>
          <w:sz w:val="16"/>
        </w:rPr>
        <w:t>-7-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4" w:name="HDR7"/>
      <w:bookmarkStart w:id="215" w:name="HDR7"/>
      <w:bookmarkEnd w:id="2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216" w:name="GLHDR7"/>
        <w:bookmarkEnd w:id="216"/>
        <w:r>
          <w:rPr>
            <w:rStyle w:val="Emphasis"/>
            <w:rFonts w:ascii="Times New Roman" w:hAnsi="Times New Roman"/>
            <w:color w:val="000000"/>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300" w:before="0" w:after="0"/>
        <w:ind w:left="0" w:right="0" w:hanging="0"/>
        <w:jc w:val="both"/>
        <w:rPr/>
      </w:pPr>
      <w:r>
        <w:rPr>
          <w:rStyle w:val="StrongEmphasis"/>
          <w:rFonts w:ascii="Times New Roman" w:hAnsi="Times New Roman"/>
          <w:sz w:val="20"/>
          <w:u w:val="single"/>
        </w:rPr>
        <w:t>A More Detailed Description of Our Business</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u w:val="single"/>
        </w:rPr>
      </w:pPr>
      <w:r>
        <w:rPr>
          <w:rFonts w:ascii="Times New Roman" w:hAnsi="Times New Roman"/>
          <w:sz w:val="20"/>
          <w:u w:val="single"/>
        </w:rPr>
        <w:t>Our Pacific Rim Cinema Operations (Australia and New Zealand)</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pPr>
      <w:r>
        <w:rPr>
          <w:rStyle w:val="Emphasis"/>
          <w:rFonts w:ascii="Times New Roman" w:hAnsi="Times New Roman"/>
          <w:sz w:val="20"/>
          <w:u w:val="single"/>
        </w:rPr>
        <w:t>General</w:t>
      </w:r>
    </w:p>
    <w:p>
      <w:pPr>
        <w:pStyle w:val="TextBody"/>
        <w:spacing w:lineRule="auto" w:line="300" w:before="0" w:after="0"/>
        <w:ind w:left="0" w:right="0" w:hanging="0"/>
        <w:jc w:val="both"/>
        <w:rPr/>
      </w:pPr>
      <w:r>
        <w:rPr/>
      </w:r>
    </w:p>
    <w:p>
      <w:pPr>
        <w:pStyle w:val="TextBody"/>
        <w:spacing w:lineRule="auto" w:line="300" w:before="0" w:after="0"/>
        <w:ind w:left="720" w:right="0" w:hanging="0"/>
        <w:jc w:val="both"/>
        <w:rPr>
          <w:rFonts w:ascii="Times New Roman" w:hAnsi="Times New Roman"/>
          <w:sz w:val="20"/>
        </w:rPr>
      </w:pPr>
      <w:bookmarkStart w:id="217" w:name="TAB157"/>
      <w:bookmarkEnd w:id="217"/>
      <w:r>
        <w:rPr>
          <w:rFonts w:ascii="Times New Roman" w:hAnsi="Times New Roman"/>
          <w:sz w:val="20"/>
        </w:rPr>
        <w:t xml:space="preserve">On a consolidated basis, we currently own or operate 19 cinemas consisting of 136 screens in Australia, and 9 cinemas with 48 screens in New Zealand. We also own, directly or indirectly, 50% unincorporated joint venture interests in six cinemas, consisting of 30 screens, in New Zealand and a 33% unincorporated joint venture interest in a 16-screen cinema in the Brisbane area of Australia. </w:t>
      </w:r>
    </w:p>
    <w:p>
      <w:pPr>
        <w:pStyle w:val="TextBody"/>
        <w:spacing w:lineRule="auto" w:line="300" w:before="0" w:after="0"/>
        <w:ind w:left="0" w:right="0" w:hanging="0"/>
        <w:jc w:val="both"/>
        <w:rPr/>
      </w:pPr>
      <w:r>
        <w:rPr/>
      </w:r>
    </w:p>
    <w:p>
      <w:pPr>
        <w:pStyle w:val="TextBody"/>
        <w:spacing w:lineRule="auto" w:line="300" w:before="0" w:after="0"/>
        <w:ind w:left="720" w:right="0" w:hanging="0"/>
        <w:jc w:val="both"/>
        <w:rPr>
          <w:rFonts w:ascii="Times New Roman" w:hAnsi="Times New Roman"/>
          <w:sz w:val="20"/>
        </w:rPr>
      </w:pPr>
      <w:bookmarkStart w:id="218" w:name="TAB158"/>
      <w:bookmarkEnd w:id="218"/>
      <w:r>
        <w:rPr>
          <w:rFonts w:ascii="Times New Roman" w:hAnsi="Times New Roman"/>
          <w:sz w:val="20"/>
        </w:rPr>
        <w:t xml:space="preserve">We commenced activities in Australia in mid-1995, conducting business in Australia through our wholly owned subsidiary, Reading Entertainment Australia Pty Ltd (“REA” and, collectively with its consolidated subsidiaries, “Reading Australia”). </w:t>
      </w:r>
    </w:p>
    <w:p>
      <w:pPr>
        <w:pStyle w:val="TextBody"/>
        <w:spacing w:lineRule="auto" w:line="300" w:before="0" w:after="0"/>
        <w:ind w:left="0" w:right="0" w:hanging="0"/>
        <w:jc w:val="both"/>
        <w:rPr/>
      </w:pPr>
      <w:r>
        <w:rPr/>
      </w:r>
    </w:p>
    <w:p>
      <w:pPr>
        <w:pStyle w:val="TextBody"/>
        <w:spacing w:lineRule="auto" w:line="300" w:before="0" w:after="0"/>
        <w:ind w:left="720" w:right="0" w:hanging="0"/>
        <w:jc w:val="both"/>
        <w:rPr>
          <w:rFonts w:ascii="Times New Roman" w:hAnsi="Times New Roman"/>
          <w:sz w:val="20"/>
        </w:rPr>
      </w:pPr>
      <w:bookmarkStart w:id="219" w:name="TAB159"/>
      <w:bookmarkEnd w:id="219"/>
      <w:r>
        <w:rPr>
          <w:rFonts w:ascii="Times New Roman" w:hAnsi="Times New Roman"/>
          <w:sz w:val="20"/>
        </w:rPr>
        <w:t xml:space="preserve">We commenced operations in New Zealand in 1997, conducting operations in New Zealand through our wholly owned affiliate, Reading New Zealand Limited (“RNZ” and collectively with its consolidated subsidiaries, “Reading New Zealand”). </w:t>
      </w:r>
    </w:p>
    <w:p>
      <w:pPr>
        <w:pStyle w:val="TextBody"/>
        <w:spacing w:lineRule="auto" w:line="300" w:before="0" w:after="0"/>
        <w:ind w:left="0" w:right="0" w:hanging="0"/>
        <w:jc w:val="both"/>
        <w:rPr/>
      </w:pPr>
      <w:r>
        <w:rPr/>
      </w:r>
    </w:p>
    <w:p>
      <w:pPr>
        <w:pStyle w:val="TextBody"/>
        <w:spacing w:lineRule="auto" w:line="300" w:before="0" w:after="0"/>
        <w:ind w:left="720" w:right="0" w:hanging="0"/>
        <w:jc w:val="both"/>
        <w:rPr>
          <w:rFonts w:ascii="Times New Roman" w:hAnsi="Times New Roman"/>
          <w:sz w:val="20"/>
        </w:rPr>
      </w:pPr>
      <w:bookmarkStart w:id="220" w:name="TAB160"/>
      <w:bookmarkEnd w:id="220"/>
      <w:r>
        <w:rPr>
          <w:rFonts w:ascii="Times New Roman" w:hAnsi="Times New Roman"/>
          <w:sz w:val="20"/>
        </w:rPr>
        <w:t>Our Australian and New Zealand cinemas derive approximately 73% of their 2006 revenues from box office receipts. Ticket prices vary by location, and provide for reduced rates for senior citizens and children. Box office receipts are reported net of state and local sales or service taxes. Show times and features are placed in advertisements in local newspapers with the costs of such advertisements paid by the exhibitor. Film distributors may advertise certain feature films and pay the cost of such advertising. Film rental costs average approximately 41% of box office revenues in Australia and in New Zealand.</w:t>
      </w:r>
    </w:p>
    <w:p>
      <w:pPr>
        <w:pStyle w:val="TextBody"/>
        <w:spacing w:lineRule="auto" w:line="300" w:before="0" w:after="0"/>
        <w:ind w:left="0" w:right="0" w:hanging="0"/>
        <w:jc w:val="both"/>
        <w:rPr/>
      </w:pPr>
      <w:r>
        <w:rPr/>
      </w:r>
    </w:p>
    <w:p>
      <w:pPr>
        <w:pStyle w:val="TextBody"/>
        <w:spacing w:lineRule="auto" w:line="300" w:before="0" w:after="0"/>
        <w:ind w:left="720" w:right="0" w:hanging="0"/>
        <w:jc w:val="both"/>
        <w:rPr>
          <w:rFonts w:ascii="Times New Roman" w:hAnsi="Times New Roman"/>
          <w:sz w:val="20"/>
        </w:rPr>
      </w:pPr>
      <w:bookmarkStart w:id="221" w:name="TAB161"/>
      <w:bookmarkEnd w:id="221"/>
      <w:r>
        <w:rPr>
          <w:rFonts w:ascii="Times New Roman" w:hAnsi="Times New Roman"/>
          <w:sz w:val="20"/>
        </w:rPr>
        <w:t>Concession sales account for approximately 23% and 22% of our total 2006 revenues in Australia and New Zealand, respectively. Concession products primarily include popcorn, candy and soda; although certain of Reading’s Australia and New Zealand cinemas have licenses for the sale and consumption of alcoholic beverages. During 2006, we realized a gross margin on concession sales of approximately 76% and 74% in Australia and New Zealand, respectively.</w:t>
      </w:r>
    </w:p>
    <w:p>
      <w:pPr>
        <w:pStyle w:val="TextBody"/>
        <w:spacing w:lineRule="auto" w:line="300" w:before="0" w:after="0"/>
        <w:ind w:left="0" w:right="0" w:firstLine="72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Screen advertising and other revenues contributed approximately 4% and 5% of our total 2006 revenues in Australia and New Zealand, respectively. The screen advertising business in Australia and New Zealand has moved to prominently 35mm film advertisements by national advertisers. Local advertising is undertaken by individual cinema operators on a site-by-site basis and is largely undertaken via the improved technology offered by digital projection. Our cinemas, where it is applicable, undertake slide advertising as an ancillary function to the overall cinema business.</w:t>
      </w:r>
    </w:p>
    <w:p>
      <w:pPr>
        <w:pStyle w:val="TextBody"/>
        <w:spacing w:lineRule="auto" w:line="300" w:before="0" w:after="0"/>
        <w:ind w:left="0" w:right="0" w:firstLine="720"/>
        <w:jc w:val="both"/>
        <w:rPr/>
      </w:pPr>
      <w:r>
        <w:rPr/>
      </w:r>
    </w:p>
    <w:p>
      <w:pPr>
        <w:pStyle w:val="TextBody"/>
        <w:spacing w:lineRule="auto" w:line="300" w:before="0" w:after="0"/>
        <w:ind w:left="0" w:right="0" w:hanging="0"/>
        <w:jc w:val="left"/>
        <w:rPr/>
      </w:pPr>
      <w:r>
        <w:rPr>
          <w:rStyle w:val="Emphasis"/>
          <w:rFonts w:ascii="Times New Roman" w:hAnsi="Times New Roman"/>
          <w:sz w:val="20"/>
          <w:u w:val="single"/>
        </w:rPr>
        <w:t>Entertainment-Themed Retail Center Development</w:t>
      </w:r>
    </w:p>
    <w:p>
      <w:pPr>
        <w:pStyle w:val="TextBody"/>
        <w:spacing w:lineRule="auto" w:line="300" w:before="0" w:after="0"/>
        <w:ind w:left="0" w:right="0" w:hanging="0"/>
        <w:jc w:val="left"/>
        <w:rPr/>
      </w:pPr>
      <w:r>
        <w:rPr/>
      </w:r>
    </w:p>
    <w:p>
      <w:pPr>
        <w:pStyle w:val="TextBody"/>
        <w:spacing w:lineRule="auto" w:line="300" w:before="0" w:after="0"/>
        <w:ind w:left="720" w:right="0" w:hanging="0"/>
        <w:jc w:val="both"/>
        <w:rPr>
          <w:rFonts w:ascii="Times New Roman" w:hAnsi="Times New Roman"/>
          <w:sz w:val="20"/>
        </w:rPr>
      </w:pPr>
      <w:bookmarkStart w:id="222" w:name="TAB162"/>
      <w:bookmarkEnd w:id="222"/>
      <w:r>
        <w:rPr>
          <w:rFonts w:ascii="Times New Roman" w:hAnsi="Times New Roman"/>
          <w:sz w:val="20"/>
        </w:rPr>
        <w:t>We are engaged through Reading Australia and Reading New Zealand in the development of ETRCs that typically consist of a multiplex cinema, complementary restaurant and retail facilities, and convenient parking on land that we own or control. In December 1999, we opened the cinema portion of our first ETRC in Australia. Located in Perth, the ETRC includes a 10-screen cinema and approximately 19,000 square feet of restaurant and retail space. We opened the multiplex cinema component of our second ETRC in September 2000. That ETRC, located in the Sydney suburb of Auburn, near the site of the Sydney Olympic Village, includes a 10-screen cinema, approximately 57,000 square feet of retail space and an 871-space subterranean parking garage. The Auburn site also includes approximately 93,000 square feet of raw land, available for expansion of the ETRC. In March 2002, we opened our Wellington ETRC, comprised of a 10-screen cinema, approximately 38,000 square feet of restaurant and retail space and 1,086 parking spaces located in an adjacent nine level parking garage. The Wellington site also includes approximately 38,000 square feet of raw land, available for expansion of the ETRC. We are presently in the design phase of a plan to develop an additional 155,000 square feet of retail space (including a multiplex art cinema) on this land. During 2005, we completed the construction of an approximately 100,000 square foot shopping centre as stage one of a larger ETRC on our approximately 177,000 square foot parcel in Newmarket, a suburb of Brisbane, in Queensland, Australia. We have now completed the lease-up of the retail portions of that center, and have obtained the zoning and building approvals necessary to commence construction of the cinema component of the center. We currently anticipate that the cinema portion will be completed by early 2009.</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23" w:name="PGBRK8"/>
      <w:bookmarkStart w:id="224" w:name="PGBRK8"/>
      <w:bookmarkEnd w:id="22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25" w:name="FTR8"/>
      <w:bookmarkStart w:id="226" w:name="FTR8"/>
      <w:bookmarkEnd w:id="22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27" w:name="GLFTR8"/>
      <w:bookmarkStart w:id="228" w:name="GLFTR8"/>
      <w:bookmarkEnd w:id="2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229" w:name="PN8"/>
      <w:bookmarkEnd w:id="229"/>
      <w:r>
        <w:rPr>
          <w:rFonts w:ascii="Times New Roman" w:hAnsi="Times New Roman"/>
          <w:sz w:val="16"/>
        </w:rPr>
        <w:t>-8-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30" w:name="HDR8"/>
      <w:bookmarkStart w:id="231" w:name="HDR8"/>
      <w:bookmarkEnd w:id="23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232" w:name="GLHDR8"/>
        <w:bookmarkEnd w:id="232"/>
        <w:r>
          <w:rPr>
            <w:rStyle w:val="Emphasis"/>
            <w:rFonts w:ascii="Times New Roman" w:hAnsi="Times New Roman"/>
            <w:color w:val="000000"/>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pStyle w:val="TextBody"/>
        <w:spacing w:lineRule="auto" w:line="300" w:before="0" w:after="0"/>
        <w:ind w:left="0" w:right="0" w:hanging="0"/>
        <w:jc w:val="both"/>
        <w:rPr/>
      </w:pPr>
      <w:r>
        <w:rPr>
          <w:rStyle w:val="Emphasis"/>
          <w:rFonts w:ascii="Times New Roman" w:hAnsi="Times New Roman"/>
          <w:sz w:val="20"/>
          <w:u w:val="single"/>
        </w:rPr>
        <w:t>Our Ongoing Entertainment-Themed Retail Center Projects</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pPr>
      <w:r>
        <w:rPr>
          <w:rStyle w:val="Emphasis"/>
          <w:rFonts w:ascii="Times New Roman" w:hAnsi="Times New Roman"/>
          <w:sz w:val="20"/>
        </w:rPr>
        <w:t>Auburn, New South Wales</w:t>
      </w:r>
    </w:p>
    <w:p>
      <w:pPr>
        <w:pStyle w:val="TextBody"/>
        <w:spacing w:lineRule="auto" w:line="300" w:before="0" w:after="0"/>
        <w:ind w:left="0" w:right="0" w:firstLine="72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In Auburn, the Auburn City Council, in coordination with other local governments, is currently reviewing the land use parameters for the areas adjacent to Parramatta Road in which our property is located. Parramatta Road, which runs adjacent to Homebush Bay, the site of the 2000 Olympic Games, is one of the busiest arterial roadways in the greater Sydney area, and is considered by many to be the “gateway” to Sydney. Consequently, there is significant community interest in upzoning the uses along this road. As a major landowner in this area, we intend to be actively involved in this process and are hopeful that this rezoning process will substantially enhance the value of our remaining unimproved 93,000 square foot parcel. This parcel is currently carried on our books at $28.2 million (AUS$35.8 million).</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pPr>
      <w:r>
        <w:rPr>
          <w:rStyle w:val="Emphasis"/>
          <w:rFonts w:ascii="Times New Roman" w:hAnsi="Times New Roman"/>
          <w:sz w:val="20"/>
        </w:rPr>
        <w:t>Burwood, Victoria</w:t>
      </w:r>
    </w:p>
    <w:p>
      <w:pPr>
        <w:pStyle w:val="TextBody"/>
        <w:spacing w:lineRule="auto" w:line="300" w:before="0" w:after="0"/>
        <w:ind w:left="0" w:right="0" w:hanging="0"/>
        <w:jc w:val="both"/>
        <w:rPr/>
      </w:pPr>
      <w:r>
        <w:rPr/>
      </w:r>
    </w:p>
    <w:p>
      <w:pPr>
        <w:pStyle w:val="TextBody"/>
        <w:spacing w:lineRule="auto" w:line="300" w:before="0" w:after="0"/>
        <w:ind w:left="720" w:right="0" w:hanging="0"/>
        <w:jc w:val="both"/>
        <w:rPr>
          <w:rFonts w:ascii="Times New Roman" w:hAnsi="Times New Roman"/>
          <w:sz w:val="20"/>
        </w:rPr>
      </w:pPr>
      <w:bookmarkStart w:id="233" w:name="TAB163"/>
      <w:bookmarkEnd w:id="233"/>
      <w:r>
        <w:rPr>
          <w:rFonts w:ascii="Times New Roman" w:hAnsi="Times New Roman"/>
          <w:sz w:val="20"/>
        </w:rPr>
        <w:t>The biggest real estate project in our pipeline is the development of our 50.6 acre Burwood Project. On February 20, 2006, the Victoria State Government approved a rezoning of that parcel from an industrial classification to a mixed-use classification allowing a broad range of entertainment, retail, commercial and residential uses.</w:t>
      </w:r>
    </w:p>
    <w:p>
      <w:pPr>
        <w:pStyle w:val="TextBody"/>
        <w:spacing w:lineRule="auto" w:line="300" w:before="0" w:after="0"/>
        <w:ind w:left="0" w:right="0" w:hanging="0"/>
        <w:jc w:val="both"/>
        <w:rPr/>
      </w:pPr>
      <w:r>
        <w:rPr/>
      </w:r>
    </w:p>
    <w:p>
      <w:pPr>
        <w:pStyle w:val="TextBody"/>
        <w:spacing w:lineRule="auto" w:line="300" w:before="0" w:after="0"/>
        <w:ind w:left="720" w:right="0" w:hanging="0"/>
        <w:jc w:val="both"/>
        <w:rPr>
          <w:rFonts w:ascii="Times New Roman" w:hAnsi="Times New Roman"/>
          <w:sz w:val="20"/>
        </w:rPr>
      </w:pPr>
      <w:bookmarkStart w:id="234" w:name="TAB164"/>
      <w:bookmarkEnd w:id="234"/>
      <w:r>
        <w:rPr>
          <w:rFonts w:ascii="Times New Roman" w:hAnsi="Times New Roman"/>
          <w:sz w:val="20"/>
        </w:rPr>
        <w:t>We contemplate developing the project in a series of phases, with final completion sometime in 2015. While the land use issues are now resolved, individual development plans will need to be prepared and approved for each of the phases, dealing with issues such as project design and traffic management. The Development Plan Overlays have been prepared and are currently under review for local government approval. Ultimately, we estimate that the total project will require development funding of approximately $500.0 million. We currently carry this property on our books at $24.3 million (AUS$30.9 million).</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pPr>
      <w:r>
        <w:rPr>
          <w:rStyle w:val="Emphasis"/>
          <w:rFonts w:ascii="Times New Roman" w:hAnsi="Times New Roman"/>
          <w:sz w:val="20"/>
        </w:rPr>
        <w:t>Moonee Ponds, Victoria</w:t>
      </w:r>
    </w:p>
    <w:p>
      <w:pPr>
        <w:pStyle w:val="TextBody"/>
        <w:spacing w:lineRule="auto" w:line="300" w:before="0" w:after="0"/>
        <w:ind w:left="0" w:right="0" w:firstLine="72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We are also in the planning stages of a proposed combination ETRC/residential development for our 3.3 acre Moonee Ponds site. This property is within the Moonee Ponds designated “Principal Activity Area,” allowing high density development. Accordingly, our plans for that property will be necessarily influenced by the manner in which adjacent properties are developed within the “Principal Activity Area.” Our Moonee Ponds property is currently carried on our books at $8.9 million (AUS$11.2 million).</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pPr>
      <w:r>
        <w:rPr>
          <w:rStyle w:val="Emphasis"/>
          <w:rFonts w:ascii="Times New Roman" w:hAnsi="Times New Roman"/>
          <w:sz w:val="20"/>
        </w:rPr>
        <w:t>Newmarket, Queensland</w:t>
      </w:r>
    </w:p>
    <w:p>
      <w:pPr>
        <w:pStyle w:val="TextBody"/>
        <w:spacing w:lineRule="auto" w:line="300" w:before="0" w:after="0"/>
        <w:ind w:left="0" w:right="0" w:firstLine="72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Last year we completed the construction and lease-up of the 100,000 square foot retail component of our Newmarket development in a suburb of Brisbane. The design for the anticipated 33,000 square foot cinema component of the project has now been approved by the relevant government authorities, and we anticipate completion of this final element by early 2009.</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pPr>
      <w:r>
        <w:rPr>
          <w:rStyle w:val="Emphasis"/>
          <w:rFonts w:ascii="Times New Roman" w:hAnsi="Times New Roman"/>
          <w:sz w:val="20"/>
        </w:rPr>
        <w:t xml:space="preserve">Wellington, New Zealand </w:t>
      </w:r>
    </w:p>
    <w:p>
      <w:pPr>
        <w:pStyle w:val="TextBody"/>
        <w:spacing w:lineRule="auto" w:line="300" w:before="0" w:after="0"/>
        <w:ind w:left="0" w:right="0" w:hanging="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We are currently reviewing our options for the second phase of our Wellington ETRC. While we were successful in obtaining regulatory approval last year for an approximately 155,000 square foot expansion of our existing centre, the timing of the development of that space will ultimately depend upon the retail market in Wellington, which has not been strong in recent periods. Accordingly, our plans for that site are currently in a holding pattern, while we wait for demand for retail space to improve and consider other complementary entertainment center uses for the property. The 38,000 square foot pad intended to support this second phase is currently carried on our books at $2.3 million (NZ$3.2 million), and is being currently rented on a month-to-month basis as a car sales yard.</w:t>
      </w:r>
    </w:p>
    <w:p>
      <w:pPr>
        <w:pStyle w:val="TextBody"/>
        <w:spacing w:lineRule="auto" w:line="300"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35" w:name="PGBRK9"/>
      <w:bookmarkStart w:id="236" w:name="PGBRK9"/>
      <w:bookmarkEnd w:id="23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37" w:name="FTR9"/>
      <w:bookmarkStart w:id="238" w:name="FTR9"/>
      <w:bookmarkEnd w:id="23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39" w:name="GLFTR9"/>
      <w:bookmarkStart w:id="240" w:name="GLFTR9"/>
      <w:bookmarkEnd w:id="24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241" w:name="PN9"/>
      <w:bookmarkEnd w:id="241"/>
      <w:r>
        <w:rPr>
          <w:rFonts w:ascii="Times New Roman" w:hAnsi="Times New Roman"/>
          <w:sz w:val="16"/>
        </w:rPr>
        <w:t>-9-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42" w:name="HDR9"/>
      <w:bookmarkStart w:id="243" w:name="HDR9"/>
      <w:bookmarkEnd w:id="24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244" w:name="GLHDR9"/>
        <w:bookmarkEnd w:id="244"/>
        <w:r>
          <w:rPr>
            <w:rStyle w:val="Emphasis"/>
            <w:rFonts w:ascii="Times New Roman" w:hAnsi="Times New Roman"/>
            <w:color w:val="000000"/>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300" w:before="0" w:after="0"/>
        <w:ind w:left="0" w:right="0" w:hanging="0"/>
        <w:jc w:val="left"/>
        <w:rPr/>
      </w:pPr>
      <w:r>
        <w:rPr>
          <w:rStyle w:val="Emphasis"/>
          <w:rFonts w:ascii="Times New Roman" w:hAnsi="Times New Roman"/>
          <w:sz w:val="20"/>
          <w:u w:val="single"/>
        </w:rPr>
        <w:t>Joint Venture Interests</w:t>
      </w:r>
    </w:p>
    <w:p>
      <w:pPr>
        <w:pStyle w:val="TextBody"/>
        <w:spacing w:lineRule="auto" w:line="300" w:before="0" w:after="0"/>
        <w:ind w:left="0" w:right="0" w:hanging="0"/>
        <w:jc w:val="both"/>
        <w:rPr/>
      </w:pPr>
      <w:r>
        <w:rPr/>
      </w:r>
    </w:p>
    <w:p>
      <w:pPr>
        <w:pStyle w:val="TextBody"/>
        <w:spacing w:lineRule="auto" w:line="300" w:before="0" w:after="0"/>
        <w:ind w:left="720" w:right="0" w:hanging="0"/>
        <w:jc w:val="both"/>
        <w:rPr>
          <w:rFonts w:ascii="Times New Roman" w:hAnsi="Times New Roman"/>
          <w:sz w:val="20"/>
        </w:rPr>
      </w:pPr>
      <w:bookmarkStart w:id="245" w:name="TAB165"/>
      <w:bookmarkEnd w:id="245"/>
      <w:r>
        <w:rPr>
          <w:rFonts w:ascii="Times New Roman" w:hAnsi="Times New Roman"/>
          <w:sz w:val="20"/>
        </w:rPr>
        <w:t>Two of our cinemas, consisting of 11 screens and located in country towns, are owned by Australia Country Cinemas Pty, Limited (“ACC”), a company owned 75% by Reading Australia and 25% by a company owned by an individual familiar with the market for cinemas in country towns. ACC has a limited right of first refusal to develop any cinema sites identified by Reading Australia that are located in country towns. Our interest in this joint venture is reported on a consolidated basis.</w:t>
      </w:r>
    </w:p>
    <w:p>
      <w:pPr>
        <w:pStyle w:val="TextBody"/>
        <w:spacing w:lineRule="auto" w:line="300" w:before="0" w:after="0"/>
        <w:ind w:left="0" w:right="0" w:hanging="0"/>
        <w:jc w:val="both"/>
        <w:rPr/>
      </w:pPr>
      <w:r>
        <w:rPr/>
      </w:r>
    </w:p>
    <w:p>
      <w:pPr>
        <w:pStyle w:val="TextBody"/>
        <w:spacing w:lineRule="auto" w:line="300" w:before="0" w:after="0"/>
        <w:ind w:left="360" w:right="0" w:hanging="0"/>
        <w:jc w:val="both"/>
        <w:rPr>
          <w:rFonts w:ascii="Times New Roman" w:hAnsi="Times New Roman"/>
          <w:sz w:val="20"/>
        </w:rPr>
      </w:pPr>
      <w:bookmarkStart w:id="246" w:name="TAB166"/>
      <w:bookmarkStart w:id="247" w:name="TAB167"/>
      <w:bookmarkEnd w:id="246"/>
      <w:bookmarkEnd w:id="247"/>
      <w:r>
        <w:rPr>
          <w:rFonts w:ascii="Times New Roman" w:hAnsi="Times New Roman"/>
          <w:sz w:val="20"/>
        </w:rPr>
        <w:t>One of our cinemas, a 5-screen facility in Melbourne, is owned by a joint venture in which we have a 66.6% unincorporated joint venture interest with the original owner. Our interest in this joint venture is likewise reported on a consolidated basis.</w:t>
      </w:r>
    </w:p>
    <w:p>
      <w:pPr>
        <w:pStyle w:val="TextBody"/>
        <w:spacing w:lineRule="auto" w:line="300" w:before="0" w:after="0"/>
        <w:ind w:left="0" w:right="0" w:hanging="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Effective October 1, 2005, we purchased, indirectly, the beneficial ownership of 100% of the stock of Rialto Entertainment for $4.8 million (NZ$6.9 million). Rialto Entertainment is a 50% joint venture partner with SkyCity Leisure Ltd (“Sky”) in Rialto Cinemas, the largest art cinema circuit in New Zealand. The joint venture owns or manages five cinemas with 22 screens in the New Zealand cities of Auckland, Wellington, Dunedin, Hamilton and Christchurch. All of the cinemas are in leased facilities. Our interest in this joint venture is accounted for using the equity method.</w:t>
      </w:r>
    </w:p>
    <w:p>
      <w:pPr>
        <w:pStyle w:val="TextBody"/>
        <w:spacing w:lineRule="auto" w:line="300" w:before="0" w:after="0"/>
        <w:ind w:left="0" w:right="0" w:firstLine="720"/>
        <w:jc w:val="both"/>
        <w:rPr/>
      </w:pPr>
      <w:r>
        <w:rPr/>
      </w:r>
    </w:p>
    <w:p>
      <w:pPr>
        <w:pStyle w:val="TextBody"/>
        <w:spacing w:lineRule="auto" w:line="300" w:before="0" w:after="0"/>
        <w:ind w:left="0" w:right="0" w:firstLine="720"/>
        <w:jc w:val="both"/>
        <w:rPr/>
      </w:pPr>
      <w:r>
        <w:rPr>
          <w:rFonts w:ascii="Times New Roman" w:hAnsi="Times New Roman"/>
          <w:sz w:val="20"/>
        </w:rPr>
        <w:t>Also, as of October 1, 2005, we purchased for $694,000 (NZ$1.0 million) a one-third interest in Rialto Distribution. Rialto Distribution, an unincorporated joint venture, is engaged in the business of distributing art film in New Zealand and Australia. The remaining 2/3</w:t>
      </w:r>
      <w:r>
        <w:rPr>
          <w:rFonts w:ascii="Times New Roman" w:hAnsi="Times New Roman"/>
          <w:position w:val="7"/>
          <w:sz w:val="16"/>
          <w:sz w:val="20"/>
        </w:rPr>
        <w:t>rd</w:t>
      </w:r>
      <w:r>
        <w:rPr/>
        <w:t xml:space="preserve"> </w:t>
      </w:r>
      <w:r>
        <w:rPr>
          <w:rFonts w:ascii="Times New Roman" w:hAnsi="Times New Roman"/>
          <w:sz w:val="20"/>
        </w:rPr>
        <w:t>interest was retained by the founders of the company, who intend to remain active in the business and who have been in the art film distribution business since 1993. While we have not historically been involved in the distribution of film, we believe that this investment complements our cinema exhibition operations in Australia and New Zealand and could potentially complement our art film exhibition activities in the United States. Our interest in this joint venture is accounted for using the equity method.</w:t>
      </w:r>
    </w:p>
    <w:p>
      <w:pPr>
        <w:pStyle w:val="TextBody"/>
        <w:spacing w:lineRule="auto" w:line="300" w:before="0" w:after="0"/>
        <w:ind w:left="0" w:right="0" w:hanging="0"/>
        <w:jc w:val="both"/>
        <w:rPr/>
      </w:pPr>
      <w:r>
        <w:rPr/>
      </w:r>
    </w:p>
    <w:p>
      <w:pPr>
        <w:pStyle w:val="TextBody"/>
        <w:spacing w:lineRule="auto" w:line="300" w:before="0" w:after="0"/>
        <w:ind w:left="720" w:right="0" w:hanging="0"/>
        <w:jc w:val="both"/>
        <w:rPr>
          <w:rFonts w:ascii="Times New Roman" w:hAnsi="Times New Roman"/>
          <w:sz w:val="20"/>
        </w:rPr>
      </w:pPr>
      <w:bookmarkStart w:id="248" w:name="TAB168"/>
      <w:bookmarkEnd w:id="248"/>
      <w:r>
        <w:rPr>
          <w:rFonts w:ascii="Times New Roman" w:hAnsi="Times New Roman"/>
          <w:sz w:val="20"/>
        </w:rPr>
        <w:t xml:space="preserve">One of our cinemas, consisting of eight screens, in Botany Downs, New Zealand is held in 50/50 unincorporated joint venture with Everard Entertainment. Since this joint venture is unincorporated joint venture, we own a direct undivided interest in the lease, equipment, and business comprising the joint venture’s assets. In 2003, we acquired a 33% unincorporated joint venture interest in a 16-screen multiplex cinema located in a suburb of Brisbane, and operated under the Birch Carroll &amp; Coyle name. Since this is also an unincorporated joint venture, we hold our 33% interest directly as an undivided interest in the lease, equipment and business comprising this cinema asset. Our interest in this joint venture is accounted for using the equity method. </w:t>
      </w:r>
    </w:p>
    <w:p>
      <w:pPr>
        <w:pStyle w:val="TextBody"/>
        <w:spacing w:lineRule="auto" w:line="300" w:before="0" w:after="0"/>
        <w:ind w:left="0" w:right="0" w:hanging="0"/>
        <w:jc w:val="both"/>
        <w:rPr/>
      </w:pPr>
      <w:r>
        <w:rPr/>
      </w:r>
    </w:p>
    <w:p>
      <w:pPr>
        <w:pStyle w:val="TextBody"/>
        <w:spacing w:lineRule="auto" w:line="300" w:before="0" w:after="0"/>
        <w:ind w:left="0" w:right="0" w:hanging="0"/>
        <w:jc w:val="left"/>
        <w:rPr/>
      </w:pPr>
      <w:r>
        <w:rPr>
          <w:rStyle w:val="Emphasis"/>
          <w:rFonts w:ascii="Times New Roman" w:hAnsi="Times New Roman"/>
          <w:sz w:val="20"/>
          <w:u w:val="single"/>
        </w:rPr>
        <w:t>Management of Cinemas</w:t>
      </w:r>
    </w:p>
    <w:p>
      <w:pPr>
        <w:pStyle w:val="TextBody"/>
        <w:spacing w:lineRule="auto" w:line="300" w:before="0" w:after="0"/>
        <w:ind w:left="0" w:right="0" w:hanging="0"/>
        <w:jc w:val="left"/>
        <w:rPr/>
      </w:pPr>
      <w:r>
        <w:rPr/>
      </w:r>
    </w:p>
    <w:p>
      <w:pPr>
        <w:pStyle w:val="TextBody"/>
        <w:spacing w:lineRule="auto" w:line="300" w:before="0" w:after="0"/>
        <w:ind w:left="720" w:right="0" w:hanging="0"/>
        <w:jc w:val="both"/>
        <w:rPr/>
      </w:pPr>
      <w:bookmarkStart w:id="249" w:name="TAB169"/>
      <w:bookmarkEnd w:id="249"/>
      <w:r>
        <w:rPr>
          <w:rFonts w:ascii="Times New Roman" w:hAnsi="Times New Roman"/>
          <w:sz w:val="20"/>
        </w:rPr>
        <w:t xml:space="preserve">Our employees manage Reading Australia’s wholly owned and consolidated cinemas and Reading New Zealand’s wholly owned cinemas. Our six New Zealand joint venture cinemas are operated by two joint ventures in which Reading New Zealand is, directly or indirectly, a 50% joint venture partner. While our employees are actively involved in the management of the Botany Downs joint venture, the management of the five cinemas operated under the </w:t>
      </w:r>
      <w:r>
        <w:rPr>
          <w:rStyle w:val="Emphasis"/>
          <w:rFonts w:ascii="Times New Roman" w:hAnsi="Times New Roman"/>
          <w:sz w:val="20"/>
        </w:rPr>
        <w:t>Rialto</w:t>
      </w:r>
      <w:r>
        <w:rPr/>
        <w:t xml:space="preserve"> </w:t>
      </w:r>
      <w:r>
        <w:rPr>
          <w:rFonts w:ascii="Times New Roman" w:hAnsi="Times New Roman"/>
          <w:sz w:val="20"/>
        </w:rPr>
        <w:t>name is, generally speaking, performed by Sky, while we are principally responsible for the booking of the Rialto Cinemas. The 16-screen Brisbane joint venture cinema is operated under the supervision of a management committee over which each of the joint venture partners holds certain veto rights and is managed by Birch Carroll &amp; Coyle.</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pPr>
      <w:r>
        <w:rPr>
          <w:rStyle w:val="Emphasis"/>
          <w:rFonts w:ascii="Times New Roman" w:hAnsi="Times New Roman"/>
          <w:sz w:val="20"/>
          <w:u w:val="single"/>
        </w:rPr>
        <w:t>Background Information Concerning Australia</w:t>
      </w:r>
    </w:p>
    <w:p>
      <w:pPr>
        <w:pStyle w:val="TextBody"/>
        <w:spacing w:lineRule="auto" w:line="300" w:before="0" w:after="0"/>
        <w:ind w:left="0" w:right="0" w:hanging="0"/>
        <w:jc w:val="left"/>
        <w:rPr/>
      </w:pPr>
      <w:r>
        <w:rPr/>
      </w:r>
    </w:p>
    <w:p>
      <w:pPr>
        <w:pStyle w:val="TextBody"/>
        <w:spacing w:lineRule="auto" w:line="300" w:before="0" w:after="0"/>
        <w:ind w:left="720" w:right="0" w:hanging="0"/>
        <w:jc w:val="both"/>
        <w:rPr>
          <w:rFonts w:ascii="Times New Roman" w:hAnsi="Times New Roman"/>
          <w:sz w:val="20"/>
        </w:rPr>
      </w:pPr>
      <w:bookmarkStart w:id="250" w:name="TAB170"/>
      <w:bookmarkEnd w:id="250"/>
      <w:r>
        <w:rPr>
          <w:rFonts w:ascii="Times New Roman" w:hAnsi="Times New Roman"/>
          <w:sz w:val="20"/>
        </w:rPr>
        <w:t>Australia is a self-governing and fully independent member of the Commonwealth of Nations. The constitution resembles that of the United States in that it creates a federal form of government, under which the powers of the central government are specified and all residual powers are left to the states. The country is organized into five mainland states (New South Wales, Queensland, South Australia, Victoria and Western Australia), one island state (Tasmania) and two territories (Australian Capital Territory and the Northern Territory).</w:t>
      </w:r>
    </w:p>
    <w:p>
      <w:pPr>
        <w:pStyle w:val="TextBody"/>
        <w:spacing w:lineRule="auto" w:line="300" w:before="0" w:after="0"/>
        <w:ind w:left="0" w:right="0" w:hanging="0"/>
        <w:jc w:val="both"/>
        <w:rPr/>
      </w:pPr>
      <w:r>
        <w:rPr/>
      </w:r>
    </w:p>
    <w:p>
      <w:pPr>
        <w:pStyle w:val="TextBody"/>
        <w:spacing w:lineRule="auto" w:line="300" w:before="0" w:after="0"/>
        <w:ind w:left="720" w:right="0" w:hanging="0"/>
        <w:jc w:val="both"/>
        <w:rPr>
          <w:rFonts w:ascii="Times New Roman" w:hAnsi="Times New Roman"/>
          <w:sz w:val="20"/>
        </w:rPr>
      </w:pPr>
      <w:bookmarkStart w:id="251" w:name="TAB171"/>
      <w:bookmarkEnd w:id="251"/>
      <w:r>
        <w:rPr>
          <w:rFonts w:ascii="Times New Roman" w:hAnsi="Times New Roman"/>
          <w:sz w:val="20"/>
        </w:rPr>
        <w:t>The ceremonial supreme executive is the British monarch, represented by the governor-general and in each of the six states by a governor. These officials are appointed by the British monarch, but appointments are always recommended by the Australian government. True executive power rests with the prime minister, the leader of the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52" w:name="PGBRK10"/>
      <w:bookmarkStart w:id="253" w:name="PGBRK10"/>
      <w:bookmarkEnd w:id="25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54" w:name="FTR10"/>
      <w:bookmarkStart w:id="255" w:name="FTR10"/>
      <w:bookmarkEnd w:id="25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56" w:name="GLFTR10"/>
      <w:bookmarkStart w:id="257" w:name="GLFTR10"/>
      <w:bookmarkEnd w:id="25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258" w:name="PN10"/>
      <w:bookmarkEnd w:id="258"/>
      <w:r>
        <w:rPr>
          <w:rFonts w:ascii="Times New Roman" w:hAnsi="Times New Roman"/>
          <w:sz w:val="16"/>
        </w:rPr>
        <w:t>-10-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59" w:name="HDR10"/>
      <w:bookmarkStart w:id="260" w:name="HDR10"/>
      <w:bookmarkEnd w:id="26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261" w:name="GLHDR10"/>
        <w:bookmarkEnd w:id="261"/>
        <w:r>
          <w:rPr>
            <w:rStyle w:val="Emphasis"/>
            <w:rFonts w:ascii="Times New Roman" w:hAnsi="Times New Roman"/>
            <w:color w:val="000000"/>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majority party in the House of Representatives. The legislature is bicameral, with a Senate and a House of Representatives, and the ministers are appointed by the prime minister from the membership of the House and the Senate. The organization of the state government is similar to that of the central government. Each state has an appointed governor, an elected premier and a legislature.</w:t>
      </w:r>
    </w:p>
    <w:p>
      <w:pPr>
        <w:pStyle w:val="TextBody"/>
        <w:spacing w:lineRule="auto" w:line="300" w:before="0" w:after="0"/>
        <w:ind w:left="0" w:right="0" w:hanging="0"/>
        <w:jc w:val="left"/>
        <w:rPr/>
      </w:pPr>
      <w:r>
        <w:rPr/>
      </w:r>
    </w:p>
    <w:p>
      <w:pPr>
        <w:pStyle w:val="TextBody"/>
        <w:spacing w:lineRule="auto" w:line="300" w:before="0" w:after="0"/>
        <w:ind w:left="720" w:right="0" w:hanging="0"/>
        <w:jc w:val="both"/>
        <w:rPr>
          <w:rFonts w:ascii="Times New Roman" w:hAnsi="Times New Roman"/>
          <w:sz w:val="20"/>
        </w:rPr>
      </w:pPr>
      <w:bookmarkStart w:id="262" w:name="TAB172"/>
      <w:bookmarkEnd w:id="262"/>
      <w:r>
        <w:rPr>
          <w:rFonts w:ascii="Times New Roman" w:hAnsi="Times New Roman"/>
          <w:sz w:val="20"/>
        </w:rPr>
        <w:t>Australia is the sixth largest country in the world in landmass with a population of approximately 20.3 million people. This population is concentrated in a few coastal urban areas, with approximately 4.2 million in the greater Sydney area, 3.6 million in the greater Melbourne area, 1.8 million in the Brisbane area, 1.5 million in Perth and 1.1 million in Adelaide. Australia is one of the richest countries in the world in terms of natural resources per capita and one of the most economically developed countries in the world, although vast areas of the interior, known as “the Outback,” remain all but uninhabited. The principal language is English, and the largest part of the population traces its origin to Britain and Europe, although an increasing portion of the population has emigrated from the Far East. Australian taste in film has historically been similar to that of American audiences.</w:t>
      </w:r>
    </w:p>
    <w:p>
      <w:pPr>
        <w:pStyle w:val="TextBody"/>
        <w:spacing w:lineRule="auto" w:line="300" w:before="0" w:after="0"/>
        <w:ind w:left="0" w:right="0" w:hanging="0"/>
        <w:jc w:val="both"/>
        <w:rPr/>
      </w:pPr>
      <w:r>
        <w:rPr/>
      </w:r>
    </w:p>
    <w:p>
      <w:pPr>
        <w:pStyle w:val="TextBody"/>
        <w:spacing w:lineRule="auto" w:line="300" w:before="0" w:after="0"/>
        <w:ind w:left="720" w:right="0" w:hanging="0"/>
        <w:jc w:val="both"/>
        <w:rPr>
          <w:rFonts w:ascii="Times New Roman" w:hAnsi="Times New Roman"/>
          <w:sz w:val="20"/>
        </w:rPr>
      </w:pPr>
      <w:bookmarkStart w:id="263" w:name="TAB173"/>
      <w:bookmarkEnd w:id="263"/>
      <w:r>
        <w:rPr>
          <w:rFonts w:ascii="Times New Roman" w:hAnsi="Times New Roman"/>
          <w:sz w:val="20"/>
        </w:rPr>
        <w:t>Internal trade is dominated by the two most populous states, New South Wales (mainly Sydney) and Victoria (mainly Melbourne). Together these two states account for a majority of all wholesale trade and a significant percentage of retail sales. At the present time, Australia’s principal trading partners are Japan and the European Union.</w:t>
      </w:r>
    </w:p>
    <w:p>
      <w:pPr>
        <w:pStyle w:val="TextBody"/>
        <w:spacing w:before="0" w:after="0"/>
        <w:rPr/>
      </w:pPr>
      <w:r>
        <w:rPr/>
        <w:t> </w:t>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Australia does not restrict the flow of currency into the country from the U.S. or out of Australia to the U.S. Also, subject to certain review procedures, U.S. companies are typically permitted to operate businesses and to own real estate. On July 1, 2000, Australia implemented a goods and services tax (“GST”) on all goods and services at a consistent rate of 10%. We do not believe that the GST has had a significant impact on our business.</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pPr>
      <w:r>
        <w:rPr>
          <w:rStyle w:val="Emphasis"/>
          <w:rFonts w:ascii="Times New Roman" w:hAnsi="Times New Roman"/>
          <w:sz w:val="20"/>
          <w:u w:val="single"/>
        </w:rPr>
        <w:t>Background Information Concerning New Zealand</w:t>
      </w:r>
    </w:p>
    <w:p>
      <w:pPr>
        <w:pStyle w:val="TextBody"/>
        <w:spacing w:lineRule="auto" w:line="300" w:before="0" w:after="0"/>
        <w:ind w:left="0" w:right="0" w:hanging="0"/>
        <w:jc w:val="both"/>
        <w:rPr/>
      </w:pPr>
      <w:r>
        <w:rPr/>
      </w:r>
    </w:p>
    <w:p>
      <w:pPr>
        <w:pStyle w:val="TextBody"/>
        <w:spacing w:lineRule="auto" w:line="300" w:before="0" w:after="0"/>
        <w:ind w:left="720" w:right="0" w:hanging="0"/>
        <w:jc w:val="both"/>
        <w:rPr>
          <w:rFonts w:ascii="Times New Roman" w:hAnsi="Times New Roman"/>
          <w:sz w:val="20"/>
        </w:rPr>
      </w:pPr>
      <w:bookmarkStart w:id="264" w:name="TAB174"/>
      <w:bookmarkEnd w:id="264"/>
      <w:r>
        <w:rPr>
          <w:rFonts w:ascii="Times New Roman" w:hAnsi="Times New Roman"/>
          <w:sz w:val="20"/>
        </w:rPr>
        <w:t>New Zealand is also a self-governing member of the Commonwealth of Nations. It is comprised of two large islands, and numerous small islands, with a total land area of approximately 104,500 square miles. The country has a population of approximately 4.1 million people, most of who are of European descent and the principal language is English. Wellington, with a population of approximately 450,000, is the capital and Auckland, with a population of approximately 1.2 million, is the largest city. Most of the population lives in urban areas.</w:t>
      </w:r>
    </w:p>
    <w:p>
      <w:pPr>
        <w:pStyle w:val="TextBody"/>
        <w:spacing w:lineRule="auto" w:line="300" w:before="0" w:after="0"/>
        <w:ind w:left="0" w:right="0" w:hanging="0"/>
        <w:jc w:val="both"/>
        <w:rPr/>
      </w:pPr>
      <w:r>
        <w:rPr/>
      </w:r>
    </w:p>
    <w:p>
      <w:pPr>
        <w:pStyle w:val="TextBody"/>
        <w:spacing w:lineRule="auto" w:line="300" w:before="0" w:after="0"/>
        <w:ind w:left="720" w:right="0" w:hanging="0"/>
        <w:jc w:val="both"/>
        <w:rPr>
          <w:rFonts w:ascii="Times New Roman" w:hAnsi="Times New Roman"/>
          <w:sz w:val="20"/>
        </w:rPr>
      </w:pPr>
      <w:bookmarkStart w:id="265" w:name="TAB175"/>
      <w:bookmarkEnd w:id="265"/>
      <w:r>
        <w:rPr>
          <w:rFonts w:ascii="Times New Roman" w:hAnsi="Times New Roman"/>
          <w:sz w:val="20"/>
        </w:rPr>
        <w:t>New Zealand is a prosperous country with a high standard of social services. The national economy is largely dependent upon the export of raw and processed foods, timber, and machinery. Principally a trading nation, New Zealand exports about 30% of its gross national product. In the past (particularly before the United Kingdom entered the Common Market in 1973), New Zealand’s marketing focused on a small number of countries, principally the United Kingdom. Currently, only approximately 5% of New Zealand’s trade is with the United Kingdom. Australia and the United States are New Zealand’s principal trading partners. New Zealand’s economy remains sensitive to fluctuations in demand for its principal exports.</w:t>
      </w:r>
    </w:p>
    <w:p>
      <w:pPr>
        <w:pStyle w:val="TextBody"/>
        <w:spacing w:lineRule="auto" w:line="300" w:before="0" w:after="0"/>
        <w:ind w:left="0" w:right="0" w:hanging="0"/>
        <w:jc w:val="both"/>
        <w:rPr/>
      </w:pPr>
      <w:r>
        <w:rPr/>
      </w:r>
    </w:p>
    <w:p>
      <w:pPr>
        <w:pStyle w:val="TextBody"/>
        <w:spacing w:lineRule="auto" w:line="300" w:before="0" w:after="0"/>
        <w:ind w:left="720" w:right="0" w:hanging="0"/>
        <w:jc w:val="both"/>
        <w:rPr>
          <w:rFonts w:ascii="Times New Roman" w:hAnsi="Times New Roman"/>
          <w:sz w:val="20"/>
        </w:rPr>
      </w:pPr>
      <w:bookmarkStart w:id="266" w:name="TAB176"/>
      <w:bookmarkEnd w:id="266"/>
      <w:r>
        <w:rPr>
          <w:rFonts w:ascii="Times New Roman" w:hAnsi="Times New Roman"/>
          <w:sz w:val="20"/>
        </w:rPr>
        <w:t>Like Australia, New Zealand has a largely ceremonial governor-general, appointed by the Queen of England. However, the executive branch is run by a prime minister, typically the leader of the majority party in Parliament, and appointed ministers (typically chosen from the members of Parliament). The Parliament is elected by universal adult suffrage using a mixed member proportional system. Under this system, each voter casts two votes at the federal level, one for a local representative and one for a party. Fifty percent of the 120 seats in Parliament are determined by the direct election of local representatives, and the remaining fifty percent are elected based upon the number of votes garnered by the parties. The Prime Minister and his cabinet serve so long as they retain the confidence of the Parliament.</w:t>
      </w:r>
    </w:p>
    <w:p>
      <w:pPr>
        <w:pStyle w:val="TextBody"/>
        <w:spacing w:lineRule="auto" w:line="300" w:before="0" w:after="0"/>
        <w:ind w:left="0" w:right="0" w:hanging="0"/>
        <w:jc w:val="both"/>
        <w:rPr/>
      </w:pPr>
      <w:r>
        <w:rPr/>
      </w:r>
    </w:p>
    <w:p>
      <w:pPr>
        <w:pStyle w:val="TextBody"/>
        <w:spacing w:lineRule="auto" w:line="300" w:before="0" w:after="0"/>
        <w:ind w:left="720" w:right="0" w:hanging="0"/>
        <w:jc w:val="both"/>
        <w:rPr>
          <w:rFonts w:ascii="Times New Roman" w:hAnsi="Times New Roman"/>
          <w:sz w:val="20"/>
        </w:rPr>
      </w:pPr>
      <w:bookmarkStart w:id="267" w:name="TAB177"/>
      <w:bookmarkEnd w:id="267"/>
      <w:r>
        <w:rPr>
          <w:rFonts w:ascii="Times New Roman" w:hAnsi="Times New Roman"/>
          <w:sz w:val="20"/>
        </w:rPr>
        <w:t>With the exception of special excise taxes on tobacco, liquor, petroleum products and motor vehicles the only general sales tax is a GST imposed on all such services at the consistent rate of 12.5%. In effect, by a series of refunds, GST is only paid by the end-user of the goods or services in question. Resident companies pay income tax at a rate of 33%; however, dividend imputation credits generally prevent double taxation of company profits. There are no restrictions on repatriation of capital or profits, but some payments to overseas parties are subject to withholding tax. There is no capital gains tax, and there are tax treaties with many countries, including the United States.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68" w:name="PGBRK11"/>
      <w:bookmarkStart w:id="269" w:name="PGBRK11"/>
      <w:bookmarkEnd w:id="26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70" w:name="FTR11"/>
      <w:bookmarkStart w:id="271" w:name="FTR11"/>
      <w:bookmarkEnd w:id="27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72" w:name="GLFTR11"/>
      <w:bookmarkStart w:id="273" w:name="GLFTR11"/>
      <w:bookmarkEnd w:id="27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274" w:name="PN11"/>
      <w:bookmarkEnd w:id="274"/>
      <w:r>
        <w:rPr>
          <w:rFonts w:ascii="Times New Roman" w:hAnsi="Times New Roman"/>
          <w:sz w:val="16"/>
        </w:rPr>
        <w:t>-11-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75" w:name="HDR11"/>
      <w:bookmarkStart w:id="276" w:name="HDR11"/>
      <w:bookmarkEnd w:id="27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277" w:name="GLHDR11"/>
        <w:bookmarkEnd w:id="277"/>
        <w:r>
          <w:rPr>
            <w:rStyle w:val="Emphasis"/>
            <w:rFonts w:ascii="Times New Roman" w:hAnsi="Times New Roman"/>
            <w:color w:val="000000"/>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300" w:before="0" w:after="0"/>
        <w:ind w:left="720" w:right="0" w:hanging="0"/>
        <w:jc w:val="both"/>
        <w:rPr>
          <w:rFonts w:ascii="Times New Roman" w:hAnsi="Times New Roman"/>
          <w:sz w:val="20"/>
        </w:rPr>
      </w:pPr>
      <w:bookmarkStart w:id="278" w:name="TAB178"/>
      <w:bookmarkEnd w:id="278"/>
      <w:r>
        <w:rPr>
          <w:rFonts w:ascii="Times New Roman" w:hAnsi="Times New Roman"/>
          <w:sz w:val="20"/>
        </w:rPr>
        <w:t>The laws for monitoring and approving significant overseas investment into New Zealand reflect the country’s generally receptive attitude towards such investment and the generally facilitating nature of the country’s foreign investment policies. One hundred percent overseas ownership can be approved in nearly all industry sectors, including motion picture exhibition and distribution. A review process is also applicable to certain land transactions and the purchase of businesses or assets having a value of NZ$100,000 or more.</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pPr>
      <w:r>
        <w:rPr>
          <w:rStyle w:val="Emphasis"/>
          <w:rFonts w:ascii="Times New Roman" w:hAnsi="Times New Roman"/>
          <w:sz w:val="20"/>
          <w:u w:val="single"/>
        </w:rPr>
        <w:t xml:space="preserve">Licensing/Pricing </w:t>
      </w:r>
    </w:p>
    <w:p>
      <w:pPr>
        <w:pStyle w:val="TextBody"/>
        <w:spacing w:lineRule="auto" w:line="300" w:before="0" w:after="0"/>
        <w:ind w:left="0" w:right="0" w:hanging="0"/>
        <w:jc w:val="both"/>
        <w:rPr/>
      </w:pPr>
      <w:r>
        <w:rPr/>
      </w:r>
    </w:p>
    <w:p>
      <w:pPr>
        <w:pStyle w:val="TextBody"/>
        <w:spacing w:lineRule="auto" w:line="300" w:before="0" w:after="0"/>
        <w:ind w:left="720" w:right="0" w:hanging="0"/>
        <w:jc w:val="both"/>
        <w:rPr>
          <w:rFonts w:ascii="Times New Roman" w:hAnsi="Times New Roman"/>
          <w:sz w:val="20"/>
        </w:rPr>
      </w:pPr>
      <w:bookmarkStart w:id="279" w:name="TAB179"/>
      <w:bookmarkEnd w:id="279"/>
      <w:r>
        <w:rPr>
          <w:rFonts w:ascii="Times New Roman" w:hAnsi="Times New Roman"/>
          <w:sz w:val="20"/>
        </w:rPr>
        <w:t xml:space="preserve">Films exhibited in Australia and New Zealand are licensed under agreements with major film distributors and several local distributors who distribute specialized films. Film exhibitors are provided with an opportunity to view films prior to negotiating with the film distributor the commercial terms applicable to its release. Films are licensed on a film-by-film, theater-by-theater basis. Reading Australia and Reading New Zealand license films from all film distributors as appropriate to each of our cinema location. Generally, film payment terms are based upon various formulas that provide for payments based upon a specified percentage of box office receipts. </w:t>
      </w:r>
    </w:p>
    <w:p>
      <w:pPr>
        <w:pStyle w:val="TextBody"/>
        <w:spacing w:lineRule="auto" w:line="300" w:before="0" w:after="0"/>
        <w:ind w:left="0" w:right="0" w:hanging="0"/>
        <w:jc w:val="both"/>
        <w:rPr/>
      </w:pPr>
      <w:r>
        <w:rPr/>
      </w:r>
    </w:p>
    <w:p>
      <w:pPr>
        <w:pStyle w:val="TextBody"/>
        <w:spacing w:lineRule="auto" w:line="300" w:before="0" w:after="0"/>
        <w:ind w:left="0" w:right="0" w:hanging="0"/>
        <w:jc w:val="left"/>
        <w:rPr/>
      </w:pPr>
      <w:r>
        <w:rPr>
          <w:rStyle w:val="Emphasis"/>
          <w:rFonts w:ascii="Times New Roman" w:hAnsi="Times New Roman"/>
          <w:sz w:val="20"/>
          <w:u w:val="single"/>
        </w:rPr>
        <w:t>Competition</w:t>
      </w:r>
    </w:p>
    <w:p>
      <w:pPr>
        <w:pStyle w:val="TextBody"/>
        <w:spacing w:lineRule="auto" w:line="300" w:before="0" w:after="0"/>
        <w:ind w:left="0" w:right="0" w:hanging="0"/>
        <w:jc w:val="left"/>
        <w:rPr/>
      </w:pPr>
      <w:r>
        <w:rPr/>
      </w:r>
    </w:p>
    <w:p>
      <w:pPr>
        <w:pStyle w:val="TextBody"/>
        <w:spacing w:lineRule="auto" w:line="300" w:before="0" w:after="0"/>
        <w:ind w:left="720" w:right="0" w:hanging="0"/>
        <w:jc w:val="both"/>
        <w:rPr>
          <w:rFonts w:ascii="Times New Roman" w:hAnsi="Times New Roman"/>
          <w:sz w:val="20"/>
        </w:rPr>
      </w:pPr>
      <w:bookmarkStart w:id="280" w:name="TAB180"/>
      <w:bookmarkEnd w:id="280"/>
      <w:r>
        <w:rPr>
          <w:rFonts w:ascii="Times New Roman" w:hAnsi="Times New Roman"/>
          <w:sz w:val="20"/>
        </w:rPr>
        <w:t>The film exhibition market in both Australia and New Zealand is highly concentrated and, in certain cases in Australia, vertically integrated. The principal exhibitors in Australia include a joint venture of Greater Union and Village (GUV) in certain suburban multiplexes. The major exhibitors control approximately 67% of the total cinema box office: Village/Greater Union/Birch Carroll and Coyle 45% and Hoyts Cinemas (“Hoyts”) 22%. Greater Union have 255 screens nationally; Village 219 screens; Birch Carroll &amp; Coyle (a subsidiary of Greater Union) 218 screens and Hoyts 333 screens. By comparison, our cinemas represent approximately 6% of the total box office.</w:t>
      </w:r>
    </w:p>
    <w:p>
      <w:pPr>
        <w:pStyle w:val="TextBody"/>
        <w:spacing w:lineRule="auto" w:line="300" w:before="0" w:after="0"/>
        <w:ind w:left="0" w:right="0" w:hanging="0"/>
        <w:jc w:val="both"/>
        <w:rPr/>
      </w:pPr>
      <w:r>
        <w:rPr/>
      </w:r>
    </w:p>
    <w:p>
      <w:pPr>
        <w:pStyle w:val="TextBody"/>
        <w:spacing w:lineRule="auto" w:line="300" w:before="0" w:after="0"/>
        <w:ind w:left="720" w:right="0" w:hanging="0"/>
        <w:jc w:val="both"/>
        <w:rPr>
          <w:rFonts w:ascii="Times New Roman" w:hAnsi="Times New Roman"/>
          <w:sz w:val="20"/>
        </w:rPr>
      </w:pPr>
      <w:bookmarkStart w:id="281" w:name="TAB181"/>
      <w:bookmarkEnd w:id="281"/>
      <w:r>
        <w:rPr>
          <w:rFonts w:ascii="Times New Roman" w:hAnsi="Times New Roman"/>
          <w:sz w:val="20"/>
        </w:rPr>
        <w:t xml:space="preserve">The major change in New Zealand this year was the exiting of Village Theatres from this market. The major players are now Sky Cinemas (who purchased Village’s share of these theaters) with 88 screens nationally, Reading with 48 screens (not including partnerships), and Hoyts with 51 screens. The major exhibitors in New Zealand control approximately 62% of the total box office: Sky Cinemas 30%, Reading 17% and Hoyts 15%, (Sky and Reading market share figures again do not include any partnership theaters). </w:t>
      </w:r>
    </w:p>
    <w:p>
      <w:pPr>
        <w:pStyle w:val="TextBody"/>
        <w:spacing w:lineRule="auto" w:line="300" w:before="0" w:after="0"/>
        <w:ind w:left="0" w:right="0" w:hanging="0"/>
        <w:jc w:val="both"/>
        <w:rPr/>
      </w:pPr>
      <w:r>
        <w:rPr/>
      </w:r>
    </w:p>
    <w:p>
      <w:pPr>
        <w:pStyle w:val="TextBody"/>
        <w:spacing w:lineRule="auto" w:line="300" w:before="0" w:after="0"/>
        <w:ind w:left="720" w:right="0" w:hanging="0"/>
        <w:jc w:val="both"/>
        <w:rPr>
          <w:rFonts w:ascii="Times New Roman" w:hAnsi="Times New Roman"/>
          <w:sz w:val="20"/>
        </w:rPr>
      </w:pPr>
      <w:bookmarkStart w:id="282" w:name="TAB182"/>
      <w:bookmarkEnd w:id="282"/>
      <w:r>
        <w:rPr>
          <w:rFonts w:ascii="Times New Roman" w:hAnsi="Times New Roman"/>
          <w:sz w:val="20"/>
        </w:rPr>
        <w:t>In 2003, we acquired a 33% unincorporated joint venture interest in an existing 16-screen cinema located in suburban Brisbane that is currently owned in principal part by Village and Birch Carroll &amp; Coyle. This marks our only joint venture arrangement with any of the Major Exhibitors in Australia. We are a 50/50 joint venture partner with Sky in the Rialto circuit in New Zealand.</w:t>
      </w:r>
    </w:p>
    <w:p>
      <w:pPr>
        <w:pStyle w:val="TextBody"/>
        <w:spacing w:lineRule="auto" w:line="300" w:before="0" w:after="0"/>
        <w:ind w:left="0" w:right="0" w:hanging="0"/>
        <w:jc w:val="both"/>
        <w:rPr/>
      </w:pPr>
      <w:r>
        <w:rPr/>
      </w:r>
    </w:p>
    <w:p>
      <w:pPr>
        <w:pStyle w:val="TextBody"/>
        <w:spacing w:lineRule="auto" w:line="300" w:before="0" w:after="0"/>
        <w:ind w:left="720" w:right="0" w:hanging="0"/>
        <w:jc w:val="both"/>
        <w:rPr>
          <w:rFonts w:ascii="Times New Roman" w:hAnsi="Times New Roman"/>
          <w:sz w:val="20"/>
        </w:rPr>
      </w:pPr>
      <w:bookmarkStart w:id="283" w:name="TAB183"/>
      <w:bookmarkEnd w:id="283"/>
      <w:r>
        <w:rPr>
          <w:rFonts w:ascii="Times New Roman" w:hAnsi="Times New Roman"/>
          <w:sz w:val="20"/>
        </w:rPr>
        <w:t>Greater Union is the owner of Birch Carroll &amp; Coyle. Generally speaking, all new multiplex cinema projects announced by Village are being jointly developed by a joint venture comprised of Greater Union and Village. These companies have substantial capital resources. Village had a publicly reported consolidated net worth of approximately $909.8 million (AUS$1.2 billion) at June 30, 2005. The Greater Union organization does not separately publish financial reports, but its parent, Amalgamated Holdings, had a publicly reported consolidated net worth of approximately $350.2 million (AUS$461.9 million) at June 30, 2006. Hoyts does not separately publish financial reports. Hoyts is currently owned 50% by West Australian Newspapers and 50% by Publishing and Broadcasting, Ltd., a company controlled, until his recent death, by Mr. Kerry Packer. Mr. Packer was considered one of the wealthiest men in Australia with a net worth estimated at $4.7 billion (AUS$6.5 billion).</w:t>
      </w:r>
    </w:p>
    <w:p>
      <w:pPr>
        <w:pStyle w:val="TextBody"/>
        <w:spacing w:lineRule="auto" w:line="300" w:before="0" w:after="0"/>
        <w:ind w:left="0" w:right="0" w:hanging="0"/>
        <w:jc w:val="both"/>
        <w:rPr/>
      </w:pPr>
      <w:r>
        <w:rPr/>
      </w:r>
    </w:p>
    <w:p>
      <w:pPr>
        <w:pStyle w:val="TextBody"/>
        <w:spacing w:lineRule="auto" w:line="300" w:before="0" w:after="0"/>
        <w:ind w:left="720" w:right="0" w:hanging="0"/>
        <w:jc w:val="both"/>
        <w:rPr>
          <w:rFonts w:ascii="Times New Roman" w:hAnsi="Times New Roman"/>
          <w:sz w:val="20"/>
        </w:rPr>
      </w:pPr>
      <w:bookmarkStart w:id="284" w:name="TAB184"/>
      <w:bookmarkEnd w:id="284"/>
      <w:r>
        <w:rPr>
          <w:rFonts w:ascii="Times New Roman" w:hAnsi="Times New Roman"/>
          <w:sz w:val="20"/>
        </w:rPr>
        <w:t>The industry is also somewhat vertically integrated in that Roadshow Film Distributors serves as a distributor of film in Australia and New Zealand for Warner Brothers and New Line Cinema. Films produced or distributed by the majority of the local international independent producers are also distributed by Roadshow Film Distributors. Hoyts has also begun involvement in film production and distribution.</w:t>
      </w:r>
    </w:p>
    <w:p>
      <w:pPr>
        <w:pStyle w:val="TextBody"/>
        <w:spacing w:lineRule="auto" w:line="300" w:before="0" w:after="0"/>
        <w:ind w:left="0" w:right="0" w:hanging="0"/>
        <w:jc w:val="both"/>
        <w:rPr/>
      </w:pPr>
      <w:r>
        <w:rPr/>
      </w:r>
    </w:p>
    <w:p>
      <w:pPr>
        <w:pStyle w:val="TextBody"/>
        <w:spacing w:lineRule="auto" w:line="300" w:before="0" w:after="0"/>
        <w:ind w:left="720" w:right="0" w:hanging="0"/>
        <w:jc w:val="both"/>
        <w:rPr>
          <w:rFonts w:ascii="Times New Roman" w:hAnsi="Times New Roman"/>
          <w:sz w:val="20"/>
        </w:rPr>
      </w:pPr>
      <w:bookmarkStart w:id="285" w:name="TAB185"/>
      <w:bookmarkEnd w:id="285"/>
      <w:r>
        <w:rPr>
          <w:rFonts w:ascii="Times New Roman" w:hAnsi="Times New Roman"/>
          <w:sz w:val="20"/>
        </w:rPr>
        <w:t>In our view, the principal competitive restraint on the development of our business in Australia and New Zealand is the limited availability of good sites for future development. We already have access to substantially all first run film on competitive terms at all of our cinemas. However, our competitors and certain major commercial real estate interests have historically utilized land use development laws and regulations in Australia to prevent or delay our construction of freestanding cinemas in new entertainment oriented complexes, particularly where those complexes are located outside of an established central business district or shopping center development. We also face ongoing competition for alternative sources of entertainment, including, in particular, increased compensation</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86" w:name="PGBRK12"/>
      <w:bookmarkStart w:id="287" w:name="PGBRK12"/>
      <w:bookmarkEnd w:id="28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88" w:name="FTR12"/>
      <w:bookmarkStart w:id="289" w:name="FTR12"/>
      <w:bookmarkEnd w:id="28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90" w:name="GLFTR12"/>
      <w:bookmarkStart w:id="291" w:name="GLFTR12"/>
      <w:bookmarkEnd w:id="29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292" w:name="PN12"/>
      <w:bookmarkEnd w:id="292"/>
      <w:r>
        <w:rPr>
          <w:rFonts w:ascii="Times New Roman" w:hAnsi="Times New Roman"/>
          <w:sz w:val="16"/>
        </w:rPr>
        <w:t>-12-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93" w:name="HDR12"/>
      <w:bookmarkStart w:id="294" w:name="HDR12"/>
      <w:bookmarkEnd w:id="29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295" w:name="GLHDR12"/>
        <w:bookmarkEnd w:id="295"/>
        <w:r>
          <w:rPr>
            <w:rStyle w:val="Emphasis"/>
            <w:rFonts w:ascii="Times New Roman" w:hAnsi="Times New Roman"/>
            <w:color w:val="000000"/>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300" w:before="0" w:after="0"/>
        <w:ind w:left="0" w:right="0" w:hanging="0"/>
        <w:jc w:val="both"/>
        <w:rPr/>
      </w:pPr>
      <w:r>
        <w:rPr>
          <w:rFonts w:ascii="Times New Roman" w:hAnsi="Times New Roman"/>
          <w:sz w:val="20"/>
        </w:rPr>
        <w:t xml:space="preserve">from in-the-home viewing alternatives. These competitive issues are discussed in greater detail below under the caption, </w:t>
      </w:r>
      <w:r>
        <w:rPr>
          <w:rStyle w:val="Emphasis"/>
          <w:rFonts w:ascii="Times New Roman" w:hAnsi="Times New Roman"/>
          <w:sz w:val="20"/>
        </w:rPr>
        <w:t>Competition</w:t>
      </w:r>
      <w:r>
        <w:rPr>
          <w:rFonts w:ascii="Times New Roman" w:hAnsi="Times New Roman"/>
          <w:sz w:val="20"/>
        </w:rPr>
        <w:t>, and under the caption, Item 1A - Risk Factors.</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pPr>
      <w:r>
        <w:rPr>
          <w:rStyle w:val="Emphasis"/>
          <w:rFonts w:ascii="Times New Roman" w:hAnsi="Times New Roman"/>
          <w:sz w:val="20"/>
          <w:u w:val="single"/>
        </w:rPr>
        <w:t>Currency Risk</w:t>
      </w:r>
    </w:p>
    <w:p>
      <w:pPr>
        <w:pStyle w:val="TextBody"/>
        <w:spacing w:lineRule="auto" w:line="300" w:before="0" w:after="0"/>
        <w:ind w:left="0" w:right="0" w:hanging="0"/>
        <w:jc w:val="both"/>
        <w:rPr/>
      </w:pPr>
      <w:r>
        <w:rPr/>
      </w:r>
    </w:p>
    <w:p>
      <w:pPr>
        <w:pStyle w:val="TextBody"/>
        <w:spacing w:lineRule="auto" w:line="300" w:before="0" w:after="0"/>
        <w:ind w:left="720" w:right="0" w:hanging="0"/>
        <w:jc w:val="both"/>
        <w:rPr>
          <w:rFonts w:ascii="Times New Roman" w:hAnsi="Times New Roman"/>
          <w:sz w:val="20"/>
        </w:rPr>
      </w:pPr>
      <w:bookmarkStart w:id="296" w:name="TAB186"/>
      <w:bookmarkEnd w:id="296"/>
      <w:r>
        <w:rPr>
          <w:rFonts w:ascii="Times New Roman" w:hAnsi="Times New Roman"/>
          <w:sz w:val="20"/>
        </w:rPr>
        <w:t>Generally speaking, we do not engage in currency hedging. Rather, to the extent possible, we operate our Australian and New Zealand operations on a self-funding basis. Other than the capitalization of existing debt from time to time, no funds have been contributed from our U.S. operations to our Australia or New Zealand operations since 2001 until our February 2007 Trust Preferred Offering described below. The book value, stated in U.S. dollars, of our net assets in Australia and New Zealand, (assets less third party liabilities and without intercompany debt), at December 31, 2006 are as follows (dollars in thousands):</w:t>
      </w:r>
    </w:p>
    <w:p>
      <w:pPr>
        <w:pStyle w:val="TextBody"/>
        <w:spacing w:lineRule="auto" w:line="300" w:before="0" w:after="0"/>
        <w:ind w:left="0" w:right="0" w:hanging="0"/>
        <w:jc w:val="left"/>
        <w:rPr/>
      </w:pPr>
      <w:r>
        <w:rPr/>
        <w:t> </w:t>
      </w:r>
    </w:p>
    <w:p>
      <w:pPr>
        <w:pStyle w:val="Normal"/>
        <w:spacing w:before="0" w:after="0"/>
        <w:ind w:left="0" w:right="0" w:hanging="0"/>
        <w:rPr>
          <w:sz w:val="4"/>
          <w:szCs w:val="4"/>
        </w:rPr>
      </w:pPr>
      <w:r>
        <w:rPr>
          <w:sz w:val="4"/>
          <w:szCs w:val="4"/>
        </w:rPr>
      </w:r>
      <w:bookmarkStart w:id="297" w:name="ftable2"/>
      <w:bookmarkStart w:id="298" w:name="ftable2"/>
      <w:bookmarkEnd w:id="298"/>
    </w:p>
    <w:tbl>
      <w:tblPr>
        <w:tblW w:w="5000" w:type="pct"/>
        <w:jc w:val="left"/>
        <w:tblInd w:w="0" w:type="dxa"/>
        <w:tblCellMar>
          <w:top w:w="0" w:type="dxa"/>
          <w:left w:w="0" w:type="dxa"/>
          <w:bottom w:w="28" w:type="dxa"/>
          <w:right w:w="0" w:type="dxa"/>
        </w:tblCellMar>
      </w:tblPr>
      <w:tblGrid>
        <w:gridCol w:w="8504"/>
        <w:gridCol w:w="211"/>
        <w:gridCol w:w="132"/>
        <w:gridCol w:w="1236"/>
        <w:gridCol w:w="122"/>
      </w:tblGrid>
      <w:tr>
        <w:trPr/>
        <w:tc>
          <w:tcPr>
            <w:tcW w:w="8504" w:type="dxa"/>
            <w:tcBorders>
              <w:bottom w:val="double" w:sz="2" w:space="0" w:color="000000"/>
            </w:tcBorders>
            <w:shd w:fill="auto" w:val="clear"/>
            <w:vAlign w:val="bottom"/>
          </w:tcPr>
          <w:p>
            <w:pPr>
              <w:pStyle w:val="TableContents"/>
              <w:spacing w:before="0" w:after="283"/>
              <w:jc w:val="left"/>
              <w:rPr/>
            </w:pPr>
            <w:r>
              <w:rPr/>
              <w:t> </w:t>
            </w:r>
          </w:p>
        </w:tc>
        <w:tc>
          <w:tcPr>
            <w:tcW w:w="211" w:type="dxa"/>
            <w:tcBorders>
              <w:bottom w:val="single" w:sz="4" w:space="0" w:color="FFFFFF"/>
            </w:tcBorders>
            <w:shd w:fill="auto" w:val="clear"/>
            <w:vAlign w:val="center"/>
          </w:tcPr>
          <w:p>
            <w:pPr>
              <w:pStyle w:val="TableContents"/>
              <w:spacing w:before="0" w:after="283"/>
              <w:rPr/>
            </w:pPr>
            <w:r>
              <w:rPr/>
              <w:t> </w:t>
            </w:r>
          </w:p>
        </w:tc>
        <w:tc>
          <w:tcPr>
            <w:tcW w:w="1368"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Net Assets</w:t>
            </w:r>
          </w:p>
        </w:tc>
        <w:tc>
          <w:tcPr>
            <w:tcW w:w="122" w:type="dxa"/>
            <w:tcBorders>
              <w:bottom w:val="single" w:sz="4" w:space="0" w:color="FFFFFF"/>
            </w:tcBorders>
            <w:shd w:fill="auto" w:val="clear"/>
            <w:vAlign w:val="bottom"/>
          </w:tcPr>
          <w:p>
            <w:pPr>
              <w:pStyle w:val="TableContents"/>
              <w:spacing w:before="0" w:after="283"/>
              <w:jc w:val="left"/>
              <w:rPr/>
            </w:pPr>
            <w:r>
              <w:rPr/>
              <w:t> </w:t>
            </w:r>
          </w:p>
        </w:tc>
      </w:tr>
      <w:tr>
        <w:trPr/>
        <w:tc>
          <w:tcPr>
            <w:tcW w:w="8504"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Reading Australia</w:t>
            </w:r>
          </w:p>
        </w:tc>
        <w:tc>
          <w:tcPr>
            <w:tcW w:w="211" w:type="dxa"/>
            <w:tcBorders/>
            <w:shd w:fill="CCEEFF" w:val="clear"/>
            <w:tcMar>
              <w:bottom w:w="0" w:type="dxa"/>
            </w:tcMar>
            <w:vAlign w:val="center"/>
          </w:tcPr>
          <w:p>
            <w:pPr>
              <w:pStyle w:val="TableContents"/>
              <w:spacing w:before="0" w:after="283"/>
              <w:rPr/>
            </w:pPr>
            <w:r>
              <w:rPr/>
              <w:t> </w:t>
            </w:r>
          </w:p>
        </w:tc>
        <w:tc>
          <w:tcPr>
            <w:tcW w:w="132"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299" w:name="TAB187"/>
            <w:bookmarkEnd w:id="299"/>
            <w:r>
              <w:rPr>
                <w:rFonts w:ascii="Times New Roman" w:hAnsi="Times New Roman"/>
                <w:sz w:val="20"/>
              </w:rPr>
              <w:t>$</w:t>
            </w:r>
          </w:p>
        </w:tc>
        <w:tc>
          <w:tcPr>
            <w:tcW w:w="1236"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300" w:name="TAB188"/>
            <w:bookmarkEnd w:id="300"/>
            <w:r>
              <w:rPr>
                <w:rFonts w:ascii="Times New Roman" w:hAnsi="Times New Roman"/>
                <w:sz w:val="20"/>
              </w:rPr>
              <w:t>64,360</w:t>
            </w:r>
          </w:p>
        </w:tc>
        <w:tc>
          <w:tcPr>
            <w:tcW w:w="122" w:type="dxa"/>
            <w:tcBorders/>
            <w:shd w:fill="CCEEFF" w:val="clear"/>
            <w:tcMar>
              <w:bottom w:w="0" w:type="dxa"/>
            </w:tcMar>
            <w:vAlign w:val="bottom"/>
          </w:tcPr>
          <w:p>
            <w:pPr>
              <w:pStyle w:val="TableContents"/>
              <w:spacing w:before="0" w:after="283"/>
              <w:jc w:val="left"/>
              <w:rPr/>
            </w:pPr>
            <w:r>
              <w:rPr/>
              <w:t> </w:t>
            </w:r>
          </w:p>
        </w:tc>
      </w:tr>
      <w:tr>
        <w:trPr/>
        <w:tc>
          <w:tcPr>
            <w:tcW w:w="8504" w:type="dxa"/>
            <w:tcBorders>
              <w:bottom w:val="sing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Reading New Zealand</w:t>
            </w:r>
          </w:p>
        </w:tc>
        <w:tc>
          <w:tcPr>
            <w:tcW w:w="211" w:type="dxa"/>
            <w:tcBorders>
              <w:bottom w:val="single" w:sz="2" w:space="0" w:color="FFFFFF"/>
            </w:tcBorders>
            <w:shd w:fill="FFFFFF" w:val="clear"/>
            <w:vAlign w:val="center"/>
          </w:tcPr>
          <w:p>
            <w:pPr>
              <w:pStyle w:val="TableContents"/>
              <w:spacing w:before="0" w:after="283"/>
              <w:rPr/>
            </w:pPr>
            <w:r>
              <w:rPr/>
              <w:t> </w:t>
            </w:r>
          </w:p>
        </w:tc>
        <w:tc>
          <w:tcPr>
            <w:tcW w:w="132" w:type="dxa"/>
            <w:tcBorders>
              <w:bottom w:val="single" w:sz="2" w:space="0" w:color="000000"/>
            </w:tcBorders>
            <w:shd w:fill="FFFFFF" w:val="clear"/>
            <w:vAlign w:val="bottom"/>
          </w:tcPr>
          <w:p>
            <w:pPr>
              <w:pStyle w:val="TableContents"/>
              <w:spacing w:before="0" w:after="283"/>
              <w:jc w:val="left"/>
              <w:rPr/>
            </w:pPr>
            <w:r>
              <w:rPr/>
              <w:t> </w:t>
            </w:r>
          </w:p>
        </w:tc>
        <w:tc>
          <w:tcPr>
            <w:tcW w:w="1236"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301" w:name="TAB189"/>
            <w:bookmarkEnd w:id="301"/>
            <w:r>
              <w:rPr>
                <w:rFonts w:ascii="Times New Roman" w:hAnsi="Times New Roman"/>
                <w:sz w:val="20"/>
              </w:rPr>
              <w:t>18,549</w:t>
            </w:r>
          </w:p>
        </w:tc>
        <w:tc>
          <w:tcPr>
            <w:tcW w:w="122" w:type="dxa"/>
            <w:tcBorders>
              <w:bottom w:val="single" w:sz="2" w:space="0" w:color="FFFFFF"/>
            </w:tcBorders>
            <w:shd w:fill="FFFFFF" w:val="clear"/>
            <w:vAlign w:val="bottom"/>
          </w:tcPr>
          <w:p>
            <w:pPr>
              <w:pStyle w:val="TableContents"/>
              <w:spacing w:before="0" w:after="283"/>
              <w:jc w:val="left"/>
              <w:rPr/>
            </w:pPr>
            <w:r>
              <w:rPr/>
              <w:t> </w:t>
            </w:r>
          </w:p>
        </w:tc>
      </w:tr>
      <w:tr>
        <w:trPr/>
        <w:tc>
          <w:tcPr>
            <w:tcW w:w="8504" w:type="dxa"/>
            <w:tcBorders>
              <w:bottom w:val="doub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Net Assets</w:t>
            </w:r>
          </w:p>
        </w:tc>
        <w:tc>
          <w:tcPr>
            <w:tcW w:w="211" w:type="dxa"/>
            <w:tcBorders>
              <w:bottom w:val="single" w:sz="4" w:space="0" w:color="CCEEFF"/>
            </w:tcBorders>
            <w:shd w:fill="CCEEFF" w:val="clear"/>
            <w:vAlign w:val="center"/>
          </w:tcPr>
          <w:p>
            <w:pPr>
              <w:pStyle w:val="TableContents"/>
              <w:spacing w:before="0" w:after="283"/>
              <w:rPr/>
            </w:pPr>
            <w:r>
              <w:rPr/>
              <w:t> </w:t>
            </w:r>
          </w:p>
        </w:tc>
        <w:tc>
          <w:tcPr>
            <w:tcW w:w="132" w:type="dxa"/>
            <w:tcBorders>
              <w:bottom w:val="doub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bookmarkStart w:id="302" w:name="TAB190"/>
            <w:bookmarkEnd w:id="302"/>
            <w:r>
              <w:rPr>
                <w:rFonts w:ascii="Times New Roman" w:hAnsi="Times New Roman"/>
                <w:sz w:val="20"/>
              </w:rPr>
              <w:t>$</w:t>
            </w:r>
          </w:p>
        </w:tc>
        <w:tc>
          <w:tcPr>
            <w:tcW w:w="1236" w:type="dxa"/>
            <w:tcBorders>
              <w:bottom w:val="doub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303" w:name="TAB191"/>
            <w:bookmarkEnd w:id="303"/>
            <w:r>
              <w:rPr>
                <w:rFonts w:ascii="Times New Roman" w:hAnsi="Times New Roman"/>
                <w:sz w:val="20"/>
              </w:rPr>
              <w:t>82,909</w:t>
            </w:r>
          </w:p>
        </w:tc>
        <w:tc>
          <w:tcPr>
            <w:tcW w:w="122" w:type="dxa"/>
            <w:tcBorders>
              <w:bottom w:val="single" w:sz="4" w:space="0" w:color="CCEEFF"/>
            </w:tcBorders>
            <w:shd w:fill="CCEEFF" w:val="clear"/>
            <w:vAlign w:val="bottom"/>
          </w:tcPr>
          <w:p>
            <w:pPr>
              <w:pStyle w:val="TableContents"/>
              <w:spacing w:before="0" w:after="283"/>
              <w:jc w:val="left"/>
              <w:rPr/>
            </w:pPr>
            <w:r>
              <w:rPr/>
              <w:t> </w:t>
            </w:r>
          </w:p>
        </w:tc>
      </w:tr>
    </w:tbl>
    <w:p>
      <w:pPr>
        <w:pStyle w:val="TextBody"/>
        <w:spacing w:lineRule="auto" w:line="300" w:before="0" w:after="0"/>
        <w:ind w:left="0" w:right="0" w:hanging="0"/>
        <w:jc w:val="both"/>
        <w:rPr/>
      </w:pPr>
      <w:r>
        <w:rPr/>
      </w:r>
    </w:p>
    <w:p>
      <w:pPr>
        <w:pStyle w:val="TextBody"/>
        <w:spacing w:lineRule="auto" w:line="300" w:before="0" w:after="0"/>
        <w:ind w:left="720" w:right="0" w:hanging="0"/>
        <w:jc w:val="both"/>
        <w:rPr>
          <w:rFonts w:ascii="Times New Roman" w:hAnsi="Times New Roman"/>
          <w:sz w:val="20"/>
        </w:rPr>
      </w:pPr>
      <w:bookmarkStart w:id="304" w:name="TAB192"/>
      <w:bookmarkEnd w:id="304"/>
      <w:r>
        <w:rPr>
          <w:rFonts w:ascii="Times New Roman" w:hAnsi="Times New Roman"/>
          <w:sz w:val="20"/>
        </w:rPr>
        <w:t>In 2006, we determined that it would be beneficial to have a layer of long term fully subordinated debt financing to help support our long term real estate assets. On February 5, 2007 we issued $50.0 million in 20-year fully subordinated notes, interest fixed for five years at 9.22%, to a trust which we control, and which in turn issued $50.0 million in trust preferred securities in a private placement. There are no principal payments until maturity in 2027 when the notes are paid in full. The trust is essentially a pass through, and the transaction is accounted for on our books as the issuance of fully subordinated notes. The placement generated $48.4 million in net proceeds, which were used principally to retire all of our bank indebtedness in New Zealand $34.4 million (NZ$50.0 million) and to retire a portion of our bank indebtedness in Australia $5.8 million (AUS$7.4 million). This is a departure from our historic practice of borrowing principally in local currencies and adds an increased element of currency risk to our Company. We believe that this currency risk is mitigated by the comparatively favorable interest rate and the long-term nature of the fully subordinated notes.</w:t>
      </w:r>
    </w:p>
    <w:p>
      <w:pPr>
        <w:pStyle w:val="TextBody"/>
        <w:spacing w:lineRule="auto" w:line="300" w:before="0" w:after="0"/>
        <w:ind w:left="0" w:right="0" w:hanging="0"/>
        <w:jc w:val="both"/>
        <w:rPr/>
      </w:pPr>
      <w:r>
        <w:rPr/>
      </w:r>
    </w:p>
    <w:p>
      <w:pPr>
        <w:pStyle w:val="TextBody"/>
        <w:spacing w:lineRule="auto" w:line="300" w:before="0" w:after="0"/>
        <w:ind w:left="720" w:right="0" w:hanging="0"/>
        <w:jc w:val="both"/>
        <w:rPr>
          <w:rFonts w:ascii="Times New Roman" w:hAnsi="Times New Roman"/>
          <w:sz w:val="20"/>
        </w:rPr>
      </w:pPr>
      <w:bookmarkStart w:id="305" w:name="TAB193"/>
      <w:bookmarkEnd w:id="305"/>
      <w:r>
        <w:rPr>
          <w:rFonts w:ascii="Times New Roman" w:hAnsi="Times New Roman"/>
          <w:sz w:val="20"/>
        </w:rPr>
        <w:t xml:space="preserve">Virtually all of our operating costs in Australia and New Zealand are denominated in the respective currencies of these two countries. Our concessions are purchased locally, and our film rental is calculated as a percentage of box office receipts. We have also attempted to keep our general and administrative costs localized, although in recent periods, we have begun concentrating more of our financial reporting, control and analysis functions in our Los Angeles corporate headquarters. </w:t>
      </w:r>
    </w:p>
    <w:p>
      <w:pPr>
        <w:pStyle w:val="TextBody"/>
        <w:spacing w:lineRule="auto" w:line="300" w:before="0" w:after="0"/>
        <w:ind w:left="0" w:right="0" w:hanging="0"/>
        <w:jc w:val="both"/>
        <w:rPr/>
      </w:pPr>
      <w:r>
        <w:rPr/>
      </w:r>
    </w:p>
    <w:p>
      <w:pPr>
        <w:pStyle w:val="TextBody"/>
        <w:spacing w:lineRule="auto" w:line="300" w:before="0" w:after="0"/>
        <w:ind w:left="720" w:right="0" w:hanging="0"/>
        <w:jc w:val="both"/>
        <w:rPr>
          <w:rFonts w:ascii="Times New Roman" w:hAnsi="Times New Roman"/>
          <w:sz w:val="20"/>
        </w:rPr>
      </w:pPr>
      <w:bookmarkStart w:id="306" w:name="TAB194"/>
      <w:bookmarkEnd w:id="306"/>
      <w:r>
        <w:rPr>
          <w:rFonts w:ascii="Times New Roman" w:hAnsi="Times New Roman"/>
          <w:sz w:val="20"/>
        </w:rPr>
        <w:t>At the present time, the Australian and New Zealand dollars are trading at the upper half of their historic 20-year range vis-à-vis the U.S. dollar. Set forth below is a chart of the exchange ratios between these three currencies over the past ten years: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07" w:name="PGBRK13"/>
      <w:bookmarkStart w:id="308" w:name="PGBRK13"/>
      <w:bookmarkEnd w:id="30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09" w:name="FTR13"/>
      <w:bookmarkStart w:id="310" w:name="FTR13"/>
      <w:bookmarkEnd w:id="31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11" w:name="GLFTR13"/>
      <w:bookmarkStart w:id="312" w:name="GLFTR13"/>
      <w:bookmarkEnd w:id="31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313" w:name="PN13"/>
      <w:bookmarkEnd w:id="313"/>
      <w:r>
        <w:rPr>
          <w:rFonts w:ascii="Times New Roman" w:hAnsi="Times New Roman"/>
          <w:sz w:val="16"/>
        </w:rPr>
        <w:t>-13-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14" w:name="HDR13"/>
      <w:bookmarkStart w:id="315" w:name="HDR13"/>
      <w:bookmarkEnd w:id="3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316" w:name="GLHDR13"/>
        <w:bookmarkEnd w:id="316"/>
        <w:r>
          <w:rPr>
            <w:rStyle w:val="Emphasis"/>
            <w:rFonts w:ascii="Times New Roman" w:hAnsi="Times New Roman"/>
            <w:color w:val="000000"/>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300" w:before="0" w:after="0"/>
        <w:ind w:left="0" w:right="0" w:hanging="0"/>
        <w:jc w:val="center"/>
        <w:rPr/>
      </w:pPr>
      <w:r>
        <w:rPr/>
        <w:drawing>
          <wp:inline distT="0" distB="0" distL="0" distR="0">
            <wp:extent cx="5915025" cy="37147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915025" cy="3714750"/>
                    </a:xfrm>
                    <a:prstGeom prst="rect">
                      <a:avLst/>
                    </a:prstGeom>
                  </pic:spPr>
                </pic:pic>
              </a:graphicData>
            </a:graphic>
          </wp:inline>
        </w:drawing>
      </w:r>
    </w:p>
    <w:p>
      <w:pPr>
        <w:pStyle w:val="TextBody"/>
        <w:spacing w:lineRule="auto" w:line="300" w:before="0" w:after="0"/>
        <w:ind w:left="0" w:right="0" w:hanging="0"/>
        <w:jc w:val="both"/>
        <w:rPr/>
      </w:pPr>
      <w:r>
        <w:rPr/>
        <w:br/>
        <w:t> </w:t>
      </w:r>
    </w:p>
    <w:p>
      <w:pPr>
        <w:pStyle w:val="TextBody"/>
        <w:spacing w:lineRule="auto" w:line="300" w:before="0" w:after="0"/>
        <w:ind w:left="0" w:right="0" w:hanging="0"/>
        <w:jc w:val="both"/>
        <w:rPr/>
      </w:pPr>
      <w:r>
        <w:rPr>
          <w:rStyle w:val="Emphasis"/>
          <w:rFonts w:ascii="Times New Roman" w:hAnsi="Times New Roman"/>
          <w:sz w:val="20"/>
          <w:u w:val="single"/>
        </w:rPr>
        <w:t>Seasonality</w:t>
      </w:r>
    </w:p>
    <w:p>
      <w:pPr>
        <w:pStyle w:val="TextBody"/>
        <w:spacing w:lineRule="auto" w:line="300" w:before="0" w:after="0"/>
        <w:ind w:left="0" w:right="0" w:hanging="0"/>
        <w:jc w:val="both"/>
        <w:rPr/>
      </w:pPr>
      <w:r>
        <w:rPr/>
      </w:r>
    </w:p>
    <w:p>
      <w:pPr>
        <w:pStyle w:val="TextBody"/>
        <w:spacing w:lineRule="auto" w:line="300" w:before="0" w:after="0"/>
        <w:ind w:left="720" w:right="0" w:hanging="0"/>
        <w:jc w:val="both"/>
        <w:rPr>
          <w:rFonts w:ascii="Times New Roman" w:hAnsi="Times New Roman"/>
          <w:sz w:val="20"/>
        </w:rPr>
      </w:pPr>
      <w:bookmarkStart w:id="317" w:name="TAB195"/>
      <w:bookmarkEnd w:id="317"/>
      <w:r>
        <w:rPr>
          <w:rFonts w:ascii="Times New Roman" w:hAnsi="Times New Roman"/>
          <w:sz w:val="20"/>
        </w:rPr>
        <w:t>Major films are generally released to coincide with the school holiday periods, particularly the summer holidays. Accordingly, our Australian and New Zealand operations typically record greater revenues and earnings during the first half of the calendar year.</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pPr>
      <w:r>
        <w:rPr>
          <w:rStyle w:val="Emphasis"/>
          <w:rFonts w:ascii="Times New Roman" w:hAnsi="Times New Roman"/>
          <w:sz w:val="20"/>
          <w:u w:val="single"/>
        </w:rPr>
        <w:t>Employees</w:t>
      </w:r>
    </w:p>
    <w:p>
      <w:pPr>
        <w:pStyle w:val="TextBody"/>
        <w:spacing w:lineRule="auto" w:line="300" w:before="0" w:after="0"/>
        <w:ind w:left="0" w:right="0" w:hanging="0"/>
        <w:jc w:val="both"/>
        <w:rPr/>
      </w:pPr>
      <w:r>
        <w:rPr/>
      </w:r>
    </w:p>
    <w:p>
      <w:pPr>
        <w:pStyle w:val="TextBody"/>
        <w:spacing w:lineRule="auto" w:line="300" w:before="0" w:after="0"/>
        <w:ind w:left="720" w:right="0" w:hanging="0"/>
        <w:jc w:val="both"/>
        <w:rPr>
          <w:rFonts w:ascii="Times New Roman" w:hAnsi="Times New Roman"/>
          <w:sz w:val="20"/>
        </w:rPr>
      </w:pPr>
      <w:bookmarkStart w:id="318" w:name="TAB196"/>
      <w:bookmarkEnd w:id="318"/>
      <w:r>
        <w:rPr>
          <w:rFonts w:ascii="Times New Roman" w:hAnsi="Times New Roman"/>
          <w:sz w:val="20"/>
        </w:rPr>
        <w:t xml:space="preserve">Reading Australia has 27 full time executive and administrative employees and approximately 727 cinema and property employees. None of our Australia based employees is unionized. Reading New Zealand has 7 full time executive and administrative employees and approximately 296 cinema and property level employees. On January 26, 2007, we entered into a collective agreement with the employees of our Courtenay Central complex which has an 18-month term. This agreement defines the terms of engagement of our employees and is consistent with other industry agreements. Notwithstanding the unionization effort in New Zealand, we believe our relations with our employees to be generally good. </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u w:val="single"/>
        </w:rPr>
      </w:pPr>
      <w:r>
        <w:rPr>
          <w:rFonts w:ascii="Times New Roman" w:hAnsi="Times New Roman"/>
          <w:sz w:val="20"/>
          <w:u w:val="single"/>
        </w:rPr>
        <w:t>Our Domestic Cinemas</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pPr>
      <w:r>
        <w:rPr>
          <w:rStyle w:val="Emphasis"/>
          <w:rFonts w:ascii="Times New Roman" w:hAnsi="Times New Roman"/>
          <w:sz w:val="20"/>
          <w:u w:val="single"/>
        </w:rPr>
        <w:t>General</w:t>
      </w:r>
    </w:p>
    <w:p>
      <w:pPr>
        <w:pStyle w:val="TextBody"/>
        <w:spacing w:lineRule="auto" w:line="300" w:before="0" w:after="0"/>
        <w:ind w:left="0" w:right="0" w:hanging="0"/>
        <w:jc w:val="both"/>
        <w:rPr/>
      </w:pPr>
      <w:r>
        <w:rPr/>
      </w:r>
    </w:p>
    <w:p>
      <w:pPr>
        <w:pStyle w:val="TextBody"/>
        <w:spacing w:lineRule="auto" w:line="300" w:before="0" w:after="0"/>
        <w:ind w:left="720" w:right="0" w:hanging="0"/>
        <w:jc w:val="both"/>
        <w:rPr/>
      </w:pPr>
      <w:bookmarkStart w:id="319" w:name="TAB197"/>
      <w:bookmarkEnd w:id="319"/>
      <w:r>
        <w:rPr>
          <w:rFonts w:ascii="Times New Roman" w:hAnsi="Times New Roman"/>
          <w:sz w:val="20"/>
        </w:rPr>
        <w:t>We currently operate 56 screens in nine cinemas in the United States (including two managed cinemas with nine screens). Our domestic cinema operations engage in the exhibition of mainstream general release film in our conventional cinemas, such as the Cinemas 1, 2 &amp; 3, the Village East Theatre and the East 86</w:t>
      </w:r>
      <w:r>
        <w:rPr>
          <w:rFonts w:ascii="Times New Roman" w:hAnsi="Times New Roman"/>
          <w:position w:val="7"/>
          <w:sz w:val="16"/>
          <w:sz w:val="20"/>
        </w:rPr>
        <w:t>th</w:t>
      </w:r>
      <w:r>
        <w:rPr/>
        <w:t xml:space="preserve"> </w:t>
      </w:r>
      <w:r>
        <w:rPr>
          <w:rFonts w:ascii="Times New Roman" w:hAnsi="Times New Roman"/>
          <w:sz w:val="20"/>
        </w:rPr>
        <w:t>Street Cinema in Manhattan and the Manville 12 in Manville, New Jersey. We also engage in the exhibition of art and specialty film at our art cinemas such as the Angelika Film Centers in Manhattan, Dallas, Houston and Plano and the Tower Theatre in Sacramento, California.</w:t>
      </w:r>
    </w:p>
    <w:p>
      <w:pPr>
        <w:pStyle w:val="TextBody"/>
        <w:spacing w:lineRule="auto" w:line="300" w:before="0" w:after="0"/>
        <w:ind w:left="0" w:right="0" w:hanging="0"/>
        <w:jc w:val="both"/>
        <w:rPr/>
      </w:pPr>
      <w:r>
        <w:rPr/>
      </w:r>
    </w:p>
    <w:p>
      <w:pPr>
        <w:pStyle w:val="TextBody"/>
        <w:spacing w:lineRule="auto" w:line="300" w:before="0" w:after="0"/>
        <w:ind w:left="0" w:right="0" w:firstLine="720"/>
        <w:jc w:val="both"/>
        <w:rPr/>
      </w:pPr>
      <w:r>
        <w:rPr>
          <w:rFonts w:ascii="Times New Roman" w:hAnsi="Times New Roman"/>
          <w:sz w:val="20"/>
        </w:rPr>
        <w:t>Most of our domestic cinemas are leased, other than the Cinemas 1, 2 &amp; 3 property which we own and the East 86</w:t>
      </w:r>
      <w:r>
        <w:rPr>
          <w:rFonts w:ascii="Times New Roman" w:hAnsi="Times New Roman"/>
          <w:position w:val="7"/>
          <w:sz w:val="16"/>
          <w:sz w:val="20"/>
        </w:rPr>
        <w:t>th</w:t>
      </w:r>
      <w:r>
        <w:rPr/>
        <w:t xml:space="preserve"> </w:t>
      </w:r>
      <w:r>
        <w:rPr>
          <w:rFonts w:ascii="Times New Roman" w:hAnsi="Times New Roman"/>
          <w:sz w:val="20"/>
        </w:rPr>
        <w:t>Street Cinema in Manhattan and the Plano Angelika which are operated pursuant to management contracts. Our Angelika cinema in Manhattan is owned by a limited liability company owned 50% by us and 50% by a subsidiary of National Auto Credit, but it is under our management. The Manville 12 is leased pursuant to a ground</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20" w:name="PGBRK14"/>
      <w:bookmarkStart w:id="321" w:name="PGBRK14"/>
      <w:bookmarkEnd w:id="32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22" w:name="FTR14"/>
      <w:bookmarkStart w:id="323" w:name="FTR14"/>
      <w:bookmarkEnd w:id="3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24" w:name="GLFTR14"/>
      <w:bookmarkStart w:id="325" w:name="GLFTR14"/>
      <w:bookmarkEnd w:id="3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326" w:name="PN14"/>
      <w:bookmarkEnd w:id="326"/>
      <w:r>
        <w:rPr>
          <w:rFonts w:ascii="Times New Roman" w:hAnsi="Times New Roman"/>
          <w:sz w:val="16"/>
        </w:rPr>
        <w:t>-14-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27" w:name="HDR14"/>
      <w:bookmarkStart w:id="328" w:name="HDR14"/>
      <w:bookmarkEnd w:id="3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329" w:name="GLHDR14"/>
        <w:bookmarkEnd w:id="329"/>
        <w:r>
          <w:rPr>
            <w:rStyle w:val="Emphasis"/>
            <w:rFonts w:ascii="Times New Roman" w:hAnsi="Times New Roman"/>
            <w:color w:val="000000"/>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lease through April 2024 (with various renewal rights through 2049) which allows the property to be used, at our discretion, for other retail uses.</w:t>
      </w:r>
    </w:p>
    <w:p>
      <w:pPr>
        <w:pStyle w:val="TextBody"/>
        <w:spacing w:lineRule="auto" w:line="300" w:before="0" w:after="0"/>
        <w:ind w:left="0" w:right="0" w:hanging="0"/>
        <w:jc w:val="both"/>
        <w:rPr/>
      </w:pPr>
      <w:r>
        <w:rPr/>
      </w:r>
    </w:p>
    <w:p>
      <w:pPr>
        <w:pStyle w:val="TextBody"/>
        <w:spacing w:lineRule="auto" w:line="300" w:before="0" w:after="0"/>
        <w:ind w:left="720" w:right="0" w:hanging="0"/>
        <w:jc w:val="both"/>
        <w:rPr>
          <w:rFonts w:ascii="Times New Roman" w:hAnsi="Times New Roman"/>
          <w:sz w:val="20"/>
        </w:rPr>
      </w:pPr>
      <w:bookmarkStart w:id="330" w:name="TAB198"/>
      <w:bookmarkEnd w:id="330"/>
      <w:r>
        <w:rPr>
          <w:rFonts w:ascii="Times New Roman" w:hAnsi="Times New Roman"/>
          <w:sz w:val="20"/>
        </w:rPr>
        <w:t xml:space="preserve">In recent years, the domestic cinema exhibition industry has gone through major retrenchment and consolidation, creating considerable uncertainty as to the direction of the domestic film exhibition industry, and our role in that industry. Several major cinema exhibition companies have gone through bankruptcy over the past five years, or have been otherwise financially restructured. Regal Cinemas emerged from bankruptcy and combined with Edwards and United Artists (which also went through bankruptcy) to create a circuit that has now grown to approximately 6,386 screens, in approximately 539 cinemas. Loews merged into AMC on January 26, 2006. AMC now has approximately 4,621 screens in approximately 337 cinemas in the United States and Canada. Landmark Theaters, the largest art and specialty film exhibitor in the United States, has also emerged from bankruptcy and is now owned by a private company controlled by Mark Cuban (an individual with a reported personal net worth of $1.3 billion). These companies, having used bankruptcy to restructure their debt and to rid themselves of burdensome leases and in some cases to consolidate, are now much stronger competitors than they were just a few years ago. </w:t>
      </w:r>
    </w:p>
    <w:p>
      <w:pPr>
        <w:pStyle w:val="TextBody"/>
        <w:spacing w:lineRule="auto" w:line="300" w:before="0" w:after="0"/>
        <w:ind w:left="0" w:right="0" w:hanging="0"/>
        <w:jc w:val="both"/>
        <w:rPr/>
      </w:pPr>
      <w:r>
        <w:rPr/>
      </w:r>
    </w:p>
    <w:p>
      <w:pPr>
        <w:pStyle w:val="TextBody"/>
        <w:spacing w:lineRule="auto" w:line="300" w:before="0" w:after="0"/>
        <w:ind w:left="720" w:right="0" w:hanging="0"/>
        <w:jc w:val="both"/>
        <w:rPr/>
      </w:pPr>
      <w:bookmarkStart w:id="331" w:name="TAB199"/>
      <w:bookmarkEnd w:id="331"/>
      <w:r>
        <w:rPr>
          <w:rFonts w:ascii="Times New Roman" w:hAnsi="Times New Roman"/>
          <w:sz w:val="20"/>
        </w:rPr>
        <w:t>A significant number of older conventional screens have, as a result of this consolidation process, been taken out of the market. We estimate that the total domestic screen count has decreased from 37,396 in 2000 to 36,247 in 2005.</w:t>
      </w:r>
      <w:r>
        <w:rPr/>
        <w:t xml:space="preserve">  </w:t>
      </w:r>
      <w:r>
        <w:rPr>
          <w:rFonts w:ascii="Times New Roman" w:hAnsi="Times New Roman"/>
          <w:sz w:val="20"/>
        </w:rPr>
        <w:t xml:space="preserve">Industry analysts project further consolidation in the industry, as players such as Cablevision seek to divest their domestic cinema exhibition assets. Accordingly, while we believe that recent developments may in some ways have aided the overall health of the domestic cinema exhibition industry, there remains considerable uncertainty as to the impact of this consolidation trend on us and our domestic cinema exhibition business, as we are forced to compete with these stronger and reinvigorated competitors and the significant market share commanded by these competitors. </w:t>
      </w:r>
    </w:p>
    <w:p>
      <w:pPr>
        <w:pStyle w:val="TextBody"/>
        <w:spacing w:lineRule="auto" w:line="300" w:before="0" w:after="0"/>
        <w:ind w:left="0" w:right="0" w:hanging="0"/>
        <w:jc w:val="both"/>
        <w:rPr/>
      </w:pPr>
      <w:r>
        <w:rPr/>
      </w:r>
    </w:p>
    <w:p>
      <w:pPr>
        <w:pStyle w:val="TextBody"/>
        <w:spacing w:lineRule="auto" w:line="300" w:before="0" w:after="0"/>
        <w:ind w:left="720" w:right="0" w:hanging="0"/>
        <w:jc w:val="both"/>
        <w:rPr>
          <w:rFonts w:ascii="Times New Roman" w:hAnsi="Times New Roman"/>
          <w:sz w:val="20"/>
        </w:rPr>
      </w:pPr>
      <w:bookmarkStart w:id="332" w:name="TAB1100"/>
      <w:bookmarkEnd w:id="332"/>
      <w:r>
        <w:rPr>
          <w:rFonts w:ascii="Times New Roman" w:hAnsi="Times New Roman"/>
          <w:sz w:val="20"/>
        </w:rPr>
        <w:t>In 2003, we commenced antitrust litigation against, among others, Regal, Loews, Columbia, Disney, Fox, MGM, Paramount and Universal, in an effort to stop Regal from, in essence, preventing the distribution defendants from providing quality first run film to our Village East cinema in Manhattan. Warner Bros, New Line and Miramax were not named as defendants, since they have continued to supply first run film to our cinema. During 2005 and 2004, we incurred costs and expenses related to the litigation. We have, however, now reached settlement with all of the defendant distributors on terms that we believe to be beneficial to our Company. In January 2006, we lost a summary judgment motion to Regal and have determined not to pursue an appeal, as our principal objective of the litigation, to open film supply to our Village East cinema, has now been accomplished.</w:t>
      </w:r>
    </w:p>
    <w:p>
      <w:pPr>
        <w:pStyle w:val="TextBody"/>
        <w:spacing w:lineRule="auto" w:line="300" w:before="0" w:after="0"/>
        <w:ind w:left="0" w:right="0" w:hanging="0"/>
        <w:jc w:val="both"/>
        <w:rPr/>
      </w:pPr>
      <w:r>
        <w:rPr/>
      </w:r>
    </w:p>
    <w:p>
      <w:pPr>
        <w:pStyle w:val="TextBody"/>
        <w:spacing w:lineRule="auto" w:line="300" w:before="0" w:after="0"/>
        <w:ind w:left="720" w:right="0" w:hanging="0"/>
        <w:jc w:val="both"/>
        <w:rPr/>
      </w:pPr>
      <w:bookmarkStart w:id="333" w:name="TAB1101"/>
      <w:bookmarkEnd w:id="333"/>
      <w:r>
        <w:rPr>
          <w:rFonts w:ascii="Times New Roman" w:hAnsi="Times New Roman"/>
          <w:sz w:val="20"/>
        </w:rPr>
        <w:t>There is also considerable uncertainty as to the future of digital exhibition and in-the-home entertainment alternatives. In the case of digital exhibition, there is currently considerable discussion within the industry as to the benefits and detriments of moving from conventional film projection to digital projection technology. There are issues</w:t>
      </w:r>
      <w:r>
        <w:rPr>
          <w:rStyle w:val="StrongEmphasis"/>
          <w:rFonts w:ascii="Times New Roman" w:hAnsi="Times New Roman"/>
          <w:sz w:val="20"/>
        </w:rPr>
        <w:t>:</w:t>
      </w:r>
    </w:p>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334" w:name="hangingindent34"/>
      <w:bookmarkStart w:id="335" w:name="hangingindent34"/>
      <w:bookmarkEnd w:id="335"/>
    </w:p>
    <w:tbl>
      <w:tblPr>
        <w:tblW w:w="5000" w:type="pct"/>
        <w:jc w:val="center"/>
        <w:tblInd w:w="0" w:type="dxa"/>
        <w:tblCellMar>
          <w:top w:w="0" w:type="dxa"/>
          <w:left w:w="0" w:type="dxa"/>
          <w:bottom w:w="0" w:type="dxa"/>
          <w:right w:w="0" w:type="dxa"/>
        </w:tblCellMar>
      </w:tblPr>
      <w:tblGrid>
        <w:gridCol w:w="110"/>
        <w:gridCol w:w="174"/>
        <w:gridCol w:w="9921"/>
      </w:tblGrid>
      <w:tr>
        <w:trPr/>
        <w:tc>
          <w:tcPr>
            <w:tcW w:w="110" w:type="dxa"/>
            <w:tcBorders/>
            <w:shd w:fill="auto" w:val="clear"/>
          </w:tcPr>
          <w:p>
            <w:pPr>
              <w:pStyle w:val="TableContents"/>
              <w:spacing w:before="0" w:after="283"/>
              <w:rPr/>
            </w:pPr>
            <w:r>
              <w:rPr/>
              <w:t> </w:t>
            </w:r>
          </w:p>
        </w:tc>
        <w:tc>
          <w:tcPr>
            <w:tcW w:w="174"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992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as to when it will be available on an economically attractive basis;</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336" w:name="hangingindent35"/>
      <w:bookmarkStart w:id="337" w:name="hangingindent35"/>
      <w:bookmarkEnd w:id="337"/>
    </w:p>
    <w:tbl>
      <w:tblPr>
        <w:tblW w:w="5000" w:type="pct"/>
        <w:jc w:val="center"/>
        <w:tblInd w:w="0" w:type="dxa"/>
        <w:tblCellMar>
          <w:top w:w="0" w:type="dxa"/>
          <w:left w:w="0" w:type="dxa"/>
          <w:bottom w:w="0" w:type="dxa"/>
          <w:right w:w="0" w:type="dxa"/>
        </w:tblCellMar>
      </w:tblPr>
      <w:tblGrid>
        <w:gridCol w:w="64"/>
        <w:gridCol w:w="103"/>
        <w:gridCol w:w="10038"/>
      </w:tblGrid>
      <w:tr>
        <w:trPr/>
        <w:tc>
          <w:tcPr>
            <w:tcW w:w="64" w:type="dxa"/>
            <w:tcBorders/>
            <w:shd w:fill="auto" w:val="clear"/>
          </w:tcPr>
          <w:p>
            <w:pPr>
              <w:pStyle w:val="TableContents"/>
              <w:spacing w:before="0" w:after="283"/>
              <w:rPr/>
            </w:pPr>
            <w:r>
              <w:rPr/>
              <w:t> </w:t>
            </w:r>
          </w:p>
        </w:tc>
        <w:tc>
          <w:tcPr>
            <w:tcW w:w="103"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3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as to who will pay for the conversion from conventional to digital technology between exhibitors and distributors;</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338" w:name="hangingindent36"/>
      <w:bookmarkStart w:id="339" w:name="hangingindent36"/>
      <w:bookmarkEnd w:id="339"/>
    </w:p>
    <w:tbl>
      <w:tblPr>
        <w:tblW w:w="5000" w:type="pct"/>
        <w:jc w:val="center"/>
        <w:tblInd w:w="0" w:type="dxa"/>
        <w:tblCellMar>
          <w:top w:w="0" w:type="dxa"/>
          <w:left w:w="0" w:type="dxa"/>
          <w:bottom w:w="0" w:type="dxa"/>
          <w:right w:w="0" w:type="dxa"/>
        </w:tblCellMar>
      </w:tblPr>
      <w:tblGrid>
        <w:gridCol w:w="120"/>
        <w:gridCol w:w="192"/>
        <w:gridCol w:w="9893"/>
      </w:tblGrid>
      <w:tr>
        <w:trPr/>
        <w:tc>
          <w:tcPr>
            <w:tcW w:w="120" w:type="dxa"/>
            <w:tcBorders/>
            <w:shd w:fill="auto" w:val="clear"/>
          </w:tcPr>
          <w:p>
            <w:pPr>
              <w:pStyle w:val="TableContents"/>
              <w:spacing w:before="0" w:after="283"/>
              <w:rPr/>
            </w:pPr>
            <w:r>
              <w:rPr/>
              <w:t> </w:t>
            </w:r>
          </w:p>
        </w:tc>
        <w:tc>
          <w:tcPr>
            <w:tcW w:w="192"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989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as to what the impact will be on film licensing expense; and </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340" w:name="hangingindent37"/>
      <w:bookmarkStart w:id="341" w:name="hangingindent37"/>
      <w:bookmarkEnd w:id="341"/>
    </w:p>
    <w:tbl>
      <w:tblPr>
        <w:tblW w:w="5000" w:type="pct"/>
        <w:jc w:val="center"/>
        <w:tblInd w:w="0" w:type="dxa"/>
        <w:tblCellMar>
          <w:top w:w="0" w:type="dxa"/>
          <w:left w:w="0" w:type="dxa"/>
          <w:bottom w:w="0" w:type="dxa"/>
          <w:right w:w="0" w:type="dxa"/>
        </w:tblCellMar>
      </w:tblPr>
      <w:tblGrid>
        <w:gridCol w:w="74"/>
        <w:gridCol w:w="118"/>
        <w:gridCol w:w="10013"/>
      </w:tblGrid>
      <w:tr>
        <w:trPr/>
        <w:tc>
          <w:tcPr>
            <w:tcW w:w="74" w:type="dxa"/>
            <w:tcBorders/>
            <w:shd w:fill="auto" w:val="clear"/>
          </w:tcPr>
          <w:p>
            <w:pPr>
              <w:pStyle w:val="TableContents"/>
              <w:spacing w:before="0" w:after="283"/>
              <w:rPr/>
            </w:pPr>
            <w:r>
              <w:rPr/>
              <w:t> </w:t>
            </w:r>
          </w:p>
        </w:tc>
        <w:tc>
          <w:tcPr>
            <w:tcW w:w="118"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1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as to how to deal with security and potential pirating issues if film is distributed in a digital format. </w:t>
            </w:r>
          </w:p>
        </w:tc>
      </w:tr>
    </w:tbl>
    <w:p>
      <w:pPr>
        <w:pStyle w:val="TextBody"/>
        <w:spacing w:lineRule="auto" w:line="300" w:before="0" w:after="0"/>
        <w:ind w:left="0" w:right="0" w:hanging="0"/>
        <w:jc w:val="both"/>
        <w:rPr/>
      </w:pPr>
      <w:r>
        <w:rPr/>
        <w:t> </w:t>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Several major exhibitors have now announced plans to convert their cinemas to digital projection. At some point, this will compel us likewise to incur the costs of conversion, as the costs of digital production are much less than the cost of conventional film production, from the studio’s point of view and as distributors will, at some point in time to cease distributing film prints. We estimate that, at the present time, it would likely cost in the range of $23.7 million for us to convert our wholly owned cinemas to digital distribution on a worldwide basis.</w:t>
      </w:r>
    </w:p>
    <w:p>
      <w:pPr>
        <w:pStyle w:val="TextBody"/>
        <w:spacing w:lineRule="auto" w:line="300" w:before="0" w:after="0"/>
        <w:ind w:left="0" w:right="0" w:firstLine="72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In the case of in-the-home entertainment alternatives, the industry is faced with the significant leaps achieved in recent periods in both the quality and affordability of in-the-home entertainment systems and in the accessibility to entertainment programming through cable, satellite and DVD distribution channels. These alternative distribution channels are putting pressure on cinema exhibitors to reduce the time period between theatrical and secondary release dates, and certain distributors are talking about possible simultaneous or near</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42" w:name="PGBRK15"/>
      <w:bookmarkStart w:id="343" w:name="PGBRK15"/>
      <w:bookmarkEnd w:id="34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44" w:name="FTR15"/>
      <w:bookmarkStart w:id="345" w:name="FTR15"/>
      <w:bookmarkEnd w:id="34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46" w:name="GLFTR15"/>
      <w:bookmarkStart w:id="347" w:name="GLFTR15"/>
      <w:bookmarkEnd w:id="34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348" w:name="PN15"/>
      <w:bookmarkEnd w:id="348"/>
      <w:r>
        <w:rPr>
          <w:rFonts w:ascii="Times New Roman" w:hAnsi="Times New Roman"/>
          <w:sz w:val="16"/>
        </w:rPr>
        <w:t>-15-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49" w:name="HDR15"/>
      <w:bookmarkStart w:id="350" w:name="HDR15"/>
      <w:bookmarkEnd w:id="35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351" w:name="GLHDR15"/>
        <w:bookmarkEnd w:id="351"/>
        <w:r>
          <w:rPr>
            <w:rStyle w:val="Emphasis"/>
            <w:rFonts w:ascii="Times New Roman" w:hAnsi="Times New Roman"/>
            <w:color w:val="000000"/>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 xml:space="preserve">simultaneous releases in multiple channels of distribution. These are issues common to both our domestic and international cinema operations. </w:t>
      </w:r>
    </w:p>
    <w:p>
      <w:pPr>
        <w:pStyle w:val="TextBody"/>
        <w:spacing w:lineRule="auto" w:line="300" w:before="0" w:after="0"/>
        <w:ind w:left="0" w:right="0" w:hanging="0"/>
        <w:jc w:val="both"/>
        <w:rPr/>
      </w:pPr>
      <w:r>
        <w:rPr/>
      </w:r>
    </w:p>
    <w:p>
      <w:pPr>
        <w:pStyle w:val="TextBody"/>
        <w:spacing w:lineRule="auto" w:line="300" w:before="0" w:after="0"/>
        <w:ind w:left="720" w:right="0" w:hanging="0"/>
        <w:jc w:val="both"/>
        <w:rPr>
          <w:rFonts w:ascii="Times New Roman" w:hAnsi="Times New Roman"/>
          <w:sz w:val="20"/>
        </w:rPr>
      </w:pPr>
      <w:bookmarkStart w:id="352" w:name="TAB1102"/>
      <w:bookmarkEnd w:id="352"/>
      <w:r>
        <w:rPr>
          <w:rFonts w:ascii="Times New Roman" w:hAnsi="Times New Roman"/>
          <w:sz w:val="20"/>
        </w:rPr>
        <w:t>While no assurances can be given, it may be that the reorganization and restructuring of the domestic cinema exhibition market will produce opportunities for us to grow our art and specialty circuit by acquiring, on favorable terms, rights to operate cinemas no longer seen as suitable or competitive as conventional first run film venues, or for other reasons, no longer attractive to other exhibitors. However, the revitalization of Landmark with the acquisition of that company in 2003 by Mark Cuban may present us with new hurdles and new challenges. Also, the owners of large modern multiplex cinemas are to some degree seeking out the higher grossing art product to fill their screens, thus reducing the ability of older art specialty cinemas to attract such films. This can materially adversely affect the viability of these specialty theaters, since they often need these high grossing art and specialty films in order to survive. In any event, we do not intend to aggressively pursue domestic expansion opportunities simply to buy market share, and if attractive opportunities do not become available, we will continue to focus on the operation of our existing cinemas and the exploitation of the real estate elements underlying those cinemas.</w:t>
      </w:r>
    </w:p>
    <w:p>
      <w:pPr>
        <w:pStyle w:val="TextBody"/>
        <w:spacing w:lineRule="auto" w:line="300" w:before="0" w:after="0"/>
        <w:ind w:left="0" w:right="0" w:hanging="0"/>
        <w:jc w:val="both"/>
        <w:rPr/>
      </w:pPr>
      <w:r>
        <w:rPr/>
      </w:r>
    </w:p>
    <w:p>
      <w:pPr>
        <w:pStyle w:val="TextBody"/>
        <w:spacing w:lineRule="auto" w:line="300" w:before="0" w:after="0"/>
        <w:ind w:left="720" w:right="0" w:hanging="0"/>
        <w:jc w:val="both"/>
        <w:rPr>
          <w:rFonts w:ascii="Times New Roman" w:hAnsi="Times New Roman"/>
          <w:sz w:val="20"/>
        </w:rPr>
      </w:pPr>
      <w:bookmarkStart w:id="353" w:name="TAB1103"/>
      <w:bookmarkEnd w:id="353"/>
      <w:r>
        <w:rPr>
          <w:rFonts w:ascii="Times New Roman" w:hAnsi="Times New Roman"/>
          <w:sz w:val="20"/>
        </w:rPr>
        <w:t>Our domestic cinemas derive approximately 72% of their revenues from box office receipts. Ticket prices vary by location, and provide for reduced rates for senior citizens and children. Box office receipts are reported net of state and local sales or service taxes. Show times and features are placed in advertisements in local newspapers and, in some cases, Reading contributes a small percentage of these costs. Film distributors may also advertise certain feature films and those costs are generally paid by distributors. Film rental expense represented approximately 41% of box office receipts for 2006.</w:t>
      </w:r>
    </w:p>
    <w:p>
      <w:pPr>
        <w:pStyle w:val="TextBody"/>
        <w:spacing w:before="0" w:after="0"/>
        <w:rPr/>
      </w:pPr>
      <w:r>
        <w:rPr/>
        <w:t> </w:t>
      </w:r>
    </w:p>
    <w:p>
      <w:pPr>
        <w:pStyle w:val="TextBody"/>
        <w:spacing w:lineRule="auto" w:line="300" w:before="0" w:after="0"/>
        <w:ind w:left="720" w:right="0" w:hanging="0"/>
        <w:jc w:val="both"/>
        <w:rPr>
          <w:rFonts w:ascii="Times New Roman" w:hAnsi="Times New Roman"/>
          <w:sz w:val="20"/>
        </w:rPr>
      </w:pPr>
      <w:bookmarkStart w:id="354" w:name="TAB1104"/>
      <w:bookmarkEnd w:id="354"/>
      <w:r>
        <w:rPr>
          <w:rFonts w:ascii="Times New Roman" w:hAnsi="Times New Roman"/>
          <w:sz w:val="20"/>
        </w:rPr>
        <w:t>Concession sales account for approximately 21% of total revenues for 2006. Concession products primarily include popcorn, candy and soda, but Reading’s art cinemas typically offer a wider variety of concession offerings. Our Angelika cinemas in Manhattan, Dallas, Houston and Plano include café facilities, and the operations in Dallas, Houston and Plano are licensed to sell alcoholic beverages. Our domestic cinemas achieved a gross margin on concession sales of approximately 81% for 2006.</w:t>
      </w:r>
    </w:p>
    <w:p>
      <w:pPr>
        <w:pStyle w:val="TextBody"/>
        <w:spacing w:lineRule="auto" w:line="300" w:before="0" w:after="0"/>
        <w:ind w:left="0" w:right="0" w:hanging="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Screen advertising and other revenues contribute approximately 7% of total revenues for 2006. Other sources of revenue include revenues from theater rentals for meetings, conferences, special film exhibitions and vending machine receipts or rentals.</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pPr>
      <w:r>
        <w:rPr>
          <w:rStyle w:val="Emphasis"/>
          <w:rFonts w:ascii="Times New Roman" w:hAnsi="Times New Roman"/>
          <w:sz w:val="20"/>
          <w:u w:val="single"/>
        </w:rPr>
        <w:t>Licensing/Pricing</w:t>
      </w:r>
    </w:p>
    <w:p>
      <w:pPr>
        <w:pStyle w:val="TextBody"/>
        <w:spacing w:lineRule="auto" w:line="300" w:before="0" w:after="0"/>
        <w:ind w:left="0" w:right="0" w:hanging="0"/>
        <w:jc w:val="both"/>
        <w:rPr/>
      </w:pPr>
      <w:r>
        <w:rPr/>
      </w:r>
    </w:p>
    <w:p>
      <w:pPr>
        <w:pStyle w:val="TextBody"/>
        <w:spacing w:lineRule="auto" w:line="300" w:before="0" w:after="0"/>
        <w:ind w:left="720" w:right="0" w:hanging="0"/>
        <w:jc w:val="both"/>
        <w:rPr>
          <w:rFonts w:ascii="Times New Roman" w:hAnsi="Times New Roman"/>
          <w:sz w:val="20"/>
        </w:rPr>
      </w:pPr>
      <w:bookmarkStart w:id="355" w:name="TAB1105"/>
      <w:bookmarkEnd w:id="355"/>
      <w:r>
        <w:rPr>
          <w:rFonts w:ascii="Times New Roman" w:hAnsi="Times New Roman"/>
          <w:sz w:val="20"/>
        </w:rPr>
        <w:t>Film product is available from a variety of sources ranging from the major film distributors such as Columbia, Disney, Buena Vista, DreamWorks, Fox, MGM, Paramount, Warner Bros and Universal, to a variety of smaller independent film distributors such as Miramax. The major film distributors dominate the market for mainstream conventional films. Similarly, most art and specialty films come from the art and specialty divisions of these major distributors, such as Fox’s Searchlight and Disney’s Miramax. Generally speaking, film payment terms are based upon an agreed upon percentage of box office receipts. In 2004, however, our access to film was adversely affected by the decision by Fox, Fox Searchlight and Universal not to distribute film to us domestically during the pendency of our antitrust litigation against them. As our claims against them have now been settled, we are once again able to access their film product. Our access to film was likewise adversely affected in 2005 by a decision by Paramount to not distribute film to us domestically during the pendency of that same lawsuit. However, that claim was settled in early 2006, and we had full access to film from all distributors for most of 2006.</w:t>
      </w:r>
    </w:p>
    <w:p>
      <w:pPr>
        <w:pStyle w:val="TextBody"/>
        <w:spacing w:lineRule="auto" w:line="300" w:before="0" w:after="0"/>
        <w:ind w:left="0" w:right="0" w:hanging="0"/>
        <w:jc w:val="both"/>
        <w:rPr/>
      </w:pPr>
      <w:r>
        <w:rPr/>
      </w:r>
    </w:p>
    <w:p>
      <w:pPr>
        <w:pStyle w:val="TextBody"/>
        <w:spacing w:lineRule="auto" w:line="300" w:before="0" w:after="0"/>
        <w:ind w:left="720" w:right="0" w:hanging="0"/>
        <w:jc w:val="both"/>
        <w:rPr>
          <w:rFonts w:ascii="Times New Roman" w:hAnsi="Times New Roman"/>
          <w:sz w:val="20"/>
        </w:rPr>
      </w:pPr>
      <w:bookmarkStart w:id="356" w:name="TAB1106"/>
      <w:bookmarkEnd w:id="356"/>
      <w:r>
        <w:rPr>
          <w:rFonts w:ascii="Times New Roman" w:hAnsi="Times New Roman"/>
          <w:sz w:val="20"/>
        </w:rPr>
        <w:t>Until recently, the surplus of screens currently available to distributors had eroded the bargaining power of the exhibitors and that bargaining power has been on the side of the distributors. However, with the emergence of the mega circuits, it appears that the balance of power may be somewhat shifting towards the exhibitors. Indeed, as discussed in greater detail below, we believe that in certain situations, our access to first-run film has been adversely affected by the market power of exhibitors such as Regal and AMC.</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pPr>
      <w:r>
        <w:rPr>
          <w:rStyle w:val="Emphasis"/>
          <w:rFonts w:ascii="Times New Roman" w:hAnsi="Times New Roman"/>
          <w:sz w:val="20"/>
          <w:u w:val="single"/>
        </w:rPr>
        <w:t>Competition</w:t>
      </w:r>
    </w:p>
    <w:p>
      <w:pPr>
        <w:pStyle w:val="TextBody"/>
        <w:spacing w:lineRule="auto" w:line="300" w:before="0" w:after="0"/>
        <w:ind w:left="0" w:right="0" w:hanging="0"/>
        <w:jc w:val="both"/>
        <w:rPr/>
      </w:pPr>
      <w:r>
        <w:rPr/>
      </w:r>
    </w:p>
    <w:p>
      <w:pPr>
        <w:pStyle w:val="TextBody"/>
        <w:spacing w:lineRule="auto" w:line="300" w:before="0" w:after="0"/>
        <w:ind w:left="720" w:right="0" w:hanging="0"/>
        <w:jc w:val="both"/>
        <w:rPr>
          <w:rFonts w:ascii="Times New Roman" w:hAnsi="Times New Roman"/>
          <w:sz w:val="20"/>
        </w:rPr>
      </w:pPr>
      <w:bookmarkStart w:id="357" w:name="TAB1107"/>
      <w:bookmarkEnd w:id="357"/>
      <w:r>
        <w:rPr>
          <w:rFonts w:ascii="Times New Roman" w:hAnsi="Times New Roman"/>
          <w:sz w:val="20"/>
        </w:rPr>
        <w:t>The principal factor in the success or failure of a particular cinema is access to popular film products. If a particular film is only offered at one cinema in a given market, then customers wishing to see that film will, of necessity, go to that cinema. If two or more cinemas in the same market offer the same film, then customers will typically take into account factors such as the relative convenience and quality of the various cinemas. In many</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58" w:name="PGBRK16"/>
      <w:bookmarkStart w:id="359" w:name="PGBRK16"/>
      <w:bookmarkEnd w:id="35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60" w:name="FTR16"/>
      <w:bookmarkStart w:id="361" w:name="FTR16"/>
      <w:bookmarkEnd w:id="36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62" w:name="GLFTR16"/>
      <w:bookmarkStart w:id="363" w:name="GLFTR16"/>
      <w:bookmarkEnd w:id="36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364" w:name="PN16"/>
      <w:bookmarkEnd w:id="364"/>
      <w:r>
        <w:rPr>
          <w:rFonts w:ascii="Times New Roman" w:hAnsi="Times New Roman"/>
          <w:sz w:val="16"/>
        </w:rPr>
        <w:t>-16-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65" w:name="HDR16"/>
      <w:bookmarkStart w:id="366" w:name="HDR16"/>
      <w:bookmarkEnd w:id="36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367" w:name="GLHDR16"/>
        <w:bookmarkEnd w:id="367"/>
        <w:r>
          <w:rPr>
            <w:rStyle w:val="Emphasis"/>
            <w:rFonts w:ascii="Times New Roman" w:hAnsi="Times New Roman"/>
            <w:color w:val="000000"/>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markets, the number of prints in distribution is less than the number of exhibitors seeking that film for that market, and distributors typically take the position that they are free to provide or not provide their films to particular exhibitors, at their complete and absolute discretion.</w:t>
      </w:r>
    </w:p>
    <w:p>
      <w:pPr>
        <w:pStyle w:val="TextBody"/>
        <w:spacing w:lineRule="auto" w:line="300" w:before="0" w:after="0"/>
        <w:ind w:left="0" w:right="0" w:hanging="0"/>
        <w:jc w:val="both"/>
        <w:rPr/>
      </w:pPr>
      <w:r>
        <w:rPr/>
      </w:r>
    </w:p>
    <w:p>
      <w:pPr>
        <w:pStyle w:val="TextBody"/>
        <w:spacing w:lineRule="auto" w:line="300" w:before="0" w:after="0"/>
        <w:ind w:left="720" w:right="0" w:hanging="0"/>
        <w:jc w:val="both"/>
        <w:rPr>
          <w:rFonts w:ascii="Times New Roman" w:hAnsi="Times New Roman"/>
          <w:sz w:val="20"/>
        </w:rPr>
      </w:pPr>
      <w:bookmarkStart w:id="368" w:name="TAB1108"/>
      <w:bookmarkEnd w:id="368"/>
      <w:r>
        <w:rPr>
          <w:rFonts w:ascii="Times New Roman" w:hAnsi="Times New Roman"/>
          <w:sz w:val="20"/>
        </w:rPr>
        <w:t>Accordingly, competition for films can be intense, depending upon the number of cinemas in a particular market. Our ability to obtain top grossing first run feature films may be adversely impacted by our comparatively small size, and the limited number of screens we can supply to distributors. Moreover, as a result of the dramatic and recent consolidation of screens into the hands of a few very large and powerful exhibitors such as Regal and AMC, these mega exhibition companies are in a position to offer distributors access to many more screens in major markets than can we. Accordingly, distributors may decide to give preferences to these mega exhibitors when it comes to licensing top grossing films, rather than deal with independents such as ourselves. The situation is different in Australia and New Zealand where typically every major multiplex cinema has access to all of the film currently in distribution, regardless of the ownership of that multiplex cinema.</w:t>
      </w:r>
    </w:p>
    <w:p>
      <w:pPr>
        <w:pStyle w:val="TextBody"/>
        <w:spacing w:lineRule="auto" w:line="300" w:before="0" w:after="0"/>
        <w:ind w:left="0" w:right="0" w:hanging="0"/>
        <w:jc w:val="both"/>
        <w:rPr/>
      </w:pPr>
      <w:r>
        <w:rPr/>
      </w:r>
    </w:p>
    <w:p>
      <w:pPr>
        <w:pStyle w:val="TextBody"/>
        <w:spacing w:lineRule="auto" w:line="300" w:before="0" w:after="0"/>
        <w:ind w:left="720" w:right="0" w:hanging="0"/>
        <w:jc w:val="both"/>
        <w:rPr>
          <w:rFonts w:ascii="Times New Roman" w:hAnsi="Times New Roman"/>
          <w:sz w:val="20"/>
        </w:rPr>
      </w:pPr>
      <w:bookmarkStart w:id="369" w:name="TAB1109"/>
      <w:bookmarkEnd w:id="369"/>
      <w:r>
        <w:rPr>
          <w:rFonts w:ascii="Times New Roman" w:hAnsi="Times New Roman"/>
          <w:sz w:val="20"/>
        </w:rPr>
        <w:t>In addition, the competitive situation facing our Company is uncertain given the ongoing development of in-the-home entertainment alternatives such as DVD, cable and satellite distribution of films, and the increasing quality and declining cost of in-the-home entertainment components.</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pPr>
      <w:r>
        <w:rPr>
          <w:rStyle w:val="Emphasis"/>
          <w:rFonts w:ascii="Times New Roman" w:hAnsi="Times New Roman"/>
          <w:sz w:val="20"/>
          <w:u w:val="single"/>
        </w:rPr>
        <w:t>Seasonality</w:t>
      </w:r>
    </w:p>
    <w:p>
      <w:pPr>
        <w:pStyle w:val="TextBody"/>
        <w:spacing w:lineRule="auto" w:line="300" w:before="0" w:after="0"/>
        <w:ind w:left="0" w:right="0" w:hanging="0"/>
        <w:jc w:val="both"/>
        <w:rPr/>
      </w:pPr>
      <w:r>
        <w:rPr/>
      </w:r>
    </w:p>
    <w:p>
      <w:pPr>
        <w:pStyle w:val="TextBody"/>
        <w:spacing w:lineRule="auto" w:line="300" w:before="0" w:after="0"/>
        <w:ind w:left="720" w:right="0" w:hanging="0"/>
        <w:jc w:val="both"/>
        <w:rPr>
          <w:rFonts w:ascii="Times New Roman" w:hAnsi="Times New Roman"/>
          <w:sz w:val="20"/>
        </w:rPr>
      </w:pPr>
      <w:bookmarkStart w:id="370" w:name="TAB1110"/>
      <w:bookmarkEnd w:id="370"/>
      <w:r>
        <w:rPr>
          <w:rFonts w:ascii="Times New Roman" w:hAnsi="Times New Roman"/>
          <w:sz w:val="20"/>
        </w:rPr>
        <w:t>Traditionally, the exhibition of mainstream commercial films has been somewhat seasonal, with most of the revenues being generated over the summer and Christmas holiday seasons. However, with the increasing number of releases, this seasonality is becoming less of a factor. The exhibition of art and specialty films has historically been less seasonal than the exhibition of mainstream commercial films.</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pPr>
      <w:r>
        <w:rPr>
          <w:rStyle w:val="Emphasis"/>
          <w:rFonts w:ascii="Times New Roman" w:hAnsi="Times New Roman"/>
          <w:sz w:val="20"/>
          <w:u w:val="single"/>
        </w:rPr>
        <w:t>Management</w:t>
      </w:r>
    </w:p>
    <w:p>
      <w:pPr>
        <w:pStyle w:val="TextBody"/>
        <w:spacing w:lineRule="auto" w:line="300" w:before="0" w:after="0"/>
        <w:ind w:left="0" w:right="0" w:hanging="0"/>
        <w:jc w:val="both"/>
        <w:rPr/>
      </w:pPr>
      <w:r>
        <w:rPr/>
      </w:r>
    </w:p>
    <w:p>
      <w:pPr>
        <w:pStyle w:val="TextBody"/>
        <w:spacing w:lineRule="auto" w:line="300" w:before="0" w:after="0"/>
        <w:ind w:left="720" w:right="0" w:hanging="0"/>
        <w:jc w:val="both"/>
        <w:rPr>
          <w:rFonts w:ascii="Times New Roman" w:hAnsi="Times New Roman"/>
          <w:sz w:val="20"/>
        </w:rPr>
      </w:pPr>
      <w:bookmarkStart w:id="371" w:name="TAB1111"/>
      <w:bookmarkEnd w:id="371"/>
      <w:r>
        <w:rPr>
          <w:rFonts w:ascii="Times New Roman" w:hAnsi="Times New Roman"/>
          <w:sz w:val="20"/>
        </w:rPr>
        <w:t>All of our domestic cinemas are managed by our officers and employees. Angelika Film Center, LLC (the owner of the Angelika Film Center &amp; Café in the Soho district of New York), is owned by us on a 50/50 basis with a subsidiary of National Auto Credit, Inc (“NAC”). However, we manage that theater pursuant to a management contract. Furthermore, the operating agreement of Angelika Film Center, LLC provides that, in the event of deadlock our Chairman will cast the deciding vote.</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pPr>
      <w:r>
        <w:rPr>
          <w:rStyle w:val="Emphasis"/>
          <w:rFonts w:ascii="Times New Roman" w:hAnsi="Times New Roman"/>
          <w:sz w:val="20"/>
          <w:u w:val="single"/>
        </w:rPr>
        <w:t>Employees</w:t>
      </w:r>
    </w:p>
    <w:p>
      <w:pPr>
        <w:pStyle w:val="TextBody"/>
        <w:spacing w:lineRule="auto" w:line="300" w:before="0" w:after="0"/>
        <w:ind w:left="0" w:right="0" w:hanging="0"/>
        <w:jc w:val="both"/>
        <w:rPr/>
      </w:pPr>
      <w:r>
        <w:rPr/>
      </w:r>
    </w:p>
    <w:p>
      <w:pPr>
        <w:pStyle w:val="TextBody"/>
        <w:spacing w:lineRule="auto" w:line="300" w:before="0" w:after="0"/>
        <w:ind w:left="720" w:right="0" w:hanging="0"/>
        <w:jc w:val="both"/>
        <w:rPr>
          <w:rFonts w:ascii="Times New Roman" w:hAnsi="Times New Roman"/>
          <w:sz w:val="20"/>
        </w:rPr>
      </w:pPr>
      <w:bookmarkStart w:id="372" w:name="TAB1112"/>
      <w:bookmarkEnd w:id="372"/>
      <w:r>
        <w:rPr>
          <w:rFonts w:ascii="Times New Roman" w:hAnsi="Times New Roman"/>
          <w:sz w:val="20"/>
        </w:rPr>
        <w:t>At December 31, 2006, we employed approximately 366 individuals to operate our domestic cinemas and to attend to our real property operations. On January 31, 2003, we renegotiated our collective bargaining agreement with the projectionist union with respect to our Manhattan cinemas and this agreement expired January 31, 2006. We negotiated a termination of our contract with the union effective January 31, 2007. Our principal executive and administrative offices are located in Los Angeles, California. Approximately 6 executives and 22 other employees are located at our executive offices in Los Angeles and Manhattan. We believe our relations with our employees to be good.</w:t>
      </w:r>
    </w:p>
    <w:p>
      <w:pPr>
        <w:pStyle w:val="TextBody"/>
        <w:spacing w:before="0" w:after="0"/>
        <w:rPr/>
      </w:pPr>
      <w:r>
        <w:rPr/>
        <w:t> </w:t>
      </w:r>
    </w:p>
    <w:p>
      <w:pPr>
        <w:pStyle w:val="TextBody"/>
        <w:spacing w:lineRule="auto" w:line="300" w:before="0" w:after="0"/>
        <w:ind w:left="0" w:right="0" w:hanging="0"/>
        <w:jc w:val="both"/>
        <w:rPr>
          <w:rFonts w:ascii="Times New Roman" w:hAnsi="Times New Roman"/>
          <w:sz w:val="20"/>
          <w:u w:val="single"/>
        </w:rPr>
      </w:pPr>
      <w:r>
        <w:rPr>
          <w:rFonts w:ascii="Times New Roman" w:hAnsi="Times New Roman"/>
          <w:sz w:val="20"/>
          <w:u w:val="single"/>
        </w:rPr>
        <w:t>Our Real Estate Activities</w:t>
      </w:r>
    </w:p>
    <w:p>
      <w:pPr>
        <w:pStyle w:val="TextBody"/>
        <w:spacing w:lineRule="auto" w:line="300" w:before="0" w:after="0"/>
        <w:ind w:left="0" w:right="0" w:hanging="0"/>
        <w:jc w:val="both"/>
        <w:rPr/>
      </w:pPr>
      <w:r>
        <w:rPr/>
      </w:r>
    </w:p>
    <w:p>
      <w:pPr>
        <w:pStyle w:val="TextBody"/>
        <w:spacing w:lineRule="auto" w:line="300" w:before="0" w:after="0"/>
        <w:ind w:left="0" w:right="0" w:hanging="0"/>
        <w:jc w:val="left"/>
        <w:rPr/>
      </w:pPr>
      <w:r>
        <w:rPr>
          <w:rStyle w:val="Emphasis"/>
          <w:rFonts w:ascii="Times New Roman" w:hAnsi="Times New Roman"/>
          <w:sz w:val="20"/>
          <w:u w:val="single"/>
        </w:rPr>
        <w:t>General</w:t>
      </w:r>
    </w:p>
    <w:p>
      <w:pPr>
        <w:pStyle w:val="TextBody"/>
        <w:spacing w:lineRule="auto" w:line="300" w:before="0" w:after="0"/>
        <w:ind w:left="0" w:right="0" w:hanging="0"/>
        <w:jc w:val="left"/>
        <w:rPr/>
      </w:pPr>
      <w:r>
        <w:rPr/>
      </w:r>
    </w:p>
    <w:p>
      <w:pPr>
        <w:pStyle w:val="TextBody"/>
        <w:spacing w:lineRule="auto" w:line="300" w:before="0" w:after="0"/>
        <w:ind w:left="900" w:right="0" w:hanging="0"/>
        <w:jc w:val="both"/>
        <w:rPr>
          <w:rFonts w:ascii="Times New Roman" w:hAnsi="Times New Roman"/>
          <w:sz w:val="20"/>
        </w:rPr>
      </w:pPr>
      <w:bookmarkStart w:id="373" w:name="TAB1113"/>
      <w:bookmarkEnd w:id="373"/>
      <w:r>
        <w:rPr>
          <w:rFonts w:ascii="Times New Roman" w:hAnsi="Times New Roman"/>
          <w:sz w:val="20"/>
        </w:rPr>
        <w:t xml:space="preserve">While we report our real estate as a separate segment, it has historically operated as an integral portion of our overall business. Since our entry into the cinema exhibition business, our real estate activities have principally been in support of that business. Accordingly, in this Annual Report, consistent with our practice in prior periods, we have described our real estate activities as an integrated portion of our cinema operating and development activities. </w:t>
      </w:r>
    </w:p>
    <w:p>
      <w:pPr>
        <w:pStyle w:val="TextBody"/>
        <w:spacing w:lineRule="auto" w:line="300" w:before="0" w:after="0"/>
        <w:ind w:left="0" w:right="0" w:hanging="0"/>
        <w:jc w:val="left"/>
        <w:rPr/>
      </w:pPr>
      <w:r>
        <w:rPr/>
      </w:r>
    </w:p>
    <w:p>
      <w:pPr>
        <w:pStyle w:val="TextBody"/>
        <w:spacing w:lineRule="auto" w:line="300" w:before="0" w:after="0"/>
        <w:ind w:left="720" w:right="0" w:hanging="0"/>
        <w:jc w:val="left"/>
        <w:rPr>
          <w:rFonts w:ascii="Times New Roman" w:hAnsi="Times New Roman"/>
          <w:sz w:val="20"/>
        </w:rPr>
      </w:pPr>
      <w:bookmarkStart w:id="374" w:name="TAB1114"/>
      <w:bookmarkEnd w:id="374"/>
      <w:r>
        <w:rPr>
          <w:rFonts w:ascii="Times New Roman" w:hAnsi="Times New Roman"/>
          <w:sz w:val="20"/>
        </w:rPr>
        <w:t xml:space="preserve">However, in light of our view that future growth opportunities in the cinema industries are now quite limited in the countries in which we operate, and, as we have no current plan to enter any new foreign markets, we intend to focus more on our real estate activities as a separate business activity. </w:t>
      </w:r>
    </w:p>
    <w:p>
      <w:pPr>
        <w:pStyle w:val="TextBody"/>
        <w:spacing w:lineRule="auto" w:line="300" w:before="0" w:after="0"/>
        <w:ind w:left="0" w:right="0" w:firstLine="72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75" w:name="PGBRK17"/>
      <w:bookmarkStart w:id="376" w:name="PGBRK17"/>
      <w:bookmarkEnd w:id="37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77" w:name="FTR17"/>
      <w:bookmarkStart w:id="378" w:name="FTR17"/>
      <w:bookmarkEnd w:id="37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79" w:name="GLFTR17"/>
      <w:bookmarkStart w:id="380" w:name="GLFTR17"/>
      <w:bookmarkEnd w:id="38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381" w:name="PN17"/>
      <w:bookmarkEnd w:id="381"/>
      <w:r>
        <w:rPr>
          <w:rFonts w:ascii="Times New Roman" w:hAnsi="Times New Roman"/>
          <w:sz w:val="16"/>
        </w:rPr>
        <w:t>-17-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82" w:name="HDR17"/>
      <w:bookmarkStart w:id="383" w:name="HDR17"/>
      <w:bookmarkEnd w:id="38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384" w:name="GLHDR17"/>
        <w:bookmarkEnd w:id="384"/>
        <w:r>
          <w:rPr>
            <w:rStyle w:val="Emphasis"/>
            <w:rFonts w:ascii="Times New Roman" w:hAnsi="Times New Roman"/>
            <w:color w:val="000000"/>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300" w:before="0" w:after="0"/>
        <w:ind w:left="0" w:right="0" w:hanging="0"/>
        <w:jc w:val="left"/>
        <w:rPr/>
      </w:pPr>
      <w:r>
        <w:rPr>
          <w:rStyle w:val="Emphasis"/>
          <w:rFonts w:ascii="Times New Roman" w:hAnsi="Times New Roman"/>
          <w:sz w:val="20"/>
          <w:u w:val="single"/>
        </w:rPr>
        <w:t>Landplan Property Partners, Ltd</w:t>
      </w:r>
    </w:p>
    <w:p>
      <w:pPr>
        <w:pStyle w:val="TextBody"/>
        <w:spacing w:lineRule="auto" w:line="300" w:before="0" w:after="0"/>
        <w:ind w:left="0" w:right="0" w:firstLine="720"/>
        <w:jc w:val="left"/>
        <w:rPr/>
      </w:pPr>
      <w:r>
        <w:rPr/>
      </w:r>
    </w:p>
    <w:p>
      <w:pPr>
        <w:pStyle w:val="TextBody"/>
        <w:spacing w:lineRule="auto" w:line="300" w:before="0" w:after="0"/>
        <w:ind w:left="0" w:right="0" w:firstLine="720"/>
        <w:jc w:val="left"/>
        <w:rPr>
          <w:rFonts w:ascii="Times New Roman" w:hAnsi="Times New Roman"/>
          <w:sz w:val="20"/>
        </w:rPr>
      </w:pPr>
      <w:r>
        <w:rPr>
          <w:rFonts w:ascii="Times New Roman" w:hAnsi="Times New Roman"/>
          <w:sz w:val="20"/>
        </w:rPr>
        <w:t xml:space="preserve">In 2006, we formed Landplan Property Partners, Ltd, to identify, acquire and develop or redevelop properties on an opportunistic basis. In connection with the formation of Landplan, we entered into an agreement with Mr. Doug Osborne pursuant to which (i) Mr. Osborne will serve as the chief executive officer of Landplan and (ii) Mr. Osborne’s affiliate, Landplan Property Group, Ltd (“LPG”), will perform certain property management services for Landplan. The agreement provides for Mr. Osborne to hold an equity interest in the entities formed to hold these properties; such equity interest to be (i) subordinate to our right to an 11% compounded return on investment and (ii) subject to adjustment depending upon various factors including the term of the investment and the amount invested. Generally speaking, this equity interest will range from 27.5% to 15%. At December 31, 2006, Landplan had acquired one property in Australia. </w:t>
      </w:r>
    </w:p>
    <w:p>
      <w:pPr>
        <w:pStyle w:val="TextBody"/>
        <w:spacing w:lineRule="auto" w:line="300" w:before="0" w:after="0"/>
        <w:ind w:left="0" w:right="0" w:hanging="0"/>
        <w:jc w:val="both"/>
        <w:rPr/>
      </w:pPr>
      <w:r>
        <w:rPr/>
        <w:t> </w:t>
      </w:r>
    </w:p>
    <w:p>
      <w:pPr>
        <w:pStyle w:val="TextBody"/>
        <w:spacing w:lineRule="auto" w:line="300" w:before="0" w:after="0"/>
        <w:ind w:left="0" w:right="0" w:hanging="0"/>
        <w:jc w:val="both"/>
        <w:rPr/>
      </w:pPr>
      <w:r>
        <w:rPr>
          <w:rStyle w:val="Emphasis"/>
          <w:rFonts w:ascii="Times New Roman" w:hAnsi="Times New Roman"/>
          <w:sz w:val="20"/>
          <w:u w:val="single"/>
        </w:rPr>
        <w:t>Malulani Investments</w:t>
      </w:r>
    </w:p>
    <w:p>
      <w:pPr>
        <w:pStyle w:val="TextBody"/>
        <w:spacing w:lineRule="auto" w:line="300" w:before="0" w:after="0"/>
        <w:ind w:left="0" w:right="0" w:hanging="0"/>
        <w:jc w:val="both"/>
        <w:rPr/>
      </w:pPr>
      <w:r>
        <w:rPr/>
        <w:t> </w:t>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In addition, we have acquired an approximately 18.4% common equity interests in Malulani Investments Limited (MIL), a closely held Hawaiian company which currently owns approximately 763,000 square feet of developed real estate principally in California, Hawaii and Texas, and approximately 22,000 acres of agricultural land in Northern California. Included among Malulani’s assets are the Guenoc Winery, consisting of approximately 400 acres of vineyard land and a winery configured to bottle up to 120,000 cases of wine annually and Langtry Estates and Vineyards. This land and commercial real estate holdings are encumbered by debt. To date, our requests to management for information about MIL, including consolidated financial information, have not been honored.  We have brought litigation against MIL and certain of its directors in an effort to improve our access to information, including consolidated financial information.  While we believe that we should prevail in our efforts in this regard, as in all litigation matters, no assurances can be given.</w:t>
      </w:r>
    </w:p>
    <w:p>
      <w:pPr>
        <w:pStyle w:val="TextBody"/>
        <w:spacing w:lineRule="auto" w:line="300" w:before="0" w:after="0"/>
        <w:ind w:left="0" w:right="0" w:firstLine="72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 xml:space="preserve">Incident to that investment, we have entered into a shareholders agreement with Magoon Acquisition &amp; Development, LLC (“Magoon LLC”), which includes certain right of first refusal and cost sharing provisions and which grants to James J. Cotter (our Chairman, Chief Executive Officer and controlling shareholder), a proxy to vote the shares held by Magoon LLC in MIL and in MIL's parent company, The Malulani Group, Limited (“TMG”). Magoon LLC owns approximately 12% of MIL and 30% of TMG. Accordingly, through Mr. Cotter, we currently vote 30% of the shares of MIL and TMG which represents a voting interest sufficient to elect one representative to the boards of directors of each of these two companies. Through the use of this voting power, we have elected Mr. Cotter to the Board of Directors of MIL. The shareholders agreement also gives us the right to cause Magoon LLC to join with us in the formation of a limited liability company which we would control, and which would provide to us, after return of capital on a last in, first out basis, a 20% preferred allocation of profits and distributions. </w:t>
      </w:r>
    </w:p>
    <w:p>
      <w:pPr>
        <w:pStyle w:val="TextBody"/>
        <w:spacing w:lineRule="auto" w:line="300"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85" w:name="PGBRK18"/>
      <w:bookmarkStart w:id="386" w:name="PGBRK18"/>
      <w:bookmarkEnd w:id="38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87" w:name="FTR18"/>
      <w:bookmarkStart w:id="388" w:name="FTR18"/>
      <w:bookmarkEnd w:id="38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89" w:name="GLFTR18"/>
      <w:bookmarkStart w:id="390" w:name="GLFTR18"/>
      <w:bookmarkEnd w:id="39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391" w:name="PN18"/>
      <w:bookmarkEnd w:id="391"/>
      <w:r>
        <w:rPr>
          <w:rFonts w:ascii="Times New Roman" w:hAnsi="Times New Roman"/>
          <w:sz w:val="16"/>
        </w:rPr>
        <w:t>-18-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92" w:name="HDR18"/>
      <w:bookmarkStart w:id="393" w:name="HDR18"/>
      <w:bookmarkEnd w:id="39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394" w:name="GLHDR18"/>
        <w:bookmarkEnd w:id="394"/>
        <w:r>
          <w:rPr>
            <w:rStyle w:val="Emphasis"/>
            <w:rFonts w:ascii="Times New Roman" w:hAnsi="Times New Roman"/>
            <w:color w:val="000000"/>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300" w:before="0" w:after="0"/>
        <w:ind w:left="0" w:right="0" w:hanging="0"/>
        <w:jc w:val="left"/>
        <w:rPr/>
      </w:pPr>
      <w:r>
        <w:rPr>
          <w:rStyle w:val="Emphasis"/>
          <w:rFonts w:ascii="Times New Roman" w:hAnsi="Times New Roman"/>
          <w:sz w:val="20"/>
          <w:u w:val="single"/>
        </w:rPr>
        <w:t>Real Estate Holdings</w:t>
      </w:r>
    </w:p>
    <w:p>
      <w:pPr>
        <w:pStyle w:val="TextBody"/>
        <w:spacing w:lineRule="auto" w:line="300" w:before="0" w:after="0"/>
        <w:ind w:left="0" w:right="0" w:hanging="0"/>
        <w:jc w:val="left"/>
        <w:rPr/>
      </w:pPr>
      <w:r>
        <w:rPr/>
      </w:r>
    </w:p>
    <w:p>
      <w:pPr>
        <w:pStyle w:val="TextBody"/>
        <w:spacing w:lineRule="auto" w:line="300" w:before="0" w:after="0"/>
        <w:ind w:left="720" w:right="0" w:hanging="0"/>
        <w:jc w:val="left"/>
        <w:rPr>
          <w:rFonts w:ascii="Times New Roman" w:hAnsi="Times New Roman"/>
          <w:sz w:val="20"/>
        </w:rPr>
      </w:pPr>
      <w:bookmarkStart w:id="395" w:name="TAB1115"/>
      <w:bookmarkEnd w:id="395"/>
      <w:r>
        <w:rPr>
          <w:rFonts w:ascii="Times New Roman" w:hAnsi="Times New Roman"/>
          <w:sz w:val="20"/>
        </w:rPr>
        <w:t>Our current real estate holdings are described in detail in Item 2, Properties, below. At December 31, 2006, our principal wholly owned fee income generating real estate assets with their percentage leased are as follows:</w:t>
      </w:r>
    </w:p>
    <w:p>
      <w:pPr>
        <w:pStyle w:val="TextBody"/>
        <w:spacing w:lineRule="auto" w:line="300" w:before="0" w:after="0"/>
        <w:ind w:left="0" w:right="0" w:hanging="0"/>
        <w:jc w:val="left"/>
        <w:rPr/>
      </w:pPr>
      <w:r>
        <w:rPr/>
      </w:r>
    </w:p>
    <w:tbl>
      <w:tblPr>
        <w:tblW w:w="5000" w:type="pct"/>
        <w:jc w:val="left"/>
        <w:tblInd w:w="0" w:type="dxa"/>
        <w:tblCellMar>
          <w:top w:w="0" w:type="dxa"/>
          <w:left w:w="0" w:type="dxa"/>
          <w:bottom w:w="28" w:type="dxa"/>
          <w:right w:w="0" w:type="dxa"/>
        </w:tblCellMar>
      </w:tblPr>
      <w:tblGrid>
        <w:gridCol w:w="2857"/>
        <w:gridCol w:w="2858"/>
        <w:gridCol w:w="2177"/>
        <w:gridCol w:w="2313"/>
      </w:tblGrid>
      <w:tr>
        <w:trPr/>
        <w:tc>
          <w:tcPr>
            <w:tcW w:w="2857" w:type="dxa"/>
            <w:tcBorders>
              <w:bottom w:val="double" w:sz="2" w:space="0" w:color="000000"/>
            </w:tcBorders>
            <w:shd w:fill="auto" w:val="clear"/>
            <w:vAlign w:val="bottom"/>
          </w:tcPr>
          <w:p>
            <w:pPr>
              <w:pStyle w:val="TableContents"/>
              <w:spacing w:lineRule="auto" w:line="300" w:before="0" w:after="0"/>
              <w:ind w:left="0" w:right="0" w:hanging="0"/>
              <w:jc w:val="both"/>
              <w:rPr/>
            </w:pPr>
            <w:r>
              <w:rPr/>
              <w:t> </w:t>
            </w:r>
          </w:p>
          <w:p>
            <w:pPr>
              <w:pStyle w:val="TableContents"/>
              <w:spacing w:lineRule="auto" w:line="300" w:before="0" w:after="0"/>
              <w:ind w:left="0" w:right="0" w:hanging="0"/>
              <w:jc w:val="center"/>
              <w:rPr/>
            </w:pPr>
            <w:r>
              <w:rPr>
                <w:rStyle w:val="StrongEmphasis"/>
                <w:rFonts w:ascii="Times New Roman" w:hAnsi="Times New Roman"/>
                <w:sz w:val="20"/>
              </w:rPr>
              <w:t>Property</w:t>
            </w:r>
            <w:r>
              <w:rPr>
                <w:rStyle w:val="StrongEmphasis"/>
                <w:rFonts w:ascii="Times New Roman" w:hAnsi="Times New Roman"/>
                <w:position w:val="7"/>
                <w:sz w:val="16"/>
                <w:sz w:val="20"/>
              </w:rPr>
              <w:t>8</w:t>
            </w:r>
            <w:r>
              <w:rPr/>
              <w:t> </w:t>
            </w:r>
          </w:p>
        </w:tc>
        <w:tc>
          <w:tcPr>
            <w:tcW w:w="2858" w:type="dxa"/>
            <w:tcBorders>
              <w:bottom w:val="double" w:sz="2" w:space="0" w:color="000000"/>
            </w:tcBorders>
            <w:shd w:fill="auto" w:val="clear"/>
            <w:vAlign w:val="bottom"/>
          </w:tcPr>
          <w:p>
            <w:pPr>
              <w:pStyle w:val="TableContents"/>
              <w:spacing w:lineRule="auto" w:line="300" w:before="0" w:after="0"/>
              <w:ind w:left="0" w:right="0" w:hanging="0"/>
              <w:jc w:val="both"/>
              <w:rPr/>
            </w:pPr>
            <w:r>
              <w:rPr/>
              <w:t> </w:t>
            </w:r>
          </w:p>
          <w:p>
            <w:pPr>
              <w:pStyle w:val="TableContents"/>
              <w:spacing w:lineRule="auto" w:line="300" w:before="0" w:after="0"/>
              <w:ind w:left="0" w:right="0" w:hanging="0"/>
              <w:jc w:val="center"/>
              <w:rPr/>
            </w:pPr>
            <w:r>
              <w:rPr>
                <w:rStyle w:val="StrongEmphasis"/>
                <w:rFonts w:ascii="Times New Roman" w:hAnsi="Times New Roman"/>
                <w:sz w:val="20"/>
              </w:rPr>
              <w:t>Square Feet of Improvements</w:t>
            </w:r>
          </w:p>
          <w:p>
            <w:pPr>
              <w:pStyle w:val="TableContents"/>
              <w:spacing w:lineRule="auto" w:line="300" w:before="0" w:after="0"/>
              <w:ind w:left="0" w:right="0" w:hanging="0"/>
              <w:jc w:val="both"/>
              <w:rPr/>
            </w:pPr>
            <w:r>
              <w:rPr/>
              <w:t> </w:t>
            </w:r>
          </w:p>
          <w:p>
            <w:pPr>
              <w:pStyle w:val="TableContents"/>
              <w:spacing w:lineRule="auto" w:line="300" w:before="0" w:after="0"/>
              <w:ind w:left="0" w:right="0" w:hanging="0"/>
              <w:jc w:val="center"/>
              <w:rPr/>
            </w:pPr>
            <w:r>
              <w:rPr>
                <w:rStyle w:val="StrongEmphasis"/>
                <w:rFonts w:ascii="Times New Roman" w:hAnsi="Times New Roman"/>
                <w:sz w:val="20"/>
              </w:rPr>
              <w:t>(rental/entertainment)</w:t>
            </w:r>
          </w:p>
        </w:tc>
        <w:tc>
          <w:tcPr>
            <w:tcW w:w="2177" w:type="dxa"/>
            <w:tcBorders>
              <w:bottom w:val="double" w:sz="2" w:space="0" w:color="000000"/>
            </w:tcBorders>
            <w:shd w:fill="auto" w:val="clear"/>
            <w:vAlign w:val="bottom"/>
          </w:tcPr>
          <w:p>
            <w:pPr>
              <w:pStyle w:val="TableContents"/>
              <w:spacing w:lineRule="auto" w:line="300" w:before="0" w:after="0"/>
              <w:ind w:left="0" w:right="0" w:hanging="0"/>
              <w:jc w:val="both"/>
              <w:rPr/>
            </w:pPr>
            <w:r>
              <w:rPr/>
              <w:t> </w:t>
            </w:r>
          </w:p>
          <w:p>
            <w:pPr>
              <w:pStyle w:val="TableContents"/>
              <w:spacing w:lineRule="auto" w:line="300" w:before="0" w:after="0"/>
              <w:ind w:left="0" w:right="0" w:hanging="0"/>
              <w:jc w:val="center"/>
              <w:rPr/>
            </w:pPr>
            <w:r>
              <w:rPr>
                <w:rStyle w:val="StrongEmphasis"/>
                <w:rFonts w:ascii="Times New Roman" w:hAnsi="Times New Roman"/>
                <w:sz w:val="20"/>
              </w:rPr>
              <w:t>Percentage Leased</w:t>
            </w:r>
          </w:p>
        </w:tc>
        <w:tc>
          <w:tcPr>
            <w:tcW w:w="2313" w:type="dxa"/>
            <w:tcBorders>
              <w:bottom w:val="double" w:sz="2" w:space="0" w:color="000000"/>
            </w:tcBorders>
            <w:shd w:fill="auto" w:val="clear"/>
            <w:vAlign w:val="bottom"/>
          </w:tcPr>
          <w:p>
            <w:pPr>
              <w:pStyle w:val="TableContents"/>
              <w:spacing w:lineRule="auto" w:line="300" w:before="0" w:after="0"/>
              <w:ind w:left="0" w:right="0" w:hanging="0"/>
              <w:jc w:val="both"/>
              <w:rPr/>
            </w:pPr>
            <w:r>
              <w:rPr/>
              <w:t> </w:t>
            </w:r>
          </w:p>
          <w:p>
            <w:pPr>
              <w:pStyle w:val="TableContents"/>
              <w:spacing w:lineRule="auto" w:line="300" w:before="0" w:after="0"/>
              <w:ind w:left="0" w:right="0" w:hanging="0"/>
              <w:jc w:val="center"/>
              <w:rPr/>
            </w:pPr>
            <w:r>
              <w:rPr>
                <w:rStyle w:val="StrongEmphasis"/>
                <w:rFonts w:ascii="Times New Roman" w:hAnsi="Times New Roman"/>
                <w:sz w:val="20"/>
              </w:rPr>
              <w:t>Gross Book Value</w:t>
            </w:r>
          </w:p>
          <w:p>
            <w:pPr>
              <w:pStyle w:val="TableContents"/>
              <w:spacing w:lineRule="auto" w:line="300" w:before="0" w:after="0"/>
              <w:ind w:left="0" w:right="0" w:hanging="0"/>
              <w:jc w:val="both"/>
              <w:rPr/>
            </w:pPr>
            <w:r>
              <w:rPr/>
              <w:t> </w:t>
            </w:r>
          </w:p>
          <w:p>
            <w:pPr>
              <w:pStyle w:val="TableContents"/>
              <w:spacing w:lineRule="auto" w:line="300" w:before="0" w:after="0"/>
              <w:ind w:left="0" w:right="0" w:hanging="0"/>
              <w:jc w:val="center"/>
              <w:rPr/>
            </w:pPr>
            <w:r>
              <w:rPr>
                <w:rStyle w:val="StrongEmphasis"/>
                <w:rFonts w:ascii="Times New Roman" w:hAnsi="Times New Roman"/>
                <w:sz w:val="20"/>
              </w:rPr>
              <w:t>(in U.S. Dollars)</w:t>
            </w:r>
          </w:p>
        </w:tc>
      </w:tr>
      <w:tr>
        <w:trPr/>
        <w:tc>
          <w:tcPr>
            <w:tcW w:w="2857" w:type="dxa"/>
            <w:tcBorders>
              <w:bottom w:val="single" w:sz="2" w:space="0" w:color="000000"/>
            </w:tcBorders>
            <w:shd w:fill="CCEEFF" w:val="clear"/>
            <w:vAlign w:val="center"/>
          </w:tcPr>
          <w:p>
            <w:pPr>
              <w:pStyle w:val="TableContents"/>
              <w:spacing w:lineRule="auto" w:line="300" w:before="0" w:after="0"/>
              <w:ind w:left="0" w:right="0" w:hanging="0"/>
              <w:jc w:val="both"/>
              <w:rPr/>
            </w:pPr>
            <w:r>
              <w:rPr/>
              <w:t> </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Auburn</w:t>
            </w:r>
          </w:p>
          <w:p>
            <w:pPr>
              <w:pStyle w:val="TableContents"/>
              <w:spacing w:lineRule="auto" w:line="300" w:before="0" w:after="0"/>
              <w:ind w:left="0" w:right="0" w:hanging="0"/>
              <w:jc w:val="both"/>
              <w:rPr/>
            </w:pPr>
            <w:r>
              <w:rPr/>
              <w:t> </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100 Parramatta Road</w:t>
            </w:r>
          </w:p>
          <w:p>
            <w:pPr>
              <w:pStyle w:val="TableContents"/>
              <w:spacing w:lineRule="auto" w:line="300" w:before="0" w:after="0"/>
              <w:ind w:left="0" w:right="0" w:hanging="0"/>
              <w:jc w:val="both"/>
              <w:rPr/>
            </w:pPr>
            <w:r>
              <w:rPr/>
              <w:t> </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Auburn, NSW, Australia</w:t>
            </w:r>
          </w:p>
          <w:p>
            <w:pPr>
              <w:pStyle w:val="TableContents"/>
              <w:spacing w:lineRule="auto" w:line="300" w:before="0" w:after="0"/>
              <w:ind w:left="0" w:right="0" w:hanging="0"/>
              <w:jc w:val="both"/>
              <w:rPr/>
            </w:pPr>
            <w:r>
              <w:rPr/>
              <w:t> </w:t>
            </w:r>
          </w:p>
        </w:tc>
        <w:tc>
          <w:tcPr>
            <w:tcW w:w="2858" w:type="dxa"/>
            <w:tcBorders>
              <w:bottom w:val="single" w:sz="2" w:space="0" w:color="000000"/>
            </w:tcBorders>
            <w:shd w:fill="CCEEFF" w:val="clear"/>
            <w:vAlign w:val="center"/>
          </w:tcPr>
          <w:p>
            <w:pPr>
              <w:pStyle w:val="TableContents"/>
              <w:spacing w:lineRule="auto" w:line="300" w:before="0" w:after="0"/>
              <w:ind w:left="0" w:right="0" w:hanging="0"/>
              <w:jc w:val="both"/>
              <w:rPr/>
            </w:pPr>
            <w:r>
              <w:rPr/>
              <w:t> </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57,000 / 57,000</w:t>
            </w:r>
          </w:p>
          <w:p>
            <w:pPr>
              <w:pStyle w:val="TableContents"/>
              <w:spacing w:lineRule="auto" w:line="300" w:before="0" w:after="0"/>
              <w:ind w:left="0" w:right="0" w:hanging="0"/>
              <w:jc w:val="both"/>
              <w:rPr/>
            </w:pPr>
            <w:r>
              <w:rPr/>
              <w:t> </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Plus an 871-space subterranean parking structure</w:t>
            </w:r>
          </w:p>
          <w:p>
            <w:pPr>
              <w:pStyle w:val="TableContents"/>
              <w:spacing w:lineRule="auto" w:line="300" w:before="0" w:after="0"/>
              <w:ind w:left="0" w:right="0" w:hanging="0"/>
              <w:jc w:val="both"/>
              <w:rPr/>
            </w:pPr>
            <w:r>
              <w:rPr/>
              <w:t> </w:t>
            </w:r>
          </w:p>
        </w:tc>
        <w:tc>
          <w:tcPr>
            <w:tcW w:w="2177" w:type="dxa"/>
            <w:tcBorders>
              <w:bottom w:val="single" w:sz="2" w:space="0" w:color="000000"/>
            </w:tcBorders>
            <w:shd w:fill="CCEEFF" w:val="clear"/>
            <w:vAlign w:val="center"/>
          </w:tcPr>
          <w:p>
            <w:pPr>
              <w:pStyle w:val="TableContents"/>
              <w:spacing w:lineRule="auto" w:line="300" w:before="0" w:after="0"/>
              <w:ind w:left="0" w:right="0" w:hanging="0"/>
              <w:jc w:val="both"/>
              <w:rPr/>
            </w:pPr>
            <w:r>
              <w:rPr/>
              <w:t> </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71%</w:t>
            </w:r>
          </w:p>
          <w:p>
            <w:pPr>
              <w:pStyle w:val="TableContents"/>
              <w:spacing w:lineRule="auto" w:line="300" w:before="0" w:after="0"/>
              <w:ind w:left="0" w:right="0" w:hanging="0"/>
              <w:jc w:val="both"/>
              <w:rPr/>
            </w:pPr>
            <w:r>
              <w:rPr/>
              <w:t> </w:t>
            </w:r>
          </w:p>
        </w:tc>
        <w:tc>
          <w:tcPr>
            <w:tcW w:w="2313" w:type="dxa"/>
            <w:tcBorders>
              <w:bottom w:val="single" w:sz="2" w:space="0" w:color="000000"/>
            </w:tcBorders>
            <w:shd w:fill="CCEEFF" w:val="clear"/>
            <w:vAlign w:val="center"/>
          </w:tcPr>
          <w:p>
            <w:pPr>
              <w:pStyle w:val="TableContents"/>
              <w:spacing w:lineRule="auto" w:line="300" w:before="0" w:after="0"/>
              <w:ind w:left="0" w:right="0" w:hanging="0"/>
              <w:jc w:val="center"/>
              <w:rPr/>
            </w:pPr>
            <w:r>
              <w:rPr/>
              <w:t> </w:t>
            </w:r>
          </w:p>
          <w:p>
            <w:pPr>
              <w:pStyle w:val="TableContents"/>
              <w:spacing w:lineRule="auto" w:line="300" w:before="0" w:after="0"/>
              <w:ind w:left="360" w:right="0" w:hanging="0"/>
              <w:jc w:val="center"/>
              <w:rPr>
                <w:rFonts w:ascii="Times New Roman" w:hAnsi="Times New Roman"/>
                <w:sz w:val="20"/>
              </w:rPr>
            </w:pPr>
            <w:bookmarkStart w:id="396" w:name="TAB1116"/>
            <w:bookmarkEnd w:id="396"/>
            <w:r>
              <w:rPr>
                <w:rFonts w:ascii="Times New Roman" w:hAnsi="Times New Roman"/>
                <w:sz w:val="20"/>
              </w:rPr>
              <w:t>$28,191,000</w:t>
            </w:r>
          </w:p>
          <w:p>
            <w:pPr>
              <w:pStyle w:val="TableContents"/>
              <w:spacing w:lineRule="auto" w:line="300" w:before="0" w:after="0"/>
              <w:ind w:left="0" w:right="0" w:hanging="0"/>
              <w:jc w:val="both"/>
              <w:rPr/>
            </w:pPr>
            <w:r>
              <w:rPr/>
              <w:t> </w:t>
            </w:r>
          </w:p>
        </w:tc>
      </w:tr>
      <w:tr>
        <w:trPr/>
        <w:tc>
          <w:tcPr>
            <w:tcW w:w="2857" w:type="dxa"/>
            <w:tcBorders>
              <w:bottom w:val="single" w:sz="2" w:space="0" w:color="000000"/>
            </w:tcBorders>
            <w:shd w:fill="FFFFFF" w:val="clear"/>
            <w:vAlign w:val="center"/>
          </w:tcPr>
          <w:p>
            <w:pPr>
              <w:pStyle w:val="TableContents"/>
              <w:spacing w:lineRule="auto" w:line="300" w:before="0" w:after="0"/>
              <w:ind w:left="0" w:right="0" w:hanging="0"/>
              <w:jc w:val="both"/>
              <w:rPr/>
            </w:pPr>
            <w:r>
              <w:rPr/>
              <w:t> </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Belmont</w:t>
            </w:r>
          </w:p>
          <w:p>
            <w:pPr>
              <w:pStyle w:val="TableContents"/>
              <w:spacing w:lineRule="auto" w:line="300" w:before="0" w:after="0"/>
              <w:ind w:left="0" w:right="0" w:hanging="0"/>
              <w:jc w:val="both"/>
              <w:rPr/>
            </w:pPr>
            <w:r>
              <w:rPr/>
              <w:t> </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Knutsford Ave and Fulham St</w:t>
            </w:r>
          </w:p>
          <w:p>
            <w:pPr>
              <w:pStyle w:val="TableContents"/>
              <w:spacing w:lineRule="auto" w:line="300" w:before="0" w:after="0"/>
              <w:ind w:left="0" w:right="0" w:hanging="0"/>
              <w:jc w:val="both"/>
              <w:rPr/>
            </w:pPr>
            <w:r>
              <w:rPr/>
              <w:t> </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Belmont, WA, Australia</w:t>
            </w:r>
          </w:p>
          <w:p>
            <w:pPr>
              <w:pStyle w:val="TableContents"/>
              <w:spacing w:lineRule="auto" w:line="300" w:before="0" w:after="0"/>
              <w:ind w:left="0" w:right="0" w:hanging="0"/>
              <w:jc w:val="both"/>
              <w:rPr/>
            </w:pPr>
            <w:r>
              <w:rPr/>
              <w:t> </w:t>
            </w:r>
          </w:p>
        </w:tc>
        <w:tc>
          <w:tcPr>
            <w:tcW w:w="2858" w:type="dxa"/>
            <w:tcBorders>
              <w:bottom w:val="single" w:sz="2" w:space="0" w:color="000000"/>
            </w:tcBorders>
            <w:shd w:fill="FFFFFF" w:val="clear"/>
            <w:vAlign w:val="center"/>
          </w:tcPr>
          <w:p>
            <w:pPr>
              <w:pStyle w:val="TableContents"/>
              <w:spacing w:lineRule="auto" w:line="300" w:before="0" w:after="0"/>
              <w:ind w:left="0" w:right="0" w:hanging="0"/>
              <w:jc w:val="both"/>
              <w:rPr/>
            </w:pPr>
            <w:r>
              <w:rPr/>
              <w:t> </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19,000 / 49,000</w:t>
            </w:r>
          </w:p>
          <w:p>
            <w:pPr>
              <w:pStyle w:val="TableContents"/>
              <w:spacing w:lineRule="auto" w:line="300" w:before="0" w:after="0"/>
              <w:ind w:left="0" w:right="0" w:hanging="0"/>
              <w:jc w:val="both"/>
              <w:rPr/>
            </w:pPr>
            <w:r>
              <w:rPr/>
              <w:t> </w:t>
            </w:r>
          </w:p>
        </w:tc>
        <w:tc>
          <w:tcPr>
            <w:tcW w:w="2177" w:type="dxa"/>
            <w:tcBorders>
              <w:bottom w:val="single" w:sz="2" w:space="0" w:color="000000"/>
            </w:tcBorders>
            <w:shd w:fill="FFFFFF" w:val="clear"/>
            <w:vAlign w:val="center"/>
          </w:tcPr>
          <w:p>
            <w:pPr>
              <w:pStyle w:val="TableContents"/>
              <w:spacing w:lineRule="auto" w:line="300" w:before="0" w:after="0"/>
              <w:ind w:left="0" w:right="0" w:hanging="0"/>
              <w:jc w:val="both"/>
              <w:rPr/>
            </w:pPr>
            <w:r>
              <w:rPr/>
              <w:t> </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80%</w:t>
            </w:r>
          </w:p>
          <w:p>
            <w:pPr>
              <w:pStyle w:val="TableContents"/>
              <w:spacing w:lineRule="auto" w:line="300" w:before="0" w:after="0"/>
              <w:ind w:left="0" w:right="0" w:hanging="0"/>
              <w:jc w:val="both"/>
              <w:rPr/>
            </w:pPr>
            <w:r>
              <w:rPr/>
              <w:t> </w:t>
            </w:r>
          </w:p>
        </w:tc>
        <w:tc>
          <w:tcPr>
            <w:tcW w:w="2313" w:type="dxa"/>
            <w:tcBorders>
              <w:bottom w:val="single" w:sz="2" w:space="0" w:color="000000"/>
            </w:tcBorders>
            <w:shd w:fill="FFFFFF" w:val="clear"/>
            <w:vAlign w:val="center"/>
          </w:tcPr>
          <w:p>
            <w:pPr>
              <w:pStyle w:val="TableContents"/>
              <w:spacing w:lineRule="auto" w:line="300" w:before="0" w:after="0"/>
              <w:ind w:left="0" w:right="0" w:hanging="0"/>
              <w:jc w:val="both"/>
              <w:rPr/>
            </w:pPr>
            <w:r>
              <w:rPr/>
              <w:t> </w:t>
            </w:r>
          </w:p>
          <w:p>
            <w:pPr>
              <w:pStyle w:val="TableContents"/>
              <w:spacing w:lineRule="auto" w:line="300" w:before="0" w:after="0"/>
              <w:ind w:left="360" w:right="0" w:hanging="0"/>
              <w:jc w:val="center"/>
              <w:rPr>
                <w:rFonts w:ascii="Times New Roman" w:hAnsi="Times New Roman"/>
                <w:sz w:val="20"/>
              </w:rPr>
            </w:pPr>
            <w:bookmarkStart w:id="397" w:name="TAB1117"/>
            <w:bookmarkEnd w:id="397"/>
            <w:r>
              <w:rPr>
                <w:rFonts w:ascii="Times New Roman" w:hAnsi="Times New Roman"/>
                <w:sz w:val="20"/>
              </w:rPr>
              <w:t>$11,775,000</w:t>
            </w:r>
          </w:p>
          <w:p>
            <w:pPr>
              <w:pStyle w:val="TableContents"/>
              <w:spacing w:lineRule="auto" w:line="300" w:before="0" w:after="0"/>
              <w:ind w:left="0" w:right="0" w:hanging="0"/>
              <w:jc w:val="both"/>
              <w:rPr/>
            </w:pPr>
            <w:r>
              <w:rPr/>
              <w:t> </w:t>
            </w:r>
          </w:p>
        </w:tc>
      </w:tr>
      <w:tr>
        <w:trPr/>
        <w:tc>
          <w:tcPr>
            <w:tcW w:w="2857" w:type="dxa"/>
            <w:tcBorders>
              <w:bottom w:val="single" w:sz="2" w:space="0" w:color="000000"/>
            </w:tcBorders>
            <w:shd w:fill="CCEEFF" w:val="clear"/>
            <w:vAlign w:val="center"/>
          </w:tcPr>
          <w:p>
            <w:pPr>
              <w:pStyle w:val="TableContents"/>
              <w:spacing w:lineRule="auto" w:line="300" w:before="0" w:after="0"/>
              <w:ind w:left="0" w:right="0" w:hanging="0"/>
              <w:jc w:val="both"/>
              <w:rPr/>
            </w:pPr>
            <w:r>
              <w:rPr/>
              <w:t> </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Cinemas 1, 2 &amp; 3</w:t>
            </w:r>
          </w:p>
          <w:p>
            <w:pPr>
              <w:pStyle w:val="TableContents"/>
              <w:spacing w:lineRule="auto" w:line="300" w:before="0" w:after="0"/>
              <w:ind w:left="0" w:right="0" w:hanging="0"/>
              <w:jc w:val="both"/>
              <w:rPr/>
            </w:pPr>
            <w:r>
              <w:rPr/>
              <w:t> </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1003 Third Avenue</w:t>
            </w:r>
          </w:p>
          <w:p>
            <w:pPr>
              <w:pStyle w:val="TableContents"/>
              <w:spacing w:lineRule="auto" w:line="300" w:before="0" w:after="0"/>
              <w:ind w:left="0" w:right="0" w:hanging="0"/>
              <w:jc w:val="both"/>
              <w:rPr/>
            </w:pPr>
            <w:r>
              <w:rPr/>
              <w:t> </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Manhattan, NY, USA</w:t>
            </w:r>
          </w:p>
          <w:p>
            <w:pPr>
              <w:pStyle w:val="TableContents"/>
              <w:spacing w:lineRule="auto" w:line="300" w:before="0" w:after="0"/>
              <w:ind w:left="0" w:right="0" w:hanging="0"/>
              <w:jc w:val="both"/>
              <w:rPr/>
            </w:pPr>
            <w:r>
              <w:rPr/>
              <w:t> </w:t>
            </w:r>
          </w:p>
        </w:tc>
        <w:tc>
          <w:tcPr>
            <w:tcW w:w="2858" w:type="dxa"/>
            <w:tcBorders>
              <w:bottom w:val="single" w:sz="2" w:space="0" w:color="000000"/>
            </w:tcBorders>
            <w:shd w:fill="CCEEFF" w:val="clear"/>
            <w:vAlign w:val="center"/>
          </w:tcPr>
          <w:p>
            <w:pPr>
              <w:pStyle w:val="TableContents"/>
              <w:spacing w:lineRule="auto" w:line="300" w:before="0" w:after="0"/>
              <w:ind w:left="0" w:right="0" w:hanging="0"/>
              <w:jc w:val="both"/>
              <w:rPr/>
            </w:pPr>
            <w:r>
              <w:rPr/>
              <w:t> </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0 / 24,000</w:t>
            </w:r>
          </w:p>
          <w:p>
            <w:pPr>
              <w:pStyle w:val="TableContents"/>
              <w:spacing w:lineRule="auto" w:line="300" w:before="0" w:after="0"/>
              <w:ind w:left="0" w:right="0" w:hanging="0"/>
              <w:jc w:val="both"/>
              <w:rPr/>
            </w:pPr>
            <w:r>
              <w:rPr/>
              <w:t> </w:t>
            </w:r>
          </w:p>
        </w:tc>
        <w:tc>
          <w:tcPr>
            <w:tcW w:w="2177" w:type="dxa"/>
            <w:tcBorders>
              <w:bottom w:val="single" w:sz="2" w:space="0" w:color="000000"/>
            </w:tcBorders>
            <w:shd w:fill="CCEEFF" w:val="clear"/>
            <w:vAlign w:val="center"/>
          </w:tcPr>
          <w:p>
            <w:pPr>
              <w:pStyle w:val="TableContents"/>
              <w:spacing w:lineRule="auto" w:line="300" w:before="0" w:after="0"/>
              <w:ind w:left="0" w:right="0" w:hanging="0"/>
              <w:jc w:val="both"/>
              <w:rPr/>
            </w:pPr>
            <w:r>
              <w:rPr/>
              <w:t> </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N/A</w:t>
            </w:r>
          </w:p>
          <w:p>
            <w:pPr>
              <w:pStyle w:val="TableContents"/>
              <w:spacing w:lineRule="auto" w:line="300" w:before="0" w:after="0"/>
              <w:ind w:left="0" w:right="0" w:hanging="0"/>
              <w:jc w:val="both"/>
              <w:rPr/>
            </w:pPr>
            <w:r>
              <w:rPr/>
              <w:t> </w:t>
            </w:r>
          </w:p>
        </w:tc>
        <w:tc>
          <w:tcPr>
            <w:tcW w:w="2313" w:type="dxa"/>
            <w:tcBorders>
              <w:bottom w:val="single" w:sz="2" w:space="0" w:color="000000"/>
            </w:tcBorders>
            <w:shd w:fill="CCEEFF" w:val="clear"/>
            <w:vAlign w:val="center"/>
          </w:tcPr>
          <w:p>
            <w:pPr>
              <w:pStyle w:val="TableContents"/>
              <w:spacing w:lineRule="auto" w:line="300" w:before="0" w:after="0"/>
              <w:ind w:left="0" w:right="0" w:hanging="0"/>
              <w:jc w:val="both"/>
              <w:rPr/>
            </w:pPr>
            <w:r>
              <w:rPr/>
              <w:t> </w:t>
            </w:r>
          </w:p>
          <w:p>
            <w:pPr>
              <w:pStyle w:val="TableContents"/>
              <w:spacing w:lineRule="auto" w:line="300" w:before="0" w:after="0"/>
              <w:ind w:left="360" w:right="0" w:hanging="0"/>
              <w:jc w:val="center"/>
              <w:rPr>
                <w:rFonts w:ascii="Times New Roman" w:hAnsi="Times New Roman"/>
                <w:sz w:val="20"/>
              </w:rPr>
            </w:pPr>
            <w:bookmarkStart w:id="398" w:name="TAB1118"/>
            <w:bookmarkEnd w:id="398"/>
            <w:r>
              <w:rPr>
                <w:rFonts w:ascii="Times New Roman" w:hAnsi="Times New Roman"/>
                <w:sz w:val="20"/>
              </w:rPr>
              <w:t>$24,986,000</w:t>
            </w:r>
          </w:p>
          <w:p>
            <w:pPr>
              <w:pStyle w:val="TableContents"/>
              <w:spacing w:lineRule="auto" w:line="300" w:before="0" w:after="0"/>
              <w:ind w:left="0" w:right="0" w:hanging="0"/>
              <w:jc w:val="both"/>
              <w:rPr/>
            </w:pPr>
            <w:r>
              <w:rPr/>
              <w:t> </w:t>
            </w:r>
          </w:p>
        </w:tc>
      </w:tr>
      <w:tr>
        <w:trPr/>
        <w:tc>
          <w:tcPr>
            <w:tcW w:w="2857" w:type="dxa"/>
            <w:tcBorders>
              <w:bottom w:val="single" w:sz="2" w:space="0" w:color="000000"/>
            </w:tcBorders>
            <w:shd w:fill="FFFFFF" w:val="clear"/>
            <w:vAlign w:val="center"/>
          </w:tcPr>
          <w:p>
            <w:pPr>
              <w:pStyle w:val="TableContents"/>
              <w:spacing w:lineRule="auto" w:line="300" w:before="0" w:after="0"/>
              <w:ind w:left="0" w:right="0" w:hanging="0"/>
              <w:jc w:val="both"/>
              <w:rPr/>
            </w:pPr>
            <w:r>
              <w:rPr/>
              <w:t> </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Courtenay Central</w:t>
            </w:r>
          </w:p>
          <w:p>
            <w:pPr>
              <w:pStyle w:val="TableContents"/>
              <w:spacing w:lineRule="auto" w:line="300" w:before="0" w:after="0"/>
              <w:ind w:left="0" w:right="0" w:hanging="0"/>
              <w:jc w:val="both"/>
              <w:rPr/>
            </w:pPr>
            <w:r>
              <w:rPr/>
              <w:t> </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100 Courtenay Place</w:t>
            </w:r>
          </w:p>
          <w:p>
            <w:pPr>
              <w:pStyle w:val="TableContents"/>
              <w:spacing w:lineRule="auto" w:line="300" w:before="0" w:after="0"/>
              <w:ind w:left="0" w:right="0" w:hanging="0"/>
              <w:jc w:val="both"/>
              <w:rPr/>
            </w:pPr>
            <w:r>
              <w:rPr/>
              <w:t> </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Wellington, New Zealand</w:t>
            </w:r>
          </w:p>
          <w:p>
            <w:pPr>
              <w:pStyle w:val="TableContents"/>
              <w:spacing w:lineRule="auto" w:line="300" w:before="0" w:after="0"/>
              <w:ind w:left="0" w:right="0" w:hanging="0"/>
              <w:jc w:val="both"/>
              <w:rPr/>
            </w:pPr>
            <w:r>
              <w:rPr/>
              <w:t> </w:t>
            </w:r>
          </w:p>
        </w:tc>
        <w:tc>
          <w:tcPr>
            <w:tcW w:w="2858" w:type="dxa"/>
            <w:tcBorders>
              <w:bottom w:val="single" w:sz="2" w:space="0" w:color="000000"/>
            </w:tcBorders>
            <w:shd w:fill="FFFFFF" w:val="clear"/>
            <w:vAlign w:val="center"/>
          </w:tcPr>
          <w:p>
            <w:pPr>
              <w:pStyle w:val="TableContents"/>
              <w:spacing w:lineRule="auto" w:line="300" w:before="0" w:after="0"/>
              <w:ind w:left="0" w:right="0" w:hanging="0"/>
              <w:jc w:val="both"/>
              <w:rPr/>
            </w:pPr>
            <w:r>
              <w:rPr/>
              <w:t> </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38,000 / 68,000</w:t>
            </w:r>
          </w:p>
          <w:p>
            <w:pPr>
              <w:pStyle w:val="TableContents"/>
              <w:spacing w:lineRule="auto" w:line="300" w:before="0" w:after="0"/>
              <w:ind w:left="0" w:right="0" w:hanging="0"/>
              <w:jc w:val="both"/>
              <w:rPr/>
            </w:pPr>
            <w:r>
              <w:rPr/>
              <w:t> </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Plus a 245,000 square foot parking structure</w:t>
            </w:r>
          </w:p>
          <w:p>
            <w:pPr>
              <w:pStyle w:val="TableContents"/>
              <w:spacing w:lineRule="auto" w:line="300" w:before="0" w:after="0"/>
              <w:ind w:left="0" w:right="0" w:hanging="0"/>
              <w:jc w:val="both"/>
              <w:rPr/>
            </w:pPr>
            <w:r>
              <w:rPr/>
              <w:t> </w:t>
            </w:r>
          </w:p>
        </w:tc>
        <w:tc>
          <w:tcPr>
            <w:tcW w:w="2177" w:type="dxa"/>
            <w:tcBorders>
              <w:bottom w:val="single" w:sz="2" w:space="0" w:color="000000"/>
            </w:tcBorders>
            <w:shd w:fill="FFFFFF" w:val="clear"/>
            <w:vAlign w:val="center"/>
          </w:tcPr>
          <w:p>
            <w:pPr>
              <w:pStyle w:val="TableContents"/>
              <w:spacing w:lineRule="auto" w:line="300" w:before="0" w:after="0"/>
              <w:ind w:left="0" w:right="0" w:hanging="0"/>
              <w:jc w:val="both"/>
              <w:rPr/>
            </w:pPr>
            <w:r>
              <w:rPr/>
              <w:t> </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76%</w:t>
            </w:r>
          </w:p>
          <w:p>
            <w:pPr>
              <w:pStyle w:val="TableContents"/>
              <w:spacing w:lineRule="auto" w:line="300" w:before="0" w:after="0"/>
              <w:ind w:left="0" w:right="0" w:hanging="0"/>
              <w:jc w:val="both"/>
              <w:rPr/>
            </w:pPr>
            <w:r>
              <w:rPr/>
              <w:t> </w:t>
            </w:r>
          </w:p>
        </w:tc>
        <w:tc>
          <w:tcPr>
            <w:tcW w:w="2313" w:type="dxa"/>
            <w:tcBorders>
              <w:bottom w:val="single" w:sz="2" w:space="0" w:color="000000"/>
            </w:tcBorders>
            <w:shd w:fill="FFFFFF" w:val="clear"/>
            <w:vAlign w:val="center"/>
          </w:tcPr>
          <w:p>
            <w:pPr>
              <w:pStyle w:val="TableContents"/>
              <w:spacing w:lineRule="auto" w:line="300" w:before="0" w:after="0"/>
              <w:ind w:left="0" w:right="0" w:hanging="0"/>
              <w:jc w:val="both"/>
              <w:rPr/>
            </w:pPr>
            <w:r>
              <w:rPr/>
              <w:t> </w:t>
            </w:r>
          </w:p>
          <w:p>
            <w:pPr>
              <w:pStyle w:val="TableContents"/>
              <w:spacing w:lineRule="auto" w:line="300" w:before="0" w:after="0"/>
              <w:ind w:left="360" w:right="0" w:hanging="0"/>
              <w:jc w:val="center"/>
              <w:rPr>
                <w:rFonts w:ascii="Times New Roman" w:hAnsi="Times New Roman"/>
                <w:sz w:val="20"/>
              </w:rPr>
            </w:pPr>
            <w:bookmarkStart w:id="399" w:name="TAB1119"/>
            <w:bookmarkEnd w:id="399"/>
            <w:r>
              <w:rPr>
                <w:rFonts w:ascii="Times New Roman" w:hAnsi="Times New Roman"/>
                <w:sz w:val="20"/>
              </w:rPr>
              <w:t>$26,815,000</w:t>
            </w:r>
          </w:p>
          <w:p>
            <w:pPr>
              <w:pStyle w:val="TableContents"/>
              <w:spacing w:lineRule="auto" w:line="300" w:before="0" w:after="0"/>
              <w:ind w:left="0" w:right="0" w:hanging="0"/>
              <w:jc w:val="both"/>
              <w:rPr/>
            </w:pPr>
            <w:r>
              <w:rPr/>
              <w:t> </w:t>
            </w:r>
          </w:p>
        </w:tc>
      </w:tr>
      <w:tr>
        <w:trPr/>
        <w:tc>
          <w:tcPr>
            <w:tcW w:w="2857" w:type="dxa"/>
            <w:tcBorders>
              <w:bottom w:val="single" w:sz="2" w:space="0" w:color="000000"/>
            </w:tcBorders>
            <w:shd w:fill="CCEEFF" w:val="clear"/>
            <w:vAlign w:val="center"/>
          </w:tcPr>
          <w:p>
            <w:pPr>
              <w:pStyle w:val="TableContents"/>
              <w:spacing w:lineRule="auto" w:line="300" w:before="0" w:after="0"/>
              <w:ind w:left="0" w:right="0" w:hanging="0"/>
              <w:jc w:val="both"/>
              <w:rPr/>
            </w:pPr>
            <w:r>
              <w:rPr/>
              <w:t> </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Invercargill Cinema</w:t>
            </w:r>
          </w:p>
          <w:p>
            <w:pPr>
              <w:pStyle w:val="TableContents"/>
              <w:spacing w:lineRule="auto" w:line="300" w:before="0" w:after="0"/>
              <w:ind w:left="0" w:right="0" w:hanging="0"/>
              <w:jc w:val="both"/>
              <w:rPr/>
            </w:pPr>
            <w:r>
              <w:rPr/>
              <w:t> </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29 Dee Street</w:t>
            </w:r>
          </w:p>
          <w:p>
            <w:pPr>
              <w:pStyle w:val="TableContents"/>
              <w:spacing w:lineRule="auto" w:line="300" w:before="0" w:after="0"/>
              <w:ind w:left="0" w:right="0" w:hanging="0"/>
              <w:jc w:val="both"/>
              <w:rPr/>
            </w:pPr>
            <w:r>
              <w:rPr/>
              <w:t> </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Invercargill, New Zealand</w:t>
            </w:r>
          </w:p>
          <w:p>
            <w:pPr>
              <w:pStyle w:val="TableContents"/>
              <w:spacing w:lineRule="auto" w:line="300" w:before="0" w:after="0"/>
              <w:ind w:left="0" w:right="0" w:hanging="0"/>
              <w:jc w:val="both"/>
              <w:rPr/>
            </w:pPr>
            <w:r>
              <w:rPr/>
              <w:t> </w:t>
            </w:r>
          </w:p>
        </w:tc>
        <w:tc>
          <w:tcPr>
            <w:tcW w:w="2858" w:type="dxa"/>
            <w:tcBorders>
              <w:bottom w:val="single" w:sz="2" w:space="0" w:color="000000"/>
            </w:tcBorders>
            <w:shd w:fill="CCEEFF" w:val="clear"/>
            <w:vAlign w:val="center"/>
          </w:tcPr>
          <w:p>
            <w:pPr>
              <w:pStyle w:val="TableContents"/>
              <w:spacing w:lineRule="auto" w:line="300" w:before="0" w:after="0"/>
              <w:ind w:left="0" w:right="0" w:hanging="0"/>
              <w:jc w:val="both"/>
              <w:rPr/>
            </w:pPr>
            <w:r>
              <w:rPr/>
              <w:t> </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7,000 / 20,000</w:t>
            </w:r>
          </w:p>
          <w:p>
            <w:pPr>
              <w:pStyle w:val="TableContents"/>
              <w:spacing w:lineRule="auto" w:line="300" w:before="0" w:after="0"/>
              <w:ind w:left="0" w:right="0" w:hanging="0"/>
              <w:jc w:val="both"/>
              <w:rPr/>
            </w:pPr>
            <w:r>
              <w:rPr/>
              <w:t> </w:t>
            </w:r>
          </w:p>
        </w:tc>
        <w:tc>
          <w:tcPr>
            <w:tcW w:w="2177" w:type="dxa"/>
            <w:tcBorders>
              <w:bottom w:val="single" w:sz="2" w:space="0" w:color="000000"/>
            </w:tcBorders>
            <w:shd w:fill="CCEEFF" w:val="clear"/>
            <w:vAlign w:val="center"/>
          </w:tcPr>
          <w:p>
            <w:pPr>
              <w:pStyle w:val="TableContents"/>
              <w:spacing w:lineRule="auto" w:line="300" w:before="0" w:after="0"/>
              <w:ind w:left="0" w:right="0" w:hanging="0"/>
              <w:jc w:val="both"/>
              <w:rPr/>
            </w:pPr>
            <w:r>
              <w:rPr/>
              <w:t> </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85%</w:t>
            </w:r>
          </w:p>
          <w:p>
            <w:pPr>
              <w:pStyle w:val="TableContents"/>
              <w:spacing w:lineRule="auto" w:line="300" w:before="0" w:after="0"/>
              <w:ind w:left="0" w:right="0" w:hanging="0"/>
              <w:jc w:val="both"/>
              <w:rPr/>
            </w:pPr>
            <w:r>
              <w:rPr/>
              <w:t> </w:t>
            </w:r>
          </w:p>
        </w:tc>
        <w:tc>
          <w:tcPr>
            <w:tcW w:w="2313" w:type="dxa"/>
            <w:tcBorders>
              <w:bottom w:val="single" w:sz="2" w:space="0" w:color="000000"/>
            </w:tcBorders>
            <w:shd w:fill="CCEEFF" w:val="clear"/>
            <w:vAlign w:val="center"/>
          </w:tcPr>
          <w:p>
            <w:pPr>
              <w:pStyle w:val="TableContents"/>
              <w:spacing w:lineRule="auto" w:line="300" w:before="0" w:after="0"/>
              <w:ind w:left="0" w:right="0" w:hanging="0"/>
              <w:jc w:val="both"/>
              <w:rPr/>
            </w:pPr>
            <w:r>
              <w:rPr/>
              <w:t> </w:t>
            </w:r>
          </w:p>
          <w:p>
            <w:pPr>
              <w:pStyle w:val="TableContents"/>
              <w:spacing w:lineRule="auto" w:line="300" w:before="0" w:after="0"/>
              <w:ind w:left="360" w:right="0" w:hanging="0"/>
              <w:jc w:val="center"/>
              <w:rPr>
                <w:rFonts w:ascii="Times New Roman" w:hAnsi="Times New Roman"/>
                <w:sz w:val="20"/>
              </w:rPr>
            </w:pPr>
            <w:bookmarkStart w:id="400" w:name="TAB1120"/>
            <w:bookmarkEnd w:id="400"/>
            <w:r>
              <w:rPr>
                <w:rFonts w:ascii="Times New Roman" w:hAnsi="Times New Roman"/>
                <w:sz w:val="20"/>
              </w:rPr>
              <w:t>$2,311,000</w:t>
            </w:r>
          </w:p>
          <w:p>
            <w:pPr>
              <w:pStyle w:val="TableContents"/>
              <w:spacing w:lineRule="auto" w:line="300" w:before="0" w:after="0"/>
              <w:ind w:left="0" w:right="0" w:hanging="0"/>
              <w:jc w:val="both"/>
              <w:rPr/>
            </w:pPr>
            <w:r>
              <w:rPr/>
              <w:t> </w:t>
            </w:r>
          </w:p>
        </w:tc>
      </w:tr>
      <w:tr>
        <w:trPr/>
        <w:tc>
          <w:tcPr>
            <w:tcW w:w="2857" w:type="dxa"/>
            <w:tcBorders>
              <w:bottom w:val="single" w:sz="2" w:space="0" w:color="000000"/>
            </w:tcBorders>
            <w:shd w:fill="FFFFFF" w:val="clear"/>
            <w:vAlign w:val="center"/>
          </w:tcPr>
          <w:p>
            <w:pPr>
              <w:pStyle w:val="TableContents"/>
              <w:spacing w:lineRule="auto" w:line="300" w:before="0" w:after="0"/>
              <w:ind w:left="0" w:right="0" w:hanging="0"/>
              <w:jc w:val="both"/>
              <w:rPr/>
            </w:pPr>
            <w:r>
              <w:rPr/>
              <w:t> </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Maitland Cinema</w:t>
            </w:r>
          </w:p>
          <w:p>
            <w:pPr>
              <w:pStyle w:val="TableContents"/>
              <w:spacing w:lineRule="auto" w:line="300" w:before="0" w:after="0"/>
              <w:ind w:left="0" w:right="0" w:hanging="0"/>
              <w:jc w:val="both"/>
              <w:rPr/>
            </w:pPr>
            <w:r>
              <w:rPr/>
              <w:t> </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Ken Tubman Drive</w:t>
            </w:r>
          </w:p>
          <w:p>
            <w:pPr>
              <w:pStyle w:val="TableContents"/>
              <w:spacing w:lineRule="auto" w:line="300" w:before="0" w:after="0"/>
              <w:ind w:left="0" w:right="0" w:hanging="0"/>
              <w:jc w:val="both"/>
              <w:rPr/>
            </w:pPr>
            <w:r>
              <w:rPr/>
              <w:t> </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Maitland, NSW, Australia</w:t>
            </w:r>
          </w:p>
          <w:p>
            <w:pPr>
              <w:pStyle w:val="TableContents"/>
              <w:spacing w:lineRule="auto" w:line="300" w:before="0" w:after="0"/>
              <w:ind w:left="0" w:right="0" w:hanging="0"/>
              <w:jc w:val="both"/>
              <w:rPr/>
            </w:pPr>
            <w:r>
              <w:rPr/>
              <w:t> </w:t>
            </w:r>
          </w:p>
        </w:tc>
        <w:tc>
          <w:tcPr>
            <w:tcW w:w="2858" w:type="dxa"/>
            <w:tcBorders>
              <w:bottom w:val="single" w:sz="2" w:space="0" w:color="000000"/>
            </w:tcBorders>
            <w:shd w:fill="FFFFFF" w:val="clear"/>
            <w:vAlign w:val="center"/>
          </w:tcPr>
          <w:p>
            <w:pPr>
              <w:pStyle w:val="TableContents"/>
              <w:spacing w:lineRule="auto" w:line="300" w:before="0" w:after="0"/>
              <w:ind w:left="0" w:right="0" w:hanging="0"/>
              <w:jc w:val="both"/>
              <w:rPr/>
            </w:pPr>
            <w:r>
              <w:rPr/>
              <w:t> </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0 / 22,000</w:t>
            </w:r>
          </w:p>
          <w:p>
            <w:pPr>
              <w:pStyle w:val="TableContents"/>
              <w:spacing w:lineRule="auto" w:line="300" w:before="0" w:after="0"/>
              <w:ind w:left="0" w:right="0" w:hanging="0"/>
              <w:jc w:val="both"/>
              <w:rPr/>
            </w:pPr>
            <w:r>
              <w:rPr/>
              <w:t> </w:t>
            </w:r>
          </w:p>
        </w:tc>
        <w:tc>
          <w:tcPr>
            <w:tcW w:w="2177" w:type="dxa"/>
            <w:tcBorders>
              <w:bottom w:val="single" w:sz="2" w:space="0" w:color="000000"/>
            </w:tcBorders>
            <w:shd w:fill="FFFFFF" w:val="clear"/>
            <w:vAlign w:val="center"/>
          </w:tcPr>
          <w:p>
            <w:pPr>
              <w:pStyle w:val="TableContents"/>
              <w:spacing w:lineRule="auto" w:line="300" w:before="0" w:after="0"/>
              <w:ind w:left="0" w:right="0" w:hanging="0"/>
              <w:jc w:val="both"/>
              <w:rPr/>
            </w:pPr>
            <w:r>
              <w:rPr/>
              <w:t> </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N/A</w:t>
            </w:r>
          </w:p>
          <w:p>
            <w:pPr>
              <w:pStyle w:val="TableContents"/>
              <w:spacing w:lineRule="auto" w:line="300" w:before="0" w:after="0"/>
              <w:ind w:left="0" w:right="0" w:hanging="0"/>
              <w:jc w:val="both"/>
              <w:rPr/>
            </w:pPr>
            <w:r>
              <w:rPr/>
              <w:t> </w:t>
            </w:r>
          </w:p>
        </w:tc>
        <w:tc>
          <w:tcPr>
            <w:tcW w:w="2313" w:type="dxa"/>
            <w:tcBorders>
              <w:bottom w:val="single" w:sz="2" w:space="0" w:color="000000"/>
            </w:tcBorders>
            <w:shd w:fill="FFFFFF" w:val="clear"/>
            <w:vAlign w:val="center"/>
          </w:tcPr>
          <w:p>
            <w:pPr>
              <w:pStyle w:val="TableContents"/>
              <w:spacing w:lineRule="auto" w:line="300" w:before="0" w:after="0"/>
              <w:ind w:left="0" w:right="0" w:hanging="0"/>
              <w:jc w:val="both"/>
              <w:rPr/>
            </w:pPr>
            <w:r>
              <w:rPr/>
              <w:t> </w:t>
            </w:r>
          </w:p>
          <w:p>
            <w:pPr>
              <w:pStyle w:val="TableContents"/>
              <w:spacing w:lineRule="auto" w:line="300" w:before="0" w:after="0"/>
              <w:ind w:left="360" w:right="0" w:hanging="0"/>
              <w:jc w:val="center"/>
              <w:rPr>
                <w:rFonts w:ascii="Times New Roman" w:hAnsi="Times New Roman"/>
                <w:sz w:val="20"/>
              </w:rPr>
            </w:pPr>
            <w:bookmarkStart w:id="401" w:name="TAB1121"/>
            <w:bookmarkEnd w:id="401"/>
            <w:r>
              <w:rPr>
                <w:rFonts w:ascii="Times New Roman" w:hAnsi="Times New Roman"/>
                <w:sz w:val="20"/>
              </w:rPr>
              <w:t>$1,873,000</w:t>
            </w:r>
          </w:p>
          <w:p>
            <w:pPr>
              <w:pStyle w:val="TableContents"/>
              <w:spacing w:lineRule="auto" w:line="300" w:before="0" w:after="0"/>
              <w:ind w:left="0" w:right="0" w:hanging="0"/>
              <w:jc w:val="both"/>
              <w:rPr/>
            </w:pPr>
            <w:r>
              <w:rPr/>
              <w:t> </w:t>
            </w:r>
          </w:p>
        </w:tc>
      </w:tr>
      <w:tr>
        <w:trPr/>
        <w:tc>
          <w:tcPr>
            <w:tcW w:w="2857" w:type="dxa"/>
            <w:tcBorders>
              <w:bottom w:val="double" w:sz="2" w:space="0" w:color="000000"/>
            </w:tcBorders>
            <w:shd w:fill="CCEEFF" w:val="clear"/>
            <w:vAlign w:val="center"/>
          </w:tcPr>
          <w:p>
            <w:pPr>
              <w:pStyle w:val="TableContents"/>
              <w:spacing w:lineRule="auto" w:line="300" w:before="0" w:after="0"/>
              <w:ind w:left="0" w:right="0" w:hanging="0"/>
              <w:jc w:val="both"/>
              <w:rPr/>
            </w:pPr>
            <w:r>
              <w:rPr/>
              <w:t> </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Minetta Lane Theatre</w:t>
            </w:r>
          </w:p>
          <w:p>
            <w:pPr>
              <w:pStyle w:val="TableContents"/>
              <w:spacing w:lineRule="auto" w:line="300" w:before="0" w:after="0"/>
              <w:ind w:left="0" w:right="0" w:hanging="0"/>
              <w:jc w:val="both"/>
              <w:rPr/>
            </w:pPr>
            <w:r>
              <w:rPr/>
              <w:t> </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18-22 Minetta Lane</w:t>
            </w:r>
          </w:p>
          <w:p>
            <w:pPr>
              <w:pStyle w:val="TableContents"/>
              <w:spacing w:lineRule="auto" w:line="300" w:before="0" w:after="0"/>
              <w:ind w:left="0" w:right="0" w:hanging="0"/>
              <w:jc w:val="both"/>
              <w:rPr/>
            </w:pPr>
            <w:r>
              <w:rPr/>
              <w:t> </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Manhattan, NY, USA</w:t>
            </w:r>
          </w:p>
          <w:p>
            <w:pPr>
              <w:pStyle w:val="TableContents"/>
              <w:spacing w:lineRule="auto" w:line="300" w:before="0" w:after="0"/>
              <w:ind w:left="0" w:right="0" w:hanging="0"/>
              <w:jc w:val="both"/>
              <w:rPr/>
            </w:pPr>
            <w:r>
              <w:rPr/>
              <w:t> </w:t>
            </w:r>
          </w:p>
        </w:tc>
        <w:tc>
          <w:tcPr>
            <w:tcW w:w="2858" w:type="dxa"/>
            <w:tcBorders>
              <w:bottom w:val="double" w:sz="2" w:space="0" w:color="000000"/>
            </w:tcBorders>
            <w:shd w:fill="CCEEFF" w:val="clear"/>
            <w:vAlign w:val="center"/>
          </w:tcPr>
          <w:p>
            <w:pPr>
              <w:pStyle w:val="TableContents"/>
              <w:spacing w:lineRule="auto" w:line="300" w:before="0" w:after="0"/>
              <w:ind w:left="0" w:right="0" w:hanging="0"/>
              <w:jc w:val="both"/>
              <w:rPr/>
            </w:pPr>
            <w:r>
              <w:rPr/>
              <w:t> </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0 / 9,000</w:t>
            </w:r>
          </w:p>
          <w:p>
            <w:pPr>
              <w:pStyle w:val="TableContents"/>
              <w:spacing w:lineRule="auto" w:line="300" w:before="0" w:after="0"/>
              <w:ind w:left="0" w:right="0" w:hanging="0"/>
              <w:jc w:val="both"/>
              <w:rPr/>
            </w:pPr>
            <w:r>
              <w:rPr/>
              <w:t> </w:t>
            </w:r>
          </w:p>
        </w:tc>
        <w:tc>
          <w:tcPr>
            <w:tcW w:w="2177" w:type="dxa"/>
            <w:tcBorders>
              <w:bottom w:val="double" w:sz="2" w:space="0" w:color="000000"/>
            </w:tcBorders>
            <w:shd w:fill="CCEEFF" w:val="clear"/>
            <w:vAlign w:val="center"/>
          </w:tcPr>
          <w:p>
            <w:pPr>
              <w:pStyle w:val="TableContents"/>
              <w:spacing w:lineRule="auto" w:line="300" w:before="0" w:after="0"/>
              <w:ind w:left="0" w:right="0" w:hanging="0"/>
              <w:jc w:val="both"/>
              <w:rPr/>
            </w:pPr>
            <w:r>
              <w:rPr/>
              <w:t> </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N/A</w:t>
            </w:r>
          </w:p>
          <w:p>
            <w:pPr>
              <w:pStyle w:val="TableContents"/>
              <w:spacing w:lineRule="auto" w:line="300" w:before="0" w:after="0"/>
              <w:ind w:left="0" w:right="0" w:hanging="0"/>
              <w:jc w:val="both"/>
              <w:rPr/>
            </w:pPr>
            <w:r>
              <w:rPr/>
              <w:t> </w:t>
            </w:r>
          </w:p>
        </w:tc>
        <w:tc>
          <w:tcPr>
            <w:tcW w:w="2313" w:type="dxa"/>
            <w:tcBorders>
              <w:bottom w:val="double" w:sz="2" w:space="0" w:color="000000"/>
            </w:tcBorders>
            <w:shd w:fill="CCEEFF" w:val="clear"/>
            <w:vAlign w:val="center"/>
          </w:tcPr>
          <w:p>
            <w:pPr>
              <w:pStyle w:val="TableContents"/>
              <w:spacing w:lineRule="auto" w:line="300" w:before="0" w:after="0"/>
              <w:ind w:left="0" w:right="0" w:hanging="0"/>
              <w:jc w:val="both"/>
              <w:rPr/>
            </w:pPr>
            <w:r>
              <w:rPr/>
              <w:t> </w:t>
            </w:r>
          </w:p>
          <w:p>
            <w:pPr>
              <w:pStyle w:val="TableContents"/>
              <w:spacing w:lineRule="auto" w:line="300" w:before="0" w:after="0"/>
              <w:ind w:left="360" w:right="0" w:hanging="0"/>
              <w:jc w:val="center"/>
              <w:rPr>
                <w:rFonts w:ascii="Times New Roman" w:hAnsi="Times New Roman"/>
                <w:sz w:val="20"/>
              </w:rPr>
            </w:pPr>
            <w:bookmarkStart w:id="402" w:name="TAB1122"/>
            <w:bookmarkEnd w:id="402"/>
            <w:r>
              <w:rPr>
                <w:rFonts w:ascii="Times New Roman" w:hAnsi="Times New Roman"/>
                <w:sz w:val="20"/>
              </w:rPr>
              <w:t>$4,354,000</w:t>
            </w:r>
          </w:p>
          <w:p>
            <w:pPr>
              <w:pStyle w:val="TableContents"/>
              <w:spacing w:lineRule="auto" w:line="300" w:before="0" w:after="0"/>
              <w:ind w:left="0" w:right="0" w:hanging="0"/>
              <w:jc w:val="both"/>
              <w:rPr/>
            </w:pPr>
            <w:r>
              <w:rPr/>
              <w:t> </w:t>
            </w:r>
          </w:p>
        </w:tc>
      </w:tr>
    </w:tbl>
    <w:p>
      <w:pPr>
        <w:pStyle w:val="TextBody"/>
        <w:spacing w:before="0" w:after="0"/>
        <w:rPr/>
      </w:pPr>
      <w:r>
        <w:rPr/>
        <w:t> </w:t>
      </w:r>
    </w:p>
    <w:p>
      <w:pPr>
        <w:pStyle w:val="TextBody"/>
        <w:spacing w:before="0" w:after="0"/>
        <w:rPr>
          <w:rFonts w:ascii="Times New Roman" w:hAnsi="Times New Roman"/>
          <w:color w:val="000000"/>
          <w:sz w:val="20"/>
        </w:rPr>
      </w:pPr>
      <w:r>
        <w:rPr>
          <w:rFonts w:ascii="Times New Roman" w:hAnsi="Times New Roman"/>
          <w:color w:val="000000"/>
          <w:position w:val="7"/>
          <w:sz w:val="16"/>
          <w:sz w:val="20"/>
        </w:rPr>
        <w:t>8</w:t>
      </w:r>
      <w:r>
        <w:rPr>
          <w:rFonts w:ascii="Times New Roman" w:hAnsi="Times New Roman"/>
          <w:color w:val="000000"/>
          <w:sz w:val="20"/>
        </w:rPr>
        <w:t>  A number of our properties include entertainment components rented to one or more of our subsidiaries. The rental area and percentage leased numbers are net of such entertainment components as is the book value. Book value and rental information are as of December 31, 2006.</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03" w:name="PGBRK19"/>
      <w:bookmarkStart w:id="404" w:name="PGBRK19"/>
      <w:bookmarkEnd w:id="40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05" w:name="FTR19"/>
      <w:bookmarkStart w:id="406" w:name="FTR19"/>
      <w:bookmarkEnd w:id="40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07" w:name="GLFTR19"/>
      <w:bookmarkStart w:id="408" w:name="GLFTR19"/>
      <w:bookmarkEnd w:id="40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409" w:name="PN19"/>
      <w:bookmarkEnd w:id="409"/>
      <w:r>
        <w:rPr>
          <w:rFonts w:ascii="Times New Roman" w:hAnsi="Times New Roman"/>
          <w:sz w:val="16"/>
        </w:rPr>
        <w:t>-19-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10" w:name="HDR19"/>
      <w:bookmarkStart w:id="411" w:name="HDR19"/>
      <w:bookmarkEnd w:id="41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412" w:name="GLHDR19"/>
        <w:bookmarkEnd w:id="412"/>
        <w:r>
          <w:rPr>
            <w:rStyle w:val="Emphasis"/>
            <w:rFonts w:ascii="Times New Roman" w:hAnsi="Times New Roman"/>
            <w:color w:val="000000"/>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tbl>
      <w:tblPr>
        <w:tblW w:w="5000" w:type="pct"/>
        <w:jc w:val="left"/>
        <w:tblInd w:w="0" w:type="dxa"/>
        <w:tblCellMar>
          <w:top w:w="0" w:type="dxa"/>
          <w:left w:w="0" w:type="dxa"/>
          <w:bottom w:w="28" w:type="dxa"/>
          <w:right w:w="0" w:type="dxa"/>
        </w:tblCellMar>
      </w:tblPr>
      <w:tblGrid>
        <w:gridCol w:w="2857"/>
        <w:gridCol w:w="2857"/>
        <w:gridCol w:w="2177"/>
        <w:gridCol w:w="2314"/>
      </w:tblGrid>
      <w:tr>
        <w:trPr/>
        <w:tc>
          <w:tcPr>
            <w:tcW w:w="2857" w:type="dxa"/>
            <w:tcBorders>
              <w:bottom w:val="double" w:sz="2" w:space="0" w:color="000000"/>
            </w:tcBorders>
            <w:shd w:fill="auto" w:val="clear"/>
            <w:vAlign w:val="bottom"/>
          </w:tcPr>
          <w:p>
            <w:pPr>
              <w:pStyle w:val="TableContents"/>
              <w:spacing w:lineRule="auto" w:line="300" w:before="0" w:after="0"/>
              <w:ind w:left="0" w:right="0" w:hanging="0"/>
              <w:jc w:val="both"/>
              <w:rPr/>
            </w:pPr>
            <w:r>
              <w:rPr/>
              <w:t> </w:t>
            </w:r>
          </w:p>
          <w:p>
            <w:pPr>
              <w:pStyle w:val="TableContents"/>
              <w:spacing w:lineRule="auto" w:line="300" w:before="0" w:after="0"/>
              <w:ind w:left="0" w:right="0" w:hanging="0"/>
              <w:jc w:val="center"/>
              <w:rPr/>
            </w:pPr>
            <w:r>
              <w:rPr>
                <w:rStyle w:val="StrongEmphasis"/>
                <w:rFonts w:ascii="Times New Roman" w:hAnsi="Times New Roman"/>
                <w:sz w:val="20"/>
              </w:rPr>
              <w:t>Property</w:t>
            </w:r>
            <w:r>
              <w:rPr>
                <w:rStyle w:val="StrongEmphasis"/>
                <w:rFonts w:ascii="Times New Roman" w:hAnsi="Times New Roman"/>
                <w:position w:val="7"/>
                <w:sz w:val="16"/>
                <w:sz w:val="20"/>
              </w:rPr>
              <w:t>9</w:t>
            </w:r>
            <w:r>
              <w:rPr/>
              <w:t> </w:t>
            </w:r>
          </w:p>
        </w:tc>
        <w:tc>
          <w:tcPr>
            <w:tcW w:w="2857" w:type="dxa"/>
            <w:tcBorders>
              <w:bottom w:val="double" w:sz="2" w:space="0" w:color="000000"/>
            </w:tcBorders>
            <w:shd w:fill="auto" w:val="clear"/>
            <w:vAlign w:val="bottom"/>
          </w:tcPr>
          <w:p>
            <w:pPr>
              <w:pStyle w:val="TableContents"/>
              <w:spacing w:lineRule="auto" w:line="300" w:before="0" w:after="0"/>
              <w:ind w:left="0" w:right="0" w:hanging="0"/>
              <w:jc w:val="both"/>
              <w:rPr/>
            </w:pPr>
            <w:r>
              <w:rPr/>
              <w:t> </w:t>
            </w:r>
          </w:p>
          <w:p>
            <w:pPr>
              <w:pStyle w:val="TableContents"/>
              <w:spacing w:lineRule="auto" w:line="300" w:before="0" w:after="0"/>
              <w:ind w:left="0" w:right="0" w:hanging="0"/>
              <w:jc w:val="center"/>
              <w:rPr/>
            </w:pPr>
            <w:r>
              <w:rPr>
                <w:rStyle w:val="StrongEmphasis"/>
                <w:rFonts w:ascii="Times New Roman" w:hAnsi="Times New Roman"/>
                <w:sz w:val="20"/>
              </w:rPr>
              <w:t>Square Footage of Improvements</w:t>
            </w:r>
          </w:p>
          <w:p>
            <w:pPr>
              <w:pStyle w:val="TableContents"/>
              <w:spacing w:lineRule="auto" w:line="300" w:before="0" w:after="0"/>
              <w:ind w:left="0" w:right="0" w:hanging="0"/>
              <w:jc w:val="both"/>
              <w:rPr/>
            </w:pPr>
            <w:r>
              <w:rPr/>
              <w:t> </w:t>
            </w:r>
          </w:p>
          <w:p>
            <w:pPr>
              <w:pStyle w:val="TableContents"/>
              <w:spacing w:lineRule="auto" w:line="300" w:before="0" w:after="0"/>
              <w:ind w:left="0" w:right="0" w:hanging="0"/>
              <w:jc w:val="center"/>
              <w:rPr/>
            </w:pPr>
            <w:r>
              <w:rPr>
                <w:rStyle w:val="StrongEmphasis"/>
                <w:rFonts w:ascii="Times New Roman" w:hAnsi="Times New Roman"/>
                <w:sz w:val="20"/>
              </w:rPr>
              <w:t>(rental/entertainment)</w:t>
            </w:r>
          </w:p>
        </w:tc>
        <w:tc>
          <w:tcPr>
            <w:tcW w:w="2177" w:type="dxa"/>
            <w:tcBorders>
              <w:bottom w:val="double" w:sz="2" w:space="0" w:color="000000"/>
            </w:tcBorders>
            <w:shd w:fill="auto" w:val="clear"/>
            <w:vAlign w:val="bottom"/>
          </w:tcPr>
          <w:p>
            <w:pPr>
              <w:pStyle w:val="TableContents"/>
              <w:spacing w:lineRule="auto" w:line="300" w:before="0" w:after="0"/>
              <w:ind w:left="0" w:right="0" w:hanging="0"/>
              <w:jc w:val="both"/>
              <w:rPr/>
            </w:pPr>
            <w:r>
              <w:rPr/>
              <w:t> </w:t>
            </w:r>
          </w:p>
          <w:p>
            <w:pPr>
              <w:pStyle w:val="TableContents"/>
              <w:spacing w:lineRule="auto" w:line="300" w:before="0" w:after="0"/>
              <w:ind w:left="0" w:right="0" w:hanging="0"/>
              <w:jc w:val="center"/>
              <w:rPr/>
            </w:pPr>
            <w:r>
              <w:rPr>
                <w:rStyle w:val="StrongEmphasis"/>
                <w:rFonts w:ascii="Times New Roman" w:hAnsi="Times New Roman"/>
                <w:sz w:val="20"/>
              </w:rPr>
              <w:t>Percentage Leased</w:t>
            </w:r>
          </w:p>
        </w:tc>
        <w:tc>
          <w:tcPr>
            <w:tcW w:w="2314" w:type="dxa"/>
            <w:tcBorders>
              <w:bottom w:val="double" w:sz="2" w:space="0" w:color="000000"/>
            </w:tcBorders>
            <w:shd w:fill="auto" w:val="clear"/>
            <w:vAlign w:val="bottom"/>
          </w:tcPr>
          <w:p>
            <w:pPr>
              <w:pStyle w:val="TableContents"/>
              <w:spacing w:lineRule="auto" w:line="300" w:before="0" w:after="0"/>
              <w:ind w:left="0" w:right="0" w:hanging="0"/>
              <w:jc w:val="both"/>
              <w:rPr/>
            </w:pPr>
            <w:r>
              <w:rPr/>
              <w:t> </w:t>
            </w:r>
          </w:p>
          <w:p>
            <w:pPr>
              <w:pStyle w:val="TableContents"/>
              <w:spacing w:lineRule="auto" w:line="300" w:before="0" w:after="0"/>
              <w:ind w:left="0" w:right="0" w:hanging="0"/>
              <w:jc w:val="center"/>
              <w:rPr/>
            </w:pPr>
            <w:r>
              <w:rPr>
                <w:rStyle w:val="StrongEmphasis"/>
                <w:rFonts w:ascii="Times New Roman" w:hAnsi="Times New Roman"/>
                <w:sz w:val="20"/>
              </w:rPr>
              <w:t>Gross Book Value</w:t>
            </w:r>
          </w:p>
          <w:p>
            <w:pPr>
              <w:pStyle w:val="TableContents"/>
              <w:spacing w:lineRule="auto" w:line="300" w:before="0" w:after="0"/>
              <w:ind w:left="0" w:right="0" w:hanging="0"/>
              <w:jc w:val="both"/>
              <w:rPr/>
            </w:pPr>
            <w:r>
              <w:rPr/>
              <w:t> </w:t>
            </w:r>
          </w:p>
          <w:p>
            <w:pPr>
              <w:pStyle w:val="TableContents"/>
              <w:spacing w:lineRule="auto" w:line="300" w:before="0" w:after="0"/>
              <w:ind w:left="0" w:right="0" w:hanging="0"/>
              <w:jc w:val="center"/>
              <w:rPr/>
            </w:pPr>
            <w:r>
              <w:rPr>
                <w:rStyle w:val="StrongEmphasis"/>
                <w:rFonts w:ascii="Times New Roman" w:hAnsi="Times New Roman"/>
                <w:sz w:val="20"/>
              </w:rPr>
              <w:t>(in U.S. Dollars)</w:t>
            </w:r>
          </w:p>
        </w:tc>
      </w:tr>
      <w:tr>
        <w:trPr/>
        <w:tc>
          <w:tcPr>
            <w:tcW w:w="2857" w:type="dxa"/>
            <w:tcBorders>
              <w:bottom w:val="single" w:sz="2" w:space="0" w:color="000000"/>
            </w:tcBorders>
            <w:shd w:fill="CCEEFF" w:val="clear"/>
            <w:vAlign w:val="center"/>
          </w:tcPr>
          <w:p>
            <w:pPr>
              <w:pStyle w:val="TableContents"/>
              <w:spacing w:lineRule="auto" w:line="300" w:before="0" w:after="0"/>
              <w:ind w:left="0" w:right="0" w:hanging="0"/>
              <w:jc w:val="both"/>
              <w:rPr/>
            </w:pPr>
            <w:r>
              <w:rPr/>
              <w:t> </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Napier Cinema</w:t>
            </w:r>
          </w:p>
          <w:p>
            <w:pPr>
              <w:pStyle w:val="TableContents"/>
              <w:spacing w:lineRule="auto" w:line="300" w:before="0" w:after="0"/>
              <w:ind w:left="0" w:right="0" w:hanging="0"/>
              <w:jc w:val="both"/>
              <w:rPr/>
            </w:pPr>
            <w:r>
              <w:rPr/>
              <w:t> </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154 Station Street</w:t>
            </w:r>
          </w:p>
          <w:p>
            <w:pPr>
              <w:pStyle w:val="TableContents"/>
              <w:spacing w:lineRule="auto" w:line="300" w:before="0" w:after="0"/>
              <w:ind w:left="0" w:right="0" w:hanging="0"/>
              <w:jc w:val="both"/>
              <w:rPr/>
            </w:pPr>
            <w:r>
              <w:rPr/>
              <w:t> </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Napier, New Zealand</w:t>
            </w:r>
          </w:p>
          <w:p>
            <w:pPr>
              <w:pStyle w:val="TableContents"/>
              <w:spacing w:lineRule="auto" w:line="300" w:before="0" w:after="0"/>
              <w:ind w:left="0" w:right="0" w:hanging="0"/>
              <w:jc w:val="both"/>
              <w:rPr/>
            </w:pPr>
            <w:r>
              <w:rPr/>
              <w:t> </w:t>
            </w:r>
          </w:p>
        </w:tc>
        <w:tc>
          <w:tcPr>
            <w:tcW w:w="2857" w:type="dxa"/>
            <w:tcBorders>
              <w:bottom w:val="single" w:sz="2" w:space="0" w:color="000000"/>
            </w:tcBorders>
            <w:shd w:fill="CCEEFF" w:val="clear"/>
            <w:vAlign w:val="center"/>
          </w:tcPr>
          <w:p>
            <w:pPr>
              <w:pStyle w:val="TableContents"/>
              <w:spacing w:lineRule="auto" w:line="300" w:before="0" w:after="0"/>
              <w:ind w:left="0" w:right="0" w:hanging="0"/>
              <w:jc w:val="both"/>
              <w:rPr/>
            </w:pPr>
            <w:r>
              <w:rPr/>
              <w:t> </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5,000 / 18,000</w:t>
            </w:r>
          </w:p>
          <w:p>
            <w:pPr>
              <w:pStyle w:val="TableContents"/>
              <w:spacing w:lineRule="auto" w:line="300" w:before="0" w:after="0"/>
              <w:ind w:left="0" w:right="0" w:hanging="0"/>
              <w:jc w:val="both"/>
              <w:rPr/>
            </w:pPr>
            <w:r>
              <w:rPr/>
              <w:t> </w:t>
            </w:r>
          </w:p>
        </w:tc>
        <w:tc>
          <w:tcPr>
            <w:tcW w:w="2177" w:type="dxa"/>
            <w:tcBorders>
              <w:bottom w:val="single" w:sz="2" w:space="0" w:color="000000"/>
            </w:tcBorders>
            <w:shd w:fill="CCEEFF" w:val="clear"/>
            <w:vAlign w:val="center"/>
          </w:tcPr>
          <w:p>
            <w:pPr>
              <w:pStyle w:val="TableContents"/>
              <w:spacing w:lineRule="auto" w:line="300" w:before="0" w:after="0"/>
              <w:ind w:left="0" w:right="0" w:hanging="0"/>
              <w:jc w:val="both"/>
              <w:rPr/>
            </w:pPr>
            <w:r>
              <w:rPr/>
              <w:t> </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100%</w:t>
            </w:r>
          </w:p>
          <w:p>
            <w:pPr>
              <w:pStyle w:val="TableContents"/>
              <w:spacing w:lineRule="auto" w:line="300" w:before="0" w:after="0"/>
              <w:ind w:left="0" w:right="0" w:hanging="0"/>
              <w:jc w:val="both"/>
              <w:rPr/>
            </w:pPr>
            <w:r>
              <w:rPr/>
              <w:t> </w:t>
            </w:r>
          </w:p>
        </w:tc>
        <w:tc>
          <w:tcPr>
            <w:tcW w:w="2314" w:type="dxa"/>
            <w:tcBorders>
              <w:bottom w:val="single" w:sz="2" w:space="0" w:color="000000"/>
            </w:tcBorders>
            <w:shd w:fill="CCEEFF" w:val="clear"/>
            <w:vAlign w:val="center"/>
          </w:tcPr>
          <w:p>
            <w:pPr>
              <w:pStyle w:val="TableContents"/>
              <w:spacing w:lineRule="auto" w:line="300" w:before="0" w:after="0"/>
              <w:ind w:left="0" w:right="0" w:hanging="0"/>
              <w:jc w:val="both"/>
              <w:rPr/>
            </w:pPr>
            <w:r>
              <w:rPr/>
              <w:t> </w:t>
            </w:r>
          </w:p>
          <w:p>
            <w:pPr>
              <w:pStyle w:val="TableContents"/>
              <w:spacing w:lineRule="auto" w:line="300" w:before="0" w:after="0"/>
              <w:ind w:left="360" w:right="0" w:hanging="0"/>
              <w:jc w:val="center"/>
              <w:rPr>
                <w:rFonts w:ascii="Times New Roman" w:hAnsi="Times New Roman"/>
                <w:sz w:val="20"/>
              </w:rPr>
            </w:pPr>
            <w:bookmarkStart w:id="413" w:name="TAB1123"/>
            <w:bookmarkEnd w:id="413"/>
            <w:r>
              <w:rPr>
                <w:rFonts w:ascii="Times New Roman" w:hAnsi="Times New Roman"/>
                <w:sz w:val="20"/>
              </w:rPr>
              <w:t>$2,603,000</w:t>
            </w:r>
          </w:p>
          <w:p>
            <w:pPr>
              <w:pStyle w:val="TableContents"/>
              <w:spacing w:lineRule="auto" w:line="300" w:before="0" w:after="0"/>
              <w:ind w:left="0" w:right="0" w:hanging="0"/>
              <w:jc w:val="both"/>
              <w:rPr/>
            </w:pPr>
            <w:r>
              <w:rPr/>
              <w:t> </w:t>
            </w:r>
          </w:p>
        </w:tc>
      </w:tr>
      <w:tr>
        <w:trPr/>
        <w:tc>
          <w:tcPr>
            <w:tcW w:w="2857" w:type="dxa"/>
            <w:tcBorders>
              <w:bottom w:val="single" w:sz="2" w:space="0" w:color="000000"/>
            </w:tcBorders>
            <w:shd w:fill="FFFFFF" w:val="clear"/>
            <w:vAlign w:val="center"/>
          </w:tcPr>
          <w:p>
            <w:pPr>
              <w:pStyle w:val="TableContents"/>
              <w:spacing w:lineRule="auto" w:line="300" w:before="0" w:after="0"/>
              <w:ind w:left="0" w:right="0" w:hanging="0"/>
              <w:jc w:val="both"/>
              <w:rPr/>
            </w:pPr>
            <w:r>
              <w:rPr/>
              <w:t> </w:t>
            </w:r>
          </w:p>
          <w:p>
            <w:pPr>
              <w:pStyle w:val="TableContents"/>
              <w:spacing w:lineRule="auto" w:line="300" w:before="0" w:after="0"/>
              <w:ind w:left="0" w:right="0" w:hanging="0"/>
              <w:jc w:val="center"/>
              <w:rPr/>
            </w:pPr>
            <w:r>
              <w:rPr>
                <w:rFonts w:ascii="Times New Roman" w:hAnsi="Times New Roman"/>
                <w:sz w:val="20"/>
              </w:rPr>
              <w:t>Newmarket</w:t>
            </w:r>
            <w:r>
              <w:rPr>
                <w:rFonts w:ascii="Times New Roman" w:hAnsi="Times New Roman"/>
                <w:position w:val="7"/>
                <w:sz w:val="16"/>
                <w:sz w:val="20"/>
              </w:rPr>
              <w:t>10</w:t>
            </w:r>
            <w:r>
              <w:rPr/>
              <w:t> </w:t>
            </w:r>
          </w:p>
          <w:p>
            <w:pPr>
              <w:pStyle w:val="TableContents"/>
              <w:spacing w:lineRule="auto" w:line="300" w:before="0" w:after="0"/>
              <w:ind w:left="0" w:right="0" w:hanging="0"/>
              <w:jc w:val="both"/>
              <w:rPr/>
            </w:pPr>
            <w:r>
              <w:rPr/>
              <w:t> </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Newmarket, QLD, Australia</w:t>
            </w:r>
          </w:p>
          <w:p>
            <w:pPr>
              <w:pStyle w:val="TableContents"/>
              <w:spacing w:lineRule="auto" w:line="300" w:before="0" w:after="0"/>
              <w:ind w:left="0" w:right="0" w:hanging="0"/>
              <w:jc w:val="both"/>
              <w:rPr/>
            </w:pPr>
            <w:r>
              <w:rPr/>
              <w:t> </w:t>
            </w:r>
          </w:p>
        </w:tc>
        <w:tc>
          <w:tcPr>
            <w:tcW w:w="2857" w:type="dxa"/>
            <w:tcBorders>
              <w:bottom w:val="single" w:sz="2" w:space="0" w:color="000000"/>
            </w:tcBorders>
            <w:shd w:fill="FFFFFF" w:val="clear"/>
            <w:vAlign w:val="center"/>
          </w:tcPr>
          <w:p>
            <w:pPr>
              <w:pStyle w:val="TableContents"/>
              <w:spacing w:lineRule="auto" w:line="300" w:before="0" w:after="0"/>
              <w:ind w:left="0" w:right="0" w:hanging="0"/>
              <w:jc w:val="both"/>
              <w:rPr/>
            </w:pPr>
            <w:r>
              <w:rPr/>
              <w:t> </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93,000 / 0</w:t>
            </w:r>
          </w:p>
          <w:p>
            <w:pPr>
              <w:pStyle w:val="TableContents"/>
              <w:spacing w:lineRule="auto" w:line="300" w:before="0" w:after="0"/>
              <w:ind w:left="0" w:right="0" w:hanging="0"/>
              <w:jc w:val="both"/>
              <w:rPr/>
            </w:pPr>
            <w:r>
              <w:rPr/>
              <w:t> </w:t>
            </w:r>
          </w:p>
        </w:tc>
        <w:tc>
          <w:tcPr>
            <w:tcW w:w="2177" w:type="dxa"/>
            <w:tcBorders>
              <w:bottom w:val="single" w:sz="2" w:space="0" w:color="000000"/>
            </w:tcBorders>
            <w:shd w:fill="FFFFFF" w:val="clear"/>
            <w:vAlign w:val="center"/>
          </w:tcPr>
          <w:p>
            <w:pPr>
              <w:pStyle w:val="TableContents"/>
              <w:spacing w:lineRule="auto" w:line="300" w:before="0" w:after="0"/>
              <w:ind w:left="0" w:right="0" w:hanging="0"/>
              <w:jc w:val="both"/>
              <w:rPr/>
            </w:pPr>
            <w:r>
              <w:rPr/>
              <w:t> </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99%</w:t>
            </w:r>
          </w:p>
          <w:p>
            <w:pPr>
              <w:pStyle w:val="TableContents"/>
              <w:spacing w:lineRule="auto" w:line="300" w:before="0" w:after="0"/>
              <w:ind w:left="0" w:right="0" w:hanging="0"/>
              <w:jc w:val="both"/>
              <w:rPr/>
            </w:pPr>
            <w:r>
              <w:rPr/>
              <w:t> </w:t>
            </w:r>
          </w:p>
        </w:tc>
        <w:tc>
          <w:tcPr>
            <w:tcW w:w="2314" w:type="dxa"/>
            <w:tcBorders>
              <w:bottom w:val="single" w:sz="2" w:space="0" w:color="000000"/>
            </w:tcBorders>
            <w:shd w:fill="FFFFFF" w:val="clear"/>
            <w:vAlign w:val="center"/>
          </w:tcPr>
          <w:p>
            <w:pPr>
              <w:pStyle w:val="TableContents"/>
              <w:spacing w:lineRule="auto" w:line="300" w:before="0" w:after="0"/>
              <w:ind w:left="0" w:right="0" w:hanging="0"/>
              <w:jc w:val="both"/>
              <w:rPr/>
            </w:pPr>
            <w:r>
              <w:rPr/>
              <w:t> </w:t>
            </w:r>
          </w:p>
          <w:p>
            <w:pPr>
              <w:pStyle w:val="TableContents"/>
              <w:spacing w:lineRule="auto" w:line="300" w:before="0" w:after="0"/>
              <w:ind w:left="360" w:right="0" w:hanging="0"/>
              <w:jc w:val="center"/>
              <w:rPr>
                <w:rFonts w:ascii="Times New Roman" w:hAnsi="Times New Roman"/>
                <w:sz w:val="20"/>
              </w:rPr>
            </w:pPr>
            <w:bookmarkStart w:id="414" w:name="TAB1124"/>
            <w:bookmarkEnd w:id="414"/>
            <w:r>
              <w:rPr>
                <w:rFonts w:ascii="Times New Roman" w:hAnsi="Times New Roman"/>
                <w:sz w:val="20"/>
              </w:rPr>
              <w:t>$33,773,000</w:t>
            </w:r>
          </w:p>
          <w:p>
            <w:pPr>
              <w:pStyle w:val="TableContents"/>
              <w:spacing w:lineRule="auto" w:line="300" w:before="0" w:after="0"/>
              <w:ind w:left="0" w:right="0" w:hanging="0"/>
              <w:jc w:val="both"/>
              <w:rPr/>
            </w:pPr>
            <w:r>
              <w:rPr/>
              <w:t> </w:t>
            </w:r>
          </w:p>
        </w:tc>
      </w:tr>
      <w:tr>
        <w:trPr/>
        <w:tc>
          <w:tcPr>
            <w:tcW w:w="2857" w:type="dxa"/>
            <w:tcBorders>
              <w:bottom w:val="single" w:sz="2" w:space="0" w:color="000000"/>
            </w:tcBorders>
            <w:shd w:fill="CCEEFF" w:val="clear"/>
            <w:vAlign w:val="center"/>
          </w:tcPr>
          <w:p>
            <w:pPr>
              <w:pStyle w:val="TableContents"/>
              <w:spacing w:lineRule="auto" w:line="300" w:before="0" w:after="0"/>
              <w:ind w:left="0" w:right="0" w:hanging="0"/>
              <w:jc w:val="both"/>
              <w:rPr/>
            </w:pPr>
            <w:r>
              <w:rPr/>
              <w:t> </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Orpheum Theatre</w:t>
            </w:r>
          </w:p>
          <w:p>
            <w:pPr>
              <w:pStyle w:val="TableContents"/>
              <w:spacing w:lineRule="auto" w:line="300" w:before="0" w:after="0"/>
              <w:ind w:left="0" w:right="0" w:hanging="0"/>
              <w:jc w:val="both"/>
              <w:rPr/>
            </w:pPr>
            <w:r>
              <w:rPr/>
              <w:t> </w:t>
            </w:r>
          </w:p>
          <w:p>
            <w:pPr>
              <w:pStyle w:val="TableContents"/>
              <w:spacing w:lineRule="auto" w:line="300" w:before="0" w:after="0"/>
              <w:ind w:left="0" w:right="0" w:hanging="0"/>
              <w:jc w:val="center"/>
              <w:rPr/>
            </w:pPr>
            <w:r>
              <w:rPr>
                <w:rFonts w:ascii="Times New Roman" w:hAnsi="Times New Roman"/>
                <w:sz w:val="20"/>
              </w:rPr>
              <w:t>126 2</w:t>
            </w:r>
            <w:r>
              <w:rPr>
                <w:rFonts w:ascii="Times New Roman" w:hAnsi="Times New Roman"/>
                <w:position w:val="7"/>
                <w:sz w:val="16"/>
                <w:sz w:val="20"/>
              </w:rPr>
              <w:t>nd</w:t>
            </w:r>
            <w:r>
              <w:rPr/>
              <w:t xml:space="preserve"> </w:t>
            </w:r>
            <w:r>
              <w:rPr>
                <w:rFonts w:ascii="Times New Roman" w:hAnsi="Times New Roman"/>
                <w:sz w:val="20"/>
              </w:rPr>
              <w:t>Street</w:t>
            </w:r>
          </w:p>
          <w:p>
            <w:pPr>
              <w:pStyle w:val="TableContents"/>
              <w:spacing w:lineRule="auto" w:line="300" w:before="0" w:after="0"/>
              <w:ind w:left="0" w:right="0" w:hanging="0"/>
              <w:jc w:val="both"/>
              <w:rPr/>
            </w:pPr>
            <w:r>
              <w:rPr/>
              <w:t> </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Manhattan, NY, USA</w:t>
            </w:r>
          </w:p>
          <w:p>
            <w:pPr>
              <w:pStyle w:val="TableContents"/>
              <w:spacing w:lineRule="auto" w:line="300" w:before="0" w:after="0"/>
              <w:ind w:left="0" w:right="0" w:hanging="0"/>
              <w:jc w:val="both"/>
              <w:rPr/>
            </w:pPr>
            <w:r>
              <w:rPr/>
              <w:t> </w:t>
            </w:r>
          </w:p>
        </w:tc>
        <w:tc>
          <w:tcPr>
            <w:tcW w:w="2857" w:type="dxa"/>
            <w:tcBorders>
              <w:bottom w:val="single" w:sz="2" w:space="0" w:color="000000"/>
            </w:tcBorders>
            <w:shd w:fill="CCEEFF" w:val="clear"/>
            <w:vAlign w:val="center"/>
          </w:tcPr>
          <w:p>
            <w:pPr>
              <w:pStyle w:val="TableContents"/>
              <w:spacing w:lineRule="auto" w:line="300" w:before="0" w:after="0"/>
              <w:ind w:left="0" w:right="0" w:hanging="0"/>
              <w:jc w:val="both"/>
              <w:rPr/>
            </w:pPr>
            <w:r>
              <w:rPr/>
              <w:t> </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0 / 5,000</w:t>
            </w:r>
          </w:p>
          <w:p>
            <w:pPr>
              <w:pStyle w:val="TableContents"/>
              <w:spacing w:lineRule="auto" w:line="300" w:before="0" w:after="0"/>
              <w:ind w:left="0" w:right="0" w:hanging="0"/>
              <w:jc w:val="both"/>
              <w:rPr/>
            </w:pPr>
            <w:r>
              <w:rPr/>
              <w:t> </w:t>
            </w:r>
          </w:p>
        </w:tc>
        <w:tc>
          <w:tcPr>
            <w:tcW w:w="2177" w:type="dxa"/>
            <w:tcBorders>
              <w:bottom w:val="single" w:sz="2" w:space="0" w:color="000000"/>
            </w:tcBorders>
            <w:shd w:fill="CCEEFF" w:val="clear"/>
            <w:vAlign w:val="center"/>
          </w:tcPr>
          <w:p>
            <w:pPr>
              <w:pStyle w:val="TableContents"/>
              <w:spacing w:lineRule="auto" w:line="300" w:before="0" w:after="0"/>
              <w:ind w:left="0" w:right="0" w:hanging="0"/>
              <w:jc w:val="both"/>
              <w:rPr/>
            </w:pPr>
            <w:r>
              <w:rPr/>
              <w:t> </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N/A</w:t>
            </w:r>
          </w:p>
          <w:p>
            <w:pPr>
              <w:pStyle w:val="TableContents"/>
              <w:spacing w:lineRule="auto" w:line="300" w:before="0" w:after="0"/>
              <w:ind w:left="0" w:right="0" w:hanging="0"/>
              <w:jc w:val="both"/>
              <w:rPr/>
            </w:pPr>
            <w:r>
              <w:rPr/>
              <w:t> </w:t>
            </w:r>
          </w:p>
        </w:tc>
        <w:tc>
          <w:tcPr>
            <w:tcW w:w="2314" w:type="dxa"/>
            <w:tcBorders>
              <w:bottom w:val="single" w:sz="2" w:space="0" w:color="000000"/>
            </w:tcBorders>
            <w:shd w:fill="CCEEFF" w:val="clear"/>
            <w:vAlign w:val="center"/>
          </w:tcPr>
          <w:p>
            <w:pPr>
              <w:pStyle w:val="TableContents"/>
              <w:spacing w:lineRule="auto" w:line="300" w:before="0" w:after="0"/>
              <w:ind w:left="0" w:right="0" w:hanging="0"/>
              <w:jc w:val="both"/>
              <w:rPr/>
            </w:pPr>
            <w:r>
              <w:rPr/>
              <w:t> </w:t>
            </w:r>
          </w:p>
          <w:p>
            <w:pPr>
              <w:pStyle w:val="TableContents"/>
              <w:spacing w:lineRule="auto" w:line="300" w:before="0" w:after="0"/>
              <w:ind w:left="360" w:right="0" w:hanging="0"/>
              <w:jc w:val="center"/>
              <w:rPr>
                <w:rFonts w:ascii="Times New Roman" w:hAnsi="Times New Roman"/>
                <w:sz w:val="20"/>
              </w:rPr>
            </w:pPr>
            <w:bookmarkStart w:id="415" w:name="TAB1125"/>
            <w:bookmarkEnd w:id="415"/>
            <w:r>
              <w:rPr>
                <w:rFonts w:ascii="Times New Roman" w:hAnsi="Times New Roman"/>
                <w:sz w:val="20"/>
              </w:rPr>
              <w:t>$1,892,000</w:t>
            </w:r>
          </w:p>
          <w:p>
            <w:pPr>
              <w:pStyle w:val="TableContents"/>
              <w:spacing w:lineRule="auto" w:line="300" w:before="0" w:after="0"/>
              <w:ind w:left="0" w:right="0" w:hanging="0"/>
              <w:jc w:val="both"/>
              <w:rPr/>
            </w:pPr>
            <w:r>
              <w:rPr/>
              <w:t> </w:t>
            </w:r>
          </w:p>
        </w:tc>
      </w:tr>
      <w:tr>
        <w:trPr/>
        <w:tc>
          <w:tcPr>
            <w:tcW w:w="2857" w:type="dxa"/>
            <w:tcBorders>
              <w:bottom w:val="single" w:sz="2" w:space="0" w:color="000000"/>
            </w:tcBorders>
            <w:shd w:fill="FFFFFF" w:val="clear"/>
            <w:vAlign w:val="center"/>
          </w:tcPr>
          <w:p>
            <w:pPr>
              <w:pStyle w:val="TableContents"/>
              <w:spacing w:lineRule="auto" w:line="300" w:before="0" w:after="0"/>
              <w:ind w:left="0" w:right="0" w:hanging="0"/>
              <w:jc w:val="both"/>
              <w:rPr/>
            </w:pPr>
            <w:r>
              <w:rPr/>
              <w:t> </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Royal George</w:t>
            </w:r>
          </w:p>
          <w:p>
            <w:pPr>
              <w:pStyle w:val="TableContents"/>
              <w:spacing w:lineRule="auto" w:line="300" w:before="0" w:after="0"/>
              <w:ind w:left="0" w:right="0" w:hanging="0"/>
              <w:jc w:val="both"/>
              <w:rPr/>
            </w:pPr>
            <w:r>
              <w:rPr/>
              <w:t> </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1633 N. Halsted Street</w:t>
            </w:r>
          </w:p>
          <w:p>
            <w:pPr>
              <w:pStyle w:val="TableContents"/>
              <w:spacing w:lineRule="auto" w:line="300" w:before="0" w:after="0"/>
              <w:ind w:left="0" w:right="0" w:hanging="0"/>
              <w:jc w:val="both"/>
              <w:rPr/>
            </w:pPr>
            <w:r>
              <w:rPr/>
              <w:t> </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Chicago, IL, USA</w:t>
            </w:r>
          </w:p>
          <w:p>
            <w:pPr>
              <w:pStyle w:val="TableContents"/>
              <w:spacing w:lineRule="auto" w:line="300" w:before="0" w:after="0"/>
              <w:ind w:left="0" w:right="0" w:hanging="0"/>
              <w:jc w:val="both"/>
              <w:rPr/>
            </w:pPr>
            <w:r>
              <w:rPr/>
              <w:t> </w:t>
            </w:r>
          </w:p>
        </w:tc>
        <w:tc>
          <w:tcPr>
            <w:tcW w:w="2857" w:type="dxa"/>
            <w:tcBorders>
              <w:bottom w:val="single" w:sz="2" w:space="0" w:color="000000"/>
            </w:tcBorders>
            <w:shd w:fill="FFFFFF" w:val="clear"/>
            <w:vAlign w:val="center"/>
          </w:tcPr>
          <w:p>
            <w:pPr>
              <w:pStyle w:val="TableContents"/>
              <w:spacing w:lineRule="auto" w:line="300" w:before="0" w:after="0"/>
              <w:ind w:left="0" w:right="0" w:hanging="0"/>
              <w:jc w:val="both"/>
              <w:rPr/>
            </w:pPr>
            <w:r>
              <w:rPr/>
              <w:t> </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37,000 / 23,000</w:t>
            </w:r>
          </w:p>
          <w:p>
            <w:pPr>
              <w:pStyle w:val="TableContents"/>
              <w:spacing w:lineRule="auto" w:line="300" w:before="0" w:after="0"/>
              <w:ind w:left="0" w:right="0" w:hanging="0"/>
              <w:jc w:val="both"/>
              <w:rPr/>
            </w:pPr>
            <w:r>
              <w:rPr/>
              <w:t> </w:t>
            </w:r>
          </w:p>
          <w:p>
            <w:pPr>
              <w:pStyle w:val="TableContents"/>
              <w:spacing w:lineRule="auto" w:line="300" w:before="0" w:after="0"/>
              <w:ind w:left="0" w:right="0" w:hanging="0"/>
              <w:jc w:val="both"/>
              <w:rPr/>
            </w:pPr>
            <w:r>
              <w:rPr/>
              <w:t> </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Plus 21,000 square feet of parking</w:t>
            </w:r>
          </w:p>
          <w:p>
            <w:pPr>
              <w:pStyle w:val="TableContents"/>
              <w:spacing w:lineRule="auto" w:line="300" w:before="0" w:after="0"/>
              <w:ind w:left="0" w:right="0" w:hanging="0"/>
              <w:jc w:val="both"/>
              <w:rPr/>
            </w:pPr>
            <w:r>
              <w:rPr/>
              <w:t> </w:t>
            </w:r>
          </w:p>
        </w:tc>
        <w:tc>
          <w:tcPr>
            <w:tcW w:w="2177" w:type="dxa"/>
            <w:tcBorders>
              <w:bottom w:val="single" w:sz="2" w:space="0" w:color="000000"/>
            </w:tcBorders>
            <w:shd w:fill="FFFFFF" w:val="clear"/>
            <w:vAlign w:val="center"/>
          </w:tcPr>
          <w:p>
            <w:pPr>
              <w:pStyle w:val="TableContents"/>
              <w:spacing w:lineRule="auto" w:line="300" w:before="0" w:after="0"/>
              <w:ind w:left="0" w:right="0" w:hanging="0"/>
              <w:jc w:val="both"/>
              <w:rPr/>
            </w:pPr>
            <w:r>
              <w:rPr/>
              <w:t> </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91%</w:t>
            </w:r>
          </w:p>
          <w:p>
            <w:pPr>
              <w:pStyle w:val="TableContents"/>
              <w:spacing w:lineRule="auto" w:line="300" w:before="0" w:after="0"/>
              <w:ind w:left="0" w:right="0" w:hanging="0"/>
              <w:jc w:val="both"/>
              <w:rPr/>
            </w:pPr>
            <w:r>
              <w:rPr/>
              <w:t> </w:t>
            </w:r>
          </w:p>
        </w:tc>
        <w:tc>
          <w:tcPr>
            <w:tcW w:w="2314" w:type="dxa"/>
            <w:tcBorders>
              <w:bottom w:val="single" w:sz="2" w:space="0" w:color="000000"/>
            </w:tcBorders>
            <w:shd w:fill="FFFFFF" w:val="clear"/>
            <w:vAlign w:val="center"/>
          </w:tcPr>
          <w:p>
            <w:pPr>
              <w:pStyle w:val="TableContents"/>
              <w:spacing w:lineRule="auto" w:line="300" w:before="0" w:after="0"/>
              <w:ind w:left="0" w:right="0" w:hanging="0"/>
              <w:jc w:val="both"/>
              <w:rPr/>
            </w:pPr>
            <w:r>
              <w:rPr/>
              <w:t> </w:t>
            </w:r>
          </w:p>
          <w:p>
            <w:pPr>
              <w:pStyle w:val="TableContents"/>
              <w:spacing w:lineRule="auto" w:line="300" w:before="0" w:after="0"/>
              <w:ind w:left="360" w:right="0" w:hanging="0"/>
              <w:jc w:val="center"/>
              <w:rPr>
                <w:rFonts w:ascii="Times New Roman" w:hAnsi="Times New Roman"/>
                <w:sz w:val="20"/>
              </w:rPr>
            </w:pPr>
            <w:bookmarkStart w:id="416" w:name="TAB1126"/>
            <w:bookmarkEnd w:id="416"/>
            <w:r>
              <w:rPr>
                <w:rFonts w:ascii="Times New Roman" w:hAnsi="Times New Roman"/>
                <w:sz w:val="20"/>
              </w:rPr>
              <w:t>$3,302,000</w:t>
            </w:r>
          </w:p>
          <w:p>
            <w:pPr>
              <w:pStyle w:val="TableContents"/>
              <w:spacing w:lineRule="auto" w:line="300" w:before="0" w:after="0"/>
              <w:ind w:left="0" w:right="0" w:hanging="0"/>
              <w:jc w:val="both"/>
              <w:rPr/>
            </w:pPr>
            <w:r>
              <w:rPr/>
              <w:t> </w:t>
            </w:r>
          </w:p>
        </w:tc>
      </w:tr>
      <w:tr>
        <w:trPr/>
        <w:tc>
          <w:tcPr>
            <w:tcW w:w="2857" w:type="dxa"/>
            <w:tcBorders>
              <w:bottom w:val="single" w:sz="2" w:space="0" w:color="000000"/>
            </w:tcBorders>
            <w:shd w:fill="CCEEFF" w:val="clear"/>
            <w:vAlign w:val="center"/>
          </w:tcPr>
          <w:p>
            <w:pPr>
              <w:pStyle w:val="TableContents"/>
              <w:spacing w:lineRule="auto" w:line="300" w:before="0" w:after="0"/>
              <w:ind w:left="0" w:right="0" w:hanging="0"/>
              <w:jc w:val="both"/>
              <w:rPr/>
            </w:pPr>
            <w:r>
              <w:rPr/>
              <w:t> </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Rotorua Cinema</w:t>
            </w:r>
          </w:p>
          <w:p>
            <w:pPr>
              <w:pStyle w:val="TableContents"/>
              <w:spacing w:lineRule="auto" w:line="300" w:before="0" w:after="0"/>
              <w:ind w:left="0" w:right="0" w:hanging="0"/>
              <w:jc w:val="both"/>
              <w:rPr/>
            </w:pPr>
            <w:r>
              <w:rPr/>
              <w:t> </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1281 Eruera Street</w:t>
            </w:r>
          </w:p>
          <w:p>
            <w:pPr>
              <w:pStyle w:val="TableContents"/>
              <w:spacing w:lineRule="auto" w:line="300" w:before="0" w:after="0"/>
              <w:ind w:left="0" w:right="0" w:hanging="0"/>
              <w:jc w:val="both"/>
              <w:rPr/>
            </w:pPr>
            <w:r>
              <w:rPr/>
              <w:t> </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Rotorua, New Zealand</w:t>
            </w:r>
          </w:p>
          <w:p>
            <w:pPr>
              <w:pStyle w:val="TableContents"/>
              <w:spacing w:lineRule="auto" w:line="300" w:before="0" w:after="0"/>
              <w:ind w:left="0" w:right="0" w:hanging="0"/>
              <w:jc w:val="both"/>
              <w:rPr/>
            </w:pPr>
            <w:r>
              <w:rPr/>
              <w:t> </w:t>
            </w:r>
          </w:p>
        </w:tc>
        <w:tc>
          <w:tcPr>
            <w:tcW w:w="2857" w:type="dxa"/>
            <w:tcBorders>
              <w:bottom w:val="single" w:sz="2" w:space="0" w:color="000000"/>
            </w:tcBorders>
            <w:shd w:fill="CCEEFF" w:val="clear"/>
            <w:vAlign w:val="center"/>
          </w:tcPr>
          <w:p>
            <w:pPr>
              <w:pStyle w:val="TableContents"/>
              <w:spacing w:lineRule="auto" w:line="300" w:before="0" w:after="0"/>
              <w:ind w:left="0" w:right="0" w:hanging="0"/>
              <w:jc w:val="both"/>
              <w:rPr/>
            </w:pPr>
            <w:r>
              <w:rPr/>
              <w:t> </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0 / 19,000</w:t>
            </w:r>
          </w:p>
          <w:p>
            <w:pPr>
              <w:pStyle w:val="TableContents"/>
              <w:spacing w:lineRule="auto" w:line="300" w:before="0" w:after="0"/>
              <w:ind w:left="0" w:right="0" w:hanging="0"/>
              <w:jc w:val="both"/>
              <w:rPr/>
            </w:pPr>
            <w:r>
              <w:rPr/>
              <w:t> </w:t>
            </w:r>
          </w:p>
        </w:tc>
        <w:tc>
          <w:tcPr>
            <w:tcW w:w="2177" w:type="dxa"/>
            <w:tcBorders>
              <w:bottom w:val="single" w:sz="2" w:space="0" w:color="000000"/>
            </w:tcBorders>
            <w:shd w:fill="CCEEFF" w:val="clear"/>
            <w:vAlign w:val="center"/>
          </w:tcPr>
          <w:p>
            <w:pPr>
              <w:pStyle w:val="TableContents"/>
              <w:spacing w:lineRule="auto" w:line="300" w:before="0" w:after="0"/>
              <w:ind w:left="0" w:right="0" w:hanging="0"/>
              <w:jc w:val="both"/>
              <w:rPr/>
            </w:pPr>
            <w:r>
              <w:rPr/>
              <w:t> </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N/A</w:t>
            </w:r>
          </w:p>
          <w:p>
            <w:pPr>
              <w:pStyle w:val="TableContents"/>
              <w:spacing w:lineRule="auto" w:line="300" w:before="0" w:after="0"/>
              <w:ind w:left="0" w:right="0" w:hanging="0"/>
              <w:jc w:val="both"/>
              <w:rPr/>
            </w:pPr>
            <w:r>
              <w:rPr/>
              <w:t> </w:t>
            </w:r>
          </w:p>
        </w:tc>
        <w:tc>
          <w:tcPr>
            <w:tcW w:w="2314" w:type="dxa"/>
            <w:tcBorders>
              <w:bottom w:val="single" w:sz="2" w:space="0" w:color="000000"/>
            </w:tcBorders>
            <w:shd w:fill="CCEEFF" w:val="clear"/>
            <w:vAlign w:val="center"/>
          </w:tcPr>
          <w:p>
            <w:pPr>
              <w:pStyle w:val="TableContents"/>
              <w:spacing w:lineRule="auto" w:line="300" w:before="0" w:after="0"/>
              <w:ind w:left="0" w:right="0" w:hanging="0"/>
              <w:jc w:val="both"/>
              <w:rPr/>
            </w:pPr>
            <w:r>
              <w:rPr/>
              <w:t> </w:t>
            </w:r>
          </w:p>
          <w:p>
            <w:pPr>
              <w:pStyle w:val="TableContents"/>
              <w:spacing w:lineRule="auto" w:line="300" w:before="0" w:after="0"/>
              <w:ind w:left="360" w:right="0" w:hanging="0"/>
              <w:jc w:val="center"/>
              <w:rPr>
                <w:rFonts w:ascii="Times New Roman" w:hAnsi="Times New Roman"/>
                <w:sz w:val="20"/>
              </w:rPr>
            </w:pPr>
            <w:bookmarkStart w:id="417" w:name="TAB1127"/>
            <w:bookmarkEnd w:id="417"/>
            <w:r>
              <w:rPr>
                <w:rFonts w:ascii="Times New Roman" w:hAnsi="Times New Roman"/>
                <w:sz w:val="20"/>
              </w:rPr>
              <w:t>$2,530,000</w:t>
            </w:r>
          </w:p>
          <w:p>
            <w:pPr>
              <w:pStyle w:val="TableContents"/>
              <w:spacing w:lineRule="auto" w:line="300" w:before="0" w:after="0"/>
              <w:ind w:left="0" w:right="0" w:hanging="0"/>
              <w:jc w:val="both"/>
              <w:rPr/>
            </w:pPr>
            <w:r>
              <w:rPr/>
              <w:t> </w:t>
            </w:r>
          </w:p>
        </w:tc>
      </w:tr>
      <w:tr>
        <w:trPr/>
        <w:tc>
          <w:tcPr>
            <w:tcW w:w="2857" w:type="dxa"/>
            <w:tcBorders>
              <w:bottom w:val="double" w:sz="2" w:space="0" w:color="000000"/>
            </w:tcBorders>
            <w:shd w:fill="FFFFFF" w:val="clear"/>
            <w:vAlign w:val="center"/>
          </w:tcPr>
          <w:p>
            <w:pPr>
              <w:pStyle w:val="TableContents"/>
              <w:spacing w:lineRule="auto" w:line="300" w:before="0" w:after="0"/>
              <w:ind w:left="0" w:right="0" w:hanging="0"/>
              <w:jc w:val="both"/>
              <w:rPr/>
            </w:pPr>
            <w:r>
              <w:rPr/>
              <w:t> </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Union Square Theatre</w:t>
            </w:r>
          </w:p>
          <w:p>
            <w:pPr>
              <w:pStyle w:val="TableContents"/>
              <w:spacing w:lineRule="auto" w:line="300" w:before="0" w:after="0"/>
              <w:ind w:left="0" w:right="0" w:hanging="0"/>
              <w:jc w:val="both"/>
              <w:rPr/>
            </w:pPr>
            <w:r>
              <w:rPr/>
              <w:t> </w:t>
            </w:r>
          </w:p>
          <w:p>
            <w:pPr>
              <w:pStyle w:val="TableContents"/>
              <w:spacing w:lineRule="auto" w:line="300" w:before="0" w:after="0"/>
              <w:ind w:left="0" w:right="0" w:hanging="0"/>
              <w:jc w:val="center"/>
              <w:rPr/>
            </w:pPr>
            <w:r>
              <w:rPr>
                <w:rFonts w:ascii="Times New Roman" w:hAnsi="Times New Roman"/>
                <w:sz w:val="20"/>
              </w:rPr>
              <w:t>100 E. 17</w:t>
            </w:r>
            <w:r>
              <w:rPr>
                <w:rFonts w:ascii="Times New Roman" w:hAnsi="Times New Roman"/>
                <w:position w:val="7"/>
                <w:sz w:val="16"/>
                <w:sz w:val="20"/>
              </w:rPr>
              <w:t>th</w:t>
            </w:r>
            <w:r>
              <w:rPr/>
              <w:t xml:space="preserve"> </w:t>
            </w:r>
            <w:r>
              <w:rPr>
                <w:rFonts w:ascii="Times New Roman" w:hAnsi="Times New Roman"/>
                <w:sz w:val="20"/>
              </w:rPr>
              <w:t>Street</w:t>
            </w:r>
          </w:p>
          <w:p>
            <w:pPr>
              <w:pStyle w:val="TableContents"/>
              <w:spacing w:lineRule="auto" w:line="300" w:before="0" w:after="0"/>
              <w:ind w:left="0" w:right="0" w:hanging="0"/>
              <w:jc w:val="both"/>
              <w:rPr/>
            </w:pPr>
            <w:r>
              <w:rPr/>
              <w:t> </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Manhattan, NY, USA</w:t>
            </w:r>
          </w:p>
          <w:p>
            <w:pPr>
              <w:pStyle w:val="TableContents"/>
              <w:spacing w:lineRule="auto" w:line="300" w:before="0" w:after="0"/>
              <w:ind w:left="0" w:right="0" w:hanging="0"/>
              <w:jc w:val="both"/>
              <w:rPr/>
            </w:pPr>
            <w:r>
              <w:rPr/>
              <w:t> </w:t>
            </w:r>
          </w:p>
        </w:tc>
        <w:tc>
          <w:tcPr>
            <w:tcW w:w="2857" w:type="dxa"/>
            <w:tcBorders>
              <w:bottom w:val="double" w:sz="2" w:space="0" w:color="000000"/>
            </w:tcBorders>
            <w:shd w:fill="FFFFFF" w:val="clear"/>
            <w:vAlign w:val="center"/>
          </w:tcPr>
          <w:p>
            <w:pPr>
              <w:pStyle w:val="TableContents"/>
              <w:spacing w:lineRule="auto" w:line="300" w:before="0" w:after="0"/>
              <w:ind w:left="0" w:right="0" w:hanging="0"/>
              <w:jc w:val="both"/>
              <w:rPr/>
            </w:pPr>
            <w:r>
              <w:rPr/>
              <w:t> </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21,000 / 17,000</w:t>
            </w:r>
          </w:p>
          <w:p>
            <w:pPr>
              <w:pStyle w:val="TableContents"/>
              <w:spacing w:lineRule="auto" w:line="300" w:before="0" w:after="0"/>
              <w:ind w:left="0" w:right="0" w:hanging="0"/>
              <w:jc w:val="both"/>
              <w:rPr/>
            </w:pPr>
            <w:r>
              <w:rPr/>
              <w:t> </w:t>
            </w:r>
          </w:p>
        </w:tc>
        <w:tc>
          <w:tcPr>
            <w:tcW w:w="2177" w:type="dxa"/>
            <w:tcBorders>
              <w:bottom w:val="double" w:sz="2" w:space="0" w:color="000000"/>
            </w:tcBorders>
            <w:shd w:fill="FFFFFF" w:val="clear"/>
            <w:vAlign w:val="center"/>
          </w:tcPr>
          <w:p>
            <w:pPr>
              <w:pStyle w:val="TableContents"/>
              <w:spacing w:lineRule="auto" w:line="300" w:before="0" w:after="0"/>
              <w:ind w:left="0" w:right="0" w:hanging="0"/>
              <w:jc w:val="both"/>
              <w:rPr/>
            </w:pPr>
            <w:r>
              <w:rPr/>
              <w:t> </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100%</w:t>
            </w:r>
          </w:p>
          <w:p>
            <w:pPr>
              <w:pStyle w:val="TableContents"/>
              <w:spacing w:lineRule="auto" w:line="300" w:before="0" w:after="0"/>
              <w:ind w:left="0" w:right="0" w:hanging="0"/>
              <w:jc w:val="both"/>
              <w:rPr/>
            </w:pPr>
            <w:r>
              <w:rPr/>
              <w:t> </w:t>
            </w:r>
          </w:p>
        </w:tc>
        <w:tc>
          <w:tcPr>
            <w:tcW w:w="2314" w:type="dxa"/>
            <w:tcBorders>
              <w:bottom w:val="double" w:sz="2" w:space="0" w:color="000000"/>
            </w:tcBorders>
            <w:shd w:fill="FFFFFF" w:val="clear"/>
            <w:vAlign w:val="center"/>
          </w:tcPr>
          <w:p>
            <w:pPr>
              <w:pStyle w:val="TableContents"/>
              <w:spacing w:lineRule="auto" w:line="300" w:before="0" w:after="0"/>
              <w:ind w:left="0" w:right="0" w:hanging="0"/>
              <w:jc w:val="both"/>
              <w:rPr/>
            </w:pPr>
            <w:r>
              <w:rPr/>
              <w:t> </w:t>
            </w:r>
          </w:p>
          <w:p>
            <w:pPr>
              <w:pStyle w:val="TableContents"/>
              <w:spacing w:lineRule="auto" w:line="300" w:before="0" w:after="0"/>
              <w:ind w:left="360" w:right="0" w:hanging="0"/>
              <w:jc w:val="center"/>
              <w:rPr>
                <w:rFonts w:ascii="Times New Roman" w:hAnsi="Times New Roman"/>
                <w:sz w:val="20"/>
              </w:rPr>
            </w:pPr>
            <w:bookmarkStart w:id="418" w:name="TAB1128"/>
            <w:bookmarkEnd w:id="418"/>
            <w:r>
              <w:rPr>
                <w:rFonts w:ascii="Times New Roman" w:hAnsi="Times New Roman"/>
                <w:sz w:val="20"/>
              </w:rPr>
              <w:t>$8,430,000</w:t>
            </w:r>
          </w:p>
          <w:p>
            <w:pPr>
              <w:pStyle w:val="TableContents"/>
              <w:spacing w:lineRule="auto" w:line="300" w:before="0" w:after="0"/>
              <w:ind w:left="0" w:right="0" w:hanging="0"/>
              <w:jc w:val="both"/>
              <w:rPr/>
            </w:pPr>
            <w:r>
              <w:rPr/>
              <w:t> </w:t>
            </w:r>
          </w:p>
        </w:tc>
      </w:tr>
    </w:tbl>
    <w:p>
      <w:pPr>
        <w:pStyle w:val="TextBody"/>
        <w:spacing w:lineRule="auto" w:line="300" w:before="0" w:after="0"/>
        <w:ind w:left="0" w:right="0" w:hanging="0"/>
        <w:jc w:val="left"/>
        <w:rPr/>
      </w:pPr>
      <w:r>
        <w:rPr/>
        <w:t> </w:t>
      </w:r>
    </w:p>
    <w:p>
      <w:pPr>
        <w:pStyle w:val="TextBody"/>
        <w:spacing w:lineRule="auto" w:line="300" w:before="0" w:after="0"/>
        <w:ind w:left="0" w:right="0" w:hanging="0"/>
        <w:jc w:val="left"/>
        <w:rPr>
          <w:rFonts w:ascii="Times New Roman" w:hAnsi="Times New Roman"/>
          <w:color w:val="000000"/>
          <w:sz w:val="20"/>
        </w:rPr>
      </w:pPr>
      <w:r>
        <w:rPr>
          <w:rFonts w:ascii="Times New Roman" w:hAnsi="Times New Roman"/>
          <w:color w:val="000000"/>
          <w:position w:val="7"/>
          <w:sz w:val="16"/>
          <w:sz w:val="20"/>
        </w:rPr>
        <w:t>9</w:t>
      </w:r>
      <w:r>
        <w:rPr>
          <w:rFonts w:ascii="Times New Roman" w:hAnsi="Times New Roman"/>
          <w:color w:val="000000"/>
          <w:sz w:val="20"/>
        </w:rPr>
        <w:t>  A number of our properties include entertainment components rented to one or more of our subsidiaries. The rental area and percentage leased numbers are net of such entertainment components as is the book value. Book value and rental information are as of December 31, 2006.</w:t>
      </w:r>
    </w:p>
    <w:p>
      <w:pPr>
        <w:pStyle w:val="TextBody"/>
        <w:spacing w:lineRule="auto" w:line="300" w:before="0" w:after="0"/>
        <w:ind w:left="0" w:right="0" w:hanging="0"/>
        <w:jc w:val="left"/>
        <w:rPr/>
      </w:pPr>
      <w:r>
        <w:rPr>
          <w:rFonts w:ascii="Times New Roman" w:hAnsi="Times New Roman"/>
          <w:position w:val="7"/>
          <w:sz w:val="16"/>
          <w:sz w:val="20"/>
        </w:rPr>
        <w:t>10</w:t>
      </w:r>
      <w:r>
        <w:rPr/>
        <w:t xml:space="preserve">  </w:t>
      </w:r>
      <w:r>
        <w:rPr>
          <w:rFonts w:ascii="Times New Roman" w:hAnsi="Times New Roman"/>
          <w:sz w:val="20"/>
        </w:rPr>
        <w:t>The rental components of this project have been opened for business. The cinema component is, however, still in the design phase and not anticipated to open before early 2009.</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19" w:name="PGBRK20"/>
      <w:bookmarkStart w:id="420" w:name="PGBRK20"/>
      <w:bookmarkEnd w:id="42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21" w:name="FTR20"/>
      <w:bookmarkStart w:id="422" w:name="FTR20"/>
      <w:bookmarkEnd w:id="42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23" w:name="GLFTR20"/>
      <w:bookmarkStart w:id="424" w:name="GLFTR20"/>
      <w:bookmarkEnd w:id="42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425" w:name="PN20"/>
      <w:bookmarkEnd w:id="425"/>
      <w:r>
        <w:rPr>
          <w:rFonts w:ascii="Times New Roman" w:hAnsi="Times New Roman"/>
          <w:sz w:val="16"/>
        </w:rPr>
        <w:t>-20-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26" w:name="HDR20"/>
      <w:bookmarkStart w:id="427" w:name="HDR20"/>
      <w:bookmarkEnd w:id="42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428" w:name="GLHDR20"/>
        <w:bookmarkEnd w:id="428"/>
        <w:r>
          <w:rPr>
            <w:rStyle w:val="Emphasis"/>
            <w:rFonts w:ascii="Times New Roman" w:hAnsi="Times New Roman"/>
            <w:color w:val="000000"/>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300" w:before="0" w:after="0"/>
        <w:ind w:left="0" w:right="0" w:firstLine="720"/>
        <w:jc w:val="left"/>
        <w:rPr>
          <w:rFonts w:ascii="Times New Roman" w:hAnsi="Times New Roman"/>
          <w:sz w:val="20"/>
        </w:rPr>
      </w:pPr>
      <w:r>
        <w:rPr>
          <w:rFonts w:ascii="Times New Roman" w:hAnsi="Times New Roman"/>
          <w:sz w:val="20"/>
        </w:rPr>
        <w:t>In addition, in certain cases we have long term leases which we view more akin to real estate investments than cinema leases. These interests are described in the following chart:</w:t>
      </w:r>
    </w:p>
    <w:p>
      <w:pPr>
        <w:pStyle w:val="TextBody"/>
        <w:spacing w:lineRule="auto" w:line="300" w:before="0" w:after="0"/>
        <w:ind w:left="0" w:right="0" w:hanging="0"/>
        <w:jc w:val="left"/>
        <w:rPr/>
      </w:pPr>
      <w:r>
        <w:rPr/>
      </w:r>
    </w:p>
    <w:tbl>
      <w:tblPr>
        <w:tblW w:w="5000" w:type="pct"/>
        <w:jc w:val="left"/>
        <w:tblInd w:w="0" w:type="dxa"/>
        <w:tblCellMar>
          <w:top w:w="0" w:type="dxa"/>
          <w:left w:w="0" w:type="dxa"/>
          <w:bottom w:w="28" w:type="dxa"/>
          <w:right w:w="0" w:type="dxa"/>
        </w:tblCellMar>
      </w:tblPr>
      <w:tblGrid>
        <w:gridCol w:w="2551"/>
        <w:gridCol w:w="2551"/>
        <w:gridCol w:w="2551"/>
        <w:gridCol w:w="2552"/>
      </w:tblGrid>
      <w:tr>
        <w:trPr/>
        <w:tc>
          <w:tcPr>
            <w:tcW w:w="2551" w:type="dxa"/>
            <w:tcBorders>
              <w:bottom w:val="double" w:sz="2" w:space="0" w:color="000000"/>
            </w:tcBorders>
            <w:shd w:fill="auto" w:val="clear"/>
            <w:vAlign w:val="bottom"/>
          </w:tcPr>
          <w:p>
            <w:pPr>
              <w:pStyle w:val="TableContents"/>
              <w:spacing w:lineRule="auto" w:line="300" w:before="0" w:after="0"/>
              <w:ind w:left="0" w:right="0" w:hanging="0"/>
              <w:jc w:val="both"/>
              <w:rPr/>
            </w:pPr>
            <w:r>
              <w:rPr/>
              <w:t> </w:t>
            </w:r>
          </w:p>
          <w:p>
            <w:pPr>
              <w:pStyle w:val="TableContents"/>
              <w:spacing w:lineRule="auto" w:line="300" w:before="0" w:after="0"/>
              <w:ind w:left="0" w:right="0" w:hanging="0"/>
              <w:jc w:val="center"/>
              <w:rPr/>
            </w:pPr>
            <w:r>
              <w:rPr>
                <w:rStyle w:val="StrongEmphasis"/>
                <w:rFonts w:ascii="Times New Roman" w:hAnsi="Times New Roman"/>
                <w:sz w:val="20"/>
              </w:rPr>
              <w:t>Property</w:t>
            </w:r>
            <w:r>
              <w:rPr>
                <w:rStyle w:val="StrongEmphasis"/>
                <w:rFonts w:ascii="Times New Roman" w:hAnsi="Times New Roman"/>
                <w:position w:val="7"/>
                <w:sz w:val="16"/>
                <w:sz w:val="20"/>
              </w:rPr>
              <w:t>11</w:t>
            </w:r>
            <w:r>
              <w:rPr/>
              <w:t> </w:t>
            </w:r>
          </w:p>
        </w:tc>
        <w:tc>
          <w:tcPr>
            <w:tcW w:w="2551" w:type="dxa"/>
            <w:tcBorders>
              <w:bottom w:val="double" w:sz="2" w:space="0" w:color="000000"/>
            </w:tcBorders>
            <w:shd w:fill="auto" w:val="clear"/>
            <w:vAlign w:val="bottom"/>
          </w:tcPr>
          <w:p>
            <w:pPr>
              <w:pStyle w:val="TableContents"/>
              <w:spacing w:lineRule="auto" w:line="300" w:before="0" w:after="0"/>
              <w:ind w:left="0" w:right="0" w:hanging="0"/>
              <w:jc w:val="both"/>
              <w:rPr/>
            </w:pPr>
            <w:r>
              <w:rPr/>
              <w:t> </w:t>
            </w:r>
          </w:p>
          <w:p>
            <w:pPr>
              <w:pStyle w:val="TableContents"/>
              <w:spacing w:lineRule="auto" w:line="300" w:before="0" w:after="0"/>
              <w:ind w:left="0" w:right="0" w:hanging="0"/>
              <w:jc w:val="center"/>
              <w:rPr/>
            </w:pPr>
            <w:r>
              <w:rPr>
                <w:rStyle w:val="StrongEmphasis"/>
                <w:rFonts w:ascii="Times New Roman" w:hAnsi="Times New Roman"/>
                <w:sz w:val="20"/>
              </w:rPr>
              <w:t>Square Footage</w:t>
            </w:r>
          </w:p>
          <w:p>
            <w:pPr>
              <w:pStyle w:val="TableContents"/>
              <w:spacing w:lineRule="auto" w:line="300" w:before="0" w:after="0"/>
              <w:ind w:left="0" w:right="0" w:hanging="0"/>
              <w:jc w:val="both"/>
              <w:rPr/>
            </w:pPr>
            <w:r>
              <w:rPr/>
              <w:t> </w:t>
            </w:r>
          </w:p>
          <w:p>
            <w:pPr>
              <w:pStyle w:val="TableContents"/>
              <w:spacing w:lineRule="auto" w:line="300" w:before="0" w:after="0"/>
              <w:ind w:left="0" w:right="0" w:hanging="0"/>
              <w:jc w:val="center"/>
              <w:rPr/>
            </w:pPr>
            <w:r>
              <w:rPr>
                <w:rStyle w:val="StrongEmphasis"/>
                <w:rFonts w:ascii="Times New Roman" w:hAnsi="Times New Roman"/>
                <w:sz w:val="20"/>
              </w:rPr>
              <w:t>(rental/entertainment)</w:t>
            </w:r>
          </w:p>
        </w:tc>
        <w:tc>
          <w:tcPr>
            <w:tcW w:w="2551" w:type="dxa"/>
            <w:tcBorders>
              <w:bottom w:val="double" w:sz="2" w:space="0" w:color="000000"/>
            </w:tcBorders>
            <w:shd w:fill="auto" w:val="clear"/>
            <w:vAlign w:val="bottom"/>
          </w:tcPr>
          <w:p>
            <w:pPr>
              <w:pStyle w:val="TableContents"/>
              <w:spacing w:lineRule="auto" w:line="300" w:before="0" w:after="0"/>
              <w:ind w:left="0" w:right="0" w:hanging="0"/>
              <w:jc w:val="both"/>
              <w:rPr/>
            </w:pPr>
            <w:r>
              <w:rPr/>
              <w:t> </w:t>
            </w:r>
          </w:p>
          <w:p>
            <w:pPr>
              <w:pStyle w:val="TableContents"/>
              <w:spacing w:lineRule="auto" w:line="300" w:before="0" w:after="0"/>
              <w:ind w:left="0" w:right="0" w:hanging="0"/>
              <w:jc w:val="center"/>
              <w:rPr/>
            </w:pPr>
            <w:r>
              <w:rPr>
                <w:rStyle w:val="StrongEmphasis"/>
                <w:rFonts w:ascii="Times New Roman" w:hAnsi="Times New Roman"/>
                <w:sz w:val="20"/>
              </w:rPr>
              <w:t>Percentage Leased</w:t>
            </w:r>
          </w:p>
        </w:tc>
        <w:tc>
          <w:tcPr>
            <w:tcW w:w="2552" w:type="dxa"/>
            <w:tcBorders>
              <w:bottom w:val="double" w:sz="2" w:space="0" w:color="000000"/>
            </w:tcBorders>
            <w:shd w:fill="auto" w:val="clear"/>
            <w:vAlign w:val="bottom"/>
          </w:tcPr>
          <w:p>
            <w:pPr>
              <w:pStyle w:val="TableContents"/>
              <w:spacing w:lineRule="auto" w:line="300" w:before="0" w:after="0"/>
              <w:ind w:left="0" w:right="0" w:hanging="0"/>
              <w:jc w:val="both"/>
              <w:rPr/>
            </w:pPr>
            <w:r>
              <w:rPr/>
              <w:t> </w:t>
            </w:r>
          </w:p>
          <w:p>
            <w:pPr>
              <w:pStyle w:val="TableContents"/>
              <w:spacing w:lineRule="auto" w:line="300" w:before="0" w:after="0"/>
              <w:ind w:left="0" w:right="0" w:hanging="0"/>
              <w:jc w:val="center"/>
              <w:rPr/>
            </w:pPr>
            <w:r>
              <w:rPr>
                <w:rStyle w:val="StrongEmphasis"/>
                <w:rFonts w:ascii="Times New Roman" w:hAnsi="Times New Roman"/>
                <w:sz w:val="20"/>
              </w:rPr>
              <w:t>Gross Book Value</w:t>
            </w:r>
          </w:p>
          <w:p>
            <w:pPr>
              <w:pStyle w:val="TableContents"/>
              <w:spacing w:lineRule="auto" w:line="300" w:before="0" w:after="0"/>
              <w:ind w:left="0" w:right="0" w:hanging="0"/>
              <w:jc w:val="both"/>
              <w:rPr/>
            </w:pPr>
            <w:r>
              <w:rPr/>
              <w:t> </w:t>
            </w:r>
          </w:p>
          <w:p>
            <w:pPr>
              <w:pStyle w:val="TableContents"/>
              <w:spacing w:lineRule="auto" w:line="300" w:before="0" w:after="0"/>
              <w:ind w:left="0" w:right="0" w:hanging="0"/>
              <w:jc w:val="center"/>
              <w:rPr/>
            </w:pPr>
            <w:r>
              <w:rPr>
                <w:rStyle w:val="StrongEmphasis"/>
                <w:rFonts w:ascii="Times New Roman" w:hAnsi="Times New Roman"/>
                <w:sz w:val="20"/>
              </w:rPr>
              <w:t>(in U.S. Dollars)</w:t>
            </w:r>
          </w:p>
        </w:tc>
      </w:tr>
      <w:tr>
        <w:trPr/>
        <w:tc>
          <w:tcPr>
            <w:tcW w:w="2551" w:type="dxa"/>
            <w:tcBorders>
              <w:bottom w:val="single" w:sz="2" w:space="0" w:color="000000"/>
            </w:tcBorders>
            <w:shd w:fill="CCEEFF" w:val="clear"/>
            <w:vAlign w:val="center"/>
          </w:tcPr>
          <w:p>
            <w:pPr>
              <w:pStyle w:val="TableContents"/>
              <w:spacing w:lineRule="auto" w:line="300" w:before="0" w:after="0"/>
              <w:ind w:left="0" w:right="0" w:hanging="0"/>
              <w:jc w:val="both"/>
              <w:rPr/>
            </w:pPr>
            <w:r>
              <w:rPr/>
              <w:t> </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Manville</w:t>
            </w:r>
          </w:p>
          <w:p>
            <w:pPr>
              <w:pStyle w:val="TableContents"/>
              <w:spacing w:lineRule="auto" w:line="300" w:before="0" w:after="0"/>
              <w:ind w:left="0" w:right="0" w:hanging="0"/>
              <w:jc w:val="both"/>
              <w:rPr/>
            </w:pPr>
            <w:r>
              <w:rPr/>
              <w:t> </w:t>
            </w:r>
          </w:p>
        </w:tc>
        <w:tc>
          <w:tcPr>
            <w:tcW w:w="2551" w:type="dxa"/>
            <w:tcBorders>
              <w:bottom w:val="single" w:sz="2" w:space="0" w:color="000000"/>
            </w:tcBorders>
            <w:shd w:fill="CCEEFF" w:val="clear"/>
            <w:vAlign w:val="center"/>
          </w:tcPr>
          <w:p>
            <w:pPr>
              <w:pStyle w:val="TableContents"/>
              <w:spacing w:lineRule="auto" w:line="300" w:before="0" w:after="0"/>
              <w:ind w:left="0" w:right="0" w:hanging="0"/>
              <w:jc w:val="both"/>
              <w:rPr/>
            </w:pPr>
            <w:r>
              <w:rPr/>
              <w:t> </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0 / 63,000</w:t>
            </w:r>
          </w:p>
          <w:p>
            <w:pPr>
              <w:pStyle w:val="TableContents"/>
              <w:spacing w:lineRule="auto" w:line="300" w:before="0" w:after="0"/>
              <w:ind w:left="0" w:right="0" w:hanging="0"/>
              <w:jc w:val="both"/>
              <w:rPr/>
            </w:pPr>
            <w:r>
              <w:rPr/>
              <w:t> </w:t>
            </w:r>
          </w:p>
        </w:tc>
        <w:tc>
          <w:tcPr>
            <w:tcW w:w="2551" w:type="dxa"/>
            <w:tcBorders>
              <w:bottom w:val="single" w:sz="2" w:space="0" w:color="000000"/>
            </w:tcBorders>
            <w:shd w:fill="CCEEFF" w:val="clear"/>
            <w:vAlign w:val="center"/>
          </w:tcPr>
          <w:p>
            <w:pPr>
              <w:pStyle w:val="TableContents"/>
              <w:spacing w:lineRule="auto" w:line="300" w:before="0" w:after="0"/>
              <w:ind w:left="0" w:right="0" w:hanging="0"/>
              <w:jc w:val="both"/>
              <w:rPr/>
            </w:pPr>
            <w:r>
              <w:rPr/>
              <w:t> </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N/A</w:t>
            </w:r>
          </w:p>
          <w:p>
            <w:pPr>
              <w:pStyle w:val="TableContents"/>
              <w:spacing w:lineRule="auto" w:line="300" w:before="0" w:after="0"/>
              <w:ind w:left="0" w:right="0" w:hanging="0"/>
              <w:jc w:val="both"/>
              <w:rPr/>
            </w:pPr>
            <w:r>
              <w:rPr/>
              <w:t> </w:t>
            </w:r>
          </w:p>
        </w:tc>
        <w:tc>
          <w:tcPr>
            <w:tcW w:w="2552" w:type="dxa"/>
            <w:tcBorders>
              <w:bottom w:val="single" w:sz="2" w:space="0" w:color="000000"/>
            </w:tcBorders>
            <w:shd w:fill="CCEEFF" w:val="clear"/>
            <w:vAlign w:val="center"/>
          </w:tcPr>
          <w:p>
            <w:pPr>
              <w:pStyle w:val="TableContents"/>
              <w:spacing w:lineRule="auto" w:line="300" w:before="0" w:after="0"/>
              <w:ind w:left="0" w:right="0" w:hanging="0"/>
              <w:jc w:val="both"/>
              <w:rPr/>
            </w:pPr>
            <w:r>
              <w:rPr/>
              <w:t> </w:t>
            </w:r>
          </w:p>
          <w:p>
            <w:pPr>
              <w:pStyle w:val="TableContents"/>
              <w:spacing w:lineRule="auto" w:line="300" w:before="0" w:after="0"/>
              <w:ind w:left="360" w:right="0" w:hanging="0"/>
              <w:jc w:val="center"/>
              <w:rPr>
                <w:rFonts w:ascii="Times New Roman" w:hAnsi="Times New Roman"/>
                <w:sz w:val="20"/>
              </w:rPr>
            </w:pPr>
            <w:bookmarkStart w:id="429" w:name="TAB1129"/>
            <w:bookmarkEnd w:id="429"/>
            <w:r>
              <w:rPr>
                <w:rFonts w:ascii="Times New Roman" w:hAnsi="Times New Roman"/>
                <w:sz w:val="20"/>
              </w:rPr>
              <w:t>$1,642,000</w:t>
            </w:r>
          </w:p>
          <w:p>
            <w:pPr>
              <w:pStyle w:val="TableContents"/>
              <w:spacing w:lineRule="auto" w:line="300" w:before="0" w:after="0"/>
              <w:ind w:left="0" w:right="0" w:hanging="0"/>
              <w:jc w:val="both"/>
              <w:rPr/>
            </w:pPr>
            <w:r>
              <w:rPr/>
              <w:t> </w:t>
            </w:r>
          </w:p>
        </w:tc>
      </w:tr>
      <w:tr>
        <w:trPr/>
        <w:tc>
          <w:tcPr>
            <w:tcW w:w="2551" w:type="dxa"/>
            <w:tcBorders>
              <w:bottom w:val="single" w:sz="2" w:space="0" w:color="000000"/>
            </w:tcBorders>
            <w:shd w:fill="FFFFFF" w:val="clear"/>
            <w:vAlign w:val="center"/>
          </w:tcPr>
          <w:p>
            <w:pPr>
              <w:pStyle w:val="TableContents"/>
              <w:spacing w:lineRule="auto" w:line="300" w:before="0" w:after="0"/>
              <w:ind w:left="0" w:right="0" w:hanging="0"/>
              <w:jc w:val="both"/>
              <w:rPr/>
            </w:pPr>
            <w:r>
              <w:rPr/>
              <w:t> </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Village East</w:t>
            </w:r>
          </w:p>
          <w:p>
            <w:pPr>
              <w:pStyle w:val="TableContents"/>
              <w:spacing w:lineRule="auto" w:line="300" w:before="0" w:after="0"/>
              <w:ind w:left="0" w:right="0" w:hanging="0"/>
              <w:jc w:val="both"/>
              <w:rPr/>
            </w:pPr>
            <w:r>
              <w:rPr/>
              <w:t> </w:t>
            </w:r>
          </w:p>
        </w:tc>
        <w:tc>
          <w:tcPr>
            <w:tcW w:w="2551" w:type="dxa"/>
            <w:tcBorders>
              <w:bottom w:val="single" w:sz="2" w:space="0" w:color="000000"/>
            </w:tcBorders>
            <w:shd w:fill="FFFFFF" w:val="clear"/>
            <w:vAlign w:val="center"/>
          </w:tcPr>
          <w:p>
            <w:pPr>
              <w:pStyle w:val="TableContents"/>
              <w:spacing w:lineRule="auto" w:line="300" w:before="0" w:after="0"/>
              <w:ind w:left="0" w:right="0" w:hanging="0"/>
              <w:jc w:val="both"/>
              <w:rPr/>
            </w:pPr>
            <w:r>
              <w:rPr/>
              <w:t> </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5,000 / 37,000</w:t>
            </w:r>
          </w:p>
          <w:p>
            <w:pPr>
              <w:pStyle w:val="TableContents"/>
              <w:spacing w:lineRule="auto" w:line="300" w:before="0" w:after="0"/>
              <w:ind w:left="0" w:right="0" w:hanging="0"/>
              <w:jc w:val="both"/>
              <w:rPr/>
            </w:pPr>
            <w:r>
              <w:rPr/>
              <w:t> </w:t>
            </w:r>
          </w:p>
        </w:tc>
        <w:tc>
          <w:tcPr>
            <w:tcW w:w="2551" w:type="dxa"/>
            <w:tcBorders>
              <w:bottom w:val="single" w:sz="2" w:space="0" w:color="000000"/>
            </w:tcBorders>
            <w:shd w:fill="FFFFFF" w:val="clear"/>
            <w:vAlign w:val="center"/>
          </w:tcPr>
          <w:p>
            <w:pPr>
              <w:pStyle w:val="TableContents"/>
              <w:spacing w:lineRule="auto" w:line="300" w:before="0" w:after="0"/>
              <w:ind w:left="0" w:right="0" w:hanging="0"/>
              <w:jc w:val="both"/>
              <w:rPr/>
            </w:pPr>
            <w:r>
              <w:rPr/>
              <w:t> </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100%</w:t>
            </w:r>
          </w:p>
          <w:p>
            <w:pPr>
              <w:pStyle w:val="TableContents"/>
              <w:spacing w:lineRule="auto" w:line="300" w:before="0" w:after="0"/>
              <w:ind w:left="0" w:right="0" w:hanging="0"/>
              <w:jc w:val="both"/>
              <w:rPr/>
            </w:pPr>
            <w:r>
              <w:rPr/>
              <w:t> </w:t>
            </w:r>
          </w:p>
        </w:tc>
        <w:tc>
          <w:tcPr>
            <w:tcW w:w="2552" w:type="dxa"/>
            <w:tcBorders>
              <w:bottom w:val="single" w:sz="2" w:space="0" w:color="000000"/>
            </w:tcBorders>
            <w:shd w:fill="FFFFFF" w:val="clear"/>
            <w:vAlign w:val="center"/>
          </w:tcPr>
          <w:p>
            <w:pPr>
              <w:pStyle w:val="TableContents"/>
              <w:spacing w:lineRule="auto" w:line="300" w:before="0" w:after="0"/>
              <w:ind w:left="0" w:right="0" w:hanging="0"/>
              <w:jc w:val="both"/>
              <w:rPr/>
            </w:pPr>
            <w:r>
              <w:rPr/>
              <w:t> </w:t>
            </w:r>
          </w:p>
          <w:p>
            <w:pPr>
              <w:pStyle w:val="TableContents"/>
              <w:spacing w:lineRule="auto" w:line="300" w:before="0" w:after="0"/>
              <w:ind w:left="360" w:right="0" w:hanging="0"/>
              <w:jc w:val="center"/>
              <w:rPr>
                <w:rFonts w:ascii="Times New Roman" w:hAnsi="Times New Roman"/>
                <w:sz w:val="20"/>
              </w:rPr>
            </w:pPr>
            <w:bookmarkStart w:id="430" w:name="TAB1130"/>
            <w:bookmarkEnd w:id="430"/>
            <w:r>
              <w:rPr>
                <w:rFonts w:ascii="Times New Roman" w:hAnsi="Times New Roman"/>
                <w:sz w:val="20"/>
              </w:rPr>
              <w:t>$2,520,000</w:t>
            </w:r>
          </w:p>
          <w:p>
            <w:pPr>
              <w:pStyle w:val="TableContents"/>
              <w:spacing w:lineRule="auto" w:line="300" w:before="0" w:after="0"/>
              <w:ind w:left="0" w:right="0" w:hanging="0"/>
              <w:jc w:val="both"/>
              <w:rPr/>
            </w:pPr>
            <w:r>
              <w:rPr/>
              <w:t> </w:t>
            </w:r>
          </w:p>
        </w:tc>
      </w:tr>
      <w:tr>
        <w:trPr/>
        <w:tc>
          <w:tcPr>
            <w:tcW w:w="2551" w:type="dxa"/>
            <w:tcBorders>
              <w:bottom w:val="double" w:sz="2" w:space="0" w:color="000000"/>
            </w:tcBorders>
            <w:shd w:fill="CCEEFF" w:val="clear"/>
            <w:vAlign w:val="center"/>
          </w:tcPr>
          <w:p>
            <w:pPr>
              <w:pStyle w:val="TableContents"/>
              <w:spacing w:lineRule="auto" w:line="300" w:before="0" w:after="0"/>
              <w:ind w:left="0" w:right="0" w:hanging="0"/>
              <w:jc w:val="both"/>
              <w:rPr/>
            </w:pPr>
            <w:r>
              <w:rPr/>
              <w:t> </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Waurn Ponds</w:t>
            </w:r>
          </w:p>
          <w:p>
            <w:pPr>
              <w:pStyle w:val="TableContents"/>
              <w:spacing w:lineRule="auto" w:line="300" w:before="0" w:after="0"/>
              <w:ind w:left="0" w:right="0" w:hanging="0"/>
              <w:jc w:val="both"/>
              <w:rPr/>
            </w:pPr>
            <w:r>
              <w:rPr/>
              <w:t> </w:t>
            </w:r>
          </w:p>
        </w:tc>
        <w:tc>
          <w:tcPr>
            <w:tcW w:w="2551" w:type="dxa"/>
            <w:tcBorders>
              <w:bottom w:val="double" w:sz="2" w:space="0" w:color="000000"/>
            </w:tcBorders>
            <w:shd w:fill="CCEEFF" w:val="clear"/>
            <w:vAlign w:val="center"/>
          </w:tcPr>
          <w:p>
            <w:pPr>
              <w:pStyle w:val="TableContents"/>
              <w:spacing w:lineRule="auto" w:line="300" w:before="0" w:after="0"/>
              <w:ind w:left="0" w:right="0" w:hanging="0"/>
              <w:jc w:val="both"/>
              <w:rPr/>
            </w:pPr>
            <w:r>
              <w:rPr/>
              <w:t> </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6,000 / 52,000</w:t>
            </w:r>
          </w:p>
          <w:p>
            <w:pPr>
              <w:pStyle w:val="TableContents"/>
              <w:spacing w:lineRule="auto" w:line="300" w:before="0" w:after="0"/>
              <w:ind w:left="0" w:right="0" w:hanging="0"/>
              <w:jc w:val="both"/>
              <w:rPr/>
            </w:pPr>
            <w:r>
              <w:rPr/>
              <w:t> </w:t>
            </w:r>
          </w:p>
        </w:tc>
        <w:tc>
          <w:tcPr>
            <w:tcW w:w="2551" w:type="dxa"/>
            <w:tcBorders>
              <w:bottom w:val="double" w:sz="2" w:space="0" w:color="000000"/>
            </w:tcBorders>
            <w:shd w:fill="CCEEFF" w:val="clear"/>
            <w:vAlign w:val="center"/>
          </w:tcPr>
          <w:p>
            <w:pPr>
              <w:pStyle w:val="TableContents"/>
              <w:spacing w:lineRule="auto" w:line="300" w:before="0" w:after="0"/>
              <w:ind w:left="0" w:right="0" w:hanging="0"/>
              <w:jc w:val="both"/>
              <w:rPr/>
            </w:pPr>
            <w:r>
              <w:rPr/>
              <w:t> </w:t>
            </w:r>
          </w:p>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100%</w:t>
            </w:r>
          </w:p>
          <w:p>
            <w:pPr>
              <w:pStyle w:val="TableContents"/>
              <w:spacing w:lineRule="auto" w:line="300" w:before="0" w:after="0"/>
              <w:ind w:left="0" w:right="0" w:hanging="0"/>
              <w:jc w:val="both"/>
              <w:rPr/>
            </w:pPr>
            <w:r>
              <w:rPr/>
              <w:t> </w:t>
            </w:r>
          </w:p>
        </w:tc>
        <w:tc>
          <w:tcPr>
            <w:tcW w:w="2552" w:type="dxa"/>
            <w:tcBorders>
              <w:bottom w:val="double" w:sz="2" w:space="0" w:color="000000"/>
            </w:tcBorders>
            <w:shd w:fill="CCEEFF" w:val="clear"/>
            <w:vAlign w:val="center"/>
          </w:tcPr>
          <w:p>
            <w:pPr>
              <w:pStyle w:val="TableContents"/>
              <w:spacing w:lineRule="auto" w:line="300" w:before="0" w:after="0"/>
              <w:ind w:left="0" w:right="0" w:hanging="0"/>
              <w:jc w:val="both"/>
              <w:rPr/>
            </w:pPr>
            <w:r>
              <w:rPr/>
              <w:t> </w:t>
            </w:r>
          </w:p>
          <w:p>
            <w:pPr>
              <w:pStyle w:val="TableContents"/>
              <w:spacing w:lineRule="auto" w:line="300" w:before="0" w:after="0"/>
              <w:ind w:left="360" w:right="0" w:hanging="0"/>
              <w:jc w:val="center"/>
              <w:rPr>
                <w:rFonts w:ascii="Times New Roman" w:hAnsi="Times New Roman"/>
                <w:sz w:val="20"/>
              </w:rPr>
            </w:pPr>
            <w:bookmarkStart w:id="431" w:name="TAB1131"/>
            <w:bookmarkEnd w:id="431"/>
            <w:r>
              <w:rPr>
                <w:rFonts w:ascii="Times New Roman" w:hAnsi="Times New Roman"/>
                <w:sz w:val="20"/>
              </w:rPr>
              <w:t>$8,170,000</w:t>
            </w:r>
          </w:p>
          <w:p>
            <w:pPr>
              <w:pStyle w:val="TableContents"/>
              <w:spacing w:lineRule="auto" w:line="300" w:before="0" w:after="0"/>
              <w:ind w:left="0" w:right="0" w:hanging="0"/>
              <w:jc w:val="both"/>
              <w:rPr/>
            </w:pPr>
            <w:r>
              <w:rPr/>
              <w:t> </w:t>
            </w:r>
          </w:p>
        </w:tc>
      </w:tr>
    </w:tbl>
    <w:p>
      <w:pPr>
        <w:pStyle w:val="TextBody"/>
        <w:spacing w:lineRule="auto" w:line="300" w:before="0" w:after="0"/>
        <w:ind w:left="0" w:right="0" w:hanging="0"/>
        <w:jc w:val="left"/>
        <w:rPr/>
      </w:pPr>
      <w:r>
        <w:rPr/>
        <w:t> </w:t>
      </w:r>
    </w:p>
    <w:p>
      <w:pPr>
        <w:pStyle w:val="TextBody"/>
        <w:spacing w:lineRule="auto" w:line="300" w:before="0" w:after="0"/>
        <w:ind w:left="0" w:right="0" w:hanging="0"/>
        <w:jc w:val="left"/>
        <w:rPr/>
      </w:pPr>
      <w:r>
        <w:rPr>
          <w:rFonts w:ascii="Times New Roman" w:hAnsi="Times New Roman"/>
          <w:position w:val="7"/>
          <w:sz w:val="16"/>
          <w:sz w:val="20"/>
        </w:rPr>
        <w:t>11</w:t>
      </w:r>
      <w:r>
        <w:rPr/>
        <w:t xml:space="preserve">  </w:t>
      </w:r>
      <w:r>
        <w:rPr>
          <w:rFonts w:ascii="Times New Roman" w:hAnsi="Times New Roman"/>
          <w:sz w:val="20"/>
        </w:rPr>
        <w:t>A number of our properties include entertainment components rented to one or more of our subsidiaries. The rental area and percentage leased numbers are net of such entertainment components. Book value, however, includes the entire investment in the leased property, including any cinema fit-out. Rental and book value information is as of December 31, 2006.</w:t>
      </w:r>
    </w:p>
    <w:p>
      <w:pPr>
        <w:pStyle w:val="TextBody"/>
        <w:spacing w:lineRule="auto" w:line="300" w:before="0" w:after="0"/>
        <w:ind w:left="0" w:right="0" w:hanging="0"/>
        <w:jc w:val="left"/>
        <w:rPr/>
      </w:pPr>
      <w:r>
        <w:rPr/>
        <w:t> </w:t>
      </w:r>
    </w:p>
    <w:p>
      <w:pPr>
        <w:pStyle w:val="TextBody"/>
        <w:spacing w:lineRule="auto" w:line="300" w:before="0" w:after="0"/>
        <w:ind w:left="0" w:right="0" w:hanging="0"/>
        <w:jc w:val="both"/>
        <w:rPr/>
      </w:pPr>
      <w:r>
        <w:rPr>
          <w:rStyle w:val="Emphasis"/>
          <w:rFonts w:ascii="Times New Roman" w:hAnsi="Times New Roman"/>
          <w:sz w:val="20"/>
          <w:u w:val="single"/>
        </w:rPr>
        <w:t xml:space="preserve">Live Theaters (Liberty Theaters) </w:t>
      </w:r>
    </w:p>
    <w:p>
      <w:pPr>
        <w:pStyle w:val="TextBody"/>
        <w:spacing w:lineRule="auto" w:line="300" w:before="0" w:after="0"/>
        <w:ind w:left="0" w:right="0" w:hanging="0"/>
        <w:jc w:val="both"/>
        <w:rPr/>
      </w:pPr>
      <w:r>
        <w:rPr/>
      </w:r>
    </w:p>
    <w:p>
      <w:pPr>
        <w:pStyle w:val="TextBody"/>
        <w:spacing w:lineRule="auto" w:line="300" w:before="0" w:after="0"/>
        <w:ind w:left="720" w:right="0" w:hanging="0"/>
        <w:jc w:val="both"/>
        <w:rPr>
          <w:rFonts w:ascii="Times New Roman" w:hAnsi="Times New Roman"/>
          <w:sz w:val="20"/>
        </w:rPr>
      </w:pPr>
      <w:bookmarkStart w:id="432" w:name="TAB1132"/>
      <w:bookmarkEnd w:id="432"/>
      <w:r>
        <w:rPr>
          <w:rFonts w:ascii="Times New Roman" w:hAnsi="Times New Roman"/>
          <w:sz w:val="20"/>
        </w:rPr>
        <w:t xml:space="preserve">Included among our real estate holdings are four “Off Broadway” style live theaters, operated through our Liberty Theaters subsidiary. We lease theater auditoriums to the producers of “Off Broadway” theatrical productions and provide various box office and concession services. The terms of our leases are, naturally, principally dependent upon the commercial success of our tenants. STOMP has been playing at our Orpheum Theatre for many years. While we attempt to choose productions that we believe will be successful, we have no control over the production itself. At the current time, we have three single auditorium theaters in Manhattan: </w:t>
      </w:r>
    </w:p>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433" w:name="hangingindent38"/>
      <w:bookmarkStart w:id="434" w:name="hangingindent38"/>
      <w:bookmarkEnd w:id="434"/>
    </w:p>
    <w:tbl>
      <w:tblPr>
        <w:tblW w:w="5000" w:type="pct"/>
        <w:jc w:val="center"/>
        <w:tblInd w:w="0" w:type="dxa"/>
        <w:tblCellMar>
          <w:top w:w="0" w:type="dxa"/>
          <w:left w:w="0" w:type="dxa"/>
          <w:bottom w:w="0" w:type="dxa"/>
          <w:right w:w="0" w:type="dxa"/>
        </w:tblCellMar>
      </w:tblPr>
      <w:tblGrid>
        <w:gridCol w:w="240"/>
        <w:gridCol w:w="381"/>
        <w:gridCol w:w="9584"/>
      </w:tblGrid>
      <w:tr>
        <w:trPr/>
        <w:tc>
          <w:tcPr>
            <w:tcW w:w="240" w:type="dxa"/>
            <w:tcBorders/>
            <w:shd w:fill="auto" w:val="clear"/>
          </w:tcPr>
          <w:p>
            <w:pPr>
              <w:pStyle w:val="TableContents"/>
              <w:spacing w:before="0" w:after="283"/>
              <w:rPr/>
            </w:pPr>
            <w:r>
              <w:rPr/>
              <w:t> </w:t>
            </w:r>
          </w:p>
        </w:tc>
        <w:tc>
          <w:tcPr>
            <w:tcW w:w="381"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958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Minetta Lane (399 seats);</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435" w:name="hangingindent39"/>
      <w:bookmarkStart w:id="436" w:name="hangingindent39"/>
      <w:bookmarkEnd w:id="436"/>
    </w:p>
    <w:tbl>
      <w:tblPr>
        <w:tblW w:w="5000" w:type="pct"/>
        <w:jc w:val="center"/>
        <w:tblInd w:w="0" w:type="dxa"/>
        <w:tblCellMar>
          <w:top w:w="0" w:type="dxa"/>
          <w:left w:w="0" w:type="dxa"/>
          <w:bottom w:w="0" w:type="dxa"/>
          <w:right w:w="0" w:type="dxa"/>
        </w:tblCellMar>
      </w:tblPr>
      <w:tblGrid>
        <w:gridCol w:w="236"/>
        <w:gridCol w:w="374"/>
        <w:gridCol w:w="9595"/>
      </w:tblGrid>
      <w:tr>
        <w:trPr/>
        <w:tc>
          <w:tcPr>
            <w:tcW w:w="236" w:type="dxa"/>
            <w:tcBorders/>
            <w:shd w:fill="auto" w:val="clear"/>
          </w:tcPr>
          <w:p>
            <w:pPr>
              <w:pStyle w:val="TableContents"/>
              <w:spacing w:before="0" w:after="283"/>
              <w:rPr/>
            </w:pPr>
            <w:r>
              <w:rPr/>
              <w:t> </w:t>
            </w:r>
          </w:p>
        </w:tc>
        <w:tc>
          <w:tcPr>
            <w:tcW w:w="374"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959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the Orpheum (364 seats); and </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437" w:name="hangingindent40"/>
      <w:bookmarkStart w:id="438" w:name="hangingindent40"/>
      <w:bookmarkEnd w:id="438"/>
    </w:p>
    <w:tbl>
      <w:tblPr>
        <w:tblW w:w="5000" w:type="pct"/>
        <w:jc w:val="center"/>
        <w:tblInd w:w="0" w:type="dxa"/>
        <w:tblCellMar>
          <w:top w:w="0" w:type="dxa"/>
          <w:left w:w="0" w:type="dxa"/>
          <w:bottom w:w="0" w:type="dxa"/>
          <w:right w:w="0" w:type="dxa"/>
        </w:tblCellMar>
      </w:tblPr>
      <w:tblGrid>
        <w:gridCol w:w="236"/>
        <w:gridCol w:w="374"/>
        <w:gridCol w:w="9595"/>
      </w:tblGrid>
      <w:tr>
        <w:trPr/>
        <w:tc>
          <w:tcPr>
            <w:tcW w:w="236" w:type="dxa"/>
            <w:tcBorders/>
            <w:shd w:fill="auto" w:val="clear"/>
          </w:tcPr>
          <w:p>
            <w:pPr>
              <w:pStyle w:val="TableContents"/>
              <w:spacing w:before="0" w:after="283"/>
              <w:rPr/>
            </w:pPr>
            <w:r>
              <w:rPr/>
              <w:t> </w:t>
            </w:r>
          </w:p>
        </w:tc>
        <w:tc>
          <w:tcPr>
            <w:tcW w:w="374"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959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the Union Square (499 seats). </w:t>
            </w:r>
          </w:p>
        </w:tc>
      </w:tr>
    </w:tbl>
    <w:p>
      <w:pPr>
        <w:pStyle w:val="TextBody"/>
        <w:spacing w:lineRule="auto" w:line="300" w:before="0" w:after="0"/>
        <w:ind w:left="0" w:right="0" w:hanging="0"/>
        <w:jc w:val="both"/>
        <w:rPr/>
      </w:pPr>
      <w:r>
        <w:rPr/>
        <w:t> </w:t>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We also own a four auditorium theater complex, the Royal George in Chicago (main stage 452 seats, cabaret 199 seats, great room 100 seats and gallery 60 seats). We own the fee interest in each of these theaters. Two of the properties, the Union Square and the Royal George, have ancillary retail and office space.</w:t>
      </w:r>
    </w:p>
    <w:p>
      <w:pPr>
        <w:pStyle w:val="TextBody"/>
        <w:spacing w:lineRule="auto" w:line="300" w:before="0" w:after="0"/>
        <w:ind w:left="0" w:right="0" w:hanging="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We are basically in the business of leasing theatre space, and accordingly we do not typically invest in plays. However, we may from time to time participate as a minority investor in order to facilitate the production of a play at one of our facilities, and do from time to time rent space on a basis that allows us to share in a productions revenues or profits. Revenues, expenses and profits are reported as apart of the real estate segment of our business.</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pPr>
      <w:r>
        <w:rPr>
          <w:rStyle w:val="Emphasis"/>
          <w:rFonts w:ascii="Times New Roman" w:hAnsi="Times New Roman"/>
          <w:sz w:val="20"/>
          <w:u w:val="single"/>
        </w:rPr>
        <w:t>Our Development Projects</w:t>
      </w:r>
    </w:p>
    <w:p>
      <w:pPr>
        <w:pStyle w:val="TextBody"/>
        <w:spacing w:lineRule="auto" w:line="300" w:before="0" w:after="0"/>
        <w:ind w:left="0" w:right="0" w:hanging="0"/>
        <w:jc w:val="left"/>
        <w:rPr/>
      </w:pPr>
      <w:r>
        <w:rPr/>
      </w:r>
    </w:p>
    <w:p>
      <w:pPr>
        <w:pStyle w:val="TextBody"/>
        <w:spacing w:lineRule="auto" w:line="300" w:before="0" w:after="0"/>
        <w:ind w:left="720" w:right="0" w:hanging="0"/>
        <w:jc w:val="left"/>
        <w:rPr>
          <w:rFonts w:ascii="Times New Roman" w:hAnsi="Times New Roman"/>
          <w:sz w:val="20"/>
        </w:rPr>
      </w:pPr>
      <w:bookmarkStart w:id="439" w:name="TAB1133"/>
      <w:bookmarkEnd w:id="439"/>
      <w:r>
        <w:rPr>
          <w:rFonts w:ascii="Times New Roman" w:hAnsi="Times New Roman"/>
          <w:sz w:val="20"/>
        </w:rPr>
        <w:t>Our current real estate development projects are as follows:</w:t>
      </w:r>
    </w:p>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440" w:name="hangingindent41"/>
      <w:bookmarkStart w:id="441" w:name="hangingindent41"/>
      <w:bookmarkEnd w:id="441"/>
    </w:p>
    <w:tbl>
      <w:tblPr>
        <w:tblW w:w="5000" w:type="pct"/>
        <w:jc w:val="center"/>
        <w:tblInd w:w="0" w:type="dxa"/>
        <w:tblCellMar>
          <w:top w:w="0" w:type="dxa"/>
          <w:left w:w="0" w:type="dxa"/>
          <w:bottom w:w="0" w:type="dxa"/>
          <w:right w:w="0" w:type="dxa"/>
        </w:tblCellMar>
      </w:tblPr>
      <w:tblGrid>
        <w:gridCol w:w="258"/>
        <w:gridCol w:w="410"/>
        <w:gridCol w:w="9537"/>
      </w:tblGrid>
      <w:tr>
        <w:trPr/>
        <w:tc>
          <w:tcPr>
            <w:tcW w:w="258" w:type="dxa"/>
            <w:tcBorders/>
            <w:shd w:fill="auto" w:val="clear"/>
          </w:tcPr>
          <w:p>
            <w:pPr>
              <w:pStyle w:val="TableContents"/>
              <w:spacing w:before="0" w:after="283"/>
              <w:rPr/>
            </w:pPr>
            <w:r>
              <w:rPr/>
              <w:t> </w:t>
            </w:r>
          </w:p>
        </w:tc>
        <w:tc>
          <w:tcPr>
            <w:tcW w:w="410" w:type="dxa"/>
            <w:tcBorders/>
            <w:shd w:fill="auto" w:val="clear"/>
          </w:tcPr>
          <w:p>
            <w:pPr>
              <w:pStyle w:val="TableContents"/>
              <w:spacing w:before="0" w:after="0"/>
              <w:ind w:left="0" w:right="0" w:hanging="0"/>
              <w:jc w:val="left"/>
              <w:rPr>
                <w:rFonts w:ascii="Symbol;serif" w:hAnsi="Symbol;serif"/>
                <w:sz w:val="20"/>
              </w:rPr>
            </w:pPr>
            <w:r>
              <w:rPr>
                <w:rFonts w:ascii="Symbol;serif" w:hAnsi="Symbol;serif"/>
                <w:sz w:val="20"/>
              </w:rPr>
              <w:t>·</w:t>
            </w:r>
          </w:p>
        </w:tc>
        <w:tc>
          <w:tcPr>
            <w:tcW w:w="9537"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Auburn, New South Wales:</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442" w:name="hangingindent42"/>
      <w:bookmarkStart w:id="443" w:name="hangingindent42"/>
      <w:bookmarkEnd w:id="443"/>
    </w:p>
    <w:tbl>
      <w:tblPr>
        <w:tblW w:w="5000" w:type="pct"/>
        <w:jc w:val="center"/>
        <w:tblInd w:w="0" w:type="dxa"/>
        <w:tblCellMar>
          <w:top w:w="0" w:type="dxa"/>
          <w:left w:w="0" w:type="dxa"/>
          <w:bottom w:w="0" w:type="dxa"/>
          <w:right w:w="0" w:type="dxa"/>
        </w:tblCellMar>
      </w:tblPr>
      <w:tblGrid>
        <w:gridCol w:w="59"/>
        <w:gridCol w:w="125"/>
        <w:gridCol w:w="10021"/>
      </w:tblGrid>
      <w:tr>
        <w:trPr/>
        <w:tc>
          <w:tcPr>
            <w:tcW w:w="59" w:type="dxa"/>
            <w:tcBorders/>
            <w:shd w:fill="auto" w:val="clear"/>
          </w:tcPr>
          <w:p>
            <w:pPr>
              <w:pStyle w:val="TableContents"/>
              <w:spacing w:before="0" w:after="283"/>
              <w:rPr/>
            </w:pPr>
            <w:r>
              <w:rPr/>
              <w:t> </w:t>
            </w:r>
          </w:p>
        </w:tc>
        <w:tc>
          <w:tcPr>
            <w:tcW w:w="125"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o</w:t>
            </w:r>
          </w:p>
        </w:tc>
        <w:tc>
          <w:tcPr>
            <w:tcW w:w="10021"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our Auburn site is currently improved with a 109,000 square foot ETRC, anchored by a 10 screen, 57,000 square foot cinema. Commonly known as “Red Yard,” the centre also includes an 871 space subterranean parking garage. </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444" w:name="hangingindent43"/>
      <w:bookmarkStart w:id="445" w:name="hangingindent43"/>
      <w:bookmarkEnd w:id="445"/>
    </w:p>
    <w:tbl>
      <w:tblPr>
        <w:tblW w:w="5000" w:type="pct"/>
        <w:jc w:val="center"/>
        <w:tblInd w:w="0" w:type="dxa"/>
        <w:tblCellMar>
          <w:top w:w="0" w:type="dxa"/>
          <w:left w:w="0" w:type="dxa"/>
          <w:bottom w:w="0" w:type="dxa"/>
          <w:right w:w="0" w:type="dxa"/>
        </w:tblCellMar>
      </w:tblPr>
      <w:tblGrid>
        <w:gridCol w:w="59"/>
        <w:gridCol w:w="125"/>
        <w:gridCol w:w="10021"/>
      </w:tblGrid>
      <w:tr>
        <w:trPr/>
        <w:tc>
          <w:tcPr>
            <w:tcW w:w="59" w:type="dxa"/>
            <w:tcBorders/>
            <w:shd w:fill="auto" w:val="clear"/>
          </w:tcPr>
          <w:p>
            <w:pPr>
              <w:pStyle w:val="TableContents"/>
              <w:spacing w:before="0" w:after="283"/>
              <w:rPr/>
            </w:pPr>
            <w:r>
              <w:rPr/>
              <w:t> </w:t>
            </w:r>
          </w:p>
        </w:tc>
        <w:tc>
          <w:tcPr>
            <w:tcW w:w="125"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o</w:t>
            </w:r>
          </w:p>
        </w:tc>
        <w:tc>
          <w:tcPr>
            <w:tcW w:w="10021"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approximately 93,000 square feet of the site is currently unimproved, and is intended to provide expansion space for phase II of our Red Yard project.</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46" w:name="PGBRK21"/>
      <w:bookmarkStart w:id="447" w:name="PGBRK21"/>
      <w:bookmarkEnd w:id="44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48" w:name="FTR21"/>
      <w:bookmarkStart w:id="449" w:name="FTR21"/>
      <w:bookmarkEnd w:id="44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50" w:name="GLFTR21"/>
      <w:bookmarkStart w:id="451" w:name="GLFTR21"/>
      <w:bookmarkEnd w:id="45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452" w:name="PN21"/>
      <w:bookmarkEnd w:id="452"/>
      <w:r>
        <w:rPr>
          <w:rFonts w:ascii="Times New Roman" w:hAnsi="Times New Roman"/>
          <w:sz w:val="16"/>
        </w:rPr>
        <w:t>-21-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53" w:name="HDR21"/>
      <w:bookmarkStart w:id="454" w:name="HDR21"/>
      <w:bookmarkEnd w:id="45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455" w:name="GLHDR21"/>
        <w:bookmarkEnd w:id="455"/>
        <w:r>
          <w:rPr>
            <w:rStyle w:val="Emphasis"/>
            <w:rFonts w:ascii="Times New Roman" w:hAnsi="Times New Roman"/>
            <w:color w:val="000000"/>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pStyle w:val="Normal"/>
        <w:spacing w:before="0" w:after="0"/>
        <w:rPr>
          <w:sz w:val="4"/>
          <w:szCs w:val="4"/>
        </w:rPr>
      </w:pPr>
      <w:r>
        <w:rPr>
          <w:sz w:val="4"/>
          <w:szCs w:val="4"/>
        </w:rPr>
      </w:r>
      <w:bookmarkStart w:id="456" w:name="hangingindent44"/>
      <w:bookmarkStart w:id="457" w:name="hangingindent44"/>
      <w:bookmarkEnd w:id="457"/>
    </w:p>
    <w:tbl>
      <w:tblPr>
        <w:tblW w:w="5000" w:type="pct"/>
        <w:jc w:val="center"/>
        <w:tblInd w:w="0" w:type="dxa"/>
        <w:tblCellMar>
          <w:top w:w="0" w:type="dxa"/>
          <w:left w:w="0" w:type="dxa"/>
          <w:bottom w:w="0" w:type="dxa"/>
          <w:right w:w="0" w:type="dxa"/>
        </w:tblCellMar>
      </w:tblPr>
      <w:tblGrid>
        <w:gridCol w:w="59"/>
        <w:gridCol w:w="125"/>
        <w:gridCol w:w="10021"/>
      </w:tblGrid>
      <w:tr>
        <w:trPr/>
        <w:tc>
          <w:tcPr>
            <w:tcW w:w="59" w:type="dxa"/>
            <w:tcBorders/>
            <w:shd w:fill="auto" w:val="clear"/>
          </w:tcPr>
          <w:p>
            <w:pPr>
              <w:pStyle w:val="TableContents"/>
              <w:spacing w:before="0" w:after="283"/>
              <w:rPr/>
            </w:pPr>
            <w:r>
              <w:rPr/>
              <w:t> </w:t>
            </w:r>
          </w:p>
        </w:tc>
        <w:tc>
          <w:tcPr>
            <w:tcW w:w="125"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o</w:t>
            </w:r>
          </w:p>
        </w:tc>
        <w:tc>
          <w:tcPr>
            <w:tcW w:w="10021"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the Auburn City Council, in coordination with other local governments, is currently reviewing the land use parameters for the areas adjacent to Parramatta Road in which our property is located. Parramatta Road, which runs adjacent to Homebush Bay, the site of the 2000 Olympic Games, is one of the busiest arterial roadways in the greater Sydney area, and is considered by many to be the “gateway” to Sydney. Consequently, there is significant community interest in rezoning the uses along this road. As a major landowner in this area, we intend to be actively involved in this process and are hopeful that this rezoning process will materially enhance the value of our remaining unimproved parcel. We have deferred further work on phase II until we get a better idea of the opportunities that may be opened by this rezoning process.</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458" w:name="hangingindent45"/>
      <w:bookmarkStart w:id="459" w:name="hangingindent45"/>
      <w:bookmarkEnd w:id="459"/>
    </w:p>
    <w:tbl>
      <w:tblPr>
        <w:tblW w:w="5000" w:type="pct"/>
        <w:jc w:val="center"/>
        <w:tblInd w:w="0" w:type="dxa"/>
        <w:tblCellMar>
          <w:top w:w="0" w:type="dxa"/>
          <w:left w:w="0" w:type="dxa"/>
          <w:bottom w:w="0" w:type="dxa"/>
          <w:right w:w="0" w:type="dxa"/>
        </w:tblCellMar>
      </w:tblPr>
      <w:tblGrid>
        <w:gridCol w:w="80"/>
        <w:gridCol w:w="168"/>
        <w:gridCol w:w="9957"/>
      </w:tblGrid>
      <w:tr>
        <w:trPr/>
        <w:tc>
          <w:tcPr>
            <w:tcW w:w="80" w:type="dxa"/>
            <w:tcBorders/>
            <w:shd w:fill="auto" w:val="clear"/>
          </w:tcPr>
          <w:p>
            <w:pPr>
              <w:pStyle w:val="TableContents"/>
              <w:spacing w:before="0" w:after="283"/>
              <w:rPr/>
            </w:pPr>
            <w:r>
              <w:rPr/>
              <w:t> </w:t>
            </w:r>
          </w:p>
        </w:tc>
        <w:tc>
          <w:tcPr>
            <w:tcW w:w="168"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o</w:t>
            </w:r>
          </w:p>
        </w:tc>
        <w:tc>
          <w:tcPr>
            <w:tcW w:w="9957"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this unimproved parcel is currently carried on our books at $1.6 million (AUS$2.0 million).</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460" w:name="hangingindent46"/>
      <w:bookmarkStart w:id="461" w:name="hangingindent46"/>
      <w:bookmarkEnd w:id="461"/>
    </w:p>
    <w:tbl>
      <w:tblPr>
        <w:tblW w:w="5000" w:type="pct"/>
        <w:jc w:val="center"/>
        <w:tblInd w:w="0" w:type="dxa"/>
        <w:tblCellMar>
          <w:top w:w="0" w:type="dxa"/>
          <w:left w:w="0" w:type="dxa"/>
          <w:bottom w:w="0" w:type="dxa"/>
          <w:right w:w="0" w:type="dxa"/>
        </w:tblCellMar>
      </w:tblPr>
      <w:tblGrid>
        <w:gridCol w:w="352"/>
        <w:gridCol w:w="559"/>
        <w:gridCol w:w="9294"/>
      </w:tblGrid>
      <w:tr>
        <w:trPr/>
        <w:tc>
          <w:tcPr>
            <w:tcW w:w="352" w:type="dxa"/>
            <w:tcBorders/>
            <w:shd w:fill="auto" w:val="clear"/>
          </w:tcPr>
          <w:p>
            <w:pPr>
              <w:pStyle w:val="TableContents"/>
              <w:spacing w:before="0" w:after="283"/>
              <w:rPr/>
            </w:pPr>
            <w:r>
              <w:rPr/>
              <w:t> </w:t>
            </w:r>
          </w:p>
        </w:tc>
        <w:tc>
          <w:tcPr>
            <w:tcW w:w="559" w:type="dxa"/>
            <w:tcBorders/>
            <w:shd w:fill="auto" w:val="clear"/>
          </w:tcPr>
          <w:p>
            <w:pPr>
              <w:pStyle w:val="TableContents"/>
              <w:spacing w:before="0" w:after="0"/>
              <w:ind w:left="0" w:right="0" w:hanging="0"/>
              <w:jc w:val="left"/>
              <w:rPr>
                <w:rFonts w:ascii="Symbol;serif" w:hAnsi="Symbol;serif"/>
                <w:sz w:val="20"/>
              </w:rPr>
            </w:pPr>
            <w:r>
              <w:rPr>
                <w:rFonts w:ascii="Symbol;serif" w:hAnsi="Symbol;serif"/>
                <w:sz w:val="20"/>
              </w:rPr>
              <w:t>·</w:t>
            </w:r>
          </w:p>
        </w:tc>
        <w:tc>
          <w:tcPr>
            <w:tcW w:w="9294"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Burwood, Victoria:</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462" w:name="hangingindent47"/>
      <w:bookmarkStart w:id="463" w:name="hangingindent47"/>
      <w:bookmarkEnd w:id="463"/>
    </w:p>
    <w:tbl>
      <w:tblPr>
        <w:tblW w:w="5000" w:type="pct"/>
        <w:jc w:val="center"/>
        <w:tblInd w:w="0" w:type="dxa"/>
        <w:tblCellMar>
          <w:top w:w="0" w:type="dxa"/>
          <w:left w:w="0" w:type="dxa"/>
          <w:bottom w:w="0" w:type="dxa"/>
          <w:right w:w="0" w:type="dxa"/>
        </w:tblCellMar>
      </w:tblPr>
      <w:tblGrid>
        <w:gridCol w:w="59"/>
        <w:gridCol w:w="125"/>
        <w:gridCol w:w="10021"/>
      </w:tblGrid>
      <w:tr>
        <w:trPr/>
        <w:tc>
          <w:tcPr>
            <w:tcW w:w="59" w:type="dxa"/>
            <w:tcBorders/>
            <w:shd w:fill="auto" w:val="clear"/>
          </w:tcPr>
          <w:p>
            <w:pPr>
              <w:pStyle w:val="TableContents"/>
              <w:spacing w:before="0" w:after="283"/>
              <w:rPr/>
            </w:pPr>
            <w:r>
              <w:rPr/>
              <w:t> </w:t>
            </w:r>
          </w:p>
        </w:tc>
        <w:tc>
          <w:tcPr>
            <w:tcW w:w="12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o</w:t>
            </w:r>
          </w:p>
        </w:tc>
        <w:tc>
          <w:tcPr>
            <w:tcW w:w="1002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our Burwood site is comprised of 50.6 acres of unimproved land, previously used as a brickworks and quarry. The property was rezoned in February 2006 to permit a broad range of entertainment, retail, commercial and residential uses. Located in the Burwood suburb of Melbourne, it was designated as a “major activity centre” by the Victoria government, hopefully paving the way for its redevelopment as a multi-use suburban in-fill site. </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464" w:name="hangingindent48"/>
      <w:bookmarkStart w:id="465" w:name="hangingindent48"/>
      <w:bookmarkEnd w:id="465"/>
    </w:p>
    <w:tbl>
      <w:tblPr>
        <w:tblW w:w="5000" w:type="pct"/>
        <w:jc w:val="center"/>
        <w:tblInd w:w="0" w:type="dxa"/>
        <w:tblCellMar>
          <w:top w:w="0" w:type="dxa"/>
          <w:left w:w="0" w:type="dxa"/>
          <w:bottom w:w="0" w:type="dxa"/>
          <w:right w:w="0" w:type="dxa"/>
        </w:tblCellMar>
      </w:tblPr>
      <w:tblGrid>
        <w:gridCol w:w="59"/>
        <w:gridCol w:w="125"/>
        <w:gridCol w:w="10021"/>
      </w:tblGrid>
      <w:tr>
        <w:trPr/>
        <w:tc>
          <w:tcPr>
            <w:tcW w:w="59" w:type="dxa"/>
            <w:tcBorders/>
            <w:shd w:fill="auto" w:val="clear"/>
          </w:tcPr>
          <w:p>
            <w:pPr>
              <w:pStyle w:val="TableContents"/>
              <w:spacing w:before="0" w:after="283"/>
              <w:rPr/>
            </w:pPr>
            <w:r>
              <w:rPr/>
              <w:t> </w:t>
            </w:r>
          </w:p>
        </w:tc>
        <w:tc>
          <w:tcPr>
            <w:tcW w:w="12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o</w:t>
            </w:r>
          </w:p>
        </w:tc>
        <w:tc>
          <w:tcPr>
            <w:tcW w:w="1002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site is the largest undeveloped parcel of land in the Burwood Heights “major activity centre” and the largest undeveloped parcel of land in any “major activity centre” in Victoria. Approximately 430,000 people live within five miles of the site, which is well served by both public transit and surface streets. We estimate that approximately 70,000 people pass by the site each day.</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466" w:name="hangingindent49"/>
      <w:bookmarkStart w:id="467" w:name="hangingindent49"/>
      <w:bookmarkEnd w:id="467"/>
    </w:p>
    <w:tbl>
      <w:tblPr>
        <w:tblW w:w="5000" w:type="pct"/>
        <w:jc w:val="center"/>
        <w:tblInd w:w="0" w:type="dxa"/>
        <w:tblCellMar>
          <w:top w:w="0" w:type="dxa"/>
          <w:left w:w="0" w:type="dxa"/>
          <w:bottom w:w="0" w:type="dxa"/>
          <w:right w:w="0" w:type="dxa"/>
        </w:tblCellMar>
      </w:tblPr>
      <w:tblGrid>
        <w:gridCol w:w="59"/>
        <w:gridCol w:w="125"/>
        <w:gridCol w:w="10021"/>
      </w:tblGrid>
      <w:tr>
        <w:trPr/>
        <w:tc>
          <w:tcPr>
            <w:tcW w:w="59" w:type="dxa"/>
            <w:tcBorders/>
            <w:shd w:fill="auto" w:val="clear"/>
          </w:tcPr>
          <w:p>
            <w:pPr>
              <w:pStyle w:val="TableContents"/>
              <w:spacing w:before="0" w:after="283"/>
              <w:rPr/>
            </w:pPr>
            <w:r>
              <w:rPr/>
              <w:t> </w:t>
            </w:r>
          </w:p>
        </w:tc>
        <w:tc>
          <w:tcPr>
            <w:tcW w:w="12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o</w:t>
            </w:r>
          </w:p>
        </w:tc>
        <w:tc>
          <w:tcPr>
            <w:tcW w:w="1002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we anticipate that the project will be built in phases, over a significant period of years, and will not likely be completed before sometime in 2015. The initial phase, however, will likely be an ETRC, as this is the area of development and construction with which we are most familiar. </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468" w:name="hangingindent50"/>
      <w:bookmarkStart w:id="469" w:name="hangingindent50"/>
      <w:bookmarkEnd w:id="469"/>
    </w:p>
    <w:tbl>
      <w:tblPr>
        <w:tblW w:w="5000" w:type="pct"/>
        <w:jc w:val="center"/>
        <w:tblInd w:w="0" w:type="dxa"/>
        <w:tblCellMar>
          <w:top w:w="0" w:type="dxa"/>
          <w:left w:w="0" w:type="dxa"/>
          <w:bottom w:w="0" w:type="dxa"/>
          <w:right w:w="0" w:type="dxa"/>
        </w:tblCellMar>
      </w:tblPr>
      <w:tblGrid>
        <w:gridCol w:w="59"/>
        <w:gridCol w:w="125"/>
        <w:gridCol w:w="10021"/>
      </w:tblGrid>
      <w:tr>
        <w:trPr/>
        <w:tc>
          <w:tcPr>
            <w:tcW w:w="59" w:type="dxa"/>
            <w:tcBorders/>
            <w:shd w:fill="auto" w:val="clear"/>
          </w:tcPr>
          <w:p>
            <w:pPr>
              <w:pStyle w:val="TableContents"/>
              <w:spacing w:before="0" w:after="283"/>
              <w:rPr/>
            </w:pPr>
            <w:r>
              <w:rPr/>
              <w:t> </w:t>
            </w:r>
          </w:p>
        </w:tc>
        <w:tc>
          <w:tcPr>
            <w:tcW w:w="12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o</w:t>
            </w:r>
          </w:p>
        </w:tc>
        <w:tc>
          <w:tcPr>
            <w:tcW w:w="1002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we do not currently have any funding in place for the development, and are paying for current master planning activities out of cash flow and working capital. The permitted uses outlined in the rezoning for the site are being defined through a Development Plan Overlay review by local government. We currently estimate that complete build-out of the site will require funding in the range of $500.0 million (AUS$635.0 million).</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470" w:name="hangingindent51"/>
      <w:bookmarkStart w:id="471" w:name="hangingindent51"/>
      <w:bookmarkEnd w:id="471"/>
    </w:p>
    <w:tbl>
      <w:tblPr>
        <w:tblW w:w="5000" w:type="pct"/>
        <w:jc w:val="center"/>
        <w:tblInd w:w="0" w:type="dxa"/>
        <w:tblCellMar>
          <w:top w:w="0" w:type="dxa"/>
          <w:left w:w="0" w:type="dxa"/>
          <w:bottom w:w="0" w:type="dxa"/>
          <w:right w:w="0" w:type="dxa"/>
        </w:tblCellMar>
      </w:tblPr>
      <w:tblGrid>
        <w:gridCol w:w="59"/>
        <w:gridCol w:w="125"/>
        <w:gridCol w:w="10021"/>
      </w:tblGrid>
      <w:tr>
        <w:trPr/>
        <w:tc>
          <w:tcPr>
            <w:tcW w:w="59" w:type="dxa"/>
            <w:tcBorders/>
            <w:shd w:fill="auto" w:val="clear"/>
          </w:tcPr>
          <w:p>
            <w:pPr>
              <w:pStyle w:val="TableContents"/>
              <w:spacing w:before="0" w:after="283"/>
              <w:rPr/>
            </w:pPr>
            <w:r>
              <w:rPr/>
              <w:t> </w:t>
            </w:r>
          </w:p>
        </w:tc>
        <w:tc>
          <w:tcPr>
            <w:tcW w:w="12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o</w:t>
            </w:r>
          </w:p>
        </w:tc>
        <w:tc>
          <w:tcPr>
            <w:tcW w:w="1002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our original cost basis in the site is approximately $4.2 million (AUS$5.3 million). The property was originally acquired in 1996, but was revalued upward in connection with the Consolidation in 2001, which was treated as a purchase for accounting purposes. This revaluation was made prior to the designation of the site as a “major activity center” in 2004. The current book value of this property under construction is $24.3 million (AUS$30.9 million).</w:t>
            </w:r>
          </w:p>
        </w:tc>
      </w:tr>
    </w:tbl>
    <w:p>
      <w:pPr>
        <w:pStyle w:val="TextBody"/>
        <w:spacing w:lineRule="auto" w:line="300" w:before="0" w:after="0"/>
        <w:ind w:left="0" w:right="0" w:hanging="0"/>
        <w:jc w:val="both"/>
        <w:rPr/>
      </w:pPr>
      <w:r>
        <w:rPr/>
        <w:t> </w:t>
      </w:r>
    </w:p>
    <w:p>
      <w:pPr>
        <w:pStyle w:val="Normal"/>
        <w:spacing w:lineRule="auto" w:line="300" w:before="0" w:after="0"/>
        <w:jc w:val="both"/>
        <w:rPr>
          <w:sz w:val="4"/>
          <w:szCs w:val="4"/>
        </w:rPr>
      </w:pPr>
      <w:r>
        <w:rPr>
          <w:sz w:val="4"/>
          <w:szCs w:val="4"/>
        </w:rPr>
      </w:r>
      <w:bookmarkStart w:id="472" w:name="hangingindent52"/>
      <w:bookmarkStart w:id="473" w:name="hangingindent52"/>
      <w:bookmarkEnd w:id="473"/>
    </w:p>
    <w:tbl>
      <w:tblPr>
        <w:tblW w:w="5000" w:type="pct"/>
        <w:jc w:val="center"/>
        <w:tblInd w:w="0" w:type="dxa"/>
        <w:tblCellMar>
          <w:top w:w="0" w:type="dxa"/>
          <w:left w:w="0" w:type="dxa"/>
          <w:bottom w:w="0" w:type="dxa"/>
          <w:right w:w="0" w:type="dxa"/>
        </w:tblCellMar>
      </w:tblPr>
      <w:tblGrid>
        <w:gridCol w:w="59"/>
        <w:gridCol w:w="125"/>
        <w:gridCol w:w="10021"/>
      </w:tblGrid>
      <w:tr>
        <w:trPr/>
        <w:tc>
          <w:tcPr>
            <w:tcW w:w="59" w:type="dxa"/>
            <w:tcBorders/>
            <w:shd w:fill="auto" w:val="clear"/>
          </w:tcPr>
          <w:p>
            <w:pPr>
              <w:pStyle w:val="TableContents"/>
              <w:spacing w:before="0" w:after="283"/>
              <w:rPr/>
            </w:pPr>
            <w:r>
              <w:rPr/>
              <w:t> </w:t>
            </w:r>
          </w:p>
        </w:tc>
        <w:tc>
          <w:tcPr>
            <w:tcW w:w="12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o</w:t>
            </w:r>
          </w:p>
        </w:tc>
        <w:tc>
          <w:tcPr>
            <w:tcW w:w="10021" w:type="dxa"/>
            <w:tcBorders/>
            <w:shd w:fill="auto" w:val="cle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as the property was used by its prior owner as a brickworks, it will be necessary to remove the contaminated soil that resulted from those operations from the site before it can be used for mixed-use retail, entertainment, commercial and residential purposes. In February of this year, we determined that our estimates as to the cost of such removal were too low, in light of the amount of contaminated soil discovered at the site during our grading and fill work at the site. We are currently re-evaluating these estimates and the possible availability of legal recourse against those who were responsible for such contamination.</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474" w:name="hangingindent53"/>
      <w:bookmarkStart w:id="475" w:name="hangingindent53"/>
      <w:bookmarkEnd w:id="475"/>
    </w:p>
    <w:tbl>
      <w:tblPr>
        <w:tblW w:w="5000" w:type="pct"/>
        <w:jc w:val="center"/>
        <w:tblInd w:w="0" w:type="dxa"/>
        <w:tblCellMar>
          <w:top w:w="0" w:type="dxa"/>
          <w:left w:w="0" w:type="dxa"/>
          <w:bottom w:w="0" w:type="dxa"/>
          <w:right w:w="0" w:type="dxa"/>
        </w:tblCellMar>
      </w:tblPr>
      <w:tblGrid>
        <w:gridCol w:w="156"/>
        <w:gridCol w:w="248"/>
        <w:gridCol w:w="9801"/>
      </w:tblGrid>
      <w:tr>
        <w:trPr/>
        <w:tc>
          <w:tcPr>
            <w:tcW w:w="156" w:type="dxa"/>
            <w:tcBorders/>
            <w:shd w:fill="auto" w:val="clear"/>
          </w:tcPr>
          <w:p>
            <w:pPr>
              <w:pStyle w:val="TableContents"/>
              <w:spacing w:before="0" w:after="283"/>
              <w:rPr/>
            </w:pPr>
            <w:r>
              <w:rPr/>
              <w:t> </w:t>
            </w:r>
          </w:p>
        </w:tc>
        <w:tc>
          <w:tcPr>
            <w:tcW w:w="248" w:type="dxa"/>
            <w:tcBorders/>
            <w:shd w:fill="auto" w:val="clear"/>
          </w:tcPr>
          <w:p>
            <w:pPr>
              <w:pStyle w:val="TableContents"/>
              <w:spacing w:before="0" w:after="0"/>
              <w:ind w:left="0" w:right="0" w:hanging="0"/>
              <w:jc w:val="left"/>
              <w:rPr>
                <w:rFonts w:ascii="Symbol;serif" w:hAnsi="Symbol;serif"/>
                <w:sz w:val="20"/>
              </w:rPr>
            </w:pPr>
            <w:r>
              <w:rPr>
                <w:rFonts w:ascii="Symbol;serif" w:hAnsi="Symbol;serif"/>
                <w:sz w:val="20"/>
              </w:rPr>
              <w:t>·</w:t>
            </w:r>
          </w:p>
        </w:tc>
        <w:tc>
          <w:tcPr>
            <w:tcW w:w="9801"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Courtenay Central, Wellington, New Zealand:</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476" w:name="hangingindent54"/>
      <w:bookmarkStart w:id="477" w:name="hangingindent54"/>
      <w:bookmarkEnd w:id="477"/>
    </w:p>
    <w:tbl>
      <w:tblPr>
        <w:tblW w:w="5000" w:type="pct"/>
        <w:jc w:val="center"/>
        <w:tblInd w:w="0" w:type="dxa"/>
        <w:tblCellMar>
          <w:top w:w="0" w:type="dxa"/>
          <w:left w:w="0" w:type="dxa"/>
          <w:bottom w:w="0" w:type="dxa"/>
          <w:right w:w="0" w:type="dxa"/>
        </w:tblCellMar>
      </w:tblPr>
      <w:tblGrid>
        <w:gridCol w:w="59"/>
        <w:gridCol w:w="125"/>
        <w:gridCol w:w="10021"/>
      </w:tblGrid>
      <w:tr>
        <w:trPr/>
        <w:tc>
          <w:tcPr>
            <w:tcW w:w="59" w:type="dxa"/>
            <w:tcBorders/>
            <w:shd w:fill="auto" w:val="clear"/>
          </w:tcPr>
          <w:p>
            <w:pPr>
              <w:pStyle w:val="TableContents"/>
              <w:spacing w:before="0" w:after="283"/>
              <w:rPr/>
            </w:pPr>
            <w:r>
              <w:rPr/>
              <w:t> </w:t>
            </w:r>
          </w:p>
        </w:tc>
        <w:tc>
          <w:tcPr>
            <w:tcW w:w="125"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o</w:t>
            </w:r>
          </w:p>
        </w:tc>
        <w:tc>
          <w:tcPr>
            <w:tcW w:w="10021"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we are currently the owner operator of an approximately 160,000 square foot ETRC in Wellington, New Zealand, known as Courtenay Central. The existing ETRC consists of a ten screen cinema and approximately 38,000 square feet of retail space. The property also includes a separate nine level parking structure, with approximately 1,086 parking spaces. During 2006, approximately 3.5 million people went through the center.</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478" w:name="hangingindent55"/>
      <w:bookmarkStart w:id="479" w:name="hangingindent55"/>
      <w:bookmarkEnd w:id="479"/>
    </w:p>
    <w:tbl>
      <w:tblPr>
        <w:tblW w:w="5000" w:type="pct"/>
        <w:jc w:val="center"/>
        <w:tblInd w:w="0" w:type="dxa"/>
        <w:tblCellMar>
          <w:top w:w="0" w:type="dxa"/>
          <w:left w:w="0" w:type="dxa"/>
          <w:bottom w:w="0" w:type="dxa"/>
          <w:right w:w="0" w:type="dxa"/>
        </w:tblCellMar>
      </w:tblPr>
      <w:tblGrid>
        <w:gridCol w:w="59"/>
        <w:gridCol w:w="125"/>
        <w:gridCol w:w="10021"/>
      </w:tblGrid>
      <w:tr>
        <w:trPr/>
        <w:tc>
          <w:tcPr>
            <w:tcW w:w="59" w:type="dxa"/>
            <w:tcBorders/>
            <w:shd w:fill="auto" w:val="clear"/>
          </w:tcPr>
          <w:p>
            <w:pPr>
              <w:pStyle w:val="TableContents"/>
              <w:spacing w:before="0" w:after="283"/>
              <w:rPr/>
            </w:pPr>
            <w:r>
              <w:rPr/>
              <w:t> </w:t>
            </w:r>
          </w:p>
        </w:tc>
        <w:tc>
          <w:tcPr>
            <w:tcW w:w="125"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o</w:t>
            </w:r>
          </w:p>
        </w:tc>
        <w:tc>
          <w:tcPr>
            <w:tcW w:w="10021"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approximately 38,000 square feet of the site is currently unimproved and is intended to provide expansion space for phase II of our Courtenay Central project.</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480" w:name="hangingindent56"/>
      <w:bookmarkStart w:id="481" w:name="hangingindent56"/>
      <w:bookmarkEnd w:id="481"/>
    </w:p>
    <w:tbl>
      <w:tblPr>
        <w:tblW w:w="5000" w:type="pct"/>
        <w:jc w:val="center"/>
        <w:tblInd w:w="0" w:type="dxa"/>
        <w:tblCellMar>
          <w:top w:w="0" w:type="dxa"/>
          <w:left w:w="0" w:type="dxa"/>
          <w:bottom w:w="0" w:type="dxa"/>
          <w:right w:w="0" w:type="dxa"/>
        </w:tblCellMar>
      </w:tblPr>
      <w:tblGrid>
        <w:gridCol w:w="59"/>
        <w:gridCol w:w="125"/>
        <w:gridCol w:w="10021"/>
      </w:tblGrid>
      <w:tr>
        <w:trPr/>
        <w:tc>
          <w:tcPr>
            <w:tcW w:w="59" w:type="dxa"/>
            <w:tcBorders/>
            <w:shd w:fill="auto" w:val="clear"/>
          </w:tcPr>
          <w:p>
            <w:pPr>
              <w:pStyle w:val="TableContents"/>
              <w:spacing w:before="0" w:after="283"/>
              <w:rPr/>
            </w:pPr>
            <w:r>
              <w:rPr/>
              <w:t> </w:t>
            </w:r>
          </w:p>
        </w:tc>
        <w:tc>
          <w:tcPr>
            <w:tcW w:w="125"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o</w:t>
            </w:r>
          </w:p>
        </w:tc>
        <w:tc>
          <w:tcPr>
            <w:tcW w:w="10021"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we have completed the design and statutory approval phase of the development and we are seeking potential tenants to pre-commit to the centre with respect to the approximately 155,000 Phase II expansion to the centre. The retail market in Wellington is not presently strong and this has delayed our ability to secure suitable anchor tenants for the development. Accordingly, this project is essentially in a holding pattern while we await a turnaround in the retail market and consider alternative uses for the site.</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482" w:name="hangingindent57"/>
      <w:bookmarkStart w:id="483" w:name="hangingindent57"/>
      <w:bookmarkEnd w:id="483"/>
    </w:p>
    <w:tbl>
      <w:tblPr>
        <w:tblW w:w="5000" w:type="pct"/>
        <w:jc w:val="center"/>
        <w:tblInd w:w="0" w:type="dxa"/>
        <w:tblCellMar>
          <w:top w:w="0" w:type="dxa"/>
          <w:left w:w="0" w:type="dxa"/>
          <w:bottom w:w="0" w:type="dxa"/>
          <w:right w:w="0" w:type="dxa"/>
        </w:tblCellMar>
      </w:tblPr>
      <w:tblGrid>
        <w:gridCol w:w="59"/>
        <w:gridCol w:w="125"/>
        <w:gridCol w:w="10021"/>
      </w:tblGrid>
      <w:tr>
        <w:trPr/>
        <w:tc>
          <w:tcPr>
            <w:tcW w:w="59" w:type="dxa"/>
            <w:tcBorders/>
            <w:shd w:fill="auto" w:val="clear"/>
          </w:tcPr>
          <w:p>
            <w:pPr>
              <w:pStyle w:val="TableContents"/>
              <w:spacing w:before="0" w:after="283"/>
              <w:rPr/>
            </w:pPr>
            <w:r>
              <w:rPr/>
              <w:t> </w:t>
            </w:r>
          </w:p>
        </w:tc>
        <w:tc>
          <w:tcPr>
            <w:tcW w:w="125"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o</w:t>
            </w:r>
          </w:p>
        </w:tc>
        <w:tc>
          <w:tcPr>
            <w:tcW w:w="10021"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no financing is currently in place with respect to Phase II, and current work is being funded from working capital and cash flow.</w:t>
            </w:r>
          </w:p>
        </w:tc>
      </w:tr>
    </w:tbl>
    <w:p>
      <w:pPr>
        <w:pStyle w:val="TextBody"/>
        <w:spacing w:before="0" w:after="0"/>
        <w:rPr/>
      </w:pPr>
      <w:r>
        <w:rPr/>
        <w:t> </w:t>
      </w:r>
    </w:p>
    <w:p>
      <w:pPr>
        <w:pStyle w:val="Normal"/>
        <w:spacing w:before="0" w:after="0"/>
        <w:rPr>
          <w:sz w:val="4"/>
          <w:szCs w:val="4"/>
        </w:rPr>
      </w:pPr>
      <w:r>
        <w:rPr>
          <w:sz w:val="4"/>
          <w:szCs w:val="4"/>
        </w:rPr>
      </w:r>
      <w:bookmarkStart w:id="484" w:name="hangingindent58"/>
      <w:bookmarkStart w:id="485" w:name="hangingindent58"/>
      <w:bookmarkEnd w:id="485"/>
    </w:p>
    <w:tbl>
      <w:tblPr>
        <w:tblW w:w="5000" w:type="pct"/>
        <w:jc w:val="center"/>
        <w:tblInd w:w="0" w:type="dxa"/>
        <w:tblCellMar>
          <w:top w:w="0" w:type="dxa"/>
          <w:left w:w="0" w:type="dxa"/>
          <w:bottom w:w="0" w:type="dxa"/>
          <w:right w:w="0" w:type="dxa"/>
        </w:tblCellMar>
      </w:tblPr>
      <w:tblGrid>
        <w:gridCol w:w="61"/>
        <w:gridCol w:w="130"/>
        <w:gridCol w:w="10014"/>
      </w:tblGrid>
      <w:tr>
        <w:trPr/>
        <w:tc>
          <w:tcPr>
            <w:tcW w:w="61" w:type="dxa"/>
            <w:tcBorders/>
            <w:shd w:fill="auto" w:val="clear"/>
          </w:tcPr>
          <w:p>
            <w:pPr>
              <w:pStyle w:val="TableContents"/>
              <w:spacing w:before="0" w:after="283"/>
              <w:rPr/>
            </w:pPr>
            <w:r>
              <w:rPr/>
              <w:t> </w:t>
            </w:r>
          </w:p>
        </w:tc>
        <w:tc>
          <w:tcPr>
            <w:tcW w:w="130"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o</w:t>
            </w:r>
          </w:p>
        </w:tc>
        <w:tc>
          <w:tcPr>
            <w:tcW w:w="10014"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this unimproved parcel is currently being used for parking and is carried on our books at $2.3 million (NZ$3.2 million).</w:t>
            </w:r>
          </w:p>
        </w:tc>
      </w:tr>
    </w:tbl>
    <w:p>
      <w:pPr>
        <w:pStyle w:val="TextBody"/>
        <w:spacing w:before="0" w:after="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86" w:name="PGBRK22"/>
      <w:bookmarkStart w:id="487" w:name="PGBRK22"/>
      <w:bookmarkEnd w:id="48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88" w:name="FTR22"/>
      <w:bookmarkStart w:id="489" w:name="FTR22"/>
      <w:bookmarkEnd w:id="48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90" w:name="GLFTR22"/>
      <w:bookmarkStart w:id="491" w:name="GLFTR22"/>
      <w:bookmarkEnd w:id="49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492" w:name="PN22"/>
      <w:bookmarkEnd w:id="492"/>
      <w:r>
        <w:rPr>
          <w:rFonts w:ascii="Times New Roman" w:hAnsi="Times New Roman"/>
          <w:sz w:val="16"/>
        </w:rPr>
        <w:t>-22-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93" w:name="HDR22"/>
      <w:bookmarkStart w:id="494" w:name="HDR22"/>
      <w:bookmarkEnd w:id="49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495" w:name="GLHDR22"/>
        <w:bookmarkEnd w:id="495"/>
        <w:r>
          <w:rPr>
            <w:rStyle w:val="Emphasis"/>
            <w:rFonts w:ascii="Times New Roman" w:hAnsi="Times New Roman"/>
            <w:color w:val="000000"/>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pStyle w:val="Normal"/>
        <w:spacing w:before="0" w:after="0"/>
        <w:rPr>
          <w:sz w:val="4"/>
          <w:szCs w:val="4"/>
        </w:rPr>
      </w:pPr>
      <w:r>
        <w:rPr>
          <w:sz w:val="4"/>
          <w:szCs w:val="4"/>
        </w:rPr>
      </w:r>
      <w:bookmarkStart w:id="496" w:name="hangingindent59"/>
      <w:bookmarkStart w:id="497" w:name="hangingindent59"/>
      <w:bookmarkEnd w:id="497"/>
    </w:p>
    <w:tbl>
      <w:tblPr>
        <w:tblW w:w="5000" w:type="pct"/>
        <w:jc w:val="center"/>
        <w:tblInd w:w="0" w:type="dxa"/>
        <w:tblCellMar>
          <w:top w:w="0" w:type="dxa"/>
          <w:left w:w="0" w:type="dxa"/>
          <w:bottom w:w="0" w:type="dxa"/>
          <w:right w:w="0" w:type="dxa"/>
        </w:tblCellMar>
      </w:tblPr>
      <w:tblGrid>
        <w:gridCol w:w="278"/>
        <w:gridCol w:w="440"/>
        <w:gridCol w:w="9487"/>
      </w:tblGrid>
      <w:tr>
        <w:trPr/>
        <w:tc>
          <w:tcPr>
            <w:tcW w:w="278" w:type="dxa"/>
            <w:tcBorders/>
            <w:shd w:fill="auto" w:val="clear"/>
          </w:tcPr>
          <w:p>
            <w:pPr>
              <w:pStyle w:val="TableContents"/>
              <w:spacing w:before="0" w:after="283"/>
              <w:rPr/>
            </w:pPr>
            <w:r>
              <w:rPr/>
              <w:t> </w:t>
            </w:r>
          </w:p>
        </w:tc>
        <w:tc>
          <w:tcPr>
            <w:tcW w:w="440" w:type="dxa"/>
            <w:tcBorders/>
            <w:shd w:fill="auto" w:val="clear"/>
          </w:tcPr>
          <w:p>
            <w:pPr>
              <w:pStyle w:val="TableContents"/>
              <w:spacing w:before="0" w:after="0"/>
              <w:ind w:left="0" w:right="0" w:hanging="0"/>
              <w:jc w:val="left"/>
              <w:rPr>
                <w:rFonts w:ascii="Symbol;serif" w:hAnsi="Symbol;serif"/>
                <w:sz w:val="20"/>
              </w:rPr>
            </w:pPr>
            <w:r>
              <w:rPr>
                <w:rFonts w:ascii="Symbol;serif" w:hAnsi="Symbol;serif"/>
                <w:sz w:val="20"/>
              </w:rPr>
              <w:t>·</w:t>
            </w:r>
          </w:p>
        </w:tc>
        <w:tc>
          <w:tcPr>
            <w:tcW w:w="9487"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Moonee Ponds, Victoria:</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498" w:name="hangingindent60"/>
      <w:bookmarkStart w:id="499" w:name="hangingindent60"/>
      <w:bookmarkEnd w:id="499"/>
    </w:p>
    <w:tbl>
      <w:tblPr>
        <w:tblW w:w="5000" w:type="pct"/>
        <w:jc w:val="center"/>
        <w:tblInd w:w="0" w:type="dxa"/>
        <w:tblCellMar>
          <w:top w:w="0" w:type="dxa"/>
          <w:left w:w="0" w:type="dxa"/>
          <w:bottom w:w="0" w:type="dxa"/>
          <w:right w:w="0" w:type="dxa"/>
        </w:tblCellMar>
      </w:tblPr>
      <w:tblGrid>
        <w:gridCol w:w="59"/>
        <w:gridCol w:w="125"/>
        <w:gridCol w:w="10021"/>
      </w:tblGrid>
      <w:tr>
        <w:trPr/>
        <w:tc>
          <w:tcPr>
            <w:tcW w:w="59" w:type="dxa"/>
            <w:tcBorders/>
            <w:shd w:fill="auto" w:val="clear"/>
          </w:tcPr>
          <w:p>
            <w:pPr>
              <w:pStyle w:val="TableContents"/>
              <w:spacing w:before="0" w:after="283"/>
              <w:rPr/>
            </w:pPr>
            <w:r>
              <w:rPr/>
              <w:t> </w:t>
            </w:r>
          </w:p>
        </w:tc>
        <w:tc>
          <w:tcPr>
            <w:tcW w:w="125"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o</w:t>
            </w:r>
          </w:p>
        </w:tc>
        <w:tc>
          <w:tcPr>
            <w:tcW w:w="10021"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our Moonee Ponds site is located in suburban Melbourne and currently consists of approximately 3.3 acres of mostly unimproved land. </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500" w:name="hangingindent61"/>
      <w:bookmarkStart w:id="501" w:name="hangingindent61"/>
      <w:bookmarkEnd w:id="501"/>
    </w:p>
    <w:tbl>
      <w:tblPr>
        <w:tblW w:w="5000" w:type="pct"/>
        <w:jc w:val="center"/>
        <w:tblInd w:w="0" w:type="dxa"/>
        <w:tblCellMar>
          <w:top w:w="0" w:type="dxa"/>
          <w:left w:w="0" w:type="dxa"/>
          <w:bottom w:w="0" w:type="dxa"/>
          <w:right w:w="0" w:type="dxa"/>
        </w:tblCellMar>
      </w:tblPr>
      <w:tblGrid>
        <w:gridCol w:w="59"/>
        <w:gridCol w:w="125"/>
        <w:gridCol w:w="10021"/>
      </w:tblGrid>
      <w:tr>
        <w:trPr/>
        <w:tc>
          <w:tcPr>
            <w:tcW w:w="59" w:type="dxa"/>
            <w:tcBorders/>
            <w:shd w:fill="auto" w:val="clear"/>
          </w:tcPr>
          <w:p>
            <w:pPr>
              <w:pStyle w:val="TableContents"/>
              <w:spacing w:before="0" w:after="283"/>
              <w:rPr/>
            </w:pPr>
            <w:r>
              <w:rPr/>
              <w:t> </w:t>
            </w:r>
          </w:p>
        </w:tc>
        <w:tc>
          <w:tcPr>
            <w:tcW w:w="125"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o</w:t>
            </w:r>
          </w:p>
        </w:tc>
        <w:tc>
          <w:tcPr>
            <w:tcW w:w="10021"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we are currently working on a plan for the mixed use development of the site. The site is located in a “Principal Activity Area.” Accordingly, our development of the property will be influenced by other development activity in the area. </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502" w:name="hangingindent62"/>
      <w:bookmarkStart w:id="503" w:name="hangingindent62"/>
      <w:bookmarkEnd w:id="503"/>
    </w:p>
    <w:tbl>
      <w:tblPr>
        <w:tblW w:w="5000" w:type="pct"/>
        <w:jc w:val="center"/>
        <w:tblInd w:w="0" w:type="dxa"/>
        <w:tblCellMar>
          <w:top w:w="0" w:type="dxa"/>
          <w:left w:w="0" w:type="dxa"/>
          <w:bottom w:w="0" w:type="dxa"/>
          <w:right w:w="0" w:type="dxa"/>
        </w:tblCellMar>
      </w:tblPr>
      <w:tblGrid>
        <w:gridCol w:w="59"/>
        <w:gridCol w:w="125"/>
        <w:gridCol w:w="10021"/>
      </w:tblGrid>
      <w:tr>
        <w:trPr/>
        <w:tc>
          <w:tcPr>
            <w:tcW w:w="59" w:type="dxa"/>
            <w:tcBorders/>
            <w:shd w:fill="auto" w:val="clear"/>
          </w:tcPr>
          <w:p>
            <w:pPr>
              <w:pStyle w:val="TableContents"/>
              <w:spacing w:before="0" w:after="283"/>
              <w:rPr/>
            </w:pPr>
            <w:r>
              <w:rPr/>
              <w:t> </w:t>
            </w:r>
          </w:p>
        </w:tc>
        <w:tc>
          <w:tcPr>
            <w:tcW w:w="125"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o</w:t>
            </w:r>
          </w:p>
        </w:tc>
        <w:tc>
          <w:tcPr>
            <w:tcW w:w="10021"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we acquired 2.9 acres of the property in April 1997, for a purchase price of $4.9 million (AUS$6.4 million). The remaining 0.4 acres was acquired in September 2006 for a purchase price of $2.5 million (AUS$3.3 million). The additional parcels now give us direct access to the principal transit stop serving the Moonee Ponds area. The total property is carried on our books at $8.9 million (AUS$11.2 million).</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504" w:name="hangingindent63"/>
      <w:bookmarkStart w:id="505" w:name="hangingindent63"/>
      <w:bookmarkEnd w:id="505"/>
    </w:p>
    <w:tbl>
      <w:tblPr>
        <w:tblW w:w="5000" w:type="pct"/>
        <w:jc w:val="center"/>
        <w:tblInd w:w="0" w:type="dxa"/>
        <w:tblCellMar>
          <w:top w:w="0" w:type="dxa"/>
          <w:left w:w="0" w:type="dxa"/>
          <w:bottom w:w="0" w:type="dxa"/>
          <w:right w:w="0" w:type="dxa"/>
        </w:tblCellMar>
      </w:tblPr>
      <w:tblGrid>
        <w:gridCol w:w="77"/>
        <w:gridCol w:w="163"/>
        <w:gridCol w:w="9965"/>
      </w:tblGrid>
      <w:tr>
        <w:trPr/>
        <w:tc>
          <w:tcPr>
            <w:tcW w:w="77" w:type="dxa"/>
            <w:tcBorders/>
            <w:shd w:fill="auto" w:val="clear"/>
          </w:tcPr>
          <w:p>
            <w:pPr>
              <w:pStyle w:val="TableContents"/>
              <w:spacing w:before="0" w:after="283"/>
              <w:rPr/>
            </w:pPr>
            <w:r>
              <w:rPr/>
              <w:t> </w:t>
            </w:r>
          </w:p>
        </w:tc>
        <w:tc>
          <w:tcPr>
            <w:tcW w:w="16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o</w:t>
            </w:r>
          </w:p>
        </w:tc>
        <w:tc>
          <w:tcPr>
            <w:tcW w:w="9965"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we intend to work towards the finalization of a plan for the development of this site over 2007.</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506" w:name="hangingindent64"/>
      <w:bookmarkStart w:id="507" w:name="hangingindent64"/>
      <w:bookmarkEnd w:id="507"/>
    </w:p>
    <w:tbl>
      <w:tblPr>
        <w:tblW w:w="5000" w:type="pct"/>
        <w:jc w:val="center"/>
        <w:tblInd w:w="0" w:type="dxa"/>
        <w:tblCellMar>
          <w:top w:w="0" w:type="dxa"/>
          <w:left w:w="0" w:type="dxa"/>
          <w:bottom w:w="0" w:type="dxa"/>
          <w:right w:w="0" w:type="dxa"/>
        </w:tblCellMar>
      </w:tblPr>
      <w:tblGrid>
        <w:gridCol w:w="218"/>
        <w:gridCol w:w="346"/>
        <w:gridCol w:w="9641"/>
      </w:tblGrid>
      <w:tr>
        <w:trPr/>
        <w:tc>
          <w:tcPr>
            <w:tcW w:w="218" w:type="dxa"/>
            <w:tcBorders/>
            <w:shd w:fill="auto" w:val="clear"/>
          </w:tcPr>
          <w:p>
            <w:pPr>
              <w:pStyle w:val="TableContents"/>
              <w:spacing w:before="0" w:after="283"/>
              <w:rPr/>
            </w:pPr>
            <w:r>
              <w:rPr/>
              <w:t> </w:t>
            </w:r>
          </w:p>
        </w:tc>
        <w:tc>
          <w:tcPr>
            <w:tcW w:w="346" w:type="dxa"/>
            <w:tcBorders/>
            <w:shd w:fill="auto" w:val="clear"/>
          </w:tcPr>
          <w:p>
            <w:pPr>
              <w:pStyle w:val="TableContents"/>
              <w:spacing w:before="0" w:after="0"/>
              <w:ind w:left="0" w:right="0" w:hanging="0"/>
              <w:jc w:val="left"/>
              <w:rPr>
                <w:rFonts w:ascii="Symbol;serif" w:hAnsi="Symbol;serif"/>
                <w:sz w:val="20"/>
              </w:rPr>
            </w:pPr>
            <w:r>
              <w:rPr>
                <w:rFonts w:ascii="Symbol;serif" w:hAnsi="Symbol;serif"/>
                <w:sz w:val="20"/>
              </w:rPr>
              <w:t>·</w:t>
            </w:r>
          </w:p>
        </w:tc>
        <w:tc>
          <w:tcPr>
            <w:tcW w:w="9641"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Place 57, Manhattan, New York:</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508" w:name="hangingindent65"/>
      <w:bookmarkStart w:id="509" w:name="hangingindent65"/>
      <w:bookmarkEnd w:id="509"/>
    </w:p>
    <w:tbl>
      <w:tblPr>
        <w:tblW w:w="5000" w:type="pct"/>
        <w:jc w:val="center"/>
        <w:tblInd w:w="0" w:type="dxa"/>
        <w:tblCellMar>
          <w:top w:w="0" w:type="dxa"/>
          <w:left w:w="0" w:type="dxa"/>
          <w:bottom w:w="0" w:type="dxa"/>
          <w:right w:w="0" w:type="dxa"/>
        </w:tblCellMar>
      </w:tblPr>
      <w:tblGrid>
        <w:gridCol w:w="59"/>
        <w:gridCol w:w="125"/>
        <w:gridCol w:w="10021"/>
      </w:tblGrid>
      <w:tr>
        <w:trPr/>
        <w:tc>
          <w:tcPr>
            <w:tcW w:w="59" w:type="dxa"/>
            <w:tcBorders/>
            <w:shd w:fill="auto" w:val="clear"/>
          </w:tcPr>
          <w:p>
            <w:pPr>
              <w:pStyle w:val="TableContents"/>
              <w:spacing w:before="0" w:after="283"/>
              <w:rPr/>
            </w:pPr>
            <w:r>
              <w:rPr/>
              <w:t> </w:t>
            </w:r>
          </w:p>
        </w:tc>
        <w:tc>
          <w:tcPr>
            <w:tcW w:w="125"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o</w:t>
            </w:r>
          </w:p>
        </w:tc>
        <w:tc>
          <w:tcPr>
            <w:tcW w:w="10021" w:type="dxa"/>
            <w:tcBorders/>
            <w:shd w:fill="auto" w:val="clear"/>
          </w:tcPr>
          <w:p>
            <w:pPr>
              <w:pStyle w:val="TableContents"/>
              <w:spacing w:before="0" w:after="0"/>
              <w:ind w:left="0" w:right="0" w:hanging="0"/>
              <w:jc w:val="left"/>
              <w:rPr/>
            </w:pPr>
            <w:r>
              <w:rPr>
                <w:rFonts w:ascii="Times New Roman" w:hAnsi="Times New Roman"/>
                <w:sz w:val="20"/>
              </w:rPr>
              <w:t>we have a 25% non-managing membership interest in the single purpose limited liability company formed to develop the site located at 205-209 E. 57</w:t>
            </w:r>
            <w:r>
              <w:rPr>
                <w:rFonts w:ascii="Times New Roman" w:hAnsi="Times New Roman"/>
                <w:position w:val="7"/>
                <w:sz w:val="16"/>
                <w:sz w:val="20"/>
              </w:rPr>
              <w:t>th</w:t>
            </w:r>
            <w:r>
              <w:rPr/>
              <w:t xml:space="preserve"> </w:t>
            </w:r>
            <w:r>
              <w:rPr>
                <w:rFonts w:ascii="Times New Roman" w:hAnsi="Times New Roman"/>
                <w:sz w:val="20"/>
              </w:rPr>
              <w:t>Street, near the intersection of 57</w:t>
            </w:r>
            <w:r>
              <w:rPr>
                <w:rFonts w:ascii="Times New Roman" w:hAnsi="Times New Roman"/>
                <w:position w:val="7"/>
                <w:sz w:val="16"/>
                <w:sz w:val="20"/>
              </w:rPr>
              <w:t>th</w:t>
            </w:r>
            <w:r>
              <w:rPr/>
              <w:t xml:space="preserve"> </w:t>
            </w:r>
            <w:r>
              <w:rPr>
                <w:rFonts w:ascii="Times New Roman" w:hAnsi="Times New Roman"/>
                <w:sz w:val="20"/>
              </w:rPr>
              <w:t>Street and 3</w:t>
            </w:r>
            <w:r>
              <w:rPr>
                <w:rFonts w:ascii="Times New Roman" w:hAnsi="Times New Roman"/>
                <w:position w:val="7"/>
                <w:sz w:val="16"/>
                <w:sz w:val="20"/>
              </w:rPr>
              <w:t>rd</w:t>
            </w:r>
            <w:r>
              <w:rPr/>
              <w:t xml:space="preserve"> </w:t>
            </w:r>
            <w:r>
              <w:rPr>
                <w:rFonts w:ascii="Times New Roman" w:hAnsi="Times New Roman"/>
                <w:sz w:val="20"/>
              </w:rPr>
              <w:t>Avenue in Manhattan.</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510" w:name="hangingindent66"/>
      <w:bookmarkStart w:id="511" w:name="hangingindent66"/>
      <w:bookmarkEnd w:id="511"/>
    </w:p>
    <w:tbl>
      <w:tblPr>
        <w:tblW w:w="5000" w:type="pct"/>
        <w:jc w:val="center"/>
        <w:tblInd w:w="0" w:type="dxa"/>
        <w:tblCellMar>
          <w:top w:w="0" w:type="dxa"/>
          <w:left w:w="0" w:type="dxa"/>
          <w:bottom w:w="0" w:type="dxa"/>
          <w:right w:w="0" w:type="dxa"/>
        </w:tblCellMar>
      </w:tblPr>
      <w:tblGrid>
        <w:gridCol w:w="59"/>
        <w:gridCol w:w="125"/>
        <w:gridCol w:w="10021"/>
      </w:tblGrid>
      <w:tr>
        <w:trPr/>
        <w:tc>
          <w:tcPr>
            <w:tcW w:w="59" w:type="dxa"/>
            <w:tcBorders/>
            <w:shd w:fill="auto" w:val="clear"/>
          </w:tcPr>
          <w:p>
            <w:pPr>
              <w:pStyle w:val="TableContents"/>
              <w:spacing w:before="0" w:after="283"/>
              <w:rPr/>
            </w:pPr>
            <w:r>
              <w:rPr/>
              <w:t> </w:t>
            </w:r>
          </w:p>
        </w:tc>
        <w:tc>
          <w:tcPr>
            <w:tcW w:w="125"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o</w:t>
            </w:r>
          </w:p>
        </w:tc>
        <w:tc>
          <w:tcPr>
            <w:tcW w:w="10021" w:type="dxa"/>
            <w:tcBorders/>
            <w:shd w:fill="auto" w:val="clear"/>
          </w:tcPr>
          <w:p>
            <w:pPr>
              <w:pStyle w:val="TableContents"/>
              <w:spacing w:before="0" w:after="0"/>
              <w:ind w:left="0" w:right="0" w:hanging="0"/>
              <w:jc w:val="left"/>
              <w:rPr/>
            </w:pPr>
            <w:r>
              <w:rPr>
                <w:rFonts w:ascii="Times New Roman" w:hAnsi="Times New Roman"/>
                <w:sz w:val="20"/>
              </w:rPr>
              <w:t>the property, which was originally the site of our Sutton Theater, has now been redeveloped as an approximately 100,000 square foot residential condominium project with ground floor retail under the name “</w:t>
            </w:r>
            <w:r>
              <w:rPr>
                <w:rStyle w:val="Emphasis"/>
                <w:rFonts w:ascii="Times New Roman" w:hAnsi="Times New Roman"/>
                <w:sz w:val="20"/>
              </w:rPr>
              <w:t>Place 57</w:t>
            </w:r>
            <w:r>
              <w:rPr>
                <w:rFonts w:ascii="Times New Roman" w:hAnsi="Times New Roman"/>
                <w:sz w:val="20"/>
              </w:rPr>
              <w:t>.”</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512" w:name="hangingindent67"/>
      <w:bookmarkStart w:id="513" w:name="hangingindent67"/>
      <w:bookmarkEnd w:id="513"/>
    </w:p>
    <w:tbl>
      <w:tblPr>
        <w:tblW w:w="5000" w:type="pct"/>
        <w:jc w:val="center"/>
        <w:tblInd w:w="0" w:type="dxa"/>
        <w:tblCellMar>
          <w:top w:w="0" w:type="dxa"/>
          <w:left w:w="0" w:type="dxa"/>
          <w:bottom w:w="0" w:type="dxa"/>
          <w:right w:w="0" w:type="dxa"/>
        </w:tblCellMar>
      </w:tblPr>
      <w:tblGrid>
        <w:gridCol w:w="59"/>
        <w:gridCol w:w="125"/>
        <w:gridCol w:w="10021"/>
      </w:tblGrid>
      <w:tr>
        <w:trPr/>
        <w:tc>
          <w:tcPr>
            <w:tcW w:w="59" w:type="dxa"/>
            <w:tcBorders/>
            <w:shd w:fill="auto" w:val="clear"/>
          </w:tcPr>
          <w:p>
            <w:pPr>
              <w:pStyle w:val="TableContents"/>
              <w:spacing w:before="0" w:after="283"/>
              <w:rPr/>
            </w:pPr>
            <w:r>
              <w:rPr/>
              <w:t> </w:t>
            </w:r>
          </w:p>
        </w:tc>
        <w:tc>
          <w:tcPr>
            <w:tcW w:w="125"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o</w:t>
            </w:r>
          </w:p>
        </w:tc>
        <w:tc>
          <w:tcPr>
            <w:tcW w:w="10021"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as of December 31, 2006, approximately 88% of the units have been sold, and an additional 9% are under contract for sale. All the debt has been retired and we had received distributions of approximately $5.9 million.</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514" w:name="hangingindent68"/>
      <w:bookmarkStart w:id="515" w:name="hangingindent68"/>
      <w:bookmarkEnd w:id="515"/>
    </w:p>
    <w:tbl>
      <w:tblPr>
        <w:tblW w:w="5000" w:type="pct"/>
        <w:jc w:val="center"/>
        <w:tblInd w:w="0" w:type="dxa"/>
        <w:tblCellMar>
          <w:top w:w="0" w:type="dxa"/>
          <w:left w:w="0" w:type="dxa"/>
          <w:bottom w:w="0" w:type="dxa"/>
          <w:right w:w="0" w:type="dxa"/>
        </w:tblCellMar>
      </w:tblPr>
      <w:tblGrid>
        <w:gridCol w:w="123"/>
        <w:gridCol w:w="258"/>
        <w:gridCol w:w="9824"/>
      </w:tblGrid>
      <w:tr>
        <w:trPr/>
        <w:tc>
          <w:tcPr>
            <w:tcW w:w="123" w:type="dxa"/>
            <w:tcBorders/>
            <w:shd w:fill="auto" w:val="clear"/>
          </w:tcPr>
          <w:p>
            <w:pPr>
              <w:pStyle w:val="TableContents"/>
              <w:spacing w:before="0" w:after="283"/>
              <w:rPr/>
            </w:pPr>
            <w:r>
              <w:rPr/>
              <w:t> </w:t>
            </w:r>
          </w:p>
        </w:tc>
        <w:tc>
          <w:tcPr>
            <w:tcW w:w="258"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o</w:t>
            </w:r>
          </w:p>
        </w:tc>
        <w:tc>
          <w:tcPr>
            <w:tcW w:w="9824"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efforts are continuing to lease the ground flow retail space.</w:t>
            </w:r>
          </w:p>
        </w:tc>
      </w:tr>
    </w:tbl>
    <w:p>
      <w:pPr>
        <w:pStyle w:val="TextBody"/>
        <w:spacing w:lineRule="auto" w:line="300"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16" w:name="PGBRK23"/>
      <w:bookmarkStart w:id="517" w:name="PGBRK23"/>
      <w:bookmarkEnd w:id="51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18" w:name="FTR23"/>
      <w:bookmarkStart w:id="519" w:name="FTR23"/>
      <w:bookmarkEnd w:id="5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20" w:name="GLFTR23"/>
      <w:bookmarkStart w:id="521" w:name="GLFTR23"/>
      <w:bookmarkEnd w:id="52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522" w:name="PN23"/>
      <w:bookmarkEnd w:id="522"/>
      <w:r>
        <w:rPr>
          <w:rFonts w:ascii="Times New Roman" w:hAnsi="Times New Roman"/>
          <w:sz w:val="16"/>
        </w:rPr>
        <w:t>-23-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23" w:name="HDR23"/>
      <w:bookmarkStart w:id="524" w:name="HDR23"/>
      <w:bookmarkEnd w:id="52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525" w:name="GLHDR23"/>
        <w:bookmarkEnd w:id="525"/>
        <w:r>
          <w:rPr>
            <w:rStyle w:val="Emphasis"/>
            <w:rFonts w:ascii="Times New Roman" w:hAnsi="Times New Roman"/>
            <w:color w:val="000000"/>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300" w:before="0" w:after="0"/>
        <w:ind w:left="0" w:right="0" w:hanging="0"/>
        <w:jc w:val="center"/>
        <w:rPr/>
      </w:pPr>
      <w:bookmarkStart w:id="526" w:name="item1a"/>
      <w:bookmarkEnd w:id="526"/>
      <w:r>
        <w:rPr>
          <w:rStyle w:val="StrongEmphasis"/>
          <w:rFonts w:ascii="Times New Roman" w:hAnsi="Times New Roman"/>
          <w:sz w:val="20"/>
          <w:u w:val="single"/>
        </w:rPr>
        <w:t>Item 1A - Risk Factors</w:t>
      </w:r>
    </w:p>
    <w:p>
      <w:pPr>
        <w:pStyle w:val="TextBody"/>
        <w:spacing w:lineRule="auto" w:line="300" w:before="0" w:after="0"/>
        <w:ind w:left="0" w:right="0" w:hanging="0"/>
        <w:jc w:val="center"/>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Investing in our securities involves risk. Set forth below is a summary of various risk factors which you should consider in connection with your investment in our company. This summary should be considered in the context of our overall Annual Report on Form 10K, as many of the topics addressed below are discussed in significantly greater detail in the context of specific discussions of our business plan, our operating results and the various competitive forces that we face.</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pPr>
      <w:r>
        <w:rPr/>
      </w:r>
    </w:p>
    <w:p>
      <w:pPr>
        <w:pStyle w:val="TextBody"/>
        <w:spacing w:lineRule="auto" w:line="300" w:before="0" w:after="0"/>
        <w:ind w:left="0" w:right="0" w:hanging="0"/>
        <w:jc w:val="both"/>
        <w:rPr/>
      </w:pPr>
      <w:r>
        <w:rPr>
          <w:rStyle w:val="StrongEmphasis"/>
          <w:rFonts w:ascii="Times New Roman" w:hAnsi="Times New Roman"/>
          <w:sz w:val="20"/>
          <w:u w:val="single"/>
        </w:rPr>
        <w:t>Business Risk Factors</w:t>
      </w:r>
    </w:p>
    <w:p>
      <w:pPr>
        <w:pStyle w:val="TextBody"/>
        <w:spacing w:lineRule="auto" w:line="300" w:before="0" w:after="0"/>
        <w:ind w:left="0" w:right="0" w:hanging="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We are currently engaged principally in the cinema exhibition and real estate businesses. Since we operate in two business segments (cinema exhibition and real estate), we have discussed separately the risks we believe to be material to our involvement in each of these segments. We have discussed separately certain risks relating to the international nature of our business activities, our use of leverage, and our status as a controlled corporation. Please note, that while we report the results of our live theatre operations as real estate operations - since we are principally in the business or renting space to producers rather than in licensing or producing plays ourselves - the cinema exhibition and live theatre businesses share certain risk factors and are, accordingly, discussed together below.</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u w:val="single"/>
        </w:rPr>
      </w:pPr>
      <w:r>
        <w:rPr>
          <w:rFonts w:ascii="Times New Roman" w:hAnsi="Times New Roman"/>
          <w:sz w:val="20"/>
          <w:u w:val="single"/>
        </w:rPr>
        <w:t>Cinema Exhibition and Live Theatre Business Risk Factors</w:t>
      </w:r>
    </w:p>
    <w:p>
      <w:pPr>
        <w:pStyle w:val="TextBody"/>
        <w:spacing w:lineRule="auto" w:line="300" w:before="0" w:after="0"/>
        <w:ind w:left="0" w:right="0" w:hanging="0"/>
        <w:jc w:val="both"/>
        <w:rPr/>
      </w:pPr>
      <w:r>
        <w:rPr/>
      </w:r>
    </w:p>
    <w:p>
      <w:pPr>
        <w:pStyle w:val="TextBody"/>
        <w:spacing w:lineRule="auto" w:line="300" w:before="0" w:after="0"/>
        <w:ind w:left="720" w:right="0" w:hanging="0"/>
        <w:jc w:val="left"/>
        <w:rPr/>
      </w:pPr>
      <w:r>
        <w:rPr>
          <w:rStyle w:val="Emphasis"/>
          <w:rFonts w:ascii="Times New Roman" w:hAnsi="Times New Roman"/>
          <w:sz w:val="20"/>
        </w:rPr>
        <w:t>We operate in a highly competitive environment, with many competitors who are significantly larger and may have significantly better access to funds than do we.</w:t>
      </w:r>
    </w:p>
    <w:p>
      <w:pPr>
        <w:pStyle w:val="TextBody"/>
        <w:spacing w:lineRule="auto" w:line="300" w:before="0" w:after="0"/>
        <w:ind w:left="0" w:right="0" w:hanging="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We are a comparatively small cinema operator and face competition from much larger cinema exhibitors. These larger circuits are able to offer distributors more screens in more markets - including markets where they may be the exclusive exhibitor - than can we. In some cases, faced with such competition, we may not be able to get access to all of the films we want, which may adversely affect our revenues and profitability.</w:t>
      </w:r>
    </w:p>
    <w:p>
      <w:pPr>
        <w:pStyle w:val="TextBody"/>
        <w:spacing w:lineRule="auto" w:line="300" w:before="0" w:after="0"/>
        <w:ind w:left="0" w:right="0" w:hanging="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 xml:space="preserve">These larger competitors may also enjoy (i) greater cash flow, which can be used to develop additional cinemas, including cinemas that may be competitive with our existing cinemas, (ii) better access to equity capital and debt, and (iii) better visibility to landlords and real estate developers, than do we. </w:t>
      </w:r>
    </w:p>
    <w:p>
      <w:pPr>
        <w:pStyle w:val="TextBody"/>
        <w:spacing w:lineRule="auto" w:line="300" w:before="0" w:after="0"/>
        <w:ind w:left="0" w:right="0" w:hanging="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In the case of our live theatres, we compete for shows not only with other “for profit” off-Broadway theaters, but also with not-for-profit operators and, increasingly, with Broadway theaters. We believe our live theaters are generally competitive with other off-Broadway venues. However, due to the increased cost of staging live theater productions, we are seeing an increasing tendency for plays which would historically have been staged in an off-Broadway theatre, moving directly to larger Broadway venues.</w:t>
      </w:r>
    </w:p>
    <w:p>
      <w:pPr>
        <w:pStyle w:val="TextBody"/>
        <w:spacing w:lineRule="auto" w:line="300" w:before="0" w:after="0"/>
        <w:ind w:left="0" w:right="0" w:hanging="0"/>
        <w:jc w:val="both"/>
        <w:rPr/>
      </w:pPr>
      <w:r>
        <w:rPr/>
      </w:r>
    </w:p>
    <w:p>
      <w:pPr>
        <w:pStyle w:val="TextBody"/>
        <w:spacing w:lineRule="auto" w:line="300" w:before="0" w:after="0"/>
        <w:ind w:left="720" w:right="0" w:hanging="0"/>
        <w:jc w:val="left"/>
        <w:rPr/>
      </w:pPr>
      <w:r>
        <w:rPr>
          <w:rStyle w:val="Emphasis"/>
          <w:rFonts w:ascii="Times New Roman" w:hAnsi="Times New Roman"/>
          <w:sz w:val="20"/>
        </w:rPr>
        <w:t>We face competition from other sources of entertainment and other entertainment delivery systems.</w:t>
      </w:r>
    </w:p>
    <w:p>
      <w:pPr>
        <w:pStyle w:val="TextBody"/>
        <w:spacing w:lineRule="auto" w:line="300" w:before="0" w:after="0"/>
        <w:ind w:left="0" w:right="0" w:hanging="0"/>
        <w:jc w:val="both"/>
        <w:rPr/>
      </w:pPr>
      <w:r>
        <w:rPr/>
        <w:t> </w:t>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Both our cinema and live theatre operations face competition from developing “in-home” sources of entertainment. These include competition from DVDs, pay television, cable and satellite television, the internet and other sources of entertainment, and video games. The quality of in-house entertainment systems has increased while the cost of such systems has decreased in recent periods, and some consumers may prefer the security of an at-home entertainment experience to the more public experience offered by our cinemas and live theaters. The movie distributors have been responding to these developments by, in some cases, decreasing the period of time between cinema release and the date such product is made available to “in-home” forms of distribution.</w:t>
      </w:r>
    </w:p>
    <w:p>
      <w:pPr>
        <w:pStyle w:val="TextBody"/>
        <w:spacing w:lineRule="auto" w:line="300" w:before="0" w:after="0"/>
        <w:ind w:left="0" w:right="0" w:hanging="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The narrowing of this so called “window” for cinema exhibition may be problematic since film licensing fees have historically been front end loaded. On the other hand, the significant quantity of films produced in recent periods has probably had more to do, at least to date, with the shortening of the time most movies play in the cinemas, than any shortening of the cinema exhibition window. In recent periods, there has been discussion about the possibility of eliminating the cinema window altogether for certain films, in favor of a simultaneous release in multiple channels of distribution, such as theaters, pay-per-view and DVD. However, again to date, this move has been strenuously resisted by the cinema exhibition industry and we view the total elimination of the cinema exhibition window, while theoretically possible, to be unlikely.</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27" w:name="PGBRK24"/>
      <w:bookmarkStart w:id="528" w:name="PGBRK24"/>
      <w:bookmarkEnd w:id="5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29" w:name="FTR24"/>
      <w:bookmarkStart w:id="530" w:name="FTR24"/>
      <w:bookmarkEnd w:id="53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31" w:name="GLFTR24"/>
      <w:bookmarkStart w:id="532" w:name="GLFTR24"/>
      <w:bookmarkEnd w:id="5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533" w:name="PN24"/>
      <w:bookmarkEnd w:id="533"/>
      <w:r>
        <w:rPr>
          <w:rFonts w:ascii="Times New Roman" w:hAnsi="Times New Roman"/>
          <w:sz w:val="16"/>
        </w:rPr>
        <w:t>-24-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34" w:name="HDR24"/>
      <w:bookmarkStart w:id="535" w:name="HDR24"/>
      <w:bookmarkEnd w:id="53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536" w:name="GLHDR24"/>
        <w:bookmarkEnd w:id="536"/>
        <w:r>
          <w:rPr>
            <w:rStyle w:val="Emphasis"/>
            <w:rFonts w:ascii="Times New Roman" w:hAnsi="Times New Roman"/>
            <w:color w:val="000000"/>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 xml:space="preserve">We also face competition from various other forms of beyond-the-home entertainment, including sporting events, concerts, restaurants, casinos, video game arcades, and nightclubs. Our cinemas also face competition from live theatres and visa versa. </w:t>
      </w:r>
    </w:p>
    <w:p>
      <w:pPr>
        <w:pStyle w:val="TextBody"/>
        <w:spacing w:lineRule="auto" w:line="300" w:before="0" w:after="0"/>
        <w:ind w:left="0" w:right="0" w:hanging="0"/>
        <w:jc w:val="both"/>
        <w:rPr/>
      </w:pPr>
      <w:r>
        <w:rPr/>
      </w:r>
    </w:p>
    <w:p>
      <w:pPr>
        <w:pStyle w:val="TextBody"/>
        <w:spacing w:lineRule="auto" w:line="300" w:before="0" w:after="0"/>
        <w:ind w:left="720" w:right="0" w:hanging="0"/>
        <w:jc w:val="left"/>
        <w:rPr/>
      </w:pPr>
      <w:r>
        <w:rPr>
          <w:rStyle w:val="Emphasis"/>
          <w:rFonts w:ascii="Times New Roman" w:hAnsi="Times New Roman"/>
          <w:sz w:val="20"/>
        </w:rPr>
        <w:t>Our cinemas operations depend upon access to film that is attractive to our patrons and our live theatre operations depend upon the continued attractiveness of our theaters to producers.</w:t>
      </w:r>
    </w:p>
    <w:p>
      <w:pPr>
        <w:pStyle w:val="TextBody"/>
        <w:spacing w:lineRule="auto" w:line="300" w:before="0" w:after="0"/>
        <w:ind w:left="0" w:right="0" w:hanging="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 xml:space="preserve">Our ability to generate revenues and profits is largely dependent on factors outside of our control; specifically the continued ability of motion picture and live theater producers to produce films and plays that are attractive to audiences, and the willingness of these producers to license their films to our cinemas and to rent our theatres for the presentation of their plays. To the extent that popular movies and plays are produced, our cinema and live theatre activities are ultimately dependent upon our ability, in the face of competition from other cinema and live theater operators, to book these movies and plays into our facilities. </w:t>
      </w:r>
    </w:p>
    <w:p>
      <w:pPr>
        <w:pStyle w:val="TextBody"/>
        <w:spacing w:lineRule="auto" w:line="300" w:before="0" w:after="0"/>
        <w:ind w:left="0" w:right="0" w:hanging="0"/>
        <w:jc w:val="both"/>
        <w:rPr/>
      </w:pPr>
      <w:r>
        <w:rPr/>
      </w:r>
    </w:p>
    <w:p>
      <w:pPr>
        <w:pStyle w:val="TextBody"/>
        <w:spacing w:lineRule="auto" w:line="300" w:before="0" w:after="0"/>
        <w:ind w:left="720" w:right="0" w:hanging="0"/>
        <w:jc w:val="left"/>
        <w:rPr/>
      </w:pPr>
      <w:r>
        <w:rPr>
          <w:rStyle w:val="Emphasis"/>
          <w:rFonts w:ascii="Times New Roman" w:hAnsi="Times New Roman"/>
          <w:sz w:val="20"/>
        </w:rPr>
        <w:t>Adverse economic conditions could materially affect our business by reducing discretionary income.</w:t>
      </w:r>
    </w:p>
    <w:p>
      <w:pPr>
        <w:pStyle w:val="TextBody"/>
        <w:spacing w:lineRule="auto" w:line="300" w:before="0" w:after="0"/>
        <w:ind w:left="0" w:right="0" w:hanging="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Cinema and live theater attendance is a luxury, not a necessity. Accordingly, a decline in the economy resulting in a decrease in discretionary income, or a perception of such a decline, may result in decreased discretionary spending, which could adversely affect our cinema and live-theatre businesses.</w:t>
      </w:r>
    </w:p>
    <w:p>
      <w:pPr>
        <w:pStyle w:val="TextBody"/>
        <w:spacing w:lineRule="auto" w:line="300" w:before="0" w:after="0"/>
        <w:ind w:left="0" w:right="0" w:hanging="0"/>
        <w:jc w:val="both"/>
        <w:rPr/>
      </w:pPr>
      <w:r>
        <w:rPr/>
      </w:r>
    </w:p>
    <w:p>
      <w:pPr>
        <w:pStyle w:val="TextBody"/>
        <w:spacing w:lineRule="auto" w:line="300" w:before="0" w:after="0"/>
        <w:ind w:left="720" w:right="0" w:hanging="0"/>
        <w:jc w:val="both"/>
        <w:rPr/>
      </w:pPr>
      <w:r>
        <w:rPr>
          <w:rStyle w:val="Emphasis"/>
          <w:rFonts w:ascii="Times New Roman" w:hAnsi="Times New Roman"/>
          <w:sz w:val="20"/>
        </w:rPr>
        <w:t xml:space="preserve">Our screen advertising revenues may decline. </w:t>
      </w:r>
    </w:p>
    <w:p>
      <w:pPr>
        <w:pStyle w:val="TextBody"/>
        <w:spacing w:lineRule="auto" w:line="300" w:before="0" w:after="0"/>
        <w:ind w:left="0" w:right="0" w:hanging="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Over the past several years, cinema exhibitors have been looking increasingly to screen advertising as a way to boost income. No assurances can be given that this source of income will be continuing or that the use of such advertising will not ultimately prove to be counter productive by giving consumers a disincentive to choose going to the movies over at-home entertainment alternatives.</w:t>
      </w:r>
    </w:p>
    <w:p>
      <w:pPr>
        <w:pStyle w:val="TextBody"/>
        <w:spacing w:lineRule="auto" w:line="300" w:before="0" w:after="0"/>
        <w:ind w:left="0" w:right="0" w:hanging="0"/>
        <w:jc w:val="both"/>
        <w:rPr/>
      </w:pPr>
      <w:r>
        <w:rPr/>
      </w:r>
    </w:p>
    <w:p>
      <w:pPr>
        <w:pStyle w:val="TextBody"/>
        <w:spacing w:lineRule="auto" w:line="300" w:before="0" w:after="0"/>
        <w:ind w:left="720" w:right="0" w:hanging="0"/>
        <w:jc w:val="both"/>
        <w:rPr/>
      </w:pPr>
      <w:r>
        <w:rPr>
          <w:rStyle w:val="Emphasis"/>
          <w:rFonts w:ascii="Times New Roman" w:hAnsi="Times New Roman"/>
          <w:sz w:val="20"/>
        </w:rPr>
        <w:t>We face uncertainty as to the timing and direction of technological innovations in the cinema exhibition business and as to our access to those technologies.</w:t>
      </w:r>
    </w:p>
    <w:p>
      <w:pPr>
        <w:pStyle w:val="TextBody"/>
        <w:spacing w:lineRule="auto" w:line="300" w:before="0" w:after="0"/>
        <w:ind w:left="720" w:right="0" w:hanging="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It is generally assumed that eventually, and perhaps in the relatively near future, cinema exhibition will change over from film projection to digital projection technology. Such technology offers various cost benefits to both distributors and exhibitors. While the cost of such a conversion could be substantial, it is presently difficult to forecast the costs of such conversion, as it is not presently clear how these costs would be allocated as between exhibitors and distributors. Also, we anticipate that, as with most technologies, the cost of the equipment will reduce significantly over time. As technologies are always evolving, it is, of course, also possible that other new technologies may evolve that will adversely affect the competitiveness of current cinema exhibition technology.</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u w:val="single"/>
        </w:rPr>
      </w:pPr>
      <w:r>
        <w:rPr>
          <w:rFonts w:ascii="Times New Roman" w:hAnsi="Times New Roman"/>
          <w:sz w:val="20"/>
          <w:u w:val="single"/>
        </w:rPr>
        <w:t xml:space="preserve">Real Estate Development and Ownership Business Risks. </w:t>
      </w:r>
    </w:p>
    <w:p>
      <w:pPr>
        <w:pStyle w:val="TextBody"/>
        <w:spacing w:lineRule="auto" w:line="300" w:before="0" w:after="0"/>
        <w:ind w:left="0" w:right="0" w:hanging="0"/>
        <w:jc w:val="both"/>
        <w:rPr/>
      </w:pPr>
      <w:r>
        <w:rPr/>
      </w:r>
    </w:p>
    <w:p>
      <w:pPr>
        <w:pStyle w:val="TextBody"/>
        <w:spacing w:lineRule="auto" w:line="300" w:before="0" w:after="0"/>
        <w:ind w:left="720" w:right="0" w:hanging="0"/>
        <w:jc w:val="both"/>
        <w:rPr/>
      </w:pPr>
      <w:r>
        <w:rPr>
          <w:rStyle w:val="Emphasis"/>
          <w:rFonts w:ascii="Times New Roman" w:hAnsi="Times New Roman"/>
          <w:sz w:val="20"/>
        </w:rPr>
        <w:t>We operate in a highly competitive environment, in which we must compete against companies with much greater financial and human resources than we have.</w:t>
      </w:r>
    </w:p>
    <w:p>
      <w:pPr>
        <w:pStyle w:val="TextBody"/>
        <w:spacing w:lineRule="auto" w:line="300" w:before="0" w:after="0"/>
        <w:ind w:left="0" w:right="0" w:hanging="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We have limited financial and human resources, compared to our principal real estate competitors. In recent periods, we have relied heavily on outside professionals in connection with our real estate development activities. Many of our competitors have significantly greater resources than do we and may be able to achieve greater economies of scale than can we.</w:t>
      </w:r>
    </w:p>
    <w:p>
      <w:pPr>
        <w:pStyle w:val="TextBody"/>
        <w:spacing w:lineRule="auto" w:line="300" w:before="0" w:after="0"/>
        <w:ind w:left="0" w:right="0" w:hanging="0"/>
        <w:jc w:val="both"/>
        <w:rPr/>
      </w:pPr>
      <w:r>
        <w:rPr/>
      </w:r>
    </w:p>
    <w:p>
      <w:pPr>
        <w:pStyle w:val="TextBody"/>
        <w:spacing w:lineRule="auto" w:line="300" w:before="0" w:after="0"/>
        <w:ind w:left="720" w:right="0" w:hanging="0"/>
        <w:jc w:val="both"/>
        <w:rPr>
          <w:rFonts w:ascii="Times New Roman" w:hAnsi="Times New Roman"/>
          <w:sz w:val="20"/>
        </w:rPr>
      </w:pPr>
      <w:r>
        <w:rPr>
          <w:rFonts w:ascii="Times New Roman" w:hAnsi="Times New Roman"/>
          <w:sz w:val="20"/>
        </w:rPr>
        <w:t>Risks Related to the Real Estate Industry Generally</w:t>
      </w:r>
    </w:p>
    <w:p>
      <w:pPr>
        <w:pStyle w:val="TextBody"/>
        <w:spacing w:lineRule="auto" w:line="300" w:before="0" w:after="0"/>
        <w:ind w:left="0" w:right="0" w:hanging="0"/>
        <w:jc w:val="both"/>
        <w:rPr/>
      </w:pPr>
      <w:r>
        <w:rPr/>
        <w:t> </w:t>
      </w:r>
    </w:p>
    <w:p>
      <w:pPr>
        <w:pStyle w:val="TextBody"/>
        <w:spacing w:lineRule="auto" w:line="300" w:before="0" w:after="0"/>
        <w:ind w:left="720" w:right="0" w:hanging="0"/>
        <w:jc w:val="both"/>
        <w:rPr/>
      </w:pPr>
      <w:r>
        <w:rPr>
          <w:rStyle w:val="Emphasis"/>
          <w:rFonts w:ascii="Times New Roman" w:hAnsi="Times New Roman"/>
          <w:sz w:val="20"/>
        </w:rPr>
        <w:t xml:space="preserve">Our financial performance will be affected by risks associated with the real estate industry generally. </w:t>
      </w:r>
    </w:p>
    <w:p>
      <w:pPr>
        <w:pStyle w:val="TextBody"/>
        <w:spacing w:lineRule="auto" w:line="300" w:before="0" w:after="0"/>
        <w:ind w:left="0" w:right="0" w:hanging="0"/>
        <w:jc w:val="both"/>
        <w:rPr/>
      </w:pPr>
      <w:r>
        <w:rPr/>
      </w:r>
    </w:p>
    <w:p>
      <w:pPr>
        <w:pStyle w:val="TextBody"/>
        <w:spacing w:lineRule="auto" w:line="300" w:before="0" w:after="0"/>
        <w:ind w:left="720" w:right="0" w:hanging="0"/>
        <w:jc w:val="both"/>
        <w:rPr>
          <w:rFonts w:ascii="Times New Roman" w:hAnsi="Times New Roman"/>
          <w:sz w:val="20"/>
        </w:rPr>
      </w:pPr>
      <w:bookmarkStart w:id="537" w:name="TAB1134"/>
      <w:bookmarkEnd w:id="537"/>
      <w:r>
        <w:rPr>
          <w:rFonts w:ascii="Times New Roman" w:hAnsi="Times New Roman"/>
          <w:sz w:val="20"/>
        </w:rPr>
        <w:t>Events and conditions generally applicable to developers, owners and operators of real property will affect our performance as well. These include (i) changes in the national, regional and local economic climate; (ii) local conditions such as an oversupply of, or a reduction in demand for commercial space and/or entertainment oriented properties; (iii) reduced attractiveness of our properties to tenants; (iv) competition from other properties; (v) inability to collect rent from tenants; (vi) increased operating costs, including real estate taxes, insurance premiums and utilities; (vii) costs of complying with changes in government regulations; and (viii) the relative illiquidity of real estate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38" w:name="PGBRK25"/>
      <w:bookmarkStart w:id="539" w:name="PGBRK25"/>
      <w:bookmarkEnd w:id="53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40" w:name="FTR25"/>
      <w:bookmarkStart w:id="541" w:name="FTR25"/>
      <w:bookmarkEnd w:id="54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42" w:name="GLFTR25"/>
      <w:bookmarkStart w:id="543" w:name="GLFTR25"/>
      <w:bookmarkEnd w:id="54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544" w:name="PN25"/>
      <w:bookmarkEnd w:id="544"/>
      <w:r>
        <w:rPr>
          <w:rFonts w:ascii="Times New Roman" w:hAnsi="Times New Roman"/>
          <w:sz w:val="16"/>
        </w:rPr>
        <w:t>-25-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45" w:name="HDR25"/>
      <w:bookmarkStart w:id="546" w:name="HDR25"/>
      <w:bookmarkEnd w:id="54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547" w:name="GLHDR25"/>
        <w:bookmarkEnd w:id="547"/>
        <w:r>
          <w:rPr>
            <w:rStyle w:val="Emphasis"/>
            <w:rFonts w:ascii="Times New Roman" w:hAnsi="Times New Roman"/>
            <w:color w:val="000000"/>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investments. In addition, periods of economic slowdown or recession, rising interest rates or declining demand for real estate, or the public perception that any of these events may occur, could result in declining rents or increased lease defaults.</w:t>
      </w:r>
    </w:p>
    <w:p>
      <w:pPr>
        <w:pStyle w:val="TextBody"/>
        <w:spacing w:lineRule="auto" w:line="300" w:before="0" w:after="0"/>
        <w:ind w:left="720" w:right="0" w:hanging="0"/>
        <w:jc w:val="both"/>
        <w:rPr/>
      </w:pPr>
      <w:r>
        <w:rPr/>
      </w:r>
    </w:p>
    <w:p>
      <w:pPr>
        <w:pStyle w:val="TextBody"/>
        <w:spacing w:lineRule="auto" w:line="300" w:before="0" w:after="0"/>
        <w:ind w:left="720" w:right="0" w:hanging="0"/>
        <w:jc w:val="both"/>
        <w:rPr/>
      </w:pPr>
      <w:r>
        <w:rPr>
          <w:rStyle w:val="Emphasis"/>
          <w:rFonts w:ascii="Times New Roman" w:hAnsi="Times New Roman"/>
          <w:sz w:val="20"/>
        </w:rPr>
        <w:t>We may incur costs complying with the Americans with Disabilities Act and similar laws.</w:t>
      </w:r>
    </w:p>
    <w:p>
      <w:pPr>
        <w:pStyle w:val="TextBody"/>
        <w:spacing w:lineRule="auto" w:line="300" w:before="0" w:after="0"/>
        <w:ind w:left="0" w:right="0" w:hanging="0"/>
        <w:jc w:val="both"/>
        <w:rPr/>
      </w:pPr>
      <w:r>
        <w:rPr/>
      </w:r>
    </w:p>
    <w:p>
      <w:pPr>
        <w:pStyle w:val="TextBody"/>
        <w:spacing w:lineRule="auto" w:line="300" w:before="0" w:after="0"/>
        <w:ind w:left="720" w:right="0" w:hanging="0"/>
        <w:jc w:val="both"/>
        <w:rPr>
          <w:rFonts w:ascii="Times New Roman" w:hAnsi="Times New Roman"/>
          <w:sz w:val="20"/>
        </w:rPr>
      </w:pPr>
      <w:bookmarkStart w:id="548" w:name="TAB1135"/>
      <w:bookmarkEnd w:id="548"/>
      <w:r>
        <w:rPr>
          <w:rFonts w:ascii="Times New Roman" w:hAnsi="Times New Roman"/>
          <w:sz w:val="20"/>
        </w:rPr>
        <w:t xml:space="preserve">Under the Americans with Disabilities Act and similar statutory regimes in Australia and New Zealand or under applicable state law, all places of public accommodation (including cinemas and theaters) are required to meet certain governmental requirements related to access and use by persons with disabilities. A determination that we are not in compliance with those governmental requirements with respect to any of our properties could result in the imposition of fines or an award of damages to private litigants. The cost of addressing these issues could be substantial. Fortunately, the great majority of our facilities were built after the adoption of the Americans with Disabilities Act. </w:t>
      </w:r>
    </w:p>
    <w:p>
      <w:pPr>
        <w:pStyle w:val="TextBody"/>
        <w:spacing w:lineRule="auto" w:line="300" w:before="0" w:after="0"/>
        <w:ind w:left="0" w:right="0" w:hanging="0"/>
        <w:jc w:val="both"/>
        <w:rPr/>
      </w:pPr>
      <w:r>
        <w:rPr/>
      </w:r>
    </w:p>
    <w:p>
      <w:pPr>
        <w:pStyle w:val="TextBody"/>
        <w:spacing w:lineRule="auto" w:line="300" w:before="0" w:after="0"/>
        <w:ind w:left="720" w:right="0" w:hanging="0"/>
        <w:jc w:val="both"/>
        <w:rPr/>
      </w:pPr>
      <w:r>
        <w:rPr>
          <w:rStyle w:val="Emphasis"/>
          <w:rFonts w:ascii="Times New Roman" w:hAnsi="Times New Roman"/>
          <w:sz w:val="20"/>
        </w:rPr>
        <w:t>Illiquidity of real estate investments could impede our ability to respond to adverse changes in the performance of our properties.</w:t>
      </w:r>
    </w:p>
    <w:p>
      <w:pPr>
        <w:pStyle w:val="TextBody"/>
        <w:spacing w:lineRule="auto" w:line="300" w:before="0" w:after="0"/>
        <w:ind w:left="720" w:right="0" w:hanging="0"/>
        <w:jc w:val="both"/>
        <w:rPr/>
      </w:pPr>
      <w:r>
        <w:rPr/>
      </w:r>
    </w:p>
    <w:p>
      <w:pPr>
        <w:pStyle w:val="TextBody"/>
        <w:spacing w:lineRule="auto" w:line="300" w:before="0" w:after="0"/>
        <w:ind w:left="720" w:right="0" w:hanging="0"/>
        <w:jc w:val="both"/>
        <w:rPr>
          <w:rFonts w:ascii="Times New Roman" w:hAnsi="Times New Roman"/>
          <w:sz w:val="20"/>
        </w:rPr>
      </w:pPr>
      <w:bookmarkStart w:id="549" w:name="TAB1136"/>
      <w:bookmarkEnd w:id="549"/>
      <w:r>
        <w:rPr>
          <w:rFonts w:ascii="Times New Roman" w:hAnsi="Times New Roman"/>
          <w:sz w:val="20"/>
        </w:rPr>
        <w:t>Real estate investments are relatively illiquid and, therefore, tend to limit our ability to vary our portfolio promptly in response to changes in economic or other conditions. Many of our properties are either (i) “special purpose” properties that could not be readily converted to general residential, retail or office use, or (ii) undeveloped land. In addition, certain significant expenditures associated with real estate investment, such as real estate taxes and maintenance costs, are generally not reduced when circumstances cause a reduction in income from the investment and competitive factors may prevent the pass-though of such costs to tenants.</w:t>
      </w:r>
    </w:p>
    <w:p>
      <w:pPr>
        <w:pStyle w:val="TextBody"/>
        <w:spacing w:lineRule="auto" w:line="300" w:before="0" w:after="0"/>
        <w:ind w:left="720" w:right="0" w:hanging="0"/>
        <w:jc w:val="both"/>
        <w:rPr/>
      </w:pPr>
      <w:r>
        <w:rPr/>
      </w:r>
    </w:p>
    <w:p>
      <w:pPr>
        <w:pStyle w:val="TextBody"/>
        <w:spacing w:lineRule="auto" w:line="300" w:before="0" w:after="0"/>
        <w:ind w:left="720" w:right="0" w:hanging="0"/>
        <w:jc w:val="both"/>
        <w:rPr/>
      </w:pPr>
      <w:r>
        <w:rPr>
          <w:rStyle w:val="Emphasis"/>
          <w:rFonts w:ascii="Times New Roman" w:hAnsi="Times New Roman"/>
          <w:sz w:val="20"/>
        </w:rPr>
        <w:t>Real estate development involves a variety of risks.</w:t>
      </w:r>
    </w:p>
    <w:p>
      <w:pPr>
        <w:pStyle w:val="TextBody"/>
        <w:spacing w:lineRule="auto" w:line="300" w:before="0" w:after="0"/>
        <w:ind w:left="720" w:right="0" w:hanging="0"/>
        <w:jc w:val="both"/>
        <w:rPr/>
      </w:pPr>
      <w:r>
        <w:rPr/>
      </w:r>
    </w:p>
    <w:p>
      <w:pPr>
        <w:pStyle w:val="TextBody"/>
        <w:spacing w:lineRule="auto" w:line="300" w:before="0" w:after="0"/>
        <w:ind w:left="0" w:right="0" w:firstLine="360"/>
        <w:jc w:val="both"/>
        <w:rPr>
          <w:rFonts w:ascii="Times New Roman" w:hAnsi="Times New Roman"/>
          <w:sz w:val="20"/>
        </w:rPr>
      </w:pPr>
      <w:r>
        <w:rPr>
          <w:rFonts w:ascii="Times New Roman" w:hAnsi="Times New Roman"/>
          <w:sz w:val="20"/>
        </w:rPr>
        <w:t>Real estate development includes a variety of risks, including the following:</w:t>
      </w:r>
    </w:p>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550" w:name="hangingindent69"/>
      <w:bookmarkStart w:id="551" w:name="hangingindent69"/>
      <w:bookmarkEnd w:id="551"/>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both"/>
              <w:rPr/>
            </w:pPr>
            <w:r>
              <w:rPr>
                <w:rStyle w:val="Emphasis"/>
                <w:rFonts w:ascii="Times New Roman" w:hAnsi="Times New Roman"/>
                <w:sz w:val="20"/>
              </w:rPr>
              <w:t>The identification and acquisition of suitable development properties.</w:t>
            </w:r>
            <w:r>
              <w:rPr/>
              <w:t xml:space="preserve"> </w:t>
            </w:r>
            <w:r>
              <w:rPr>
                <w:rFonts w:ascii="Times New Roman" w:hAnsi="Times New Roman"/>
                <w:sz w:val="20"/>
              </w:rPr>
              <w:t>Competition for suitable development properties is intense. Our ability to identify and acquire development properties may be limited by our size and resources. Also, as we and our affiliates are considered to be “foreign owned” for purposes of certain Australia and New Zealand statutes, we have been in the past, and may in the future be, subject to regulations that are not applicable to other persons doing business in those countries.</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552" w:name="hangingindent70"/>
      <w:bookmarkStart w:id="553" w:name="hangingindent70"/>
      <w:bookmarkEnd w:id="553"/>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both"/>
              <w:rPr/>
            </w:pPr>
            <w:r>
              <w:rPr>
                <w:rStyle w:val="Emphasis"/>
                <w:rFonts w:ascii="Times New Roman" w:hAnsi="Times New Roman"/>
                <w:sz w:val="20"/>
              </w:rPr>
              <w:t>The procurement of necessary land use entitlements for the project.</w:t>
            </w:r>
            <w:r>
              <w:rPr/>
              <w:t xml:space="preserve"> </w:t>
            </w:r>
            <w:r>
              <w:rPr>
                <w:rFonts w:ascii="Times New Roman" w:hAnsi="Times New Roman"/>
                <w:sz w:val="20"/>
              </w:rPr>
              <w:t xml:space="preserve">This process can take many years, particularly if opposed by competing interests. Competitors and community groups (sometimes funded by such competitors) may object based on various factors including, for example, impacts on density, parking, traffic, noise levels and the historic or architectural nature of the building being replaced. If they are unsuccessful at the local governmental level, they may seek recourse to the courts or other tribunals. This can delay projects and increase costs. </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554" w:name="hangingindent71"/>
      <w:bookmarkStart w:id="555" w:name="hangingindent71"/>
      <w:bookmarkEnd w:id="555"/>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both"/>
              <w:rPr/>
            </w:pPr>
            <w:r>
              <w:rPr>
                <w:rStyle w:val="Emphasis"/>
                <w:rFonts w:ascii="Times New Roman" w:hAnsi="Times New Roman"/>
                <w:sz w:val="20"/>
              </w:rPr>
              <w:t>The construction of the project on time and on budget.</w:t>
            </w:r>
            <w:r>
              <w:rPr/>
              <w:t xml:space="preserve"> </w:t>
            </w:r>
            <w:r>
              <w:rPr>
                <w:rFonts w:ascii="Times New Roman" w:hAnsi="Times New Roman"/>
                <w:sz w:val="20"/>
              </w:rPr>
              <w:t xml:space="preserve">Construction risks include the availability and cost of finance; the availability and costs of material and labor, the costs of dealing with unknown site conditions (including addressing pollution or environmental wastes deposited upon the property by prior owners), inclement weather conditions, and the ever present potential for labor related disruptions. </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556" w:name="hangingindent72"/>
      <w:bookmarkStart w:id="557" w:name="hangingindent72"/>
      <w:bookmarkEnd w:id="557"/>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both"/>
              <w:rPr/>
            </w:pPr>
            <w:r>
              <w:rPr>
                <w:rStyle w:val="Emphasis"/>
                <w:rFonts w:ascii="Times New Roman" w:hAnsi="Times New Roman"/>
                <w:sz w:val="20"/>
              </w:rPr>
              <w:t>The leasing or sell-out of the project.</w:t>
            </w:r>
            <w:r>
              <w:rPr/>
              <w:t xml:space="preserve"> </w:t>
            </w:r>
            <w:r>
              <w:rPr>
                <w:rFonts w:ascii="Times New Roman" w:hAnsi="Times New Roman"/>
                <w:sz w:val="20"/>
              </w:rPr>
              <w:t>Ultimately, there are the risks involved in the leasing of a rental property or the sale of condominium or built-for-sale property. Leasing or sale can be influenced by economic factors that are neither known nor knowable at the commencement of the development process and by local, national and even international economic conditions, both real and perceived.</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558" w:name="hangingindent73"/>
      <w:bookmarkStart w:id="559" w:name="hangingindent73"/>
      <w:bookmarkEnd w:id="559"/>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both"/>
              <w:rPr/>
            </w:pPr>
            <w:r>
              <w:rPr>
                <w:rStyle w:val="Emphasis"/>
                <w:rFonts w:ascii="Times New Roman" w:hAnsi="Times New Roman"/>
                <w:sz w:val="20"/>
              </w:rPr>
              <w:t>The refinancing of completed properties.</w:t>
            </w:r>
            <w:r>
              <w:rPr/>
              <w:t xml:space="preserve"> </w:t>
            </w:r>
            <w:r>
              <w:rPr>
                <w:rFonts w:ascii="Times New Roman" w:hAnsi="Times New Roman"/>
                <w:sz w:val="20"/>
              </w:rPr>
              <w:t xml:space="preserve">Properties are often developed using relatively short term loans. Upon completion of the project, it may be necessary to find replacement financing for these loans. This process involves risk as to the availability of such permanent or other take-out financing, the interest rates and the payment terms applicable to such financing, which may be adversely influenced by local, national or international factors. To date, we have been successful in negotiating development loans with roll over or other provisions mitigating our need to refinance immediately upon completion of construction. </w:t>
            </w:r>
          </w:p>
        </w:tc>
      </w:tr>
    </w:tbl>
    <w:p>
      <w:pPr>
        <w:pStyle w:val="TextBody"/>
        <w:spacing w:lineRule="auto" w:line="300"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60" w:name="PGBRK26"/>
      <w:bookmarkStart w:id="561" w:name="PGBRK26"/>
      <w:bookmarkEnd w:id="56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62" w:name="FTR26"/>
      <w:bookmarkStart w:id="563" w:name="FTR26"/>
      <w:bookmarkEnd w:id="56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64" w:name="GLFTR26"/>
      <w:bookmarkStart w:id="565" w:name="GLFTR26"/>
      <w:bookmarkEnd w:id="56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566" w:name="PN26"/>
      <w:bookmarkEnd w:id="566"/>
      <w:r>
        <w:rPr>
          <w:rFonts w:ascii="Times New Roman" w:hAnsi="Times New Roman"/>
          <w:sz w:val="16"/>
        </w:rPr>
        <w:t>-26-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67" w:name="HDR26"/>
      <w:bookmarkStart w:id="568" w:name="HDR26"/>
      <w:bookmarkEnd w:id="56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569" w:name="GLHDR26"/>
        <w:bookmarkEnd w:id="569"/>
        <w:r>
          <w:rPr>
            <w:rStyle w:val="Emphasis"/>
            <w:rFonts w:ascii="Times New Roman" w:hAnsi="Times New Roman"/>
            <w:color w:val="000000"/>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300" w:before="0" w:after="0"/>
        <w:ind w:left="720" w:right="0" w:hanging="0"/>
        <w:jc w:val="both"/>
        <w:rPr/>
      </w:pPr>
      <w:r>
        <w:rPr>
          <w:rStyle w:val="Emphasis"/>
          <w:rFonts w:ascii="Times New Roman" w:hAnsi="Times New Roman"/>
          <w:sz w:val="20"/>
        </w:rPr>
        <w:t xml:space="preserve">The ownership of properties involves risk. </w:t>
      </w:r>
    </w:p>
    <w:p>
      <w:pPr>
        <w:pStyle w:val="TextBody"/>
        <w:spacing w:lineRule="auto" w:line="300" w:before="0" w:after="0"/>
        <w:ind w:left="720" w:right="0" w:hanging="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 xml:space="preserve">The ownership of investment properties involves risks, such as: (i) ongoing leasing and re-leasing risks, (ii) ongoing financing and re-financing risks, (iii) market risks as to the multiples offered by buyers of investment properties, (iv) risks related to the ongoing compliance with changing governmental regulation clause (iv) (including, without limitation, environmental laws and requirements to remediate environmental contamination that may exist on a property, even though not deposited on the property by us) (v) relative illiquidity compared to some other types of assets, and (vi) susceptibility of assets to uninsurable risks, such as biological, chemical or nuclear terrorism. Furthermore, as our properties are typically developed around an entertainment use, the attractiveness of these properties to tenants, sources of finance and real estate investors will be influenced by market perceptions of the benefits and detriments of such entertainment type properties. </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u w:val="single"/>
        </w:rPr>
      </w:pPr>
      <w:r>
        <w:rPr>
          <w:rFonts w:ascii="Times New Roman" w:hAnsi="Times New Roman"/>
          <w:sz w:val="20"/>
          <w:u w:val="single"/>
        </w:rPr>
        <w:t>International Business Risks</w:t>
      </w:r>
    </w:p>
    <w:p>
      <w:pPr>
        <w:pStyle w:val="TextBody"/>
        <w:spacing w:lineRule="auto" w:line="300" w:before="0" w:after="0"/>
        <w:ind w:left="0" w:right="0" w:hanging="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Our international operations are subject to a variety of risks, including the following:</w:t>
      </w:r>
    </w:p>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570" w:name="hangingindent74"/>
      <w:bookmarkStart w:id="571" w:name="hangingindent74"/>
      <w:bookmarkEnd w:id="571"/>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both"/>
              <w:rPr/>
            </w:pPr>
            <w:r>
              <w:rPr>
                <w:rStyle w:val="Emphasis"/>
                <w:rFonts w:ascii="Times New Roman" w:hAnsi="Times New Roman"/>
                <w:sz w:val="20"/>
              </w:rPr>
              <w:t>Risk of currency fluctuations.</w:t>
            </w:r>
            <w:r>
              <w:rPr/>
              <w:t xml:space="preserve"> </w:t>
            </w:r>
            <w:r>
              <w:rPr>
                <w:rFonts w:ascii="Times New Roman" w:hAnsi="Times New Roman"/>
                <w:sz w:val="20"/>
              </w:rPr>
              <w:t xml:space="preserve">While we report our earnings and assets in US dollars, substantial portions of our revenues and of our obligations are denominated in either Australian or New Zealand dollars. The value of these currencies can vary significantly compared to the US dollar and compared to each other. We typically have not hedged against these currency fluctuations, but rather have relied upon the natural hedges that exist as a result of the fact that our film costs are typically fixed as a percentage of box office, and our local operating costs and obligations are likewise typically denominated in local currencies. </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572" w:name="hangingindent75"/>
      <w:bookmarkStart w:id="573" w:name="hangingindent75"/>
      <w:bookmarkEnd w:id="573"/>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both"/>
              <w:rPr/>
            </w:pPr>
            <w:r>
              <w:rPr>
                <w:rStyle w:val="Emphasis"/>
                <w:rFonts w:ascii="Times New Roman" w:hAnsi="Times New Roman"/>
                <w:sz w:val="20"/>
              </w:rPr>
              <w:t xml:space="preserve">Risk of adverse government regulation. </w:t>
            </w:r>
            <w:r>
              <w:rPr>
                <w:rFonts w:ascii="Times New Roman" w:hAnsi="Times New Roman"/>
                <w:sz w:val="20"/>
              </w:rPr>
              <w:t xml:space="preserve">At the present time, we believe that relations between the United States, Australia and New Zealand are good. However, no assurances can be given that this relationship will continue and that Australia and New Zealand will not in the future seek to regulate more highly the business done by US companies in their countries. </w:t>
            </w:r>
          </w:p>
        </w:tc>
      </w:tr>
    </w:tbl>
    <w:p>
      <w:pPr>
        <w:pStyle w:val="TextBody"/>
        <w:spacing w:lineRule="auto" w:line="300" w:before="0" w:after="0"/>
        <w:ind w:left="720" w:right="0" w:hanging="0"/>
        <w:jc w:val="both"/>
        <w:rPr/>
      </w:pPr>
      <w:r>
        <w:rPr/>
      </w:r>
    </w:p>
    <w:p>
      <w:pPr>
        <w:pStyle w:val="TextBody"/>
        <w:spacing w:lineRule="auto" w:line="300" w:before="0" w:after="0"/>
        <w:ind w:left="0" w:right="0" w:hanging="0"/>
        <w:jc w:val="both"/>
        <w:rPr>
          <w:rFonts w:ascii="Times New Roman" w:hAnsi="Times New Roman"/>
          <w:sz w:val="20"/>
          <w:u w:val="single"/>
        </w:rPr>
      </w:pPr>
      <w:r>
        <w:rPr>
          <w:rFonts w:ascii="Times New Roman" w:hAnsi="Times New Roman"/>
          <w:sz w:val="20"/>
          <w:u w:val="single"/>
        </w:rPr>
        <w:t>Risks Associated with Certain Discontinued Operations</w:t>
      </w:r>
    </w:p>
    <w:p>
      <w:pPr>
        <w:pStyle w:val="TextBody"/>
        <w:spacing w:lineRule="auto" w:line="300" w:before="0" w:after="0"/>
        <w:ind w:left="0" w:right="0" w:hanging="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 xml:space="preserve">Certain of our subsidiaries were previously in industrial businesses. As a consequence, properties that are currently owned or may have in the past been owned by these subsidiaries may prove to have environmental issues. While we have, where we have knowledge of such environmental issues and are in a position to make an assessment as to our exposure, established what we believe to be appropriate reserves, we are exposed to the risk that currently unknown problems may be discovered. These subsidiaries are also exposed to potential claims related to exposure of former employees to coal dust, asbestos and other materials now considered to be, or which in the future may be found to be, carcinogenic or otherwise injurious to health. </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u w:val="single"/>
        </w:rPr>
      </w:pPr>
      <w:r>
        <w:rPr>
          <w:rFonts w:ascii="Times New Roman" w:hAnsi="Times New Roman"/>
          <w:sz w:val="20"/>
          <w:u w:val="single"/>
        </w:rPr>
        <w:t>Operating Results, Financial Structure and Certain Tax Matters</w:t>
      </w:r>
    </w:p>
    <w:p>
      <w:pPr>
        <w:pStyle w:val="TextBody"/>
        <w:spacing w:lineRule="auto" w:line="300" w:before="0" w:after="0"/>
        <w:ind w:left="0" w:right="0" w:hanging="0"/>
        <w:jc w:val="both"/>
        <w:rPr/>
      </w:pPr>
      <w:r>
        <w:rPr/>
      </w:r>
    </w:p>
    <w:p>
      <w:pPr>
        <w:pStyle w:val="TextBody"/>
        <w:spacing w:lineRule="auto" w:line="300" w:before="0" w:after="0"/>
        <w:ind w:left="720" w:right="0" w:hanging="0"/>
        <w:jc w:val="both"/>
        <w:rPr/>
      </w:pPr>
      <w:r>
        <w:rPr>
          <w:rStyle w:val="Emphasis"/>
          <w:rFonts w:ascii="Times New Roman" w:hAnsi="Times New Roman"/>
          <w:sz w:val="20"/>
        </w:rPr>
        <w:t>This is the first year we have generated a profit in recent periods.</w:t>
      </w:r>
    </w:p>
    <w:p>
      <w:pPr>
        <w:pStyle w:val="TextBody"/>
        <w:spacing w:lineRule="auto" w:line="300" w:before="0" w:after="0"/>
        <w:ind w:left="0" w:right="0" w:hanging="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Our earnings, as calculated for accounting purposes, have been adversely affected in recent years by our real estate development oriented business plan, by litigation expenses and by competitive conditions in Puerto Rico. Our cinema exhibition and real estate businesses generate significant depreciation. Furthermore, a significant amount of our assets has been invested, in recent periods, in undeveloped land or in properties under development, which do not produce current earnings. We have now exited Puerto Rico, having sold our assets there.</w:t>
      </w:r>
    </w:p>
    <w:p>
      <w:pPr>
        <w:pStyle w:val="TextBody"/>
        <w:spacing w:lineRule="auto" w:line="300" w:before="0" w:after="0"/>
        <w:ind w:left="0" w:right="0" w:hanging="0"/>
        <w:jc w:val="both"/>
        <w:rPr/>
      </w:pPr>
      <w:r>
        <w:rPr/>
        <w:t> </w:t>
      </w:r>
    </w:p>
    <w:p>
      <w:pPr>
        <w:pStyle w:val="TextBody"/>
        <w:spacing w:lineRule="auto" w:line="300" w:before="0" w:after="0"/>
        <w:ind w:left="720" w:right="0" w:hanging="0"/>
        <w:jc w:val="both"/>
        <w:rPr/>
      </w:pPr>
      <w:r>
        <w:rPr>
          <w:rStyle w:val="Emphasis"/>
          <w:rFonts w:ascii="Times New Roman" w:hAnsi="Times New Roman"/>
          <w:sz w:val="20"/>
        </w:rPr>
        <w:t xml:space="preserve">We have negative working capital. </w:t>
      </w:r>
    </w:p>
    <w:p>
      <w:pPr>
        <w:pStyle w:val="TextBody"/>
        <w:spacing w:lineRule="auto" w:line="300" w:before="0" w:after="0"/>
        <w:ind w:left="0" w:right="0" w:hanging="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In recent years, as we have invested our cash in new acquisitions and the development of our existing properties, we have moved from a positive to a negative working capital situation. This negative working capital is typical in the cinema exhibition industry, since revenues are received in advance of our obligation to pay film licensing fees, rent and other costs. At the present time, we have credit facilities in place which, if drawn upon, could be used to eliminate this negative working capital position - which we consider to be akin to an interest free loan.</w:t>
      </w:r>
    </w:p>
    <w:p>
      <w:pPr>
        <w:pStyle w:val="TextBody"/>
        <w:spacing w:lineRule="auto" w:line="300"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74" w:name="PGBRK27"/>
      <w:bookmarkStart w:id="575" w:name="PGBRK27"/>
      <w:bookmarkEnd w:id="57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76" w:name="FTR27"/>
      <w:bookmarkStart w:id="577" w:name="FTR27"/>
      <w:bookmarkEnd w:id="57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78" w:name="GLFTR27"/>
      <w:bookmarkStart w:id="579" w:name="GLFTR27"/>
      <w:bookmarkEnd w:id="57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580" w:name="PN27"/>
      <w:bookmarkEnd w:id="580"/>
      <w:r>
        <w:rPr>
          <w:rFonts w:ascii="Times New Roman" w:hAnsi="Times New Roman"/>
          <w:sz w:val="16"/>
        </w:rPr>
        <w:t>-27-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81" w:name="HDR27"/>
      <w:bookmarkStart w:id="582" w:name="HDR27"/>
      <w:bookmarkEnd w:id="58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583" w:name="GLHDR27"/>
        <w:bookmarkEnd w:id="583"/>
        <w:r>
          <w:rPr>
            <w:rStyle w:val="Emphasis"/>
            <w:rFonts w:ascii="Times New Roman" w:hAnsi="Times New Roman"/>
            <w:color w:val="000000"/>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300" w:before="0" w:after="0"/>
        <w:ind w:left="720" w:right="0" w:hanging="0"/>
        <w:jc w:val="both"/>
        <w:rPr/>
      </w:pPr>
      <w:r>
        <w:rPr>
          <w:rStyle w:val="Emphasis"/>
          <w:rFonts w:ascii="Times New Roman" w:hAnsi="Times New Roman"/>
          <w:sz w:val="20"/>
        </w:rPr>
        <w:t>We have substantial short to medium term debt.</w:t>
      </w:r>
    </w:p>
    <w:p>
      <w:pPr>
        <w:pStyle w:val="TextBody"/>
        <w:spacing w:lineRule="auto" w:line="300" w:before="0" w:after="0"/>
        <w:ind w:left="0" w:right="0" w:hanging="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 xml:space="preserve">Generally speaking, we have financed our operations through relatively short term debt. No assurances can be given that we will be able to refinance this debt, or if we can, that the terms will be reasonable. However, as a counterbalance to this debt, we have significant unencumbered real property assets, which could be sold to pay debt or encumbered to assist in the refinancing of existing debt, if necessary. In February 2007, we issued $50.0 million in 20-year Trust Preferred Securities, and utilized the net proceeds principally to retire short term bank debt in New Zealand and Australia. However, the interest rate on our Trust Preferred Securities is only fixed for five years, and since we have used US Dollar denominated obligations to retire debt denominated in New Zealand and Australian Dollars, this transaction and use of net proceeds has increased our exposure to currency risk. </w:t>
      </w:r>
    </w:p>
    <w:p>
      <w:pPr>
        <w:pStyle w:val="TextBody"/>
        <w:spacing w:lineRule="auto" w:line="300" w:before="0" w:after="0"/>
        <w:ind w:left="0" w:right="0" w:hanging="0"/>
        <w:jc w:val="both"/>
        <w:rPr/>
      </w:pPr>
      <w:r>
        <w:rPr/>
      </w:r>
    </w:p>
    <w:p>
      <w:pPr>
        <w:pStyle w:val="TextBody"/>
        <w:spacing w:lineRule="auto" w:line="300" w:before="0" w:after="0"/>
        <w:ind w:left="720" w:right="0" w:hanging="0"/>
        <w:jc w:val="both"/>
        <w:rPr/>
      </w:pPr>
      <w:r>
        <w:rPr>
          <w:rStyle w:val="Emphasis"/>
          <w:rFonts w:ascii="Times New Roman" w:hAnsi="Times New Roman"/>
          <w:sz w:val="20"/>
        </w:rPr>
        <w:t>We have substantial lease liabilities.</w:t>
      </w:r>
    </w:p>
    <w:p>
      <w:pPr>
        <w:pStyle w:val="TextBody"/>
        <w:spacing w:lineRule="auto" w:line="300" w:before="0" w:after="0"/>
        <w:ind w:left="0" w:right="0" w:hanging="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Most of our cinemas operate in leased facilities. These leases typically have cost of living or other rent adjustment features and require that we operate the properties as cinemas. A down turn in our cinema exhibition business might, depending on its severity, adversely affect the ability of our cinema operating subsidiaries to meet these rental obligations. Even if our cinema exhibition business remains relatively constant, cinema level cash flow will likely be adversely affected unless we can increase our revenues sufficiently to offset increases in our rental liabilities.</w:t>
      </w:r>
    </w:p>
    <w:p>
      <w:pPr>
        <w:pStyle w:val="TextBody"/>
        <w:spacing w:lineRule="auto" w:line="300" w:before="0" w:after="0"/>
        <w:ind w:left="0" w:right="0" w:hanging="0"/>
        <w:jc w:val="both"/>
        <w:rPr/>
      </w:pPr>
      <w:r>
        <w:rPr/>
      </w:r>
    </w:p>
    <w:p>
      <w:pPr>
        <w:pStyle w:val="TextBody"/>
        <w:spacing w:lineRule="auto" w:line="300" w:before="0" w:after="0"/>
        <w:ind w:left="720" w:right="0" w:hanging="0"/>
        <w:jc w:val="both"/>
        <w:rPr/>
      </w:pPr>
      <w:r>
        <w:rPr>
          <w:rStyle w:val="Emphasis"/>
          <w:rFonts w:ascii="Times New Roman" w:hAnsi="Times New Roman"/>
          <w:sz w:val="20"/>
        </w:rPr>
        <w:t xml:space="preserve">The Internal Revenue Service has given us notice of a claimed liability of $20.9 million in back taxes, plus interest of $13.5 million. </w:t>
      </w:r>
    </w:p>
    <w:p>
      <w:pPr>
        <w:pStyle w:val="TextBody"/>
        <w:spacing w:lineRule="auto" w:line="300" w:before="0" w:after="0"/>
        <w:ind w:left="0" w:right="0" w:hanging="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While we believe that we have good defenses to this liability, the claimed exposure is substantial compared to our net worth, and significantly in excess of our current or anticipated near term liquidity. This contingent liability is discussed in greater detail under Item 3 - Legal Proceedings: Tax Audit. If we were to lose on this matter, we would also be confronted with a potential additional $5.4 million in taxes to the California Franchise Tax Board, plus interest of approximately $3.5 million.</w:t>
      </w:r>
    </w:p>
    <w:p>
      <w:pPr>
        <w:pStyle w:val="TextBody"/>
        <w:spacing w:lineRule="auto" w:line="300" w:before="0" w:after="0"/>
        <w:ind w:left="0" w:right="0" w:hanging="0"/>
        <w:jc w:val="both"/>
        <w:rPr/>
      </w:pPr>
      <w:r>
        <w:rPr/>
      </w:r>
    </w:p>
    <w:p>
      <w:pPr>
        <w:pStyle w:val="TextBody"/>
        <w:spacing w:lineRule="auto" w:line="300" w:before="0" w:after="0"/>
        <w:ind w:left="720" w:right="0" w:hanging="0"/>
        <w:jc w:val="both"/>
        <w:rPr/>
      </w:pPr>
      <w:r>
        <w:rPr>
          <w:rStyle w:val="Emphasis"/>
          <w:rFonts w:ascii="Times New Roman" w:hAnsi="Times New Roman"/>
          <w:sz w:val="20"/>
        </w:rPr>
        <w:t>Our stock is thinly traded.</w:t>
      </w:r>
    </w:p>
    <w:p>
      <w:pPr>
        <w:pStyle w:val="TextBody"/>
        <w:spacing w:lineRule="auto" w:line="300" w:before="0" w:after="0"/>
        <w:ind w:left="0" w:right="0" w:hanging="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 xml:space="preserve">Our stock is thinly traded, with an average daily volume in 2006 of only approximately 3,700 shares. This can result in significant volatility, as demand by buyers and sellers can easily get out of balance. </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u w:val="single"/>
        </w:rPr>
      </w:pPr>
      <w:r>
        <w:rPr>
          <w:rFonts w:ascii="Times New Roman" w:hAnsi="Times New Roman"/>
          <w:sz w:val="20"/>
          <w:u w:val="single"/>
        </w:rPr>
        <w:t xml:space="preserve">Ownership Structure, Corporate Governance and Change of Control Risks </w:t>
      </w:r>
    </w:p>
    <w:p>
      <w:pPr>
        <w:pStyle w:val="TextBody"/>
        <w:spacing w:lineRule="auto" w:line="300" w:before="0" w:after="0"/>
        <w:ind w:left="0" w:right="0" w:hanging="0"/>
        <w:jc w:val="both"/>
        <w:rPr/>
      </w:pPr>
      <w:r>
        <w:rPr/>
      </w:r>
    </w:p>
    <w:p>
      <w:pPr>
        <w:pStyle w:val="TextBody"/>
        <w:spacing w:lineRule="auto" w:line="300" w:before="0" w:after="0"/>
        <w:ind w:left="720" w:right="0" w:hanging="0"/>
        <w:jc w:val="left"/>
        <w:rPr/>
      </w:pPr>
      <w:r>
        <w:rPr>
          <w:rStyle w:val="Emphasis"/>
          <w:rFonts w:ascii="Times New Roman" w:hAnsi="Times New Roman"/>
          <w:sz w:val="20"/>
        </w:rPr>
        <w:t xml:space="preserve">The interests of our controlling stockholder may conflict with your interests. </w:t>
      </w:r>
    </w:p>
    <w:p>
      <w:pPr>
        <w:pStyle w:val="TextBody"/>
        <w:spacing w:lineRule="auto" w:line="300" w:before="0" w:after="0"/>
        <w:ind w:left="720" w:right="0" w:hanging="0"/>
        <w:jc w:val="left"/>
        <w:rPr/>
      </w:pPr>
      <w:r>
        <w:rPr/>
      </w:r>
    </w:p>
    <w:p>
      <w:pPr>
        <w:pStyle w:val="TextBody"/>
        <w:spacing w:lineRule="auto" w:line="300" w:before="0" w:after="0"/>
        <w:ind w:left="0" w:right="0" w:firstLine="720"/>
        <w:jc w:val="both"/>
        <w:rPr/>
      </w:pPr>
      <w:r>
        <w:rPr>
          <w:rFonts w:ascii="Times New Roman" w:hAnsi="Times New Roman"/>
          <w:sz w:val="20"/>
        </w:rPr>
        <w:t xml:space="preserve">Mr. James J. Cotter beneficially owns 71.1% of our outstanding Class B Voting Common Stock. Our Class A Non-Voting Common Stock is essentially non-voting, while our Class B Voting Common Stock represents all of the voting power of our Company. As a result, as of December 31, 2006, Mr. Cotter controlled 71.1% of the voting power of all of our outstanding common stock. For as long as Mr. Cotter continues to own shares of common stock representing more than 50% of the voting power of our common stock, he will be able to elect all of the members of our board of directors and determine the outcome of all matters submitted to a vote of our stockholders, including matters involving mergers or other business combinations, the acquisition or disposition of assets, the incurrence of indebtedness, the issuance of any additional shares of common stock or other equity securities and the payment of dividends on common stock. Mr. Cotter will also have the power to prevent or cause a change in control, and could take other actions that might be desirable to Mr. Cotter but not to other stockholders. In addition, Mr. Cotter and his affiliates have controlling interests in companies in related and unrelated industries. In the future, we may participate in transactions with these companies (see Note 25 - </w:t>
      </w:r>
      <w:r>
        <w:rPr>
          <w:rStyle w:val="Emphasis"/>
          <w:rFonts w:ascii="Times New Roman" w:hAnsi="Times New Roman"/>
          <w:sz w:val="20"/>
        </w:rPr>
        <w:t>Related Parties and Transactions</w:t>
      </w:r>
      <w:r>
        <w:rPr>
          <w:rFonts w:ascii="Times New Roman" w:hAnsi="Times New Roman"/>
          <w:sz w:val="20"/>
        </w:rPr>
        <w:t xml:space="preserve">). </w:t>
      </w:r>
    </w:p>
    <w:p>
      <w:pPr>
        <w:pStyle w:val="TextBody"/>
        <w:spacing w:lineRule="auto" w:line="300" w:before="0" w:after="0"/>
        <w:ind w:left="0" w:right="0" w:hanging="0"/>
        <w:jc w:val="both"/>
        <w:rPr/>
      </w:pPr>
      <w:r>
        <w:rPr/>
      </w:r>
    </w:p>
    <w:p>
      <w:pPr>
        <w:pStyle w:val="TextBody"/>
        <w:spacing w:lineRule="auto" w:line="300" w:before="0" w:after="0"/>
        <w:ind w:left="720" w:right="0" w:hanging="0"/>
        <w:jc w:val="both"/>
        <w:rPr/>
      </w:pPr>
      <w:r>
        <w:rPr>
          <w:rStyle w:val="Emphasis"/>
          <w:rFonts w:ascii="Times New Roman" w:hAnsi="Times New Roman"/>
          <w:sz w:val="20"/>
        </w:rPr>
        <w:t>Since we are a Controlled Company, our Directors have determined to take advantage of certain exemptions provide by the American Stock Exchange from the corporate governance rules adopted by that Exchange.</w:t>
      </w:r>
    </w:p>
    <w:p>
      <w:pPr>
        <w:pStyle w:val="TextBody"/>
        <w:spacing w:lineRule="auto" w:line="300" w:before="0" w:after="0"/>
        <w:ind w:left="720" w:right="0" w:hanging="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Generally speaking, the American Stock Exchange requires listed companies to meet certain minimum corporate governance provisions. However, a Controlled Corporation, such as we, may elect not to be governed by certain of these provisions. Our board of directors has elected to exempt our Company from requirements that (i) at</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84" w:name="PGBRK28"/>
      <w:bookmarkStart w:id="585" w:name="PGBRK28"/>
      <w:bookmarkEnd w:id="58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86" w:name="FTR28"/>
      <w:bookmarkStart w:id="587" w:name="FTR28"/>
      <w:bookmarkEnd w:id="58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88" w:name="GLFTR28"/>
      <w:bookmarkStart w:id="589" w:name="GLFTR28"/>
      <w:bookmarkEnd w:id="58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590" w:name="PN28"/>
      <w:bookmarkEnd w:id="590"/>
      <w:r>
        <w:rPr>
          <w:rFonts w:ascii="Times New Roman" w:hAnsi="Times New Roman"/>
          <w:sz w:val="16"/>
        </w:rPr>
        <w:t>-28-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91" w:name="HDR28"/>
      <w:bookmarkStart w:id="592" w:name="HDR28"/>
      <w:bookmarkEnd w:id="5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593" w:name="GLHDR28"/>
        <w:bookmarkEnd w:id="593"/>
        <w:r>
          <w:rPr>
            <w:rStyle w:val="Emphasis"/>
            <w:rFonts w:ascii="Times New Roman" w:hAnsi="Times New Roman"/>
            <w:color w:val="000000"/>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least a majority of our directors be independent, (ii) nominees to our board of directors be nominated by a committee comprised entirely of independent directors or by a majority of our Company’s independent directors, and (iii) the compensation of our chief executive officer be determined or recommended to our board of directors by a compensation committee comprised entirely of independent directors or by a majority of our Company’s independent directors. Notwithstanding the determination by our board of directors to opt-out of these American Stock Exchange requirements, a majority of our board of directors is nevertheless currently comprised of independent directors, and our compensation committee is nevertheless currently comprised entirely of independent directors.</w:t>
      </w:r>
    </w:p>
    <w:p>
      <w:pPr>
        <w:pStyle w:val="TextBody"/>
        <w:spacing w:lineRule="auto" w:line="300"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94" w:name="PGBRK29"/>
      <w:bookmarkStart w:id="595" w:name="PGBRK29"/>
      <w:bookmarkEnd w:id="59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96" w:name="FTR29"/>
      <w:bookmarkStart w:id="597" w:name="FTR29"/>
      <w:bookmarkEnd w:id="59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98" w:name="GLFTR29"/>
      <w:bookmarkStart w:id="599" w:name="GLFTR29"/>
      <w:bookmarkEnd w:id="59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600" w:name="PN29"/>
      <w:bookmarkEnd w:id="600"/>
      <w:r>
        <w:rPr>
          <w:rFonts w:ascii="Times New Roman" w:hAnsi="Times New Roman"/>
          <w:sz w:val="16"/>
        </w:rPr>
        <w:t>-29-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01" w:name="HDR29"/>
      <w:bookmarkStart w:id="602" w:name="HDR29"/>
      <w:bookmarkEnd w:id="60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603" w:name="GLHDR29"/>
        <w:bookmarkEnd w:id="603"/>
        <w:r>
          <w:rPr>
            <w:rStyle w:val="Emphasis"/>
            <w:rFonts w:ascii="Times New Roman" w:hAnsi="Times New Roman"/>
            <w:color w:val="000000"/>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300" w:before="0" w:after="0"/>
        <w:ind w:left="0" w:right="0" w:hanging="0"/>
        <w:jc w:val="center"/>
        <w:rPr/>
      </w:pPr>
      <w:bookmarkStart w:id="604" w:name="item1b"/>
      <w:bookmarkEnd w:id="604"/>
      <w:r>
        <w:rPr>
          <w:rStyle w:val="StrongEmphasis"/>
          <w:rFonts w:ascii="Times New Roman" w:hAnsi="Times New Roman"/>
          <w:sz w:val="20"/>
          <w:u w:val="single"/>
        </w:rPr>
        <w:t>Item 1B - Unresolved Staff Comments</w:t>
      </w:r>
      <w:r>
        <w:rPr>
          <w:rStyle w:val="StrongEmphasis"/>
          <w:u w:val="single"/>
        </w:rPr>
        <w:t> </w:t>
      </w:r>
    </w:p>
    <w:p>
      <w:pPr>
        <w:pStyle w:val="TextBody"/>
        <w:spacing w:lineRule="auto" w:line="300" w:before="0" w:after="0"/>
        <w:ind w:left="0" w:right="0" w:hanging="0"/>
        <w:jc w:val="center"/>
        <w:rPr/>
      </w:pPr>
      <w:r>
        <w:rPr/>
      </w:r>
    </w:p>
    <w:p>
      <w:pPr>
        <w:pStyle w:val="TextBody"/>
        <w:spacing w:lineRule="auto" w:line="300" w:before="0" w:after="0"/>
        <w:ind w:left="720" w:right="0" w:hanging="0"/>
        <w:jc w:val="left"/>
        <w:rPr>
          <w:rFonts w:ascii="Times New Roman" w:hAnsi="Times New Roman"/>
          <w:sz w:val="20"/>
        </w:rPr>
      </w:pPr>
      <w:bookmarkStart w:id="605" w:name="TAB1137"/>
      <w:bookmarkEnd w:id="605"/>
      <w:r>
        <w:rPr>
          <w:rFonts w:ascii="Times New Roman" w:hAnsi="Times New Roman"/>
          <w:sz w:val="20"/>
        </w:rPr>
        <w:t>Not applicable.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06" w:name="PGBRK30"/>
      <w:bookmarkStart w:id="607" w:name="PGBRK30"/>
      <w:bookmarkEnd w:id="60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08" w:name="FTR30"/>
      <w:bookmarkStart w:id="609" w:name="FTR30"/>
      <w:bookmarkEnd w:id="60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10" w:name="GLFTR30"/>
      <w:bookmarkStart w:id="611" w:name="GLFTR30"/>
      <w:bookmarkEnd w:id="61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612" w:name="PN30"/>
      <w:bookmarkEnd w:id="612"/>
      <w:r>
        <w:rPr>
          <w:rFonts w:ascii="Times New Roman" w:hAnsi="Times New Roman"/>
          <w:sz w:val="16"/>
        </w:rPr>
        <w:t>-30-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13" w:name="HDR30"/>
      <w:bookmarkStart w:id="614" w:name="HDR30"/>
      <w:bookmarkEnd w:id="61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615" w:name="GLHDR30"/>
        <w:bookmarkEnd w:id="615"/>
        <w:r>
          <w:rPr>
            <w:rStyle w:val="Emphasis"/>
            <w:rFonts w:ascii="Times New Roman" w:hAnsi="Times New Roman"/>
            <w:color w:val="000000"/>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300" w:before="0" w:after="0"/>
        <w:ind w:left="0" w:right="0" w:hanging="0"/>
        <w:jc w:val="center"/>
        <w:rPr/>
      </w:pPr>
      <w:bookmarkStart w:id="616" w:name="item2"/>
      <w:bookmarkEnd w:id="616"/>
      <w:r>
        <w:rPr>
          <w:rStyle w:val="StrongEmphasis"/>
          <w:rFonts w:ascii="Times New Roman" w:hAnsi="Times New Roman"/>
          <w:sz w:val="20"/>
          <w:u w:val="single"/>
        </w:rPr>
        <w:t>Item 2 - Properties</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pPr>
      <w:r>
        <w:rPr/>
      </w:r>
    </w:p>
    <w:p>
      <w:pPr>
        <w:pStyle w:val="TextBody"/>
        <w:spacing w:lineRule="auto" w:line="300" w:before="0" w:after="0"/>
        <w:ind w:left="0" w:right="0" w:hanging="0"/>
        <w:jc w:val="both"/>
        <w:rPr/>
      </w:pPr>
      <w:r>
        <w:rPr>
          <w:rStyle w:val="StrongEmphasis"/>
          <w:rFonts w:ascii="Times New Roman" w:hAnsi="Times New Roman"/>
          <w:sz w:val="20"/>
          <w:u w:val="single"/>
        </w:rPr>
        <w:t>Executive and Administrative Offices</w:t>
      </w:r>
    </w:p>
    <w:p>
      <w:pPr>
        <w:pStyle w:val="TextBody"/>
        <w:spacing w:lineRule="auto" w:line="300" w:before="0" w:after="0"/>
        <w:ind w:left="0" w:right="0" w:hanging="0"/>
        <w:jc w:val="both"/>
        <w:rPr/>
      </w:pPr>
      <w:r>
        <w:rPr/>
      </w:r>
    </w:p>
    <w:p>
      <w:pPr>
        <w:pStyle w:val="TextBody"/>
        <w:spacing w:lineRule="auto" w:line="300" w:before="0" w:after="0"/>
        <w:ind w:left="720" w:right="0" w:hanging="0"/>
        <w:jc w:val="both"/>
        <w:rPr/>
      </w:pPr>
      <w:bookmarkStart w:id="617" w:name="TAB1138"/>
      <w:bookmarkEnd w:id="617"/>
      <w:r>
        <w:rPr>
          <w:rFonts w:ascii="Times New Roman" w:hAnsi="Times New Roman"/>
          <w:sz w:val="20"/>
        </w:rPr>
        <w:t>We lease approximately 8,000 square feet of office space in Commerce, California</w:t>
      </w:r>
      <w:r>
        <w:rPr/>
        <w:t xml:space="preserve"> </w:t>
      </w:r>
      <w:r>
        <w:rPr>
          <w:rFonts w:ascii="Times New Roman" w:hAnsi="Times New Roman"/>
          <w:sz w:val="20"/>
        </w:rPr>
        <w:t>to serve as our executive headquarters. During 2005, we purchased a 9,000 square foot office building in Melbourne, Australia, to serve as the headquarters for our Australia and New Zealand operations. We occupy approximately 2,000 square feet of our Village East leasehold property for administrative purposes.</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pPr>
      <w:r>
        <w:rPr/>
      </w:r>
    </w:p>
    <w:p>
      <w:pPr>
        <w:pStyle w:val="TextBody"/>
        <w:spacing w:lineRule="auto" w:line="300" w:before="0" w:after="0"/>
        <w:ind w:left="0" w:right="0" w:hanging="0"/>
        <w:jc w:val="both"/>
        <w:rPr/>
      </w:pPr>
      <w:r>
        <w:rPr>
          <w:rStyle w:val="StrongEmphasis"/>
          <w:rFonts w:ascii="Times New Roman" w:hAnsi="Times New Roman"/>
          <w:sz w:val="20"/>
          <w:u w:val="single"/>
        </w:rPr>
        <w:t>Entertainment Properties</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u w:val="single"/>
        </w:rPr>
      </w:pPr>
      <w:r>
        <w:rPr>
          <w:rFonts w:ascii="Times New Roman" w:hAnsi="Times New Roman"/>
          <w:sz w:val="20"/>
          <w:u w:val="single"/>
        </w:rPr>
        <w:t>Leasehold Interests</w:t>
      </w:r>
    </w:p>
    <w:p>
      <w:pPr>
        <w:pStyle w:val="TextBody"/>
        <w:spacing w:lineRule="auto" w:line="300" w:before="0" w:after="0"/>
        <w:ind w:left="0" w:right="0" w:hanging="0"/>
        <w:jc w:val="both"/>
        <w:rPr/>
      </w:pPr>
      <w:r>
        <w:rPr/>
      </w:r>
    </w:p>
    <w:p>
      <w:pPr>
        <w:pStyle w:val="TextBody"/>
        <w:spacing w:lineRule="auto" w:line="300" w:before="0" w:after="0"/>
        <w:ind w:left="720" w:right="0" w:hanging="0"/>
        <w:jc w:val="both"/>
        <w:rPr>
          <w:rFonts w:ascii="Times New Roman" w:hAnsi="Times New Roman"/>
          <w:sz w:val="20"/>
        </w:rPr>
      </w:pPr>
      <w:bookmarkStart w:id="618" w:name="TAB1139"/>
      <w:bookmarkEnd w:id="618"/>
      <w:r>
        <w:rPr>
          <w:rFonts w:ascii="Times New Roman" w:hAnsi="Times New Roman"/>
          <w:sz w:val="20"/>
        </w:rPr>
        <w:t>We lease approximately 1.1 million square feet of completed cinema space in the United States, Australia, and New Zealand as follows:</w:t>
      </w:r>
    </w:p>
    <w:p>
      <w:pPr>
        <w:pStyle w:val="TextBody"/>
        <w:spacing w:lineRule="auto" w:line="300" w:before="0" w:after="0"/>
        <w:ind w:left="0" w:right="0" w:hanging="0"/>
        <w:jc w:val="both"/>
        <w:rPr/>
      </w:pPr>
      <w:r>
        <w:rPr/>
        <w:t> </w:t>
      </w:r>
    </w:p>
    <w:tbl>
      <w:tblPr>
        <w:tblW w:w="5000" w:type="pct"/>
        <w:jc w:val="left"/>
        <w:tblInd w:w="0" w:type="dxa"/>
        <w:tblCellMar>
          <w:top w:w="0" w:type="dxa"/>
          <w:left w:w="0" w:type="dxa"/>
          <w:bottom w:w="28" w:type="dxa"/>
          <w:right w:w="0" w:type="dxa"/>
        </w:tblCellMar>
      </w:tblPr>
      <w:tblGrid>
        <w:gridCol w:w="1700"/>
        <w:gridCol w:w="2977"/>
        <w:gridCol w:w="5528"/>
      </w:tblGrid>
      <w:tr>
        <w:trPr/>
        <w:tc>
          <w:tcPr>
            <w:tcW w:w="1700" w:type="dxa"/>
            <w:tcBorders>
              <w:bottom w:val="double" w:sz="2" w:space="0" w:color="000000"/>
            </w:tcBorders>
            <w:shd w:fill="auto" w:val="clear"/>
            <w:vAlign w:val="bottom"/>
          </w:tcPr>
          <w:p>
            <w:pPr>
              <w:pStyle w:val="TableContents"/>
              <w:spacing w:before="0" w:after="283"/>
              <w:rPr/>
            </w:pPr>
            <w:r>
              <w:rPr/>
              <w:t> </w:t>
            </w:r>
          </w:p>
        </w:tc>
        <w:tc>
          <w:tcPr>
            <w:tcW w:w="2977" w:type="dxa"/>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Aggregate Square Footage</w:t>
            </w:r>
          </w:p>
        </w:tc>
        <w:tc>
          <w:tcPr>
            <w:tcW w:w="5528" w:type="dxa"/>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Approximate Range of Remaining Lease Terms (including renewals)</w:t>
            </w:r>
          </w:p>
        </w:tc>
      </w:tr>
      <w:tr>
        <w:trPr/>
        <w:tc>
          <w:tcPr>
            <w:tcW w:w="1700" w:type="dxa"/>
            <w:tcBorders/>
            <w:shd w:fill="CCEEFF" w:val="clear"/>
            <w:tcMar>
              <w:bottom w:w="0" w:type="dxa"/>
            </w:tcMar>
          </w:tcPr>
          <w:p>
            <w:pPr>
              <w:pStyle w:val="TableContents"/>
              <w:spacing w:lineRule="auto" w:line="300" w:before="0" w:after="0"/>
              <w:ind w:left="0" w:right="0" w:hanging="0"/>
              <w:jc w:val="both"/>
              <w:rPr>
                <w:rFonts w:ascii="Times New Roman" w:hAnsi="Times New Roman"/>
                <w:sz w:val="20"/>
              </w:rPr>
            </w:pPr>
            <w:r>
              <w:rPr>
                <w:rFonts w:ascii="Times New Roman" w:hAnsi="Times New Roman"/>
                <w:sz w:val="20"/>
              </w:rPr>
              <w:t>United States</w:t>
            </w:r>
          </w:p>
        </w:tc>
        <w:tc>
          <w:tcPr>
            <w:tcW w:w="2977" w:type="dxa"/>
            <w:tcBorders/>
            <w:shd w:fill="CCEEFF" w:val="clear"/>
            <w:tcMar>
              <w:bottom w:w="0" w:type="dxa"/>
            </w:tcMar>
            <w:vAlign w:val="center"/>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254,000</w:t>
            </w:r>
          </w:p>
        </w:tc>
        <w:tc>
          <w:tcPr>
            <w:tcW w:w="5528" w:type="dxa"/>
            <w:tcBorders/>
            <w:shd w:fill="CCEEFF" w:val="clear"/>
            <w:tcMar>
              <w:bottom w:w="0" w:type="dxa"/>
            </w:tcMar>
            <w:vAlign w:val="center"/>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5 - 42 years</w:t>
            </w:r>
          </w:p>
        </w:tc>
      </w:tr>
      <w:tr>
        <w:trPr/>
        <w:tc>
          <w:tcPr>
            <w:tcW w:w="1700" w:type="dxa"/>
            <w:tcBorders/>
            <w:shd w:fill="FFFFFF" w:val="clear"/>
            <w:tcMar>
              <w:bottom w:w="0" w:type="dxa"/>
            </w:tcMar>
          </w:tcPr>
          <w:p>
            <w:pPr>
              <w:pStyle w:val="TableContents"/>
              <w:spacing w:lineRule="auto" w:line="300" w:before="0" w:after="0"/>
              <w:ind w:left="0" w:right="0" w:hanging="0"/>
              <w:jc w:val="both"/>
              <w:rPr>
                <w:rFonts w:ascii="Times New Roman" w:hAnsi="Times New Roman"/>
                <w:sz w:val="20"/>
              </w:rPr>
            </w:pPr>
            <w:r>
              <w:rPr>
                <w:rFonts w:ascii="Times New Roman" w:hAnsi="Times New Roman"/>
                <w:sz w:val="20"/>
              </w:rPr>
              <w:t>Australia</w:t>
            </w:r>
          </w:p>
        </w:tc>
        <w:tc>
          <w:tcPr>
            <w:tcW w:w="2977" w:type="dxa"/>
            <w:tcBorders/>
            <w:shd w:fill="FFFFFF" w:val="clear"/>
            <w:tcMar>
              <w:bottom w:w="0" w:type="dxa"/>
            </w:tcMar>
            <w:vAlign w:val="center"/>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614,000</w:t>
            </w:r>
          </w:p>
        </w:tc>
        <w:tc>
          <w:tcPr>
            <w:tcW w:w="5528" w:type="dxa"/>
            <w:tcBorders/>
            <w:shd w:fill="FFFFFF" w:val="clear"/>
            <w:tcMar>
              <w:bottom w:w="0" w:type="dxa"/>
            </w:tcMar>
            <w:vAlign w:val="center"/>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29 - 40 years</w:t>
            </w:r>
          </w:p>
        </w:tc>
      </w:tr>
      <w:tr>
        <w:trPr/>
        <w:tc>
          <w:tcPr>
            <w:tcW w:w="1700" w:type="dxa"/>
            <w:tcBorders/>
            <w:shd w:fill="CCEEFF" w:val="clear"/>
            <w:tcMar>
              <w:bottom w:w="0" w:type="dxa"/>
            </w:tcMar>
          </w:tcPr>
          <w:p>
            <w:pPr>
              <w:pStyle w:val="TableContents"/>
              <w:spacing w:lineRule="auto" w:line="300" w:before="0" w:after="0"/>
              <w:ind w:left="0" w:right="0" w:hanging="0"/>
              <w:jc w:val="both"/>
              <w:rPr>
                <w:rFonts w:ascii="Times New Roman" w:hAnsi="Times New Roman"/>
                <w:sz w:val="20"/>
              </w:rPr>
            </w:pPr>
            <w:r>
              <w:rPr>
                <w:rFonts w:ascii="Times New Roman" w:hAnsi="Times New Roman"/>
                <w:sz w:val="20"/>
              </w:rPr>
              <w:t>New Zealand</w:t>
            </w:r>
          </w:p>
        </w:tc>
        <w:tc>
          <w:tcPr>
            <w:tcW w:w="2977" w:type="dxa"/>
            <w:tcBorders/>
            <w:shd w:fill="CCEEFF" w:val="clear"/>
            <w:tcMar>
              <w:bottom w:w="0" w:type="dxa"/>
            </w:tcMar>
            <w:vAlign w:val="center"/>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268,000</w:t>
            </w:r>
          </w:p>
        </w:tc>
        <w:tc>
          <w:tcPr>
            <w:tcW w:w="5528" w:type="dxa"/>
            <w:tcBorders/>
            <w:shd w:fill="CCEEFF" w:val="clear"/>
            <w:tcMar>
              <w:bottom w:w="0" w:type="dxa"/>
            </w:tcMar>
            <w:vAlign w:val="center"/>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5 - 10 years</w:t>
            </w:r>
          </w:p>
        </w:tc>
      </w:tr>
    </w:tbl>
    <w:p>
      <w:pPr>
        <w:pStyle w:val="TextBody"/>
        <w:spacing w:lineRule="auto" w:line="300" w:before="0" w:after="0"/>
        <w:ind w:left="0" w:right="0" w:hanging="0"/>
        <w:jc w:val="both"/>
        <w:rPr/>
      </w:pPr>
      <w:r>
        <w:rPr/>
      </w:r>
    </w:p>
    <w:p>
      <w:pPr>
        <w:pStyle w:val="TextBody"/>
        <w:spacing w:lineRule="auto" w:line="300" w:before="0" w:after="0"/>
        <w:ind w:left="0" w:right="0" w:hanging="0"/>
        <w:jc w:val="left"/>
        <w:rPr>
          <w:rFonts w:ascii="Times New Roman" w:hAnsi="Times New Roman"/>
          <w:sz w:val="20"/>
          <w:u w:val="single"/>
        </w:rPr>
      </w:pPr>
      <w:r>
        <w:rPr>
          <w:rFonts w:ascii="Times New Roman" w:hAnsi="Times New Roman"/>
          <w:sz w:val="20"/>
          <w:u w:val="single"/>
        </w:rPr>
        <w:t>Fee Interests</w:t>
      </w:r>
    </w:p>
    <w:p>
      <w:pPr>
        <w:pStyle w:val="TextBody"/>
        <w:spacing w:lineRule="auto" w:line="300" w:before="0" w:after="0"/>
        <w:ind w:left="0" w:right="0" w:hanging="0"/>
        <w:jc w:val="both"/>
        <w:rPr/>
      </w:pPr>
      <w:r>
        <w:rPr/>
      </w:r>
    </w:p>
    <w:p>
      <w:pPr>
        <w:pStyle w:val="TextBody"/>
        <w:spacing w:lineRule="auto" w:line="300" w:before="0" w:after="0"/>
        <w:ind w:left="720" w:right="0" w:hanging="0"/>
        <w:jc w:val="both"/>
        <w:rPr>
          <w:rFonts w:ascii="Times New Roman" w:hAnsi="Times New Roman"/>
          <w:sz w:val="20"/>
        </w:rPr>
      </w:pPr>
      <w:bookmarkStart w:id="619" w:name="TAB1140"/>
      <w:bookmarkEnd w:id="619"/>
      <w:r>
        <w:rPr>
          <w:rFonts w:ascii="Times New Roman" w:hAnsi="Times New Roman"/>
          <w:sz w:val="20"/>
        </w:rPr>
        <w:t>In Australia, we own approximately 3.2 million square feet of land at eight locations plus one strata title estate consisting of 22,000 square feet. Substantially all of this land is located in the greater metropolitan areas of Brisbane, Melbourne, Perth and Sydney, including the 50.6 acre Burwood site in suburban Melbourne.</w:t>
      </w:r>
    </w:p>
    <w:p>
      <w:pPr>
        <w:pStyle w:val="TextBody"/>
        <w:spacing w:lineRule="auto" w:line="300" w:before="0" w:after="0"/>
        <w:ind w:left="0" w:right="0" w:hanging="0"/>
        <w:jc w:val="both"/>
        <w:rPr/>
      </w:pPr>
      <w:r>
        <w:rPr/>
      </w:r>
    </w:p>
    <w:p>
      <w:pPr>
        <w:pStyle w:val="TextBody"/>
        <w:spacing w:lineRule="auto" w:line="300" w:before="0" w:after="0"/>
        <w:ind w:left="720" w:right="0" w:hanging="0"/>
        <w:jc w:val="both"/>
        <w:rPr>
          <w:rFonts w:ascii="Times New Roman" w:hAnsi="Times New Roman"/>
          <w:sz w:val="20"/>
        </w:rPr>
      </w:pPr>
      <w:bookmarkStart w:id="620" w:name="TAB1141"/>
      <w:bookmarkEnd w:id="620"/>
      <w:r>
        <w:rPr>
          <w:rFonts w:ascii="Times New Roman" w:hAnsi="Times New Roman"/>
          <w:sz w:val="20"/>
        </w:rPr>
        <w:t>In New Zealand, we own a 190,000 square foot site, which includes an existing 245,000 square foot, nine level parking structure in the heart of Wellington, the capital of New Zealand. All but 38,000 square feet of the Wellington site has been developed as an ETRC which incorporates the existing parking garage. The remaining land is currently leased and is slated for development as phase two of our Wellington ETRC. We own the fee interests underlying three additional cinemas in New Zealand, which properties include approximately 12,000 square feet of ancillary retail space.</w:t>
      </w:r>
    </w:p>
    <w:p>
      <w:pPr>
        <w:pStyle w:val="TextBody"/>
        <w:spacing w:lineRule="auto" w:line="300" w:before="0" w:after="0"/>
        <w:ind w:left="0" w:right="0" w:hanging="0"/>
        <w:jc w:val="both"/>
        <w:rPr/>
      </w:pPr>
      <w:r>
        <w:rPr/>
      </w:r>
    </w:p>
    <w:p>
      <w:pPr>
        <w:pStyle w:val="TextBody"/>
        <w:spacing w:lineRule="auto" w:line="300" w:before="0" w:after="0"/>
        <w:ind w:left="720" w:right="0" w:hanging="0"/>
        <w:jc w:val="both"/>
        <w:rPr>
          <w:rFonts w:ascii="Times New Roman" w:hAnsi="Times New Roman"/>
          <w:sz w:val="20"/>
        </w:rPr>
      </w:pPr>
      <w:bookmarkStart w:id="621" w:name="TAB1142"/>
      <w:bookmarkEnd w:id="621"/>
      <w:r>
        <w:rPr>
          <w:rFonts w:ascii="Times New Roman" w:hAnsi="Times New Roman"/>
          <w:sz w:val="20"/>
        </w:rPr>
        <w:t xml:space="preserve">In the United States, we own approximately 146,000 square feet of improved real estate comprised of four live theater buildings which include approximately 58,000 square feet of leasable space, the fee interest in our Cinemas 1, 2 &amp; 3 in Manhattan, and a residential condominium unit in Los Angeles, used as executive office and residential space by our Chairman and Chief Executive Officer. </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u w:val="single"/>
        </w:rPr>
      </w:pPr>
      <w:r>
        <w:rPr>
          <w:rFonts w:ascii="Times New Roman" w:hAnsi="Times New Roman"/>
          <w:sz w:val="20"/>
          <w:u w:val="single"/>
        </w:rPr>
        <w:t>Joint Venture Interests</w:t>
      </w:r>
    </w:p>
    <w:p>
      <w:pPr>
        <w:pStyle w:val="TextBody"/>
        <w:spacing w:lineRule="auto" w:line="300" w:before="0" w:after="0"/>
        <w:ind w:left="0" w:right="0" w:hanging="0"/>
        <w:jc w:val="both"/>
        <w:rPr/>
      </w:pPr>
      <w:r>
        <w:rPr/>
      </w:r>
    </w:p>
    <w:p>
      <w:pPr>
        <w:pStyle w:val="TextBody"/>
        <w:spacing w:lineRule="auto" w:line="300" w:before="0" w:after="0"/>
        <w:ind w:left="720" w:right="0" w:hanging="0"/>
        <w:jc w:val="both"/>
        <w:rPr>
          <w:rFonts w:ascii="Times New Roman" w:hAnsi="Times New Roman"/>
          <w:sz w:val="20"/>
        </w:rPr>
      </w:pPr>
      <w:bookmarkStart w:id="622" w:name="TAB1143"/>
      <w:bookmarkEnd w:id="622"/>
      <w:r>
        <w:rPr>
          <w:rFonts w:ascii="Times New Roman" w:hAnsi="Times New Roman"/>
          <w:sz w:val="20"/>
        </w:rPr>
        <w:t>We also hold real estate through several unincorporated joint ventures and one majority-owned subsidiary, as described below:</w:t>
      </w:r>
    </w:p>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623" w:name="hangingindent76"/>
      <w:bookmarkStart w:id="624" w:name="hangingindent76"/>
      <w:bookmarkEnd w:id="624"/>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in Australia, we own a 66% unincorporated joint venture interest in a leased 5-screen multiplex cinema in Melbourne, a 75% interest in a subsidiary company that leases two cinemas with eleven screens in two Australian country towns, and a 33% unincorporated joint venture interest in a 16-screen leasehold cinema in a suburb of Brisbane. </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625" w:name="hangingindent77"/>
      <w:bookmarkStart w:id="626" w:name="hangingindent77"/>
      <w:bookmarkEnd w:id="626"/>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in New Zealand we own a 50% unincorporated joint venture interest in an eight-screen mainstream cinema in a suburb of Auckland and we own a 50% unincorporated joint venture interest in five cinemas with 22 screens in the New Zealand cities of Auckland, Christchurch, Wellington, Dunedin and Hamilton.</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27" w:name="PGBRK31"/>
      <w:bookmarkStart w:id="628" w:name="PGBRK31"/>
      <w:bookmarkEnd w:id="6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29" w:name="FTR31"/>
      <w:bookmarkStart w:id="630" w:name="FTR31"/>
      <w:bookmarkEnd w:id="63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31" w:name="GLFTR31"/>
      <w:bookmarkStart w:id="632" w:name="GLFTR31"/>
      <w:bookmarkEnd w:id="6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633" w:name="PN31"/>
      <w:bookmarkEnd w:id="633"/>
      <w:r>
        <w:rPr>
          <w:rFonts w:ascii="Times New Roman" w:hAnsi="Times New Roman"/>
          <w:sz w:val="16"/>
        </w:rPr>
        <w:t>-31-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34" w:name="HDR31"/>
      <w:bookmarkStart w:id="635" w:name="HDR31"/>
      <w:bookmarkEnd w:id="63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636" w:name="GLHDR31"/>
        <w:bookmarkEnd w:id="636"/>
        <w:r>
          <w:rPr>
            <w:rStyle w:val="Emphasis"/>
            <w:rFonts w:ascii="Times New Roman" w:hAnsi="Times New Roman"/>
            <w:color w:val="000000"/>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pStyle w:val="Normal"/>
        <w:spacing w:before="0" w:after="0"/>
        <w:rPr>
          <w:sz w:val="4"/>
          <w:szCs w:val="4"/>
        </w:rPr>
      </w:pPr>
      <w:r>
        <w:rPr>
          <w:sz w:val="4"/>
          <w:szCs w:val="4"/>
        </w:rPr>
      </w:r>
      <w:bookmarkStart w:id="637" w:name="hangingindent78"/>
      <w:bookmarkStart w:id="638" w:name="hangingindent78"/>
      <w:bookmarkEnd w:id="638"/>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in the United States, we own a 50% membership interest in Angelika Film Center, LLC, which holds the lease to the approximately 17,000 square foot Angelika Film Center &amp; Café in the Soho district of Manhattan. We also hold the management rights with respect to this asset.</w:t>
            </w:r>
          </w:p>
        </w:tc>
      </w:tr>
    </w:tbl>
    <w:p>
      <w:pPr>
        <w:pStyle w:val="TextBody"/>
        <w:spacing w:lineRule="auto" w:line="300" w:before="0" w:after="0"/>
        <w:ind w:left="0" w:right="0" w:hanging="0"/>
        <w:jc w:val="both"/>
        <w:rPr/>
      </w:pPr>
      <w:r>
        <w:rPr/>
      </w:r>
    </w:p>
    <w:p>
      <w:pPr>
        <w:pStyle w:val="TextBody"/>
        <w:spacing w:lineRule="auto" w:line="300" w:before="0" w:after="0"/>
        <w:ind w:left="0" w:right="0" w:hanging="0"/>
        <w:jc w:val="left"/>
        <w:rPr/>
      </w:pPr>
      <w:r>
        <w:rPr/>
      </w:r>
    </w:p>
    <w:p>
      <w:pPr>
        <w:pStyle w:val="TextBody"/>
        <w:spacing w:lineRule="auto" w:line="300" w:before="0" w:after="0"/>
        <w:ind w:left="0" w:right="0" w:hanging="0"/>
        <w:jc w:val="both"/>
        <w:rPr/>
      </w:pPr>
      <w:r>
        <w:rPr>
          <w:rStyle w:val="StrongEmphasis"/>
          <w:rFonts w:ascii="Times New Roman" w:hAnsi="Times New Roman"/>
          <w:sz w:val="20"/>
          <w:u w:val="single"/>
        </w:rPr>
        <w:t>ETRC Development Properties</w:t>
      </w:r>
    </w:p>
    <w:p>
      <w:pPr>
        <w:pStyle w:val="TextBody"/>
        <w:spacing w:lineRule="auto" w:line="300" w:before="0" w:after="0"/>
        <w:ind w:left="0" w:right="0" w:hanging="0"/>
        <w:jc w:val="both"/>
        <w:rPr/>
      </w:pPr>
      <w:r>
        <w:rPr/>
      </w:r>
    </w:p>
    <w:p>
      <w:pPr>
        <w:pStyle w:val="TextBody"/>
        <w:spacing w:lineRule="auto" w:line="300" w:before="0" w:after="0"/>
        <w:ind w:left="720" w:right="0" w:hanging="0"/>
        <w:jc w:val="both"/>
        <w:rPr/>
      </w:pPr>
      <w:bookmarkStart w:id="639" w:name="TAB1144"/>
      <w:bookmarkEnd w:id="639"/>
      <w:r>
        <w:rPr>
          <w:rFonts w:ascii="Times New Roman" w:hAnsi="Times New Roman"/>
          <w:sz w:val="20"/>
        </w:rPr>
        <w:t xml:space="preserve">Our development projects are described in greater detail above in this Annual Report under the Caption, </w:t>
      </w:r>
      <w:r>
        <w:rPr>
          <w:rStyle w:val="StrongEmphasis"/>
          <w:rFonts w:ascii="Times New Roman" w:hAnsi="Times New Roman"/>
          <w:sz w:val="20"/>
        </w:rPr>
        <w:t xml:space="preserve">Our Real Estate Activities, </w:t>
      </w:r>
      <w:r>
        <w:rPr>
          <w:rStyle w:val="Emphasis"/>
          <w:rFonts w:ascii="Times New Roman" w:hAnsi="Times New Roman"/>
          <w:sz w:val="20"/>
        </w:rPr>
        <w:t>Our Development Projects.</w:t>
      </w:r>
      <w:r>
        <w:rPr/>
        <w:t xml:space="preserve"> </w:t>
      </w:r>
      <w:r>
        <w:rPr>
          <w:rFonts w:ascii="Times New Roman" w:hAnsi="Times New Roman"/>
          <w:sz w:val="20"/>
        </w:rPr>
        <w:t>The following is intended as a summary of these projects.</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u w:val="single"/>
        </w:rPr>
      </w:pPr>
      <w:r>
        <w:rPr>
          <w:rFonts w:ascii="Times New Roman" w:hAnsi="Times New Roman"/>
          <w:sz w:val="20"/>
          <w:u w:val="single"/>
        </w:rPr>
        <w:t>Burwood, Victoria</w:t>
      </w:r>
    </w:p>
    <w:p>
      <w:pPr>
        <w:pStyle w:val="TextBody"/>
        <w:spacing w:lineRule="auto" w:line="300" w:before="0" w:after="0"/>
        <w:ind w:left="0" w:right="0" w:hanging="0"/>
        <w:jc w:val="both"/>
        <w:rPr/>
      </w:pPr>
      <w:r>
        <w:rPr/>
      </w:r>
    </w:p>
    <w:p>
      <w:pPr>
        <w:pStyle w:val="TextBody"/>
        <w:spacing w:lineRule="auto" w:line="300" w:before="0" w:after="0"/>
        <w:ind w:left="720" w:right="0" w:hanging="0"/>
        <w:jc w:val="both"/>
        <w:rPr>
          <w:rFonts w:ascii="Times New Roman" w:hAnsi="Times New Roman"/>
          <w:sz w:val="20"/>
        </w:rPr>
      </w:pPr>
      <w:bookmarkStart w:id="640" w:name="TAB1145"/>
      <w:bookmarkEnd w:id="640"/>
      <w:r>
        <w:rPr>
          <w:rFonts w:ascii="Times New Roman" w:hAnsi="Times New Roman"/>
          <w:sz w:val="20"/>
        </w:rPr>
        <w:t>In December 1995, we acquired a 50.6 acre site in Burwood, a suburban area within the Melbourne metropolitan area, initially as a potential ETRC location. In late 2003, that site was designated as a “major activity centre” by the Victorian State Government and in February 2006 was rezoned to permit a broad range of entertainment, retail, commercial and residential uses. We anticipate that the property will be developed in a series of phases over a reasonable period of time, and that the final completion will not be achieved until sometime in 2015. The rezoning plan calls for the preparation and approval by the City of separate development plans for each of these various phases.</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u w:val="single"/>
        </w:rPr>
      </w:pPr>
      <w:r>
        <w:rPr>
          <w:rFonts w:ascii="Times New Roman" w:hAnsi="Times New Roman"/>
          <w:sz w:val="20"/>
          <w:u w:val="single"/>
        </w:rPr>
        <w:t>Wellington, New Zealand</w:t>
      </w:r>
    </w:p>
    <w:p>
      <w:pPr>
        <w:pStyle w:val="TextBody"/>
        <w:spacing w:lineRule="auto" w:line="300" w:before="0" w:after="0"/>
        <w:ind w:left="0" w:right="0" w:hanging="0"/>
        <w:jc w:val="both"/>
        <w:rPr/>
      </w:pPr>
      <w:r>
        <w:rPr/>
      </w:r>
    </w:p>
    <w:p>
      <w:pPr>
        <w:pStyle w:val="TextBody"/>
        <w:spacing w:lineRule="auto" w:line="300" w:before="0" w:after="0"/>
        <w:ind w:left="0" w:right="0" w:firstLine="720"/>
        <w:jc w:val="left"/>
        <w:rPr>
          <w:rFonts w:ascii="Times New Roman" w:hAnsi="Times New Roman"/>
          <w:sz w:val="20"/>
        </w:rPr>
      </w:pPr>
      <w:r>
        <w:rPr>
          <w:rFonts w:ascii="Times New Roman" w:hAnsi="Times New Roman"/>
          <w:sz w:val="20"/>
        </w:rPr>
        <w:t>We are currently the owner operator of an approximately 160,000 square foot ETRC in Wellington, New Zealand, known as Courtenay Central. The existing ETRC consists of a ten screen cinema with approximately 38,000 square feet of retail space and a separate nine level parking structure. We have completed the design and statutory approval phase of the development and we are seeking potential tenants to pre-commit to the centre with respect to an approximately 155,000 square foot Phase II expansion to the centre, to be constructed on the approximately 38,000 square foot parcel adjacent to the existing centre. The retail market has significantly softened in Wellington and this has delayed our ability to secure suitable anchor tenants for the development. Accordingly, phase II is currently in a holding pattern as we wait for the retail market to improve and consider alternative uses for the property.</w:t>
      </w:r>
    </w:p>
    <w:p>
      <w:pPr>
        <w:pStyle w:val="TextBody"/>
        <w:spacing w:lineRule="auto" w:line="300" w:before="0" w:after="0"/>
        <w:ind w:left="0" w:right="0" w:firstLine="720"/>
        <w:jc w:val="left"/>
        <w:rPr/>
      </w:pPr>
      <w:r>
        <w:rPr/>
      </w:r>
    </w:p>
    <w:p>
      <w:pPr>
        <w:pStyle w:val="TextBody"/>
        <w:spacing w:lineRule="auto" w:line="300" w:before="0" w:after="0"/>
        <w:ind w:left="0" w:right="0" w:hanging="0"/>
        <w:jc w:val="left"/>
        <w:rPr>
          <w:rFonts w:ascii="Times New Roman" w:hAnsi="Times New Roman"/>
          <w:sz w:val="20"/>
          <w:u w:val="single"/>
        </w:rPr>
      </w:pPr>
      <w:r>
        <w:rPr>
          <w:rFonts w:ascii="Times New Roman" w:hAnsi="Times New Roman"/>
          <w:sz w:val="20"/>
          <w:u w:val="single"/>
        </w:rPr>
        <w:t>Newmarket, Queensland</w:t>
      </w:r>
    </w:p>
    <w:p>
      <w:pPr>
        <w:pStyle w:val="TextBody"/>
        <w:spacing w:lineRule="auto" w:line="300" w:before="0" w:after="0"/>
        <w:ind w:left="0" w:right="0" w:hanging="0"/>
        <w:jc w:val="both"/>
        <w:rPr/>
      </w:pPr>
      <w:r>
        <w:rPr/>
      </w:r>
    </w:p>
    <w:p>
      <w:pPr>
        <w:pStyle w:val="TextBody"/>
        <w:spacing w:lineRule="auto" w:line="300" w:before="0" w:after="0"/>
        <w:ind w:left="720" w:right="0" w:hanging="0"/>
        <w:jc w:val="both"/>
        <w:rPr>
          <w:rFonts w:ascii="Times New Roman" w:hAnsi="Times New Roman"/>
          <w:sz w:val="20"/>
        </w:rPr>
      </w:pPr>
      <w:bookmarkStart w:id="641" w:name="TAB1146"/>
      <w:bookmarkEnd w:id="641"/>
      <w:r>
        <w:rPr>
          <w:rFonts w:ascii="Times New Roman" w:hAnsi="Times New Roman"/>
          <w:sz w:val="20"/>
        </w:rPr>
        <w:t>On November 28, 2005, we opened some of the retail elements of our Newmarket ETRC, a 100,000 square foot retail facility situated on an approximately 177,000 square foot parcel in Newmarket, a suburban of Brisbane, the remainder of the retail areas being rented out during the first half of 2006. Plans for a 6-screen cinema as part of the project have been approved by applicable governmental authorities, and it is anticipated that construction of this entertainment component will commence later this year.</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u w:val="single"/>
        </w:rPr>
      </w:pPr>
      <w:r>
        <w:rPr>
          <w:rFonts w:ascii="Times New Roman" w:hAnsi="Times New Roman"/>
          <w:sz w:val="20"/>
          <w:u w:val="single"/>
        </w:rPr>
        <w:t xml:space="preserve">Moonee Ponds, Victoria </w:t>
      </w:r>
    </w:p>
    <w:p>
      <w:pPr>
        <w:pStyle w:val="TextBody"/>
        <w:spacing w:lineRule="auto" w:line="300" w:before="0" w:after="0"/>
        <w:ind w:left="0" w:right="0" w:hanging="0"/>
        <w:jc w:val="both"/>
        <w:rPr/>
      </w:pPr>
      <w:r>
        <w:rPr/>
      </w:r>
    </w:p>
    <w:p>
      <w:pPr>
        <w:pStyle w:val="TextBody"/>
        <w:spacing w:lineRule="auto" w:line="300" w:before="0" w:after="0"/>
        <w:ind w:left="720" w:right="0" w:hanging="0"/>
        <w:jc w:val="both"/>
        <w:rPr>
          <w:rFonts w:ascii="Times New Roman" w:hAnsi="Times New Roman"/>
          <w:sz w:val="20"/>
        </w:rPr>
      </w:pPr>
      <w:bookmarkStart w:id="642" w:name="TAB1147"/>
      <w:bookmarkEnd w:id="642"/>
      <w:r>
        <w:rPr>
          <w:rFonts w:ascii="Times New Roman" w:hAnsi="Times New Roman"/>
          <w:sz w:val="20"/>
        </w:rPr>
        <w:t>We own an approximately 3.3 acre property in Moonee Ponds, a suburb of Melbourne. We are currently in the planning phase for a multi-use development. This site is located within the Moonee Ponds “Principal Activity Area” as designated by the Victorian State Government. The site represents an accumulation of three parcels, the last of which was acquired in 2006.</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u w:val="single"/>
        </w:rPr>
      </w:pPr>
      <w:r>
        <w:rPr>
          <w:rFonts w:ascii="Times New Roman" w:hAnsi="Times New Roman"/>
          <w:sz w:val="20"/>
          <w:u w:val="single"/>
        </w:rPr>
        <w:t>Auburn, New South Wales</w:t>
      </w:r>
    </w:p>
    <w:p>
      <w:pPr>
        <w:pStyle w:val="TextBody"/>
        <w:spacing w:lineRule="auto" w:line="300" w:before="0" w:after="0"/>
        <w:ind w:left="0" w:right="0" w:hanging="0"/>
        <w:jc w:val="both"/>
        <w:rPr/>
      </w:pPr>
      <w:r>
        <w:rPr/>
      </w:r>
    </w:p>
    <w:p>
      <w:pPr>
        <w:pStyle w:val="TextBody"/>
        <w:spacing w:lineRule="auto" w:line="300" w:before="0" w:after="0"/>
        <w:ind w:left="720" w:right="0" w:hanging="0"/>
        <w:jc w:val="both"/>
        <w:rPr>
          <w:rFonts w:ascii="Times New Roman" w:hAnsi="Times New Roman"/>
          <w:sz w:val="20"/>
        </w:rPr>
      </w:pPr>
      <w:bookmarkStart w:id="643" w:name="TAB1148"/>
      <w:bookmarkEnd w:id="643"/>
      <w:r>
        <w:rPr>
          <w:rFonts w:ascii="Times New Roman" w:hAnsi="Times New Roman"/>
          <w:sz w:val="20"/>
        </w:rPr>
        <w:t>We are currently the owner operator of an approximately 109,000 square foot ETRC known as Red Yard, in Auburn, a suburb of Sydney. We own an approximately 93,000 square foot parcel of unimproved land adjacent to that project, which we are holding to develop as Phase II of our Red Yard property. The area in which our property is located will be considered for rezoning as part of a strategy to improve access through to Sydney. Accordingly, we are currently in a holding pattern with respect to this property, as we wait to see how this potential re-zoning progresses.</w:t>
      </w:r>
    </w:p>
    <w:p>
      <w:pPr>
        <w:pStyle w:val="TextBody"/>
        <w:spacing w:lineRule="auto" w:line="300"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44" w:name="PGBRK32"/>
      <w:bookmarkStart w:id="645" w:name="PGBRK32"/>
      <w:bookmarkEnd w:id="64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46" w:name="FTR32"/>
      <w:bookmarkStart w:id="647" w:name="FTR32"/>
      <w:bookmarkEnd w:id="64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48" w:name="GLFTR32"/>
      <w:bookmarkStart w:id="649" w:name="GLFTR32"/>
      <w:bookmarkEnd w:id="64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650" w:name="PN32"/>
      <w:bookmarkEnd w:id="650"/>
      <w:r>
        <w:rPr>
          <w:rFonts w:ascii="Times New Roman" w:hAnsi="Times New Roman"/>
          <w:sz w:val="16"/>
        </w:rPr>
        <w:t>-32-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51" w:name="HDR32"/>
      <w:bookmarkStart w:id="652" w:name="HDR32"/>
      <w:bookmarkEnd w:id="65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653" w:name="GLHDR32"/>
        <w:bookmarkEnd w:id="653"/>
        <w:r>
          <w:rPr>
            <w:rStyle w:val="Emphasis"/>
            <w:rFonts w:ascii="Times New Roman" w:hAnsi="Times New Roman"/>
            <w:color w:val="000000"/>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300" w:before="0" w:after="0"/>
        <w:ind w:left="0" w:right="0" w:hanging="0"/>
        <w:jc w:val="both"/>
        <w:rPr/>
      </w:pPr>
      <w:r>
        <w:rPr>
          <w:rStyle w:val="StrongEmphasis"/>
          <w:rFonts w:ascii="Times New Roman" w:hAnsi="Times New Roman"/>
          <w:sz w:val="20"/>
          <w:u w:val="single"/>
        </w:rPr>
        <w:t>Other Development or Redevelopment Properties</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pPr>
      <w:r>
        <w:rPr>
          <w:rFonts w:ascii="Times New Roman" w:hAnsi="Times New Roman"/>
          <w:sz w:val="20"/>
          <w:u w:val="single"/>
        </w:rPr>
        <w:t>Australia and New Zealand</w:t>
      </w:r>
      <w:r>
        <w:rPr>
          <w:rStyle w:val="Emphasis"/>
          <w:rFonts w:ascii="Times New Roman" w:hAnsi="Times New Roman"/>
          <w:sz w:val="20"/>
        </w:rPr>
        <w:t xml:space="preserve">. </w:t>
      </w:r>
    </w:p>
    <w:p>
      <w:pPr>
        <w:pStyle w:val="TextBody"/>
        <w:spacing w:lineRule="auto" w:line="300" w:before="0" w:after="0"/>
        <w:ind w:left="0" w:right="0" w:hanging="0"/>
        <w:jc w:val="both"/>
        <w:rPr/>
      </w:pPr>
      <w:r>
        <w:rPr/>
      </w:r>
    </w:p>
    <w:p>
      <w:pPr>
        <w:pStyle w:val="TextBody"/>
        <w:spacing w:lineRule="auto" w:line="300" w:before="0" w:after="0"/>
        <w:ind w:left="0" w:right="0" w:hanging="0"/>
        <w:jc w:val="left"/>
        <w:rPr/>
      </w:pPr>
      <w:r>
        <w:rPr>
          <w:rStyle w:val="Emphasis"/>
          <w:rFonts w:ascii="Times New Roman" w:hAnsi="Times New Roman"/>
          <w:sz w:val="20"/>
          <w:u w:val="single"/>
        </w:rPr>
        <w:t>Landplan</w:t>
      </w:r>
    </w:p>
    <w:p>
      <w:pPr>
        <w:pStyle w:val="TextBody"/>
        <w:spacing w:lineRule="auto" w:line="300" w:before="0" w:after="0"/>
        <w:ind w:left="0" w:right="0" w:firstLine="72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Through our Landplan Realty Partners subsidiary, we hold the following properties, acquired for development or re-development for non-entertainment oriented uses and held in special purpose entities:</w:t>
      </w:r>
    </w:p>
    <w:p>
      <w:pPr>
        <w:pStyle w:val="TextBody"/>
        <w:spacing w:lineRule="auto" w:line="300" w:before="0" w:after="0"/>
        <w:ind w:left="0" w:right="0" w:firstLine="720"/>
        <w:jc w:val="both"/>
        <w:rPr/>
      </w:pPr>
      <w:r>
        <w:rPr/>
      </w:r>
    </w:p>
    <w:p>
      <w:pPr>
        <w:pStyle w:val="TextBody"/>
        <w:spacing w:lineRule="auto" w:line="300" w:before="0" w:after="0"/>
        <w:ind w:left="0" w:right="0" w:hanging="0"/>
        <w:jc w:val="both"/>
        <w:rPr/>
      </w:pPr>
      <w:r>
        <w:rPr>
          <w:rStyle w:val="Emphasis"/>
          <w:rFonts w:ascii="Times New Roman" w:hAnsi="Times New Roman"/>
          <w:sz w:val="20"/>
        </w:rPr>
        <w:t xml:space="preserve">70 Station Road, Indooroopilly, Brisbane, Australia. </w:t>
      </w:r>
    </w:p>
    <w:p>
      <w:pPr>
        <w:pStyle w:val="TextBody"/>
        <w:spacing w:lineRule="auto" w:line="300" w:before="0" w:after="0"/>
        <w:ind w:left="0" w:right="0" w:firstLine="72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This site, acquired in September 2006, has a land area of 11,000 square feet, and a two-story 3,000 square foot building. We paid US$1.8 million (AUD$2.3 million) for the land. The site is zoned for commercial purposes. We are currently seeking approval to develop a 28,000 square foot grade A commercial office building comprising five floors of office space and two basement levels of parking with 33 parking spaces. We expect to spend US$8.9 million (AUD$11.3 million) in development costs. We plan to complete the project in July 2008.</w:t>
      </w:r>
    </w:p>
    <w:p>
      <w:pPr>
        <w:pStyle w:val="TextBody"/>
        <w:spacing w:lineRule="auto" w:line="300" w:before="0" w:after="0"/>
        <w:ind w:left="0" w:right="0" w:hanging="0"/>
        <w:jc w:val="both"/>
        <w:rPr/>
      </w:pPr>
      <w:r>
        <w:rPr/>
        <w:t> </w:t>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Subsequent to December 31, 2006, we entered into the following purchase agreement:</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pPr>
      <w:r>
        <w:rPr>
          <w:rStyle w:val="Emphasis"/>
          <w:rFonts w:ascii="Times New Roman" w:hAnsi="Times New Roman"/>
          <w:sz w:val="20"/>
        </w:rPr>
        <w:t xml:space="preserve">Sails Motor Lodge, Lake Taupo, New Zealand. </w:t>
      </w:r>
    </w:p>
    <w:p>
      <w:pPr>
        <w:pStyle w:val="TextBody"/>
        <w:spacing w:lineRule="auto" w:line="300" w:before="0" w:after="0"/>
        <w:ind w:left="0" w:right="0" w:firstLine="72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 xml:space="preserve">We purchased this on February 14, 2007 for US$4.9 million (NZD$7.1 million). The property comprises a well established 16-unit motel and a two-story residence. We plan to divide the residence into three units and sell all of the units to investors or owner occupiers. We plan to sell a management right to manage the units. </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pPr>
      <w:r>
        <w:rPr/>
      </w:r>
    </w:p>
    <w:p>
      <w:pPr>
        <w:pStyle w:val="TextBody"/>
        <w:spacing w:lineRule="auto" w:line="300" w:before="0" w:after="0"/>
        <w:ind w:left="0" w:right="0" w:hanging="0"/>
        <w:jc w:val="both"/>
        <w:rPr/>
      </w:pPr>
      <w:r>
        <w:rPr>
          <w:rStyle w:val="StrongEmphasis"/>
          <w:rFonts w:ascii="Times New Roman" w:hAnsi="Times New Roman"/>
          <w:sz w:val="20"/>
          <w:u w:val="single"/>
        </w:rPr>
        <w:t>Other Property Interests and Investments</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u w:val="single"/>
        </w:rPr>
      </w:pPr>
      <w:r>
        <w:rPr>
          <w:rFonts w:ascii="Times New Roman" w:hAnsi="Times New Roman"/>
          <w:sz w:val="20"/>
          <w:u w:val="single"/>
        </w:rPr>
        <w:t>Domestic</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pPr>
      <w:r>
        <w:rPr>
          <w:rStyle w:val="Emphasis"/>
          <w:rFonts w:ascii="Times New Roman" w:hAnsi="Times New Roman"/>
          <w:sz w:val="20"/>
          <w:u w:val="single"/>
        </w:rPr>
        <w:t>Minority Investments in Real Estate Companies</w:t>
      </w:r>
    </w:p>
    <w:p>
      <w:pPr>
        <w:pStyle w:val="TextBody"/>
        <w:spacing w:lineRule="auto" w:line="300" w:before="0" w:after="0"/>
        <w:ind w:left="0" w:right="0" w:firstLine="720"/>
        <w:jc w:val="both"/>
        <w:rPr/>
      </w:pPr>
      <w:r>
        <w:rPr/>
      </w:r>
    </w:p>
    <w:p>
      <w:pPr>
        <w:pStyle w:val="TextBody"/>
        <w:spacing w:lineRule="auto" w:line="300" w:before="0" w:after="0"/>
        <w:ind w:left="0" w:right="0" w:hanging="0"/>
        <w:jc w:val="both"/>
        <w:rPr/>
      </w:pPr>
      <w:r>
        <w:rPr>
          <w:rStyle w:val="Emphasis"/>
          <w:rFonts w:ascii="Times New Roman" w:hAnsi="Times New Roman"/>
          <w:sz w:val="20"/>
        </w:rPr>
        <w:t>Place 57, Manhattan</w:t>
      </w:r>
    </w:p>
    <w:p>
      <w:pPr>
        <w:pStyle w:val="TextBody"/>
        <w:spacing w:lineRule="auto" w:line="300" w:before="0" w:after="0"/>
        <w:ind w:left="0" w:right="0" w:firstLine="720"/>
        <w:jc w:val="both"/>
        <w:rPr/>
      </w:pPr>
      <w:r>
        <w:rPr/>
      </w:r>
    </w:p>
    <w:p>
      <w:pPr>
        <w:pStyle w:val="TextBody"/>
        <w:spacing w:lineRule="auto" w:line="300" w:before="0" w:after="0"/>
        <w:ind w:left="0" w:right="0" w:firstLine="720"/>
        <w:jc w:val="both"/>
        <w:rPr/>
      </w:pPr>
      <w:r>
        <w:rPr>
          <w:rFonts w:ascii="Times New Roman" w:hAnsi="Times New Roman"/>
          <w:sz w:val="20"/>
        </w:rPr>
        <w:t>We own a 25% membership interest in the limited liability company that is developing the site of our former Sutton Cinema on 57</w:t>
      </w:r>
      <w:r>
        <w:rPr>
          <w:rFonts w:ascii="Times New Roman" w:hAnsi="Times New Roman"/>
          <w:position w:val="7"/>
          <w:sz w:val="16"/>
          <w:sz w:val="20"/>
        </w:rPr>
        <w:t>th</w:t>
      </w:r>
      <w:r>
        <w:rPr/>
        <w:t xml:space="preserve"> </w:t>
      </w:r>
      <w:r>
        <w:rPr>
          <w:rFonts w:ascii="Times New Roman" w:hAnsi="Times New Roman"/>
          <w:sz w:val="20"/>
        </w:rPr>
        <w:t>Street just east of 3</w:t>
      </w:r>
      <w:r>
        <w:rPr>
          <w:rFonts w:ascii="Times New Roman" w:hAnsi="Times New Roman"/>
          <w:position w:val="7"/>
          <w:sz w:val="16"/>
          <w:sz w:val="20"/>
        </w:rPr>
        <w:t>rd</w:t>
      </w:r>
      <w:r>
        <w:rPr/>
        <w:t xml:space="preserve"> </w:t>
      </w:r>
      <w:r>
        <w:rPr>
          <w:rFonts w:ascii="Times New Roman" w:hAnsi="Times New Roman"/>
          <w:sz w:val="20"/>
        </w:rPr>
        <w:t>Avenue in Manhattan, as a 100,000 square foot residential condominium tower, with ground floor retail. 59 of the residential units have now been sold, 6 residential units are under contract of sale, and 2 of the residential units and the commercial unit are still available for sale. At December 31, 2006, we had received distributions totaling $5.9 million from this project, and we currently anticipate that something in the area of an additional $5.6 million will be distributed during 2007 comprising profit and return of capital investment.</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pPr>
      <w:r>
        <w:rPr>
          <w:rStyle w:val="Emphasis"/>
          <w:rFonts w:ascii="Times New Roman" w:hAnsi="Times New Roman"/>
          <w:sz w:val="20"/>
        </w:rPr>
        <w:t>Malulani Investments, Limited</w:t>
      </w:r>
    </w:p>
    <w:p>
      <w:pPr>
        <w:pStyle w:val="TextBody"/>
        <w:spacing w:lineRule="auto" w:line="300" w:before="0" w:after="0"/>
        <w:ind w:left="0" w:right="0" w:firstLine="72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 xml:space="preserve">We own an 18.4% equity interest in Malulani Investments, Limited (“MIL”) a closely held private company organized under the laws of the State of Hawaii. The assets of MIL consist principally of commercial properties in Hawaii, California and Texas. MIL’s assets include approximately 763,000 square feet of commercial real estate, the Guenoc Winery and approximately 23,000 acres of contiguous property located in Northern California. Approximately 400 acres of the property in California consists of vineyards, while the remainder is used for agricultural purposes. The property is currently subdivided into approximately 60 separate legal parcels. This land and commercial real estate holdings are encumbered by debt. To date, our requests to management for information about MIL, including consolidated financial information, have not been honored.  We have brought litigation against MIL and certain of its directors in an effort to improve our access to information, including consolidated financial information.  While we believe that we should prevail in our efforts in this regard, as in all litigation matters, no assurances can be given. </w:t>
      </w:r>
    </w:p>
    <w:p>
      <w:pPr>
        <w:pStyle w:val="TextBody"/>
        <w:spacing w:lineRule="auto" w:line="300" w:before="0" w:after="0"/>
        <w:ind w:left="0" w:right="0" w:firstLine="72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54" w:name="PGBRK33"/>
      <w:bookmarkStart w:id="655" w:name="PGBRK33"/>
      <w:bookmarkEnd w:id="65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56" w:name="FTR33"/>
      <w:bookmarkStart w:id="657" w:name="FTR33"/>
      <w:bookmarkEnd w:id="65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58" w:name="GLFTR33"/>
      <w:bookmarkStart w:id="659" w:name="GLFTR33"/>
      <w:bookmarkEnd w:id="65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660" w:name="PN33"/>
      <w:bookmarkEnd w:id="660"/>
      <w:r>
        <w:rPr>
          <w:rFonts w:ascii="Times New Roman" w:hAnsi="Times New Roman"/>
          <w:sz w:val="16"/>
        </w:rPr>
        <w:t>-33-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61" w:name="HDR33"/>
      <w:bookmarkStart w:id="662" w:name="HDR33"/>
      <w:bookmarkEnd w:id="66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663" w:name="GLHDR33"/>
        <w:bookmarkEnd w:id="663"/>
        <w:r>
          <w:rPr>
            <w:rStyle w:val="Emphasis"/>
            <w:rFonts w:ascii="Times New Roman" w:hAnsi="Times New Roman"/>
            <w:color w:val="000000"/>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 xml:space="preserve">In connection with this investment we have entered into a shareholders agreement with Magoon Acquisition and Development, LLC, a limited liability company organized under the laws of the state of California (“Magoon LLC”). Magoon LLC owns an approximately 12% equity interest in MIL and a 30% interest in The Malulani Group, Limited, a closely held private Hawaiian corporation (“TMG”), and the owner of 70% equity interest in MIL. That shareholders agreement grants to us voting control over the MIL and TMG shares held by Magoon, LLC, and provides for various rights of first refusal and cost sharing. In addition, the shareholders agreement grants to us the right to require Magoon LLC to contribute its MIL and TMG shares into a new limited liability company, which would also own our MIL shares, of which we would be the sole managing member. As the sole managing member, we would be entitled to receive 20% of any distributions as a management fee, after return of capital to the members. MIL and TMG both have cumulative voting, and together with Magoon LLC, we have elected James J. Cotter to serve as a member of the Board of Directors of MIL. </w:t>
      </w:r>
    </w:p>
    <w:p>
      <w:pPr>
        <w:pStyle w:val="TextBody"/>
        <w:spacing w:lineRule="auto" w:line="300" w:before="0" w:after="0"/>
        <w:ind w:left="0" w:right="0" w:firstLine="720"/>
        <w:jc w:val="both"/>
        <w:rPr/>
      </w:pPr>
      <w:r>
        <w:rPr/>
      </w:r>
    </w:p>
    <w:p>
      <w:pPr>
        <w:pStyle w:val="TextBody"/>
        <w:spacing w:lineRule="auto" w:line="300" w:before="0" w:after="0"/>
        <w:ind w:left="0" w:right="0" w:hanging="0"/>
        <w:jc w:val="both"/>
        <w:rPr/>
      </w:pPr>
      <w:r>
        <w:rPr>
          <w:rStyle w:val="Emphasis"/>
          <w:rFonts w:ascii="Times New Roman" w:hAnsi="Times New Roman"/>
          <w:sz w:val="20"/>
          <w:u w:val="single"/>
        </w:rPr>
        <w:t>Non-operating Properties</w:t>
      </w:r>
    </w:p>
    <w:p>
      <w:pPr>
        <w:pStyle w:val="TextBody"/>
        <w:spacing w:lineRule="auto" w:line="300" w:before="0" w:after="0"/>
        <w:ind w:left="0" w:right="0" w:firstLine="72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 xml:space="preserve">We own fee interest in 11 parcels comprising 317.6 acres. These acres consist primarily of vacant land. We believe the value of these properties to be immaterial to our asset base, and while they are available for sale, we are not actively involved in the marketing of such properties. With the exception of certain properties located in Philadelphia (including the raised railroad bed leading to the old Reading Railroad Station), the properties are principally located in rural areas of Pennsylvania and Delaware. </w:t>
      </w:r>
    </w:p>
    <w:p>
      <w:pPr>
        <w:pStyle w:val="TextBody"/>
        <w:spacing w:lineRule="auto" w:line="300" w:before="0" w:after="0"/>
        <w:ind w:left="0" w:right="0" w:firstLine="72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Additionally, we own a condominium in the Los Angeles, California area which is used for offsite corporate meetings and by our Chief Executive Officer when he is in town.</w:t>
      </w:r>
    </w:p>
    <w:p>
      <w:pPr>
        <w:pStyle w:val="TextBody"/>
        <w:spacing w:lineRule="auto" w:line="300" w:before="0" w:after="0"/>
        <w:ind w:left="0" w:right="0" w:firstLine="720"/>
        <w:jc w:val="both"/>
        <w:rPr/>
      </w:pPr>
      <w:r>
        <w:rPr/>
      </w:r>
    </w:p>
    <w:p>
      <w:pPr>
        <w:pStyle w:val="TextBody"/>
        <w:spacing w:lineRule="auto" w:line="300" w:before="0" w:after="0"/>
        <w:ind w:left="0" w:right="0" w:hanging="0"/>
        <w:jc w:val="both"/>
        <w:rPr>
          <w:rFonts w:ascii="Times New Roman" w:hAnsi="Times New Roman"/>
          <w:sz w:val="20"/>
          <w:u w:val="single"/>
        </w:rPr>
      </w:pPr>
      <w:r>
        <w:rPr>
          <w:rFonts w:ascii="Times New Roman" w:hAnsi="Times New Roman"/>
          <w:sz w:val="20"/>
          <w:u w:val="single"/>
        </w:rPr>
        <w:t>Australia</w:t>
      </w:r>
    </w:p>
    <w:p>
      <w:pPr>
        <w:pStyle w:val="TextBody"/>
        <w:spacing w:before="0" w:after="0"/>
        <w:rPr/>
      </w:pPr>
      <w:r>
        <w:rPr/>
        <w:t> </w:t>
      </w:r>
    </w:p>
    <w:p>
      <w:pPr>
        <w:pStyle w:val="TextBody"/>
        <w:spacing w:lineRule="auto" w:line="300" w:before="0" w:after="0"/>
        <w:ind w:left="0" w:right="0" w:hanging="0"/>
        <w:jc w:val="both"/>
        <w:rPr/>
      </w:pPr>
      <w:r>
        <w:rPr>
          <w:rStyle w:val="Emphasis"/>
          <w:rFonts w:ascii="Times New Roman" w:hAnsi="Times New Roman"/>
          <w:sz w:val="20"/>
          <w:u w:val="single"/>
        </w:rPr>
        <w:t>Melbourne Office Building</w:t>
      </w:r>
    </w:p>
    <w:p>
      <w:pPr>
        <w:pStyle w:val="TextBody"/>
        <w:spacing w:lineRule="auto" w:line="300" w:before="0" w:after="0"/>
        <w:ind w:left="0" w:right="0" w:firstLine="72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On September 29, 2005, we purchased an office building in Melbourne, Australia for $2.0 million (AUS$2.6 million) to serve as the headquarters for our Australia and New Zealand operations. We fully financed this property by drawing on our Australian Credit Facility.</w:t>
      </w:r>
    </w:p>
    <w:p>
      <w:pPr>
        <w:pStyle w:val="TextBody"/>
        <w:spacing w:lineRule="auto" w:line="300" w:before="0" w:after="0"/>
        <w:ind w:left="0" w:right="0" w:firstLine="72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64" w:name="PGBRK34"/>
      <w:bookmarkStart w:id="665" w:name="PGBRK34"/>
      <w:bookmarkEnd w:id="66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66" w:name="FTR34"/>
      <w:bookmarkStart w:id="667" w:name="FTR34"/>
      <w:bookmarkEnd w:id="66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68" w:name="GLFTR34"/>
      <w:bookmarkStart w:id="669" w:name="GLFTR34"/>
      <w:bookmarkEnd w:id="66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670" w:name="PN34"/>
      <w:bookmarkEnd w:id="670"/>
      <w:r>
        <w:rPr>
          <w:rFonts w:ascii="Times New Roman" w:hAnsi="Times New Roman"/>
          <w:sz w:val="16"/>
        </w:rPr>
        <w:t>-34-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71" w:name="HDR34"/>
      <w:bookmarkStart w:id="672" w:name="HDR34"/>
      <w:bookmarkEnd w:id="67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673" w:name="GLHDR34"/>
        <w:bookmarkEnd w:id="673"/>
        <w:r>
          <w:rPr>
            <w:rStyle w:val="Emphasis"/>
            <w:rFonts w:ascii="Times New Roman" w:hAnsi="Times New Roman"/>
            <w:color w:val="000000"/>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300" w:before="0" w:after="0"/>
        <w:ind w:left="0" w:right="0" w:hanging="0"/>
        <w:jc w:val="center"/>
        <w:rPr/>
      </w:pPr>
      <w:bookmarkStart w:id="674" w:name="item3"/>
      <w:bookmarkEnd w:id="674"/>
      <w:r>
        <w:rPr>
          <w:rStyle w:val="StrongEmphasis"/>
          <w:rFonts w:ascii="Times New Roman" w:hAnsi="Times New Roman"/>
          <w:sz w:val="20"/>
          <w:u w:val="single"/>
        </w:rPr>
        <w:t>Item 3 - Legal Proceedings</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pPr>
      <w:r>
        <w:rPr/>
      </w:r>
    </w:p>
    <w:p>
      <w:pPr>
        <w:pStyle w:val="TextBody"/>
        <w:spacing w:lineRule="auto" w:line="300" w:before="0" w:after="0"/>
        <w:ind w:left="0" w:right="0" w:hanging="0"/>
        <w:jc w:val="both"/>
        <w:rPr/>
      </w:pPr>
      <w:r>
        <w:rPr>
          <w:rStyle w:val="StrongEmphasis"/>
          <w:rFonts w:ascii="Times New Roman" w:hAnsi="Times New Roman"/>
          <w:sz w:val="20"/>
          <w:u w:val="single"/>
        </w:rPr>
        <w:t xml:space="preserve">Tax Audit/Litigation </w:t>
      </w:r>
    </w:p>
    <w:p>
      <w:pPr>
        <w:pStyle w:val="TextBody"/>
        <w:spacing w:lineRule="auto" w:line="300" w:before="0" w:after="0"/>
        <w:ind w:left="0" w:right="0" w:firstLine="72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The Internal Revenue Service (the “IRS”) completed its audits of the tax return of Reading Entertainment Inc. (RDGE) for its tax years ended December 31, 1996 through December 31, 1999 and the tax return of Craig Corporation (CRG) for its tax year ended June 30, 1997. With respect to both of these companies, the principal focus of these audits was the treatment of the contribution by RDGE to our wholly owned subsidiary, Reading Australia, and thereafter the subsequent repurchase by Stater Bros. Inc. from Reading Australia of certain preferred stock in Stater Bros. Inc. (the “Stater Stock”) received by RDGE from CRG as a part of a private placement of securities by RDGE which closed in October 1996. A second issue involving equipment leasing transactions entered into by RDGE (discussed below) is also involved.</w:t>
      </w:r>
    </w:p>
    <w:p>
      <w:pPr>
        <w:pStyle w:val="TextBody"/>
        <w:spacing w:lineRule="auto" w:line="300" w:before="0" w:after="0"/>
        <w:ind w:left="0" w:right="0" w:firstLine="72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 xml:space="preserve">By letters dated November 9, 2001, the IRS issued reports of examination proposing changes to the tax returns of RDGE and CRG for the years in question (the “Examination Reports”). The Examination Report for each of RDGE and CRG proposed that the gains on the disposition by RDGE of Stater Stock, reported as taxable on the RDGE return, should be allocated to CRG. As reported, the gain resulted in no additional tax to RDGE inasmuch as the gain was entirely offset by a net operating loss carry forward of RDGE. This proposed change would result in an additional tax liability for CRG of approximately $20.9 million plus interest of approximately $13.5 million as of December 31, 2006. In addition, this proposal would result in California tax liability of approximately $5.4 million plus interest of approximately $3.5 million as of December 31, 2006. Accordingly, this proposed change represented, as of December 31, 2006, an exposure of approximately $43.3 million. </w:t>
      </w:r>
    </w:p>
    <w:p>
      <w:pPr>
        <w:pStyle w:val="TextBody"/>
        <w:spacing w:lineRule="auto" w:line="300" w:before="0" w:after="0"/>
        <w:ind w:left="0" w:right="0" w:firstLine="72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Moreover, California has “amnesty” provisions imposing additional liability on taxpayers who are determined to have materially underreported their taxable income. While these provisions have been criticized by a number of corporate taxpayers to the extent that they apply to tax liabilities that are being contested in good faith, no assurances can be given that these new provisions will be applied in a manner that would mitigate the impact on such taxpayers. Accordingly, these provisions may cause an additional $4.0 million exposure to CRG, for a total exposure of approximately $47.3 million. We have accrued $4.0 million as a probable loss in relation to this exposure and believe that the possible total settlement amount will be between $4.0 million and $47.3 million.</w:t>
      </w:r>
    </w:p>
    <w:p>
      <w:pPr>
        <w:pStyle w:val="TextBody"/>
        <w:spacing w:lineRule="auto" w:line="300" w:before="0" w:after="0"/>
        <w:ind w:left="0" w:right="0" w:firstLine="720"/>
        <w:jc w:val="both"/>
        <w:rPr/>
      </w:pPr>
      <w:r>
        <w:rPr/>
      </w:r>
    </w:p>
    <w:p>
      <w:pPr>
        <w:pStyle w:val="TextBody"/>
        <w:spacing w:lineRule="auto" w:line="300" w:before="0" w:after="0"/>
        <w:ind w:left="720" w:right="0" w:hanging="0"/>
        <w:jc w:val="both"/>
        <w:rPr>
          <w:rFonts w:ascii="Times New Roman" w:hAnsi="Times New Roman"/>
          <w:sz w:val="20"/>
        </w:rPr>
      </w:pPr>
      <w:bookmarkStart w:id="675" w:name="TAB1149"/>
      <w:bookmarkEnd w:id="675"/>
      <w:r>
        <w:rPr>
          <w:rFonts w:ascii="Times New Roman" w:hAnsi="Times New Roman"/>
          <w:sz w:val="20"/>
        </w:rPr>
        <w:t>In early February 2005, we had a mediation conference with the IRS concerning this proposed change. The mediation was conducted by two mediators, one of whom was selected by the taxpayer from the private sector and one of whom was an employee of the IRS. In connection with this mediation, we and the IRS each prepared written submissions to the mediators setting forth our respective cases. In its written submission, the IRS noted that it had offered to settle its claims against us at 30% of the proposed change, and reiterated this offer at the mediation. This offer constituted, in effect, an offer to settle for a payment of $5.0 million federal tax, plus interest, for an aggregate settlement amount of approximately $8.0 million. Based on advice of counsel given after reviewing the materials submitted by the IRS to the mediation panel, and the oral presentation made by the IRS to the mediation panel and the comments of the mediators (including the IRS mediator), we determined not to accept this offer.</w:t>
      </w:r>
    </w:p>
    <w:p>
      <w:pPr>
        <w:pStyle w:val="TextBody"/>
        <w:spacing w:lineRule="auto" w:line="300" w:before="0" w:after="0"/>
        <w:ind w:left="0" w:right="0" w:firstLine="72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Notices of deficiency (“N/D”) dated June 29, 2006 were received with respect to each of RDGE and CRG determining proposed deficiencies of $20.9 million for CRG and a total of $349,000 for RDGE for the tax years 1997, 1998 and 1999.</w:t>
      </w:r>
    </w:p>
    <w:p>
      <w:pPr>
        <w:pStyle w:val="TextBody"/>
        <w:spacing w:lineRule="auto" w:line="300" w:before="0" w:after="0"/>
        <w:ind w:left="0" w:right="0" w:firstLine="72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We intend to litigate aggressively these matters in the U.S. Tax Court and an appeal was filed with the court on September 26, 2006. While there are always risks in litigation, we believe that a settlement at the level currently offered by the IRS would substantially understate the strength of our position and the likelihood that we would prevail in a trial of these matters.</w:t>
      </w:r>
    </w:p>
    <w:p>
      <w:pPr>
        <w:pStyle w:val="TextBody"/>
        <w:spacing w:lineRule="auto" w:line="300" w:before="0" w:after="0"/>
        <w:ind w:left="0" w:right="0" w:firstLine="72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Since these tax liabilities relate to time periods prior to the Consolidation of CDL, RDGE, and CRG into Reading International, Inc. and since RDGE and CRG continue to exist as wholly owned subsidiaries of RII, it is expected that any adverse determination would be limited in recourse to the assets of RDGE or CRG, as the case may be, and not to the general assets of RII. At the present time, the assets of these subsidiaries are comprised principally of RII securities. Accordingly, we do not anticipate, even if there were to be an adverse judgment in favor of the IRS that the satisfaction of that judgment would interfere with the internal operation or result in any</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76" w:name="PGBRK35"/>
      <w:bookmarkStart w:id="677" w:name="PGBRK35"/>
      <w:bookmarkEnd w:id="67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78" w:name="FTR35"/>
      <w:bookmarkStart w:id="679" w:name="FTR35"/>
      <w:bookmarkEnd w:id="67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80" w:name="GLFTR35"/>
      <w:bookmarkStart w:id="681" w:name="GLFTR35"/>
      <w:bookmarkEnd w:id="68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682" w:name="PN35"/>
      <w:bookmarkEnd w:id="682"/>
      <w:r>
        <w:rPr>
          <w:rFonts w:ascii="Times New Roman" w:hAnsi="Times New Roman"/>
          <w:sz w:val="16"/>
        </w:rPr>
        <w:t>-35-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83" w:name="HDR35"/>
      <w:bookmarkStart w:id="684" w:name="HDR35"/>
      <w:bookmarkEnd w:id="68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685" w:name="GLHDR35"/>
        <w:bookmarkEnd w:id="685"/>
        <w:r>
          <w:rPr>
            <w:rStyle w:val="Emphasis"/>
            <w:rFonts w:ascii="Times New Roman" w:hAnsi="Times New Roman"/>
            <w:color w:val="000000"/>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levy upon or loss of any of our material operating assets. The satisfaction of any such adverse judgment would, however, result in a material dilution to existing stockholder interests.</w:t>
      </w:r>
    </w:p>
    <w:p>
      <w:pPr>
        <w:pStyle w:val="TextBody"/>
        <w:spacing w:lineRule="auto" w:line="300" w:before="0" w:after="0"/>
        <w:ind w:left="0" w:right="0" w:firstLine="72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The N/D issued to RDGE does not cover its tax year 1996 which will be held in abeyance pending the resolution of the CRG case. An adjustment to 1996 taxable income for RDGE would result in a refund of alternative minimum tax paid that year. The N/D issued to RDGE eliminated the gains booked by RDGE in 1996 as a consequence of its acquisition certain computer equipment and sale of the anticipated income stream from the lease of such equipment to third parties and disallowed depreciation deductions that we took with respect to that equipment in 1997, 1998 and 1999. Such disallowance has the effect of decreasing net operating losses but did not result in any additional regular federal income tax for such years. However, the depreciation disallowance would increase RDGE state tax liability for those years by approximately $170,000 plus interest. The only tax liability reflected in the RDGE N/D is alternative minimum tax in the total amount of approximately $349,000 plus interest. On September 26, 2006, we filed an appeal on this N/D with the U.S. Tax Court.</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pPr>
      <w:r>
        <w:rPr/>
      </w:r>
    </w:p>
    <w:p>
      <w:pPr>
        <w:pStyle w:val="TextBody"/>
        <w:spacing w:lineRule="auto" w:line="300" w:before="0" w:after="0"/>
        <w:ind w:left="0" w:right="0" w:hanging="0"/>
        <w:jc w:val="both"/>
        <w:rPr/>
      </w:pPr>
      <w:r>
        <w:rPr>
          <w:rStyle w:val="StrongEmphasis"/>
          <w:rFonts w:ascii="Times New Roman" w:hAnsi="Times New Roman"/>
          <w:sz w:val="20"/>
          <w:u w:val="single"/>
        </w:rPr>
        <w:t>Environmental and Asbestos Claims</w:t>
      </w:r>
    </w:p>
    <w:p>
      <w:pPr>
        <w:pStyle w:val="TextBody"/>
        <w:spacing w:lineRule="auto" w:line="300" w:before="0" w:after="0"/>
        <w:ind w:left="0" w:right="0" w:hanging="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The City of Philadelphia (the “City”) has asserted that the North Viaduct property owned by a subsidiary of Reading requires environmental decontamination and that such subsidiary’s share of any such remediation cost will aggregate approximately $3.5 million. The City has also asserted that we should demolish certain bridges and overpasses that comprise a portion of the North Viaduct. We have in the recent past had discussions with the City involving a possible conveyance of the property. However, these discussions have not been productive of any definitive offer or proposal from the City. We continue to believe that our recorded remediation reserves related to the North Viaduct are adequate.</w:t>
      </w:r>
    </w:p>
    <w:p>
      <w:pPr>
        <w:pStyle w:val="TextBody"/>
        <w:spacing w:lineRule="auto" w:line="300" w:before="0" w:after="0"/>
        <w:ind w:left="0" w:right="0" w:firstLine="72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Certain of our subsidiaries were historically involved in railroad operations, coal mining and manufacturing. Also, certain of these subsidiaries appear in the chain of title of properties which may suffer from pollution. Accordingly, certain of these subsidiaries have, from time to time, been named in and may in the future be named in various actions brought under applicable environmental laws. Also, we are in the real estate development business and may encounter from time to time unanticipated environmental conditions at properties that we have acquired for development. These environmental conditions can increase the cost of such projects, and adversely affect the value and potential for profit of such projects. We do not currently believe that our exposure under applicable environmental laws is material in amount.</w:t>
      </w:r>
    </w:p>
    <w:p>
      <w:pPr>
        <w:pStyle w:val="TextBody"/>
        <w:spacing w:lineRule="auto" w:line="300" w:before="0" w:after="0"/>
        <w:ind w:left="0" w:right="0" w:firstLine="72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 xml:space="preserve">From time to time, we have claims brought against us relating to the exposure of former employees of our railroad operations to asbestos and coal dust. These are generally covered by an insurance settlement reached in September 1990 with our insurance carriers. However, this insurance settlement does not cover litigation by people who were not our employees and who may claim second hand exposure to asbestos, coal dust and/or other chemicals or elements now recognized as potentially causing cancer in humans. </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pPr>
      <w:r>
        <w:rPr/>
      </w:r>
    </w:p>
    <w:p>
      <w:pPr>
        <w:pStyle w:val="TextBody"/>
        <w:spacing w:lineRule="auto" w:line="300" w:before="0" w:after="0"/>
        <w:ind w:left="0" w:right="0" w:hanging="0"/>
        <w:jc w:val="left"/>
        <w:rPr/>
      </w:pPr>
      <w:r>
        <w:rPr>
          <w:rStyle w:val="StrongEmphasis"/>
          <w:rFonts w:ascii="Times New Roman" w:hAnsi="Times New Roman"/>
          <w:sz w:val="20"/>
          <w:u w:val="single"/>
        </w:rPr>
        <w:t>Whitehorse Center Litigation</w:t>
      </w:r>
    </w:p>
    <w:p>
      <w:pPr>
        <w:pStyle w:val="TextBody"/>
        <w:spacing w:lineRule="auto" w:line="300" w:before="0" w:after="0"/>
        <w:ind w:left="0" w:right="0" w:hanging="0"/>
        <w:jc w:val="left"/>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 xml:space="preserve">On October 30, 2000, we commenced litigation in the Supreme Court of Victoria at Melbourne, Commercial and Equity Division, against our joint venture partner and the controlling stockholders of our joint venture partner in the Whitehorse Shopping Center. That action is entitled Reading Entertainment Australia Pty, Ltd vs. Burstone Victoria Pty, Ltd and May Way Khor and David Frederick Burr, and was brought to collect on a promissory note (the “K/B Promissory Note”) evidencing a loan that we made to Ms. Khor and Mr. Burr and that was guaranteed by Burstone Victoria Pty, Ltd (“Burstone” and collectively with Ms. Khor and Mr. Burr, the “Burstone Parties”). This loan balance has been previously written off and is no longer recorded on our books. The Burstone Parties asserted in defense certain set-offs and counterclaims, alleging, in essence, that we had breached our alleged obligations to proceed with the development of the Whitehorse Shopping Center, causing the Burstone Parties substantial damages. Following trial, the trial court not only affirmed the liability of the Burstone Parties on the K/B Promissory Note but also determined that we had breached certain obligations owed to WPG (the joint venture in which we own a 50% interest and in which Burstone owns the remaining 50% interest). The trial court did not, however, find us in breach of any direct obligations to any one or more of the Burstone Parties.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86" w:name="PGBRK36"/>
      <w:bookmarkStart w:id="687" w:name="PGBRK36"/>
      <w:bookmarkEnd w:id="68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88" w:name="FTR36"/>
      <w:bookmarkStart w:id="689" w:name="FTR36"/>
      <w:bookmarkEnd w:id="68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90" w:name="GLFTR36"/>
      <w:bookmarkStart w:id="691" w:name="GLFTR36"/>
      <w:bookmarkEnd w:id="69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692" w:name="PN36"/>
      <w:bookmarkEnd w:id="692"/>
      <w:r>
        <w:rPr>
          <w:rFonts w:ascii="Times New Roman" w:hAnsi="Times New Roman"/>
          <w:sz w:val="16"/>
        </w:rPr>
        <w:t>-36-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93" w:name="HDR36"/>
      <w:bookmarkStart w:id="694" w:name="HDR36"/>
      <w:bookmarkEnd w:id="69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695" w:name="GLHDR36"/>
        <w:bookmarkEnd w:id="695"/>
        <w:r>
          <w:rPr>
            <w:rStyle w:val="Emphasis"/>
            <w:rFonts w:ascii="Times New Roman" w:hAnsi="Times New Roman"/>
            <w:color w:val="000000"/>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300" w:before="0" w:after="0"/>
        <w:ind w:left="720" w:right="0" w:hanging="0"/>
        <w:jc w:val="both"/>
        <w:rPr>
          <w:rFonts w:ascii="Times New Roman" w:hAnsi="Times New Roman"/>
          <w:sz w:val="20"/>
        </w:rPr>
      </w:pPr>
      <w:bookmarkStart w:id="696" w:name="TAB1150"/>
      <w:bookmarkEnd w:id="696"/>
      <w:r>
        <w:rPr>
          <w:rFonts w:ascii="Times New Roman" w:hAnsi="Times New Roman"/>
          <w:sz w:val="20"/>
        </w:rPr>
        <w:t>The trial court has entered judgment against us and in favor of WPG in the amount of $3.5 million (AUS$4.5 million). The trial court has also entered judgment against the Burstone Parties and in our favor in the amount of $3.3 million (AUS$4.2 million). Further, the trial court has found us responsible to reimburse the Burstone Parties for 60% of their out-of-pocket legal fees. The Burstone Parties estimate that the final costs order will be in the range of $710,000 to $867,000 (AUS$900,000 to AUS$1.1 million). Even if the Court allows the maximum of this range, our judgment against the Burstone Parties will still exceed our net liability under the judgment in favor of WPG. In addition, we have settled various ancillary claims against us for an additional $315,000 (AUS$400,000), which has now been paid to WPG.</w:t>
      </w:r>
    </w:p>
    <w:p>
      <w:pPr>
        <w:pStyle w:val="TextBody"/>
        <w:spacing w:lineRule="auto" w:line="300" w:before="0" w:after="0"/>
        <w:ind w:left="0" w:right="0" w:hanging="0"/>
        <w:jc w:val="both"/>
        <w:rPr/>
      </w:pPr>
      <w:r>
        <w:rPr/>
      </w:r>
    </w:p>
    <w:p>
      <w:pPr>
        <w:pStyle w:val="TextBody"/>
        <w:spacing w:lineRule="auto" w:line="300" w:before="0" w:after="0"/>
        <w:ind w:left="720" w:right="0" w:hanging="0"/>
        <w:jc w:val="both"/>
        <w:rPr>
          <w:rFonts w:ascii="Times New Roman" w:hAnsi="Times New Roman"/>
          <w:sz w:val="20"/>
        </w:rPr>
      </w:pPr>
      <w:bookmarkStart w:id="697" w:name="TAB1151"/>
      <w:bookmarkEnd w:id="697"/>
      <w:r>
        <w:rPr>
          <w:rFonts w:ascii="Times New Roman" w:hAnsi="Times New Roman"/>
          <w:sz w:val="20"/>
        </w:rPr>
        <w:t xml:space="preserve">A provisional liquidator has been appointed for WPG, and that company is now in the process of being wound up. As a consequence of our 50% interest in WPG, in the event that we are not successful in our appeal, we currently anticipate that we will ultimately receive liquidating distributions from WPG in an amount equal to approximately $1.8 million (AUS$2.3 million). During the third quarter of 2005, the Burstone Parties paid us $237,000 (AUS$300,000) against our judgment against them, and we have now entered into an agreement with the Burstone Parties, pursuant to which they have agreed to pay the balance of our judgment against them, together with ongoing interest, over time and have provided various undertakings and a guaranty to secure that obligation. Accordingly, we believe that our judgment against the Burstone Parties is adequately secured and, even if we do not prevail on appeal, we will still net in the range of $1.3 million (AUS$1.6 million) from the litigation, less such attorney’s fees as may be assessed against us when the final accounting for such fees is made, and our own costs of collection. </w:t>
      </w:r>
    </w:p>
    <w:p>
      <w:pPr>
        <w:pStyle w:val="TextBody"/>
        <w:spacing w:lineRule="auto" w:line="300" w:before="0" w:after="0"/>
        <w:ind w:left="0" w:right="0" w:hanging="0"/>
        <w:jc w:val="both"/>
        <w:rPr/>
      </w:pPr>
      <w:r>
        <w:rPr/>
      </w:r>
    </w:p>
    <w:p>
      <w:pPr>
        <w:pStyle w:val="TextBody"/>
        <w:spacing w:lineRule="auto" w:line="300" w:before="0" w:after="0"/>
        <w:ind w:left="720" w:right="0" w:hanging="0"/>
        <w:jc w:val="both"/>
        <w:rPr>
          <w:rFonts w:ascii="Times New Roman" w:hAnsi="Times New Roman"/>
          <w:sz w:val="20"/>
        </w:rPr>
      </w:pPr>
      <w:bookmarkStart w:id="698" w:name="TAB1152"/>
      <w:bookmarkEnd w:id="698"/>
      <w:r>
        <w:rPr>
          <w:rFonts w:ascii="Times New Roman" w:hAnsi="Times New Roman"/>
          <w:sz w:val="20"/>
        </w:rPr>
        <w:t>We are advised by senior Queen’s Counsel after conducting an independent review of the evidence submitted at trial and the trial court’s opinion that, in his opinion, the trial court erred in a number of critical aspects, and that we should have no liability to WPG or any of the Burstone Parties. Accordingly, we have appealed that part of the trial court’s determination. The Burstone Parties have likewise appealed, arguing that the damages assessed in favor of WPG and against us should be higher. The appeal has been set down for hearing on March 19, 2007.</w:t>
      </w:r>
    </w:p>
    <w:p>
      <w:pPr>
        <w:pStyle w:val="TextBody"/>
        <w:spacing w:lineRule="auto" w:line="300" w:before="0" w:after="0"/>
        <w:ind w:left="0" w:right="0" w:hanging="0"/>
        <w:jc w:val="both"/>
        <w:rPr/>
      </w:pPr>
      <w:r>
        <w:rPr/>
      </w:r>
    </w:p>
    <w:p>
      <w:pPr>
        <w:pStyle w:val="TextBody"/>
        <w:spacing w:lineRule="auto" w:line="300" w:before="0" w:after="0"/>
        <w:ind w:left="720" w:right="0" w:hanging="0"/>
        <w:jc w:val="both"/>
        <w:rPr>
          <w:rFonts w:ascii="Times New Roman" w:hAnsi="Times New Roman"/>
          <w:sz w:val="20"/>
        </w:rPr>
      </w:pPr>
      <w:bookmarkStart w:id="699" w:name="TAB1153"/>
      <w:bookmarkEnd w:id="699"/>
      <w:r>
        <w:rPr>
          <w:rFonts w:ascii="Times New Roman" w:hAnsi="Times New Roman"/>
          <w:sz w:val="20"/>
        </w:rPr>
        <w:t>On June 22, 2005, consent orders were made, which included the appointment of Mr. Jim Downey as the provisional liquidator to WPG. The provisional liquidator is awaiting the determination of the appeal before taking further steps in relation to WPG.</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pPr>
      <w:r>
        <w:rPr/>
      </w:r>
    </w:p>
    <w:p>
      <w:pPr>
        <w:pStyle w:val="TextBody"/>
        <w:spacing w:lineRule="auto" w:line="300" w:before="0" w:after="0"/>
        <w:ind w:left="0" w:right="0" w:hanging="0"/>
        <w:jc w:val="both"/>
        <w:rPr/>
      </w:pPr>
      <w:r>
        <w:rPr>
          <w:rStyle w:val="StrongEmphasis"/>
          <w:rFonts w:ascii="Times New Roman" w:hAnsi="Times New Roman"/>
          <w:sz w:val="20"/>
          <w:u w:val="single"/>
        </w:rPr>
        <w:t>Mackie Litigation</w:t>
      </w:r>
    </w:p>
    <w:p>
      <w:pPr>
        <w:pStyle w:val="TextBody"/>
        <w:spacing w:lineRule="auto" w:line="300" w:before="0" w:after="0"/>
        <w:ind w:left="0" w:right="0" w:hanging="0"/>
        <w:jc w:val="both"/>
        <w:rPr/>
      </w:pPr>
      <w:r>
        <w:rPr/>
      </w:r>
    </w:p>
    <w:p>
      <w:pPr>
        <w:pStyle w:val="TextBody"/>
        <w:spacing w:lineRule="auto" w:line="300" w:before="0" w:after="0"/>
        <w:ind w:left="720" w:right="0" w:hanging="0"/>
        <w:jc w:val="both"/>
        <w:rPr>
          <w:rFonts w:ascii="Times New Roman" w:hAnsi="Times New Roman"/>
          <w:sz w:val="20"/>
        </w:rPr>
      </w:pPr>
      <w:bookmarkStart w:id="700" w:name="TAB1154"/>
      <w:bookmarkEnd w:id="700"/>
      <w:r>
        <w:rPr>
          <w:rFonts w:ascii="Times New Roman" w:hAnsi="Times New Roman"/>
          <w:sz w:val="20"/>
        </w:rPr>
        <w:t>On November 7, 2005, we were sued in the Supreme Court of Victoria at Melbourne by a former construction contractor with respect to the discontinued development of an ETRC at Frankston, Victoria. The action is entitled Mackie Group Pty Ltd v. Reading Properties Pty Ltd, and in it the former contractor seeks payment of a claimed fee in the amount of $788,000 (AUS$1.0 million). We do not believe that any such fee is owed, and are contesting the claim. Discovery has now been completed by both parties. The next step in the litigation is likely to be mediation.</w:t>
      </w:r>
    </w:p>
    <w:p>
      <w:pPr>
        <w:pStyle w:val="TextBody"/>
        <w:spacing w:lineRule="auto" w:line="300" w:before="0" w:after="0"/>
        <w:ind w:left="0" w:right="0" w:hanging="0"/>
        <w:jc w:val="both"/>
        <w:rPr/>
      </w:pPr>
      <w:r>
        <w:rPr/>
      </w:r>
    </w:p>
    <w:p>
      <w:pPr>
        <w:pStyle w:val="TextBody"/>
        <w:spacing w:lineRule="auto" w:line="300" w:before="0" w:after="0"/>
        <w:ind w:left="720" w:right="0" w:hanging="0"/>
        <w:jc w:val="left"/>
        <w:rPr>
          <w:rFonts w:ascii="Times New Roman" w:hAnsi="Times New Roman"/>
          <w:sz w:val="20"/>
        </w:rPr>
      </w:pPr>
      <w:bookmarkStart w:id="701" w:name="TAB1155"/>
      <w:bookmarkEnd w:id="701"/>
      <w:r>
        <w:rPr>
          <w:rFonts w:ascii="Times New Roman" w:hAnsi="Times New Roman"/>
          <w:sz w:val="20"/>
        </w:rPr>
        <w:t>In a hearing conducted on November 22 and 29, 2006, Reading successfully defended an application for summary judgment brought by Mackie and was awarded costs for part of the preparation of its defense to the application. A bill of costs has been prepared by a cost consultant in the sum of $20,000 (AUS$25,000) (including disbursements). A summons for taxation of costs has been issued and is set down for a call over on February 27, 2007 at which time a hearing will be set and Mackie will have an opportunity to dispute the quantum of the costs claimed by Reading.</w:t>
      </w:r>
    </w:p>
    <w:p>
      <w:pPr>
        <w:pStyle w:val="TextBody"/>
        <w:spacing w:lineRule="auto" w:line="300" w:before="0" w:after="0"/>
        <w:ind w:left="0" w:right="0" w:hanging="0"/>
        <w:jc w:val="both"/>
        <w:rPr/>
      </w:pPr>
      <w:r>
        <w:rPr/>
      </w:r>
    </w:p>
    <w:p>
      <w:pPr>
        <w:pStyle w:val="TextBody"/>
        <w:spacing w:lineRule="auto" w:line="300" w:before="0" w:after="0"/>
        <w:ind w:left="0" w:right="0" w:hanging="0"/>
        <w:jc w:val="left"/>
        <w:rPr/>
      </w:pPr>
      <w:r>
        <w:rPr/>
        <w:t> </w:t>
      </w:r>
    </w:p>
    <w:p>
      <w:pPr>
        <w:pStyle w:val="TextBody"/>
        <w:spacing w:lineRule="auto" w:line="300" w:before="0" w:after="0"/>
        <w:ind w:left="0" w:right="0" w:hanging="0"/>
        <w:jc w:val="both"/>
        <w:rPr/>
      </w:pPr>
      <w:r>
        <w:rPr>
          <w:rStyle w:val="StrongEmphasis"/>
          <w:rFonts w:ascii="Times New Roman" w:hAnsi="Times New Roman"/>
          <w:sz w:val="20"/>
          <w:u w:val="single"/>
        </w:rPr>
        <w:t>Other Claims</w:t>
      </w:r>
      <w:r>
        <w:rPr>
          <w:rStyle w:val="StrongEmphasis"/>
          <w:u w:val="single"/>
        </w:rPr>
        <w:t xml:space="preserve"> </w:t>
      </w:r>
      <w:r>
        <w:rPr>
          <w:rStyle w:val="StrongEmphasis"/>
          <w:rFonts w:ascii="Times New Roman" w:hAnsi="Times New Roman"/>
          <w:sz w:val="20"/>
          <w:u w:val="single"/>
        </w:rPr>
        <w:t>- Credit Card Claims</w:t>
      </w:r>
    </w:p>
    <w:p>
      <w:pPr>
        <w:pStyle w:val="TextBody"/>
        <w:spacing w:lineRule="auto" w:line="300" w:before="0" w:after="0"/>
        <w:ind w:left="0" w:right="0" w:hanging="0"/>
        <w:jc w:val="both"/>
        <w:rPr/>
      </w:pPr>
      <w:r>
        <w:rPr/>
        <w:t> </w:t>
      </w:r>
    </w:p>
    <w:p>
      <w:pPr>
        <w:pStyle w:val="TextBody"/>
        <w:spacing w:lineRule="auto" w:line="300" w:before="0" w:after="0"/>
        <w:ind w:left="720" w:right="0" w:hanging="0"/>
        <w:jc w:val="both"/>
        <w:rPr>
          <w:rFonts w:ascii="Times New Roman" w:hAnsi="Times New Roman"/>
          <w:sz w:val="20"/>
        </w:rPr>
      </w:pPr>
      <w:bookmarkStart w:id="702" w:name="TAB1156"/>
      <w:bookmarkEnd w:id="702"/>
      <w:r>
        <w:rPr>
          <w:rFonts w:ascii="Times New Roman" w:hAnsi="Times New Roman"/>
          <w:sz w:val="20"/>
        </w:rPr>
        <w:t>During 2006, the bank, which administers our credit card activities, asserted a claim of potential loss suffered in relation to the use by third parties of counterfeit credit cards and related credit card company fines. We expect the associated claims from the bank and credit card companies for these losses and fines to total approximately $1.2 million. For this reason, we have expensed an other loss of $1.2 million during the year ending December 31, 2006. The issues surrounding this credit card situation have now been addressed and we intend to seek to recoup all or substantially all of these charges.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703" w:name="PGBRK37"/>
      <w:bookmarkStart w:id="704" w:name="PGBRK37"/>
      <w:bookmarkEnd w:id="70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05" w:name="FTR37"/>
      <w:bookmarkStart w:id="706" w:name="FTR37"/>
      <w:bookmarkEnd w:id="70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07" w:name="GLFTR37"/>
      <w:bookmarkStart w:id="708" w:name="GLFTR37"/>
      <w:bookmarkEnd w:id="70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709" w:name="PN37"/>
      <w:bookmarkEnd w:id="709"/>
      <w:r>
        <w:rPr>
          <w:rFonts w:ascii="Times New Roman" w:hAnsi="Times New Roman"/>
          <w:sz w:val="16"/>
        </w:rPr>
        <w:t>-37-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10" w:name="HDR37"/>
      <w:bookmarkStart w:id="711" w:name="HDR37"/>
      <w:bookmarkEnd w:id="71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712" w:name="GLHDR37"/>
        <w:bookmarkEnd w:id="712"/>
        <w:r>
          <w:rPr>
            <w:rStyle w:val="Emphasis"/>
            <w:rFonts w:ascii="Times New Roman" w:hAnsi="Times New Roman"/>
            <w:color w:val="000000"/>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pStyle w:val="TextBody"/>
        <w:spacing w:lineRule="auto" w:line="300" w:before="0" w:after="0"/>
        <w:ind w:left="0" w:right="0" w:hanging="0"/>
        <w:jc w:val="center"/>
        <w:rPr/>
      </w:pPr>
      <w:bookmarkStart w:id="713" w:name="item4"/>
      <w:bookmarkEnd w:id="713"/>
      <w:r>
        <w:rPr>
          <w:rStyle w:val="StrongEmphasis"/>
          <w:rFonts w:ascii="Times New Roman" w:hAnsi="Times New Roman"/>
          <w:sz w:val="20"/>
          <w:u w:val="single"/>
        </w:rPr>
        <w:t>Item 4 - Submission of Matters to a Vote of Security Holders</w:t>
      </w:r>
    </w:p>
    <w:p>
      <w:pPr>
        <w:pStyle w:val="TextBody"/>
        <w:spacing w:lineRule="auto" w:line="300" w:before="0" w:after="0"/>
        <w:ind w:left="0" w:right="0" w:hanging="0"/>
        <w:jc w:val="left"/>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At our 2006 Annual Meeting of Stockholders held on May 18, 2006, the stockholders voted on the following proposals:</w:t>
      </w:r>
    </w:p>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714" w:name="hangingindent79"/>
      <w:bookmarkStart w:id="715" w:name="hangingindent79"/>
      <w:bookmarkEnd w:id="715"/>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by the following vote, our eight directors were reelected to serve on the Board of Directors until the 2007 Annual Meeting of Stockholders: </w:t>
            </w:r>
          </w:p>
        </w:tc>
      </w:tr>
    </w:tbl>
    <w:p>
      <w:pPr>
        <w:pStyle w:val="TextBody"/>
        <w:spacing w:lineRule="auto" w:line="300" w:before="0" w:after="0"/>
        <w:ind w:left="0" w:right="0" w:hanging="0"/>
        <w:jc w:val="both"/>
        <w:rPr/>
      </w:pPr>
      <w:r>
        <w:rPr/>
        <w:t> </w:t>
      </w:r>
    </w:p>
    <w:p>
      <w:pPr>
        <w:pStyle w:val="Normal"/>
        <w:spacing w:before="0" w:after="0"/>
        <w:ind w:left="0" w:right="0" w:hanging="0"/>
        <w:rPr>
          <w:sz w:val="4"/>
          <w:szCs w:val="4"/>
        </w:rPr>
      </w:pPr>
      <w:r>
        <w:rPr>
          <w:sz w:val="4"/>
          <w:szCs w:val="4"/>
        </w:rPr>
      </w:r>
      <w:bookmarkStart w:id="716" w:name="ftable3"/>
      <w:bookmarkStart w:id="717" w:name="ftable3"/>
      <w:bookmarkEnd w:id="717"/>
    </w:p>
    <w:tbl>
      <w:tblPr>
        <w:tblW w:w="5000" w:type="pct"/>
        <w:jc w:val="left"/>
        <w:tblInd w:w="0" w:type="dxa"/>
        <w:tblCellMar>
          <w:top w:w="0" w:type="dxa"/>
          <w:left w:w="0" w:type="dxa"/>
          <w:bottom w:w="28" w:type="dxa"/>
          <w:right w:w="0" w:type="dxa"/>
        </w:tblCellMar>
      </w:tblPr>
      <w:tblGrid>
        <w:gridCol w:w="7247"/>
        <w:gridCol w:w="204"/>
        <w:gridCol w:w="102"/>
        <w:gridCol w:w="1122"/>
        <w:gridCol w:w="204"/>
        <w:gridCol w:w="102"/>
        <w:gridCol w:w="1122"/>
        <w:gridCol w:w="102"/>
      </w:tblGrid>
      <w:tr>
        <w:trPr/>
        <w:tc>
          <w:tcPr>
            <w:tcW w:w="7247" w:type="dxa"/>
            <w:tcBorders>
              <w:bottom w:val="double" w:sz="2" w:space="0" w:color="000000"/>
            </w:tcBorders>
            <w:shd w:fill="auto" w:val="clear"/>
            <w:vAlign w:val="bottom"/>
          </w:tcPr>
          <w:p>
            <w:pPr>
              <w:pStyle w:val="TableContents"/>
              <w:spacing w:lineRule="auto" w:line="300" w:before="0" w:after="0"/>
              <w:ind w:left="0" w:right="0" w:hanging="0"/>
              <w:jc w:val="left"/>
              <w:rPr/>
            </w:pPr>
            <w:r>
              <w:rPr>
                <w:rStyle w:val="StrongEmphasis"/>
                <w:rFonts w:ascii="Times New Roman" w:hAnsi="Times New Roman"/>
                <w:sz w:val="20"/>
              </w:rPr>
              <w:t>Election of Directors</w:t>
            </w:r>
          </w:p>
        </w:tc>
        <w:tc>
          <w:tcPr>
            <w:tcW w:w="204" w:type="dxa"/>
            <w:tcBorders>
              <w:bottom w:val="single" w:sz="4" w:space="0" w:color="FFFFFF"/>
            </w:tcBorders>
            <w:shd w:fill="auto" w:val="clear"/>
            <w:vAlign w:val="center"/>
          </w:tcPr>
          <w:p>
            <w:pPr>
              <w:pStyle w:val="TableContents"/>
              <w:spacing w:before="0" w:after="283"/>
              <w:rPr/>
            </w:pPr>
            <w:r>
              <w:rPr/>
              <w:t> </w:t>
            </w:r>
          </w:p>
        </w:tc>
        <w:tc>
          <w:tcPr>
            <w:tcW w:w="1224"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For</w:t>
            </w:r>
          </w:p>
        </w:tc>
        <w:tc>
          <w:tcPr>
            <w:tcW w:w="204" w:type="dxa"/>
            <w:tcBorders>
              <w:bottom w:val="single" w:sz="4" w:space="0" w:color="FFFFFF"/>
            </w:tcBorders>
            <w:shd w:fill="auto" w:val="clear"/>
            <w:vAlign w:val="bottom"/>
          </w:tcPr>
          <w:p>
            <w:pPr>
              <w:pStyle w:val="TableContents"/>
              <w:spacing w:before="0" w:after="283"/>
              <w:jc w:val="left"/>
              <w:rPr/>
            </w:pPr>
            <w:r>
              <w:rPr/>
              <w:t> </w:t>
            </w:r>
          </w:p>
        </w:tc>
        <w:tc>
          <w:tcPr>
            <w:tcW w:w="1224"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Withheld</w:t>
            </w:r>
          </w:p>
        </w:tc>
        <w:tc>
          <w:tcPr>
            <w:tcW w:w="102" w:type="dxa"/>
            <w:tcBorders>
              <w:bottom w:val="single" w:sz="4" w:space="0" w:color="FFFFFF"/>
            </w:tcBorders>
            <w:shd w:fill="auto" w:val="clear"/>
            <w:vAlign w:val="bottom"/>
          </w:tcPr>
          <w:p>
            <w:pPr>
              <w:pStyle w:val="TableContents"/>
              <w:spacing w:before="0" w:after="283"/>
              <w:jc w:val="left"/>
              <w:rPr/>
            </w:pPr>
            <w:r>
              <w:rPr/>
              <w:t> </w:t>
            </w:r>
          </w:p>
        </w:tc>
      </w:tr>
      <w:tr>
        <w:trPr/>
        <w:tc>
          <w:tcPr>
            <w:tcW w:w="7247"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James J. Cotter</w:t>
            </w:r>
          </w:p>
        </w:tc>
        <w:tc>
          <w:tcPr>
            <w:tcW w:w="204" w:type="dxa"/>
            <w:tcBorders/>
            <w:shd w:fill="CCEEFF" w:val="clear"/>
            <w:tcMar>
              <w:bottom w:w="0" w:type="dxa"/>
            </w:tcMar>
            <w:vAlign w:val="center"/>
          </w:tcPr>
          <w:p>
            <w:pPr>
              <w:pStyle w:val="TableContents"/>
              <w:spacing w:before="0" w:after="283"/>
              <w:rPr/>
            </w:pPr>
            <w:r>
              <w:rPr/>
              <w:t> </w:t>
            </w:r>
          </w:p>
        </w:tc>
        <w:tc>
          <w:tcPr>
            <w:tcW w:w="102" w:type="dxa"/>
            <w:tcBorders/>
            <w:shd w:fill="CCEEFF" w:val="clear"/>
            <w:tcMar>
              <w:bottom w:w="0" w:type="dxa"/>
            </w:tcMar>
            <w:vAlign w:val="bottom"/>
          </w:tcPr>
          <w:p>
            <w:pPr>
              <w:pStyle w:val="TableContents"/>
              <w:spacing w:before="0" w:after="283"/>
              <w:jc w:val="left"/>
              <w:rPr/>
            </w:pPr>
            <w:r>
              <w:rPr/>
              <w:t> </w:t>
            </w:r>
          </w:p>
        </w:tc>
        <w:tc>
          <w:tcPr>
            <w:tcW w:w="1122"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1,289,080</w:t>
            </w:r>
          </w:p>
        </w:tc>
        <w:tc>
          <w:tcPr>
            <w:tcW w:w="204" w:type="dxa"/>
            <w:tcBorders/>
            <w:shd w:fill="CCEEFF" w:val="clear"/>
            <w:tcMar>
              <w:bottom w:w="0" w:type="dxa"/>
            </w:tcMar>
            <w:vAlign w:val="bottom"/>
          </w:tcPr>
          <w:p>
            <w:pPr>
              <w:pStyle w:val="TableContents"/>
              <w:spacing w:before="0" w:after="283"/>
              <w:jc w:val="left"/>
              <w:rPr/>
            </w:pPr>
            <w:r>
              <w:rPr/>
              <w:t> </w:t>
            </w:r>
          </w:p>
        </w:tc>
        <w:tc>
          <w:tcPr>
            <w:tcW w:w="102" w:type="dxa"/>
            <w:tcBorders/>
            <w:shd w:fill="CCEEFF" w:val="clear"/>
            <w:tcMar>
              <w:bottom w:w="0" w:type="dxa"/>
            </w:tcMar>
            <w:vAlign w:val="bottom"/>
          </w:tcPr>
          <w:p>
            <w:pPr>
              <w:pStyle w:val="TableContents"/>
              <w:spacing w:before="0" w:after="283"/>
              <w:jc w:val="left"/>
              <w:rPr/>
            </w:pPr>
            <w:r>
              <w:rPr/>
              <w:t> </w:t>
            </w:r>
          </w:p>
        </w:tc>
        <w:tc>
          <w:tcPr>
            <w:tcW w:w="1122"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133,922</w:t>
            </w:r>
          </w:p>
        </w:tc>
        <w:tc>
          <w:tcPr>
            <w:tcW w:w="102" w:type="dxa"/>
            <w:tcBorders/>
            <w:shd w:fill="CCEEFF" w:val="clear"/>
            <w:tcMar>
              <w:bottom w:w="0" w:type="dxa"/>
            </w:tcMar>
            <w:vAlign w:val="bottom"/>
          </w:tcPr>
          <w:p>
            <w:pPr>
              <w:pStyle w:val="TableContents"/>
              <w:spacing w:before="0" w:after="283"/>
              <w:jc w:val="left"/>
              <w:rPr/>
            </w:pPr>
            <w:r>
              <w:rPr/>
              <w:t> </w:t>
            </w:r>
          </w:p>
        </w:tc>
      </w:tr>
      <w:tr>
        <w:trPr/>
        <w:tc>
          <w:tcPr>
            <w:tcW w:w="7247"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Eric Barr</w:t>
            </w:r>
          </w:p>
        </w:tc>
        <w:tc>
          <w:tcPr>
            <w:tcW w:w="204" w:type="dxa"/>
            <w:tcBorders/>
            <w:shd w:fill="FFFFFF" w:val="clear"/>
            <w:tcMar>
              <w:bottom w:w="0" w:type="dxa"/>
            </w:tcMar>
            <w:vAlign w:val="center"/>
          </w:tcPr>
          <w:p>
            <w:pPr>
              <w:pStyle w:val="TableContents"/>
              <w:spacing w:before="0" w:after="283"/>
              <w:rPr/>
            </w:pPr>
            <w:r>
              <w:rPr/>
              <w:t> </w:t>
            </w:r>
          </w:p>
        </w:tc>
        <w:tc>
          <w:tcPr>
            <w:tcW w:w="102" w:type="dxa"/>
            <w:tcBorders/>
            <w:shd w:fill="FFFFFF" w:val="clear"/>
            <w:tcMar>
              <w:bottom w:w="0" w:type="dxa"/>
            </w:tcMar>
            <w:vAlign w:val="bottom"/>
          </w:tcPr>
          <w:p>
            <w:pPr>
              <w:pStyle w:val="TableContents"/>
              <w:spacing w:before="0" w:after="283"/>
              <w:jc w:val="left"/>
              <w:rPr/>
            </w:pPr>
            <w:r>
              <w:rPr/>
              <w:t> </w:t>
            </w:r>
          </w:p>
        </w:tc>
        <w:tc>
          <w:tcPr>
            <w:tcW w:w="1122"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1,422,963</w:t>
            </w:r>
          </w:p>
        </w:tc>
        <w:tc>
          <w:tcPr>
            <w:tcW w:w="204" w:type="dxa"/>
            <w:tcBorders/>
            <w:shd w:fill="FFFFFF" w:val="clear"/>
            <w:tcMar>
              <w:bottom w:w="0" w:type="dxa"/>
            </w:tcMar>
            <w:vAlign w:val="bottom"/>
          </w:tcPr>
          <w:p>
            <w:pPr>
              <w:pStyle w:val="TableContents"/>
              <w:spacing w:before="0" w:after="283"/>
              <w:jc w:val="left"/>
              <w:rPr/>
            </w:pPr>
            <w:r>
              <w:rPr/>
              <w:t> </w:t>
            </w:r>
          </w:p>
        </w:tc>
        <w:tc>
          <w:tcPr>
            <w:tcW w:w="102" w:type="dxa"/>
            <w:tcBorders/>
            <w:shd w:fill="FFFFFF" w:val="clear"/>
            <w:tcMar>
              <w:bottom w:w="0" w:type="dxa"/>
            </w:tcMar>
            <w:vAlign w:val="bottom"/>
          </w:tcPr>
          <w:p>
            <w:pPr>
              <w:pStyle w:val="TableContents"/>
              <w:spacing w:before="0" w:after="283"/>
              <w:jc w:val="left"/>
              <w:rPr/>
            </w:pPr>
            <w:r>
              <w:rPr/>
              <w:t> </w:t>
            </w:r>
          </w:p>
        </w:tc>
        <w:tc>
          <w:tcPr>
            <w:tcW w:w="1122"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39</w:t>
            </w:r>
          </w:p>
        </w:tc>
        <w:tc>
          <w:tcPr>
            <w:tcW w:w="102" w:type="dxa"/>
            <w:tcBorders/>
            <w:shd w:fill="FFFFFF" w:val="clear"/>
            <w:tcMar>
              <w:bottom w:w="0" w:type="dxa"/>
            </w:tcMar>
            <w:vAlign w:val="bottom"/>
          </w:tcPr>
          <w:p>
            <w:pPr>
              <w:pStyle w:val="TableContents"/>
              <w:spacing w:before="0" w:after="283"/>
              <w:jc w:val="left"/>
              <w:rPr/>
            </w:pPr>
            <w:r>
              <w:rPr/>
              <w:t> </w:t>
            </w:r>
          </w:p>
        </w:tc>
      </w:tr>
      <w:tr>
        <w:trPr/>
        <w:tc>
          <w:tcPr>
            <w:tcW w:w="7247"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James J. Cotter, Jr.</w:t>
            </w:r>
          </w:p>
        </w:tc>
        <w:tc>
          <w:tcPr>
            <w:tcW w:w="204" w:type="dxa"/>
            <w:tcBorders/>
            <w:shd w:fill="CCEEFF" w:val="clear"/>
            <w:tcMar>
              <w:bottom w:w="0" w:type="dxa"/>
            </w:tcMar>
            <w:vAlign w:val="center"/>
          </w:tcPr>
          <w:p>
            <w:pPr>
              <w:pStyle w:val="TableContents"/>
              <w:spacing w:before="0" w:after="283"/>
              <w:rPr/>
            </w:pPr>
            <w:r>
              <w:rPr/>
              <w:t> </w:t>
            </w:r>
          </w:p>
        </w:tc>
        <w:tc>
          <w:tcPr>
            <w:tcW w:w="102" w:type="dxa"/>
            <w:tcBorders/>
            <w:shd w:fill="CCEEFF" w:val="clear"/>
            <w:tcMar>
              <w:bottom w:w="0" w:type="dxa"/>
            </w:tcMar>
            <w:vAlign w:val="bottom"/>
          </w:tcPr>
          <w:p>
            <w:pPr>
              <w:pStyle w:val="TableContents"/>
              <w:spacing w:before="0" w:after="283"/>
              <w:jc w:val="left"/>
              <w:rPr/>
            </w:pPr>
            <w:r>
              <w:rPr/>
              <w:t> </w:t>
            </w:r>
          </w:p>
        </w:tc>
        <w:tc>
          <w:tcPr>
            <w:tcW w:w="1122"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1,289,920</w:t>
            </w:r>
          </w:p>
        </w:tc>
        <w:tc>
          <w:tcPr>
            <w:tcW w:w="204" w:type="dxa"/>
            <w:tcBorders/>
            <w:shd w:fill="CCEEFF" w:val="clear"/>
            <w:tcMar>
              <w:bottom w:w="0" w:type="dxa"/>
            </w:tcMar>
            <w:vAlign w:val="bottom"/>
          </w:tcPr>
          <w:p>
            <w:pPr>
              <w:pStyle w:val="TableContents"/>
              <w:spacing w:before="0" w:after="283"/>
              <w:jc w:val="left"/>
              <w:rPr/>
            </w:pPr>
            <w:r>
              <w:rPr/>
              <w:t> </w:t>
            </w:r>
          </w:p>
        </w:tc>
        <w:tc>
          <w:tcPr>
            <w:tcW w:w="102" w:type="dxa"/>
            <w:tcBorders/>
            <w:shd w:fill="CCEEFF" w:val="clear"/>
            <w:tcMar>
              <w:bottom w:w="0" w:type="dxa"/>
            </w:tcMar>
            <w:vAlign w:val="bottom"/>
          </w:tcPr>
          <w:p>
            <w:pPr>
              <w:pStyle w:val="TableContents"/>
              <w:spacing w:before="0" w:after="283"/>
              <w:jc w:val="left"/>
              <w:rPr/>
            </w:pPr>
            <w:r>
              <w:rPr/>
              <w:t> </w:t>
            </w:r>
          </w:p>
        </w:tc>
        <w:tc>
          <w:tcPr>
            <w:tcW w:w="1122"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133,082</w:t>
            </w:r>
          </w:p>
        </w:tc>
        <w:tc>
          <w:tcPr>
            <w:tcW w:w="102" w:type="dxa"/>
            <w:tcBorders/>
            <w:shd w:fill="CCEEFF" w:val="clear"/>
            <w:tcMar>
              <w:bottom w:w="0" w:type="dxa"/>
            </w:tcMar>
            <w:vAlign w:val="bottom"/>
          </w:tcPr>
          <w:p>
            <w:pPr>
              <w:pStyle w:val="TableContents"/>
              <w:spacing w:before="0" w:after="283"/>
              <w:jc w:val="left"/>
              <w:rPr/>
            </w:pPr>
            <w:r>
              <w:rPr/>
              <w:t> </w:t>
            </w:r>
          </w:p>
        </w:tc>
      </w:tr>
      <w:tr>
        <w:trPr/>
        <w:tc>
          <w:tcPr>
            <w:tcW w:w="7247"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Margaret Cotter</w:t>
            </w:r>
          </w:p>
        </w:tc>
        <w:tc>
          <w:tcPr>
            <w:tcW w:w="204" w:type="dxa"/>
            <w:tcBorders/>
            <w:shd w:fill="FFFFFF" w:val="clear"/>
            <w:tcMar>
              <w:bottom w:w="0" w:type="dxa"/>
            </w:tcMar>
            <w:vAlign w:val="center"/>
          </w:tcPr>
          <w:p>
            <w:pPr>
              <w:pStyle w:val="TableContents"/>
              <w:spacing w:before="0" w:after="283"/>
              <w:rPr/>
            </w:pPr>
            <w:r>
              <w:rPr/>
              <w:t> </w:t>
            </w:r>
          </w:p>
        </w:tc>
        <w:tc>
          <w:tcPr>
            <w:tcW w:w="102" w:type="dxa"/>
            <w:tcBorders/>
            <w:shd w:fill="FFFFFF" w:val="clear"/>
            <w:tcMar>
              <w:bottom w:w="0" w:type="dxa"/>
            </w:tcMar>
            <w:vAlign w:val="bottom"/>
          </w:tcPr>
          <w:p>
            <w:pPr>
              <w:pStyle w:val="TableContents"/>
              <w:spacing w:before="0" w:after="283"/>
              <w:jc w:val="left"/>
              <w:rPr/>
            </w:pPr>
            <w:r>
              <w:rPr/>
              <w:t> </w:t>
            </w:r>
          </w:p>
        </w:tc>
        <w:tc>
          <w:tcPr>
            <w:tcW w:w="1122"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1,289,100</w:t>
            </w:r>
          </w:p>
        </w:tc>
        <w:tc>
          <w:tcPr>
            <w:tcW w:w="204" w:type="dxa"/>
            <w:tcBorders/>
            <w:shd w:fill="FFFFFF" w:val="clear"/>
            <w:tcMar>
              <w:bottom w:w="0" w:type="dxa"/>
            </w:tcMar>
            <w:vAlign w:val="bottom"/>
          </w:tcPr>
          <w:p>
            <w:pPr>
              <w:pStyle w:val="TableContents"/>
              <w:spacing w:before="0" w:after="283"/>
              <w:jc w:val="left"/>
              <w:rPr/>
            </w:pPr>
            <w:r>
              <w:rPr/>
              <w:t> </w:t>
            </w:r>
          </w:p>
        </w:tc>
        <w:tc>
          <w:tcPr>
            <w:tcW w:w="102" w:type="dxa"/>
            <w:tcBorders/>
            <w:shd w:fill="FFFFFF" w:val="clear"/>
            <w:tcMar>
              <w:bottom w:w="0" w:type="dxa"/>
            </w:tcMar>
            <w:vAlign w:val="bottom"/>
          </w:tcPr>
          <w:p>
            <w:pPr>
              <w:pStyle w:val="TableContents"/>
              <w:spacing w:before="0" w:after="283"/>
              <w:jc w:val="left"/>
              <w:rPr/>
            </w:pPr>
            <w:r>
              <w:rPr/>
              <w:t> </w:t>
            </w:r>
          </w:p>
        </w:tc>
        <w:tc>
          <w:tcPr>
            <w:tcW w:w="1122"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133,902</w:t>
            </w:r>
          </w:p>
        </w:tc>
        <w:tc>
          <w:tcPr>
            <w:tcW w:w="102" w:type="dxa"/>
            <w:tcBorders/>
            <w:shd w:fill="FFFFFF" w:val="clear"/>
            <w:tcMar>
              <w:bottom w:w="0" w:type="dxa"/>
            </w:tcMar>
            <w:vAlign w:val="bottom"/>
          </w:tcPr>
          <w:p>
            <w:pPr>
              <w:pStyle w:val="TableContents"/>
              <w:spacing w:before="0" w:after="283"/>
              <w:jc w:val="left"/>
              <w:rPr/>
            </w:pPr>
            <w:r>
              <w:rPr/>
              <w:t> </w:t>
            </w:r>
          </w:p>
        </w:tc>
      </w:tr>
      <w:tr>
        <w:trPr/>
        <w:tc>
          <w:tcPr>
            <w:tcW w:w="7247"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William D. Gould</w:t>
            </w:r>
          </w:p>
        </w:tc>
        <w:tc>
          <w:tcPr>
            <w:tcW w:w="204" w:type="dxa"/>
            <w:tcBorders/>
            <w:shd w:fill="CCEEFF" w:val="clear"/>
            <w:tcMar>
              <w:bottom w:w="0" w:type="dxa"/>
            </w:tcMar>
            <w:vAlign w:val="center"/>
          </w:tcPr>
          <w:p>
            <w:pPr>
              <w:pStyle w:val="TableContents"/>
              <w:spacing w:before="0" w:after="283"/>
              <w:rPr/>
            </w:pPr>
            <w:r>
              <w:rPr/>
              <w:t> </w:t>
            </w:r>
          </w:p>
        </w:tc>
        <w:tc>
          <w:tcPr>
            <w:tcW w:w="102" w:type="dxa"/>
            <w:tcBorders/>
            <w:shd w:fill="CCEEFF" w:val="clear"/>
            <w:tcMar>
              <w:bottom w:w="0" w:type="dxa"/>
            </w:tcMar>
            <w:vAlign w:val="bottom"/>
          </w:tcPr>
          <w:p>
            <w:pPr>
              <w:pStyle w:val="TableContents"/>
              <w:spacing w:before="0" w:after="283"/>
              <w:jc w:val="left"/>
              <w:rPr/>
            </w:pPr>
            <w:r>
              <w:rPr/>
              <w:t> </w:t>
            </w:r>
          </w:p>
        </w:tc>
        <w:tc>
          <w:tcPr>
            <w:tcW w:w="1122"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1,289,920</w:t>
            </w:r>
          </w:p>
        </w:tc>
        <w:tc>
          <w:tcPr>
            <w:tcW w:w="204" w:type="dxa"/>
            <w:tcBorders/>
            <w:shd w:fill="CCEEFF" w:val="clear"/>
            <w:tcMar>
              <w:bottom w:w="0" w:type="dxa"/>
            </w:tcMar>
            <w:vAlign w:val="bottom"/>
          </w:tcPr>
          <w:p>
            <w:pPr>
              <w:pStyle w:val="TableContents"/>
              <w:spacing w:before="0" w:after="283"/>
              <w:jc w:val="left"/>
              <w:rPr/>
            </w:pPr>
            <w:r>
              <w:rPr/>
              <w:t> </w:t>
            </w:r>
          </w:p>
        </w:tc>
        <w:tc>
          <w:tcPr>
            <w:tcW w:w="102" w:type="dxa"/>
            <w:tcBorders/>
            <w:shd w:fill="CCEEFF" w:val="clear"/>
            <w:tcMar>
              <w:bottom w:w="0" w:type="dxa"/>
            </w:tcMar>
            <w:vAlign w:val="bottom"/>
          </w:tcPr>
          <w:p>
            <w:pPr>
              <w:pStyle w:val="TableContents"/>
              <w:spacing w:before="0" w:after="283"/>
              <w:jc w:val="left"/>
              <w:rPr/>
            </w:pPr>
            <w:r>
              <w:rPr/>
              <w:t> </w:t>
            </w:r>
          </w:p>
        </w:tc>
        <w:tc>
          <w:tcPr>
            <w:tcW w:w="1122"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133,082</w:t>
            </w:r>
          </w:p>
        </w:tc>
        <w:tc>
          <w:tcPr>
            <w:tcW w:w="102" w:type="dxa"/>
            <w:tcBorders/>
            <w:shd w:fill="CCEEFF" w:val="clear"/>
            <w:tcMar>
              <w:bottom w:w="0" w:type="dxa"/>
            </w:tcMar>
            <w:vAlign w:val="bottom"/>
          </w:tcPr>
          <w:p>
            <w:pPr>
              <w:pStyle w:val="TableContents"/>
              <w:spacing w:before="0" w:after="283"/>
              <w:jc w:val="left"/>
              <w:rPr/>
            </w:pPr>
            <w:r>
              <w:rPr/>
              <w:t> </w:t>
            </w:r>
          </w:p>
        </w:tc>
      </w:tr>
      <w:tr>
        <w:trPr/>
        <w:tc>
          <w:tcPr>
            <w:tcW w:w="7247"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Edward L. Kane</w:t>
            </w:r>
          </w:p>
        </w:tc>
        <w:tc>
          <w:tcPr>
            <w:tcW w:w="204" w:type="dxa"/>
            <w:tcBorders/>
            <w:shd w:fill="FFFFFF" w:val="clear"/>
            <w:tcMar>
              <w:bottom w:w="0" w:type="dxa"/>
            </w:tcMar>
            <w:vAlign w:val="center"/>
          </w:tcPr>
          <w:p>
            <w:pPr>
              <w:pStyle w:val="TableContents"/>
              <w:spacing w:before="0" w:after="283"/>
              <w:rPr/>
            </w:pPr>
            <w:r>
              <w:rPr/>
              <w:t> </w:t>
            </w:r>
          </w:p>
        </w:tc>
        <w:tc>
          <w:tcPr>
            <w:tcW w:w="102" w:type="dxa"/>
            <w:tcBorders/>
            <w:shd w:fill="FFFFFF" w:val="clear"/>
            <w:tcMar>
              <w:bottom w:w="0" w:type="dxa"/>
            </w:tcMar>
            <w:vAlign w:val="bottom"/>
          </w:tcPr>
          <w:p>
            <w:pPr>
              <w:pStyle w:val="TableContents"/>
              <w:spacing w:before="0" w:after="283"/>
              <w:jc w:val="left"/>
              <w:rPr/>
            </w:pPr>
            <w:r>
              <w:rPr/>
              <w:t> </w:t>
            </w:r>
          </w:p>
        </w:tc>
        <w:tc>
          <w:tcPr>
            <w:tcW w:w="1122"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1,422,963</w:t>
            </w:r>
          </w:p>
        </w:tc>
        <w:tc>
          <w:tcPr>
            <w:tcW w:w="204" w:type="dxa"/>
            <w:tcBorders/>
            <w:shd w:fill="FFFFFF" w:val="clear"/>
            <w:tcMar>
              <w:bottom w:w="0" w:type="dxa"/>
            </w:tcMar>
            <w:vAlign w:val="bottom"/>
          </w:tcPr>
          <w:p>
            <w:pPr>
              <w:pStyle w:val="TableContents"/>
              <w:spacing w:before="0" w:after="283"/>
              <w:jc w:val="left"/>
              <w:rPr/>
            </w:pPr>
            <w:r>
              <w:rPr/>
              <w:t> </w:t>
            </w:r>
          </w:p>
        </w:tc>
        <w:tc>
          <w:tcPr>
            <w:tcW w:w="102" w:type="dxa"/>
            <w:tcBorders/>
            <w:shd w:fill="FFFFFF" w:val="clear"/>
            <w:tcMar>
              <w:bottom w:w="0" w:type="dxa"/>
            </w:tcMar>
            <w:vAlign w:val="bottom"/>
          </w:tcPr>
          <w:p>
            <w:pPr>
              <w:pStyle w:val="TableContents"/>
              <w:spacing w:before="0" w:after="283"/>
              <w:jc w:val="left"/>
              <w:rPr/>
            </w:pPr>
            <w:r>
              <w:rPr/>
              <w:t> </w:t>
            </w:r>
          </w:p>
        </w:tc>
        <w:tc>
          <w:tcPr>
            <w:tcW w:w="1122"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39</w:t>
            </w:r>
          </w:p>
        </w:tc>
        <w:tc>
          <w:tcPr>
            <w:tcW w:w="102" w:type="dxa"/>
            <w:tcBorders/>
            <w:shd w:fill="FFFFFF" w:val="clear"/>
            <w:tcMar>
              <w:bottom w:w="0" w:type="dxa"/>
            </w:tcMar>
            <w:vAlign w:val="bottom"/>
          </w:tcPr>
          <w:p>
            <w:pPr>
              <w:pStyle w:val="TableContents"/>
              <w:spacing w:before="0" w:after="283"/>
              <w:jc w:val="left"/>
              <w:rPr/>
            </w:pPr>
            <w:r>
              <w:rPr/>
              <w:t> </w:t>
            </w:r>
          </w:p>
        </w:tc>
      </w:tr>
      <w:tr>
        <w:trPr/>
        <w:tc>
          <w:tcPr>
            <w:tcW w:w="7247"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Gerard P. Laheney</w:t>
            </w:r>
          </w:p>
        </w:tc>
        <w:tc>
          <w:tcPr>
            <w:tcW w:w="204" w:type="dxa"/>
            <w:tcBorders/>
            <w:shd w:fill="CCEEFF" w:val="clear"/>
            <w:tcMar>
              <w:bottom w:w="0" w:type="dxa"/>
            </w:tcMar>
            <w:vAlign w:val="center"/>
          </w:tcPr>
          <w:p>
            <w:pPr>
              <w:pStyle w:val="TableContents"/>
              <w:spacing w:before="0" w:after="283"/>
              <w:rPr/>
            </w:pPr>
            <w:r>
              <w:rPr/>
              <w:t> </w:t>
            </w:r>
          </w:p>
        </w:tc>
        <w:tc>
          <w:tcPr>
            <w:tcW w:w="102" w:type="dxa"/>
            <w:tcBorders/>
            <w:shd w:fill="CCEEFF" w:val="clear"/>
            <w:tcMar>
              <w:bottom w:w="0" w:type="dxa"/>
            </w:tcMar>
            <w:vAlign w:val="bottom"/>
          </w:tcPr>
          <w:p>
            <w:pPr>
              <w:pStyle w:val="TableContents"/>
              <w:spacing w:before="0" w:after="283"/>
              <w:jc w:val="left"/>
              <w:rPr/>
            </w:pPr>
            <w:r>
              <w:rPr/>
              <w:t> </w:t>
            </w:r>
          </w:p>
        </w:tc>
        <w:tc>
          <w:tcPr>
            <w:tcW w:w="1122"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1,422,963</w:t>
            </w:r>
          </w:p>
        </w:tc>
        <w:tc>
          <w:tcPr>
            <w:tcW w:w="204" w:type="dxa"/>
            <w:tcBorders/>
            <w:shd w:fill="CCEEFF" w:val="clear"/>
            <w:tcMar>
              <w:bottom w:w="0" w:type="dxa"/>
            </w:tcMar>
            <w:vAlign w:val="bottom"/>
          </w:tcPr>
          <w:p>
            <w:pPr>
              <w:pStyle w:val="TableContents"/>
              <w:spacing w:before="0" w:after="283"/>
              <w:jc w:val="left"/>
              <w:rPr/>
            </w:pPr>
            <w:r>
              <w:rPr/>
              <w:t> </w:t>
            </w:r>
          </w:p>
        </w:tc>
        <w:tc>
          <w:tcPr>
            <w:tcW w:w="102" w:type="dxa"/>
            <w:tcBorders/>
            <w:shd w:fill="CCEEFF" w:val="clear"/>
            <w:tcMar>
              <w:bottom w:w="0" w:type="dxa"/>
            </w:tcMar>
            <w:vAlign w:val="bottom"/>
          </w:tcPr>
          <w:p>
            <w:pPr>
              <w:pStyle w:val="TableContents"/>
              <w:spacing w:before="0" w:after="283"/>
              <w:jc w:val="left"/>
              <w:rPr/>
            </w:pPr>
            <w:r>
              <w:rPr/>
              <w:t> </w:t>
            </w:r>
          </w:p>
        </w:tc>
        <w:tc>
          <w:tcPr>
            <w:tcW w:w="1122"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39</w:t>
            </w:r>
          </w:p>
        </w:tc>
        <w:tc>
          <w:tcPr>
            <w:tcW w:w="102" w:type="dxa"/>
            <w:tcBorders/>
            <w:shd w:fill="CCEEFF" w:val="clear"/>
            <w:tcMar>
              <w:bottom w:w="0" w:type="dxa"/>
            </w:tcMar>
            <w:vAlign w:val="bottom"/>
          </w:tcPr>
          <w:p>
            <w:pPr>
              <w:pStyle w:val="TableContents"/>
              <w:spacing w:before="0" w:after="283"/>
              <w:jc w:val="left"/>
              <w:rPr/>
            </w:pPr>
            <w:r>
              <w:rPr/>
              <w:t> </w:t>
            </w:r>
          </w:p>
        </w:tc>
      </w:tr>
      <w:tr>
        <w:trPr/>
        <w:tc>
          <w:tcPr>
            <w:tcW w:w="7247"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Alfred Villaseñor</w:t>
            </w:r>
          </w:p>
        </w:tc>
        <w:tc>
          <w:tcPr>
            <w:tcW w:w="204" w:type="dxa"/>
            <w:tcBorders/>
            <w:shd w:fill="FFFFFF" w:val="clear"/>
            <w:tcMar>
              <w:bottom w:w="0" w:type="dxa"/>
            </w:tcMar>
            <w:vAlign w:val="center"/>
          </w:tcPr>
          <w:p>
            <w:pPr>
              <w:pStyle w:val="TableContents"/>
              <w:spacing w:before="0" w:after="283"/>
              <w:rPr/>
            </w:pPr>
            <w:r>
              <w:rPr/>
              <w:t> </w:t>
            </w:r>
          </w:p>
        </w:tc>
        <w:tc>
          <w:tcPr>
            <w:tcW w:w="102" w:type="dxa"/>
            <w:tcBorders/>
            <w:shd w:fill="FFFFFF" w:val="clear"/>
            <w:tcMar>
              <w:bottom w:w="0" w:type="dxa"/>
            </w:tcMar>
            <w:vAlign w:val="bottom"/>
          </w:tcPr>
          <w:p>
            <w:pPr>
              <w:pStyle w:val="TableContents"/>
              <w:spacing w:before="0" w:after="283"/>
              <w:jc w:val="left"/>
              <w:rPr/>
            </w:pPr>
            <w:r>
              <w:rPr/>
              <w:t> </w:t>
            </w:r>
          </w:p>
        </w:tc>
        <w:tc>
          <w:tcPr>
            <w:tcW w:w="1122"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1,422,963</w:t>
            </w:r>
          </w:p>
        </w:tc>
        <w:tc>
          <w:tcPr>
            <w:tcW w:w="204" w:type="dxa"/>
            <w:tcBorders/>
            <w:shd w:fill="FFFFFF" w:val="clear"/>
            <w:tcMar>
              <w:bottom w:w="0" w:type="dxa"/>
            </w:tcMar>
            <w:vAlign w:val="bottom"/>
          </w:tcPr>
          <w:p>
            <w:pPr>
              <w:pStyle w:val="TableContents"/>
              <w:spacing w:before="0" w:after="283"/>
              <w:jc w:val="left"/>
              <w:rPr/>
            </w:pPr>
            <w:r>
              <w:rPr/>
              <w:t> </w:t>
            </w:r>
          </w:p>
        </w:tc>
        <w:tc>
          <w:tcPr>
            <w:tcW w:w="102" w:type="dxa"/>
            <w:tcBorders/>
            <w:shd w:fill="FFFFFF" w:val="clear"/>
            <w:tcMar>
              <w:bottom w:w="0" w:type="dxa"/>
            </w:tcMar>
            <w:vAlign w:val="bottom"/>
          </w:tcPr>
          <w:p>
            <w:pPr>
              <w:pStyle w:val="TableContents"/>
              <w:spacing w:before="0" w:after="283"/>
              <w:jc w:val="left"/>
              <w:rPr/>
            </w:pPr>
            <w:r>
              <w:rPr/>
              <w:t> </w:t>
            </w:r>
          </w:p>
        </w:tc>
        <w:tc>
          <w:tcPr>
            <w:tcW w:w="1122"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39</w:t>
            </w:r>
          </w:p>
        </w:tc>
        <w:tc>
          <w:tcPr>
            <w:tcW w:w="102" w:type="dxa"/>
            <w:tcBorders/>
            <w:shd w:fill="FFFFFF" w:val="clear"/>
            <w:tcMar>
              <w:bottom w:w="0" w:type="dxa"/>
            </w:tcMar>
            <w:vAlign w:val="bottom"/>
          </w:tcPr>
          <w:p>
            <w:pPr>
              <w:pStyle w:val="TableContents"/>
              <w:spacing w:before="0" w:after="283"/>
              <w:jc w:val="left"/>
              <w:rPr/>
            </w:pPr>
            <w:r>
              <w:rPr/>
              <w:t> </w:t>
            </w:r>
          </w:p>
        </w:tc>
      </w:tr>
    </w:tbl>
    <w:p>
      <w:pPr>
        <w:pStyle w:val="TextBody"/>
        <w:spacing w:lineRule="auto" w:line="300"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718" w:name="PGBRK38"/>
      <w:bookmarkStart w:id="719" w:name="PGBRK38"/>
      <w:bookmarkEnd w:id="7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20" w:name="FTR38"/>
      <w:bookmarkStart w:id="721" w:name="FTR38"/>
      <w:bookmarkEnd w:id="72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22" w:name="GLFTR38"/>
      <w:bookmarkStart w:id="723" w:name="GLFTR38"/>
      <w:bookmarkEnd w:id="7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724" w:name="PN38"/>
      <w:bookmarkEnd w:id="724"/>
      <w:r>
        <w:rPr>
          <w:rFonts w:ascii="Times New Roman" w:hAnsi="Times New Roman"/>
          <w:sz w:val="16"/>
        </w:rPr>
        <w:t>-38-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25" w:name="HDR38"/>
      <w:bookmarkStart w:id="726" w:name="HDR38"/>
      <w:bookmarkEnd w:id="72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727" w:name="GLHDR38"/>
        <w:bookmarkEnd w:id="727"/>
        <w:r>
          <w:rPr>
            <w:rStyle w:val="Emphasis"/>
            <w:rFonts w:ascii="Times New Roman" w:hAnsi="Times New Roman"/>
            <w:color w:val="000000"/>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pStyle w:val="TextBody"/>
        <w:spacing w:lineRule="auto" w:line="300" w:before="0" w:after="0"/>
        <w:ind w:left="360" w:right="0" w:hanging="360"/>
        <w:jc w:val="center"/>
        <w:rPr/>
      </w:pPr>
      <w:bookmarkStart w:id="728" w:name="part2"/>
      <w:bookmarkEnd w:id="728"/>
      <w:r>
        <w:rPr>
          <w:rStyle w:val="StrongEmphasis"/>
          <w:rFonts w:ascii="Times New Roman" w:hAnsi="Times New Roman"/>
          <w:sz w:val="20"/>
          <w:u w:val="single"/>
        </w:rPr>
        <w:t>PART II</w:t>
      </w:r>
    </w:p>
    <w:p>
      <w:pPr>
        <w:pStyle w:val="TextBody"/>
        <w:spacing w:lineRule="auto" w:line="300" w:before="0" w:after="0"/>
        <w:ind w:left="0" w:right="0" w:hanging="0"/>
        <w:jc w:val="both"/>
        <w:rPr/>
      </w:pPr>
      <w:r>
        <w:rPr/>
        <w:t> </w:t>
      </w:r>
    </w:p>
    <w:p>
      <w:pPr>
        <w:pStyle w:val="TextBody"/>
        <w:spacing w:lineRule="auto" w:line="300" w:before="0" w:after="0"/>
        <w:ind w:left="0" w:right="0" w:hanging="0"/>
        <w:jc w:val="left"/>
        <w:rPr/>
      </w:pPr>
      <w:r>
        <w:rPr/>
      </w:r>
    </w:p>
    <w:p>
      <w:pPr>
        <w:pStyle w:val="TextBody"/>
        <w:spacing w:lineRule="auto" w:line="300" w:before="0" w:after="0"/>
        <w:ind w:left="0" w:right="0" w:hanging="0"/>
        <w:jc w:val="center"/>
        <w:rPr/>
      </w:pPr>
      <w:r>
        <w:rPr>
          <w:rStyle w:val="StrongEmphasis"/>
          <w:rFonts w:ascii="Times New Roman" w:hAnsi="Times New Roman"/>
          <w:sz w:val="20"/>
          <w:u w:val="single"/>
        </w:rPr>
        <w:t>Item 5 - Market for Registrant’s Common Equity and Related Stockholder Matters</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pPr>
      <w:r>
        <w:rPr/>
      </w:r>
    </w:p>
    <w:p>
      <w:pPr>
        <w:pStyle w:val="TextBody"/>
        <w:spacing w:lineRule="auto" w:line="300" w:before="0" w:after="0"/>
        <w:ind w:left="0" w:right="0" w:hanging="0"/>
        <w:jc w:val="left"/>
        <w:rPr/>
      </w:pPr>
      <w:r>
        <w:rPr>
          <w:rStyle w:val="StrongEmphasis"/>
          <w:rFonts w:ascii="Times New Roman" w:hAnsi="Times New Roman"/>
          <w:sz w:val="20"/>
          <w:u w:val="single"/>
        </w:rPr>
        <w:t>Market Information</w:t>
      </w:r>
    </w:p>
    <w:p>
      <w:pPr>
        <w:pStyle w:val="TextBody"/>
        <w:spacing w:lineRule="auto" w:line="300" w:before="0" w:after="0"/>
        <w:ind w:left="0" w:right="0" w:hanging="0"/>
        <w:jc w:val="left"/>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Reading International, Inc., a Nevada corporation (“RDI” and collectively with our consolidated subsidiaries and corporate predecessors, the “Company,” “Reading” and “we,” “us,” or “our”), was incorporated in 1999 and, following the consummation of a consolidation transaction on December 31, 2001 (the “Consolidation”), is now the owner of the consolidated businesses and assets of Reading Entertainment, Inc. (“RDGE”), Craig Corporation (“CRG”), and Citadel Holding Corporation (“CDL”). Until the consolidation of CDL, RDGE and CRG on December 31, 2001, our common stock was listed and quoted on the American Stock Exchange (“AMEX”) under the symbols CDL.A and CDL.B. Following the consolidation, we changed our name to RDI. Effective January 2, 2002, our common stock traded on the American Stock Exchange under the symbols RDI.A and RDI.B. In March 2004, we changed our nonvoting stock symbol from RDI.A to RDI.</w:t>
      </w:r>
    </w:p>
    <w:p>
      <w:pPr>
        <w:pStyle w:val="TextBody"/>
        <w:spacing w:lineRule="auto" w:line="300" w:before="0" w:after="0"/>
        <w:ind w:left="0" w:right="0" w:firstLine="72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The following table sets forth the high and low closing prices of the RDI and RDI.B common stock for each of the quarters in 2006 and 2005 as reported by AMEX:</w:t>
      </w:r>
    </w:p>
    <w:p>
      <w:pPr>
        <w:pStyle w:val="TextBody"/>
        <w:spacing w:lineRule="auto" w:line="300" w:before="0" w:after="0"/>
        <w:ind w:left="0" w:right="0" w:firstLine="720"/>
        <w:jc w:val="both"/>
        <w:rPr/>
      </w:pPr>
      <w:r>
        <w:rPr/>
        <w:t> </w:t>
      </w:r>
    </w:p>
    <w:tbl>
      <w:tblPr>
        <w:tblW w:w="5000" w:type="pct"/>
        <w:jc w:val="left"/>
        <w:tblInd w:w="0" w:type="dxa"/>
        <w:tblCellMar>
          <w:top w:w="0" w:type="dxa"/>
          <w:left w:w="0" w:type="dxa"/>
          <w:bottom w:w="0" w:type="dxa"/>
          <w:right w:w="0" w:type="dxa"/>
        </w:tblCellMar>
      </w:tblPr>
      <w:tblGrid>
        <w:gridCol w:w="2253"/>
        <w:gridCol w:w="2386"/>
        <w:gridCol w:w="1458"/>
        <w:gridCol w:w="1325"/>
        <w:gridCol w:w="1325"/>
        <w:gridCol w:w="1458"/>
      </w:tblGrid>
      <w:tr>
        <w:trPr/>
        <w:tc>
          <w:tcPr>
            <w:tcW w:w="2253" w:type="dxa"/>
            <w:tcBorders/>
            <w:shd w:fill="auto" w:val="clear"/>
          </w:tcPr>
          <w:p>
            <w:pPr>
              <w:pStyle w:val="TableContents"/>
              <w:spacing w:before="0" w:after="283"/>
              <w:jc w:val="both"/>
              <w:rPr/>
            </w:pPr>
            <w:r>
              <w:rPr/>
              <w:t> </w:t>
            </w:r>
          </w:p>
        </w:tc>
        <w:tc>
          <w:tcPr>
            <w:tcW w:w="2386" w:type="dxa"/>
            <w:tcBorders/>
            <w:shd w:fill="auto" w:val="clear"/>
          </w:tcPr>
          <w:p>
            <w:pPr>
              <w:pStyle w:val="TableContents"/>
              <w:spacing w:before="0" w:after="283"/>
              <w:jc w:val="both"/>
              <w:rPr/>
            </w:pPr>
            <w:r>
              <w:rPr/>
              <w:t> </w:t>
            </w:r>
          </w:p>
        </w:tc>
        <w:tc>
          <w:tcPr>
            <w:tcW w:w="2783" w:type="dxa"/>
            <w:gridSpan w:val="2"/>
            <w:tcBorders/>
            <w:shd w:fill="auto" w:val="clear"/>
          </w:tcPr>
          <w:p>
            <w:pPr>
              <w:pStyle w:val="TableContents"/>
              <w:spacing w:lineRule="auto" w:line="300" w:before="0" w:after="0"/>
              <w:ind w:left="0" w:right="0" w:hanging="0"/>
              <w:jc w:val="center"/>
              <w:rPr/>
            </w:pPr>
            <w:r>
              <w:rPr>
                <w:rStyle w:val="StrongEmphasis"/>
                <w:rFonts w:ascii="Times New Roman" w:hAnsi="Times New Roman"/>
                <w:sz w:val="20"/>
              </w:rPr>
              <w:t>Class A Nonvoting</w:t>
            </w:r>
          </w:p>
        </w:tc>
        <w:tc>
          <w:tcPr>
            <w:tcW w:w="2783" w:type="dxa"/>
            <w:gridSpan w:val="2"/>
            <w:tcBorders/>
            <w:shd w:fill="auto" w:val="clear"/>
          </w:tcPr>
          <w:p>
            <w:pPr>
              <w:pStyle w:val="TableContents"/>
              <w:spacing w:lineRule="auto" w:line="300" w:before="0" w:after="0"/>
              <w:ind w:left="0" w:right="0" w:hanging="0"/>
              <w:jc w:val="center"/>
              <w:rPr/>
            </w:pPr>
            <w:r>
              <w:rPr>
                <w:rStyle w:val="StrongEmphasis"/>
                <w:rFonts w:ascii="Times New Roman" w:hAnsi="Times New Roman"/>
                <w:sz w:val="20"/>
              </w:rPr>
              <w:t>Class B Voting</w:t>
            </w:r>
          </w:p>
        </w:tc>
      </w:tr>
      <w:tr>
        <w:trPr/>
        <w:tc>
          <w:tcPr>
            <w:tcW w:w="2253" w:type="dxa"/>
            <w:tcBorders/>
            <w:shd w:fill="auto" w:val="clear"/>
          </w:tcPr>
          <w:p>
            <w:pPr>
              <w:pStyle w:val="TableContents"/>
              <w:spacing w:before="0" w:after="283"/>
              <w:rPr/>
            </w:pPr>
            <w:r>
              <w:rPr/>
              <w:t> </w:t>
            </w:r>
          </w:p>
        </w:tc>
        <w:tc>
          <w:tcPr>
            <w:tcW w:w="2386" w:type="dxa"/>
            <w:tcBorders/>
            <w:shd w:fill="auto" w:val="clear"/>
          </w:tcPr>
          <w:p>
            <w:pPr>
              <w:pStyle w:val="TableContents"/>
              <w:spacing w:before="0" w:after="283"/>
              <w:rPr/>
            </w:pPr>
            <w:r>
              <w:rPr/>
              <w:t> </w:t>
            </w:r>
          </w:p>
        </w:tc>
        <w:tc>
          <w:tcPr>
            <w:tcW w:w="2783" w:type="dxa"/>
            <w:gridSpan w:val="2"/>
            <w:tcBorders>
              <w:bottom w:val="single" w:sz="2" w:space="0" w:color="000000"/>
            </w:tcBorders>
            <w:shd w:fill="auto" w:val="clear"/>
            <w:tcMar>
              <w:bottom w:w="28" w:type="dxa"/>
            </w:tcMar>
          </w:tcPr>
          <w:p>
            <w:pPr>
              <w:pStyle w:val="TableContents"/>
              <w:spacing w:lineRule="auto" w:line="300" w:before="0" w:after="0"/>
              <w:ind w:left="0" w:right="0" w:hanging="0"/>
              <w:jc w:val="center"/>
              <w:rPr/>
            </w:pPr>
            <w:r>
              <w:rPr>
                <w:rStyle w:val="StrongEmphasis"/>
                <w:rFonts w:ascii="Times New Roman" w:hAnsi="Times New Roman"/>
                <w:sz w:val="20"/>
              </w:rPr>
              <w:t>Common Stock</w:t>
            </w:r>
          </w:p>
        </w:tc>
        <w:tc>
          <w:tcPr>
            <w:tcW w:w="2783" w:type="dxa"/>
            <w:gridSpan w:val="2"/>
            <w:tcBorders>
              <w:bottom w:val="single" w:sz="2" w:space="0" w:color="000000"/>
            </w:tcBorders>
            <w:shd w:fill="auto" w:val="clear"/>
            <w:tcMar>
              <w:bottom w:w="28" w:type="dxa"/>
            </w:tcMar>
          </w:tcPr>
          <w:p>
            <w:pPr>
              <w:pStyle w:val="TableContents"/>
              <w:spacing w:lineRule="auto" w:line="300" w:before="0" w:after="0"/>
              <w:ind w:left="0" w:right="0" w:hanging="0"/>
              <w:jc w:val="center"/>
              <w:rPr/>
            </w:pPr>
            <w:r>
              <w:rPr>
                <w:rStyle w:val="StrongEmphasis"/>
                <w:rFonts w:ascii="Times New Roman" w:hAnsi="Times New Roman"/>
                <w:sz w:val="20"/>
              </w:rPr>
              <w:t>Common Stock</w:t>
            </w:r>
          </w:p>
        </w:tc>
      </w:tr>
      <w:tr>
        <w:trPr/>
        <w:tc>
          <w:tcPr>
            <w:tcW w:w="2253" w:type="dxa"/>
            <w:tcBorders>
              <w:bottom w:val="double" w:sz="2" w:space="0" w:color="000000"/>
            </w:tcBorders>
            <w:shd w:fill="auto" w:val="clear"/>
            <w:tcMar>
              <w:bottom w:w="28" w:type="dxa"/>
            </w:tcMar>
          </w:tcPr>
          <w:p>
            <w:pPr>
              <w:pStyle w:val="TableContents"/>
              <w:spacing w:before="0" w:after="283"/>
              <w:rPr/>
            </w:pPr>
            <w:r>
              <w:rPr/>
              <w:t> </w:t>
            </w:r>
          </w:p>
        </w:tc>
        <w:tc>
          <w:tcPr>
            <w:tcW w:w="2386" w:type="dxa"/>
            <w:tcBorders>
              <w:bottom w:val="double" w:sz="2" w:space="0" w:color="000000"/>
            </w:tcBorders>
            <w:shd w:fill="auto" w:val="clear"/>
            <w:tcMar>
              <w:bottom w:w="28" w:type="dxa"/>
            </w:tcMar>
          </w:tcPr>
          <w:p>
            <w:pPr>
              <w:pStyle w:val="TableContents"/>
              <w:spacing w:before="0" w:after="283"/>
              <w:rPr/>
            </w:pPr>
            <w:r>
              <w:rPr/>
              <w:t> </w:t>
            </w:r>
          </w:p>
        </w:tc>
        <w:tc>
          <w:tcPr>
            <w:tcW w:w="1458" w:type="dxa"/>
            <w:tcBorders>
              <w:bottom w:val="double" w:sz="2" w:space="0" w:color="000000"/>
            </w:tcBorders>
            <w:shd w:fill="auto" w:val="clear"/>
            <w:tcMar>
              <w:bottom w:w="28" w:type="dxa"/>
            </w:tcMar>
          </w:tcPr>
          <w:p>
            <w:pPr>
              <w:pStyle w:val="TableContents"/>
              <w:spacing w:lineRule="auto" w:line="300" w:before="0" w:after="0"/>
              <w:ind w:left="0" w:right="0" w:hanging="0"/>
              <w:jc w:val="center"/>
              <w:rPr/>
            </w:pPr>
            <w:r>
              <w:rPr>
                <w:rStyle w:val="StrongEmphasis"/>
                <w:rFonts w:ascii="Times New Roman" w:hAnsi="Times New Roman"/>
                <w:sz w:val="20"/>
              </w:rPr>
              <w:t>High</w:t>
            </w:r>
          </w:p>
        </w:tc>
        <w:tc>
          <w:tcPr>
            <w:tcW w:w="1325" w:type="dxa"/>
            <w:tcBorders>
              <w:bottom w:val="double" w:sz="2" w:space="0" w:color="000000"/>
            </w:tcBorders>
            <w:shd w:fill="auto" w:val="clear"/>
            <w:tcMar>
              <w:bottom w:w="28" w:type="dxa"/>
            </w:tcMar>
          </w:tcPr>
          <w:p>
            <w:pPr>
              <w:pStyle w:val="TableContents"/>
              <w:spacing w:lineRule="auto" w:line="300" w:before="0" w:after="0"/>
              <w:ind w:left="0" w:right="0" w:hanging="0"/>
              <w:jc w:val="center"/>
              <w:rPr/>
            </w:pPr>
            <w:r>
              <w:rPr>
                <w:rStyle w:val="StrongEmphasis"/>
                <w:rFonts w:ascii="Times New Roman" w:hAnsi="Times New Roman"/>
                <w:sz w:val="20"/>
              </w:rPr>
              <w:t>Low</w:t>
            </w:r>
          </w:p>
        </w:tc>
        <w:tc>
          <w:tcPr>
            <w:tcW w:w="1325" w:type="dxa"/>
            <w:tcBorders>
              <w:bottom w:val="double" w:sz="2" w:space="0" w:color="000000"/>
            </w:tcBorders>
            <w:shd w:fill="auto" w:val="clear"/>
            <w:tcMar>
              <w:bottom w:w="28" w:type="dxa"/>
            </w:tcMar>
          </w:tcPr>
          <w:p>
            <w:pPr>
              <w:pStyle w:val="TableContents"/>
              <w:spacing w:lineRule="auto" w:line="300" w:before="0" w:after="0"/>
              <w:ind w:left="0" w:right="0" w:hanging="0"/>
              <w:jc w:val="center"/>
              <w:rPr/>
            </w:pPr>
            <w:r>
              <w:rPr>
                <w:rStyle w:val="StrongEmphasis"/>
                <w:rFonts w:ascii="Times New Roman" w:hAnsi="Times New Roman"/>
                <w:sz w:val="20"/>
              </w:rPr>
              <w:t>High</w:t>
            </w:r>
          </w:p>
        </w:tc>
        <w:tc>
          <w:tcPr>
            <w:tcW w:w="1458" w:type="dxa"/>
            <w:tcBorders>
              <w:bottom w:val="double" w:sz="2" w:space="0" w:color="000000"/>
            </w:tcBorders>
            <w:shd w:fill="auto" w:val="clear"/>
            <w:tcMar>
              <w:bottom w:w="28" w:type="dxa"/>
            </w:tcMar>
          </w:tcPr>
          <w:p>
            <w:pPr>
              <w:pStyle w:val="TableContents"/>
              <w:spacing w:lineRule="auto" w:line="300" w:before="0" w:after="0"/>
              <w:ind w:left="0" w:right="0" w:hanging="0"/>
              <w:jc w:val="center"/>
              <w:rPr/>
            </w:pPr>
            <w:r>
              <w:rPr>
                <w:rStyle w:val="StrongEmphasis"/>
                <w:rFonts w:ascii="Times New Roman" w:hAnsi="Times New Roman"/>
                <w:sz w:val="20"/>
              </w:rPr>
              <w:t>Low</w:t>
            </w:r>
          </w:p>
        </w:tc>
      </w:tr>
      <w:tr>
        <w:trPr/>
        <w:tc>
          <w:tcPr>
            <w:tcW w:w="2253" w:type="dxa"/>
            <w:tcBorders/>
            <w:shd w:fill="auto" w:val="clear"/>
          </w:tcPr>
          <w:p>
            <w:pPr>
              <w:pStyle w:val="TableContents"/>
              <w:spacing w:before="0" w:after="283"/>
              <w:rPr/>
            </w:pPr>
            <w:r>
              <w:rPr/>
              <w:t> </w:t>
            </w:r>
          </w:p>
        </w:tc>
        <w:tc>
          <w:tcPr>
            <w:tcW w:w="2386" w:type="dxa"/>
            <w:tcBorders/>
            <w:shd w:fill="auto" w:val="clear"/>
          </w:tcPr>
          <w:p>
            <w:pPr>
              <w:pStyle w:val="TableContents"/>
              <w:spacing w:before="0" w:after="283"/>
              <w:jc w:val="left"/>
              <w:rPr/>
            </w:pPr>
            <w:r>
              <w:rPr/>
              <w:t> </w:t>
            </w:r>
          </w:p>
        </w:tc>
        <w:tc>
          <w:tcPr>
            <w:tcW w:w="1458" w:type="dxa"/>
            <w:tcBorders/>
            <w:shd w:fill="auto" w:val="clear"/>
          </w:tcPr>
          <w:p>
            <w:pPr>
              <w:pStyle w:val="TableContents"/>
              <w:spacing w:before="0" w:after="283"/>
              <w:jc w:val="both"/>
              <w:rPr/>
            </w:pPr>
            <w:r>
              <w:rPr/>
              <w:t> </w:t>
            </w:r>
          </w:p>
        </w:tc>
        <w:tc>
          <w:tcPr>
            <w:tcW w:w="1325" w:type="dxa"/>
            <w:tcBorders/>
            <w:shd w:fill="auto" w:val="clear"/>
          </w:tcPr>
          <w:p>
            <w:pPr>
              <w:pStyle w:val="TableContents"/>
              <w:spacing w:before="0" w:after="283"/>
              <w:jc w:val="both"/>
              <w:rPr/>
            </w:pPr>
            <w:r>
              <w:rPr/>
              <w:t> </w:t>
            </w:r>
          </w:p>
        </w:tc>
        <w:tc>
          <w:tcPr>
            <w:tcW w:w="1325" w:type="dxa"/>
            <w:tcBorders/>
            <w:shd w:fill="auto" w:val="clear"/>
          </w:tcPr>
          <w:p>
            <w:pPr>
              <w:pStyle w:val="TableContents"/>
              <w:spacing w:before="0" w:after="283"/>
              <w:jc w:val="both"/>
              <w:rPr/>
            </w:pPr>
            <w:r>
              <w:rPr/>
              <w:t> </w:t>
            </w:r>
          </w:p>
        </w:tc>
        <w:tc>
          <w:tcPr>
            <w:tcW w:w="1458" w:type="dxa"/>
            <w:tcBorders/>
            <w:shd w:fill="auto" w:val="clear"/>
          </w:tcPr>
          <w:p>
            <w:pPr>
              <w:pStyle w:val="TableContents"/>
              <w:spacing w:before="0" w:after="283"/>
              <w:jc w:val="both"/>
              <w:rPr/>
            </w:pPr>
            <w:r>
              <w:rPr/>
              <w:t> </w:t>
            </w:r>
          </w:p>
        </w:tc>
      </w:tr>
      <w:tr>
        <w:trPr/>
        <w:tc>
          <w:tcPr>
            <w:tcW w:w="2253" w:type="dxa"/>
            <w:tcBorders>
              <w:bottom w:val="single" w:sz="2" w:space="0" w:color="000000"/>
            </w:tcBorders>
            <w:shd w:fill="CCEEFF" w:val="clear"/>
            <w:tcMar>
              <w:bottom w:w="28" w:type="dxa"/>
            </w:tcMar>
          </w:tcPr>
          <w:p>
            <w:pPr>
              <w:pStyle w:val="TableContents"/>
              <w:spacing w:lineRule="auto" w:line="300" w:before="0" w:after="0"/>
              <w:ind w:left="0" w:right="0" w:hanging="0"/>
              <w:jc w:val="center"/>
              <w:rPr/>
            </w:pPr>
            <w:r>
              <w:rPr>
                <w:rStyle w:val="StrongEmphasis"/>
                <w:rFonts w:ascii="Times New Roman" w:hAnsi="Times New Roman"/>
                <w:sz w:val="20"/>
              </w:rPr>
              <w:t>2006:</w:t>
            </w:r>
          </w:p>
        </w:tc>
        <w:tc>
          <w:tcPr>
            <w:tcW w:w="2386" w:type="dxa"/>
            <w:tcBorders/>
            <w:shd w:fill="CCEEFF" w:val="cle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Fourth Quarter</w:t>
            </w:r>
          </w:p>
        </w:tc>
        <w:tc>
          <w:tcPr>
            <w:tcW w:w="1458" w:type="dxa"/>
            <w:tcBorders/>
            <w:shd w:fill="CCEEFF" w:val="clear"/>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$8.53</w:t>
            </w:r>
          </w:p>
        </w:tc>
        <w:tc>
          <w:tcPr>
            <w:tcW w:w="1325" w:type="dxa"/>
            <w:tcBorders/>
            <w:shd w:fill="CCEEFF" w:val="clear"/>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$7.77</w:t>
            </w:r>
          </w:p>
        </w:tc>
        <w:tc>
          <w:tcPr>
            <w:tcW w:w="1325" w:type="dxa"/>
            <w:tcBorders/>
            <w:shd w:fill="CCEEFF" w:val="clear"/>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$8.35</w:t>
            </w:r>
          </w:p>
        </w:tc>
        <w:tc>
          <w:tcPr>
            <w:tcW w:w="1458" w:type="dxa"/>
            <w:tcBorders/>
            <w:shd w:fill="CCEEFF" w:val="clear"/>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$7.65</w:t>
            </w:r>
          </w:p>
        </w:tc>
      </w:tr>
      <w:tr>
        <w:trPr/>
        <w:tc>
          <w:tcPr>
            <w:tcW w:w="2253" w:type="dxa"/>
            <w:tcBorders/>
            <w:shd w:fill="FFFFFF" w:val="clear"/>
          </w:tcPr>
          <w:p>
            <w:pPr>
              <w:pStyle w:val="TableContents"/>
              <w:spacing w:before="0" w:after="283"/>
              <w:rPr/>
            </w:pPr>
            <w:r>
              <w:rPr/>
              <w:t> </w:t>
            </w:r>
          </w:p>
        </w:tc>
        <w:tc>
          <w:tcPr>
            <w:tcW w:w="2386" w:type="dxa"/>
            <w:tcBorders/>
            <w:shd w:fill="FFFFFF" w:val="cle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Third Quarter</w:t>
            </w:r>
          </w:p>
        </w:tc>
        <w:tc>
          <w:tcPr>
            <w:tcW w:w="1458" w:type="dxa"/>
            <w:tcBorders/>
            <w:shd w:fill="FFFFFF" w:val="clear"/>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$8.18</w:t>
            </w:r>
          </w:p>
        </w:tc>
        <w:tc>
          <w:tcPr>
            <w:tcW w:w="1325" w:type="dxa"/>
            <w:tcBorders/>
            <w:shd w:fill="FFFFFF" w:val="clear"/>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$7.75</w:t>
            </w:r>
          </w:p>
        </w:tc>
        <w:tc>
          <w:tcPr>
            <w:tcW w:w="1325" w:type="dxa"/>
            <w:tcBorders/>
            <w:shd w:fill="FFFFFF" w:val="clear"/>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$8.00</w:t>
            </w:r>
          </w:p>
        </w:tc>
        <w:tc>
          <w:tcPr>
            <w:tcW w:w="1458" w:type="dxa"/>
            <w:tcBorders/>
            <w:shd w:fill="FFFFFF" w:val="clear"/>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$7.35</w:t>
            </w:r>
          </w:p>
        </w:tc>
      </w:tr>
      <w:tr>
        <w:trPr/>
        <w:tc>
          <w:tcPr>
            <w:tcW w:w="2253" w:type="dxa"/>
            <w:tcBorders/>
            <w:shd w:fill="CCEEFF" w:val="clear"/>
          </w:tcPr>
          <w:p>
            <w:pPr>
              <w:pStyle w:val="TableContents"/>
              <w:spacing w:before="0" w:after="283"/>
              <w:rPr/>
            </w:pPr>
            <w:r>
              <w:rPr/>
              <w:t> </w:t>
            </w:r>
          </w:p>
        </w:tc>
        <w:tc>
          <w:tcPr>
            <w:tcW w:w="2386" w:type="dxa"/>
            <w:tcBorders/>
            <w:shd w:fill="CCEEFF" w:val="cle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Second Quarter</w:t>
            </w:r>
          </w:p>
        </w:tc>
        <w:tc>
          <w:tcPr>
            <w:tcW w:w="1458" w:type="dxa"/>
            <w:tcBorders/>
            <w:shd w:fill="CCEEFF" w:val="clear"/>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$8.42</w:t>
            </w:r>
          </w:p>
        </w:tc>
        <w:tc>
          <w:tcPr>
            <w:tcW w:w="1325" w:type="dxa"/>
            <w:tcBorders/>
            <w:shd w:fill="CCEEFF" w:val="clear"/>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$7.89</w:t>
            </w:r>
          </w:p>
        </w:tc>
        <w:tc>
          <w:tcPr>
            <w:tcW w:w="1325" w:type="dxa"/>
            <w:tcBorders/>
            <w:shd w:fill="CCEEFF" w:val="clear"/>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$8.35</w:t>
            </w:r>
          </w:p>
        </w:tc>
        <w:tc>
          <w:tcPr>
            <w:tcW w:w="1458" w:type="dxa"/>
            <w:tcBorders/>
            <w:shd w:fill="CCEEFF" w:val="clear"/>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$7.50</w:t>
            </w:r>
          </w:p>
        </w:tc>
      </w:tr>
      <w:tr>
        <w:trPr/>
        <w:tc>
          <w:tcPr>
            <w:tcW w:w="2253" w:type="dxa"/>
            <w:tcBorders/>
            <w:shd w:fill="FFFFFF" w:val="clear"/>
          </w:tcPr>
          <w:p>
            <w:pPr>
              <w:pStyle w:val="TableContents"/>
              <w:spacing w:before="0" w:after="283"/>
              <w:rPr/>
            </w:pPr>
            <w:r>
              <w:rPr/>
              <w:t> </w:t>
            </w:r>
          </w:p>
        </w:tc>
        <w:tc>
          <w:tcPr>
            <w:tcW w:w="2386" w:type="dxa"/>
            <w:tcBorders/>
            <w:shd w:fill="FFFFFF" w:val="cle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First Quarter</w:t>
            </w:r>
          </w:p>
        </w:tc>
        <w:tc>
          <w:tcPr>
            <w:tcW w:w="1458" w:type="dxa"/>
            <w:tcBorders/>
            <w:shd w:fill="FFFFFF" w:val="clear"/>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$8.62</w:t>
            </w:r>
          </w:p>
        </w:tc>
        <w:tc>
          <w:tcPr>
            <w:tcW w:w="1325" w:type="dxa"/>
            <w:tcBorders/>
            <w:shd w:fill="FFFFFF" w:val="clear"/>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$7.50</w:t>
            </w:r>
          </w:p>
        </w:tc>
        <w:tc>
          <w:tcPr>
            <w:tcW w:w="1325" w:type="dxa"/>
            <w:tcBorders/>
            <w:shd w:fill="FFFFFF" w:val="clear"/>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$8.60</w:t>
            </w:r>
          </w:p>
        </w:tc>
        <w:tc>
          <w:tcPr>
            <w:tcW w:w="1458" w:type="dxa"/>
            <w:tcBorders/>
            <w:shd w:fill="FFFFFF" w:val="clear"/>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$7.30</w:t>
            </w:r>
          </w:p>
        </w:tc>
      </w:tr>
      <w:tr>
        <w:trPr/>
        <w:tc>
          <w:tcPr>
            <w:tcW w:w="2253" w:type="dxa"/>
            <w:tcBorders/>
            <w:shd w:fill="CCEEFF" w:val="clear"/>
          </w:tcPr>
          <w:p>
            <w:pPr>
              <w:pStyle w:val="TableContents"/>
              <w:spacing w:before="0" w:after="283"/>
              <w:rPr/>
            </w:pPr>
            <w:r>
              <w:rPr/>
              <w:t> </w:t>
            </w:r>
          </w:p>
        </w:tc>
        <w:tc>
          <w:tcPr>
            <w:tcW w:w="2386" w:type="dxa"/>
            <w:tcBorders/>
            <w:shd w:fill="CCEEFF" w:val="clear"/>
          </w:tcPr>
          <w:p>
            <w:pPr>
              <w:pStyle w:val="TableContents"/>
              <w:spacing w:before="0" w:after="283"/>
              <w:jc w:val="left"/>
              <w:rPr/>
            </w:pPr>
            <w:r>
              <w:rPr/>
              <w:t> </w:t>
            </w:r>
          </w:p>
        </w:tc>
        <w:tc>
          <w:tcPr>
            <w:tcW w:w="1458" w:type="dxa"/>
            <w:tcBorders/>
            <w:shd w:fill="CCEEFF" w:val="clear"/>
          </w:tcPr>
          <w:p>
            <w:pPr>
              <w:pStyle w:val="TableContents"/>
              <w:spacing w:before="0" w:after="0"/>
              <w:ind w:left="0" w:right="0" w:hanging="0"/>
              <w:jc w:val="center"/>
              <w:rPr/>
            </w:pPr>
            <w:r>
              <w:rPr/>
              <w:t> </w:t>
            </w:r>
          </w:p>
        </w:tc>
        <w:tc>
          <w:tcPr>
            <w:tcW w:w="1325" w:type="dxa"/>
            <w:tcBorders/>
            <w:shd w:fill="CCEEFF" w:val="clear"/>
          </w:tcPr>
          <w:p>
            <w:pPr>
              <w:pStyle w:val="TableContents"/>
              <w:spacing w:before="0" w:after="283"/>
              <w:jc w:val="both"/>
              <w:rPr/>
            </w:pPr>
            <w:r>
              <w:rPr/>
              <w:t> </w:t>
            </w:r>
          </w:p>
        </w:tc>
        <w:tc>
          <w:tcPr>
            <w:tcW w:w="1325" w:type="dxa"/>
            <w:tcBorders/>
            <w:shd w:fill="CCEEFF" w:val="clear"/>
          </w:tcPr>
          <w:p>
            <w:pPr>
              <w:pStyle w:val="TableContents"/>
              <w:spacing w:before="0" w:after="283"/>
              <w:jc w:val="both"/>
              <w:rPr/>
            </w:pPr>
            <w:r>
              <w:rPr/>
              <w:t> </w:t>
            </w:r>
          </w:p>
        </w:tc>
        <w:tc>
          <w:tcPr>
            <w:tcW w:w="1458" w:type="dxa"/>
            <w:tcBorders/>
            <w:shd w:fill="CCEEFF" w:val="clear"/>
          </w:tcPr>
          <w:p>
            <w:pPr>
              <w:pStyle w:val="TableContents"/>
              <w:spacing w:before="0" w:after="283"/>
              <w:jc w:val="both"/>
              <w:rPr/>
            </w:pPr>
            <w:r>
              <w:rPr/>
              <w:t> </w:t>
            </w:r>
          </w:p>
        </w:tc>
      </w:tr>
      <w:tr>
        <w:trPr/>
        <w:tc>
          <w:tcPr>
            <w:tcW w:w="2253" w:type="dxa"/>
            <w:tcBorders>
              <w:bottom w:val="single" w:sz="2" w:space="0" w:color="000000"/>
            </w:tcBorders>
            <w:shd w:fill="FFFFFF" w:val="clear"/>
            <w:tcMar>
              <w:bottom w:w="28" w:type="dxa"/>
            </w:tcMar>
          </w:tcPr>
          <w:p>
            <w:pPr>
              <w:pStyle w:val="TableContents"/>
              <w:spacing w:lineRule="auto" w:line="300" w:before="0" w:after="0"/>
              <w:ind w:left="0" w:right="0" w:hanging="0"/>
              <w:jc w:val="center"/>
              <w:rPr/>
            </w:pPr>
            <w:r>
              <w:rPr>
                <w:rStyle w:val="StrongEmphasis"/>
                <w:rFonts w:ascii="Times New Roman" w:hAnsi="Times New Roman"/>
                <w:sz w:val="20"/>
              </w:rPr>
              <w:t>2005:</w:t>
            </w:r>
          </w:p>
        </w:tc>
        <w:tc>
          <w:tcPr>
            <w:tcW w:w="2386" w:type="dxa"/>
            <w:tcBorders/>
            <w:shd w:fill="FFFFFF" w:val="cle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Fourth Quarter</w:t>
            </w:r>
          </w:p>
        </w:tc>
        <w:tc>
          <w:tcPr>
            <w:tcW w:w="1458" w:type="dxa"/>
            <w:tcBorders/>
            <w:shd w:fill="FFFFFF" w:val="clear"/>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$8.25</w:t>
            </w:r>
          </w:p>
        </w:tc>
        <w:tc>
          <w:tcPr>
            <w:tcW w:w="1325" w:type="dxa"/>
            <w:tcBorders/>
            <w:shd w:fill="FFFFFF" w:val="clear"/>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$7.52</w:t>
            </w:r>
          </w:p>
        </w:tc>
        <w:tc>
          <w:tcPr>
            <w:tcW w:w="1325" w:type="dxa"/>
            <w:tcBorders/>
            <w:shd w:fill="FFFFFF" w:val="clear"/>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$8.00</w:t>
            </w:r>
          </w:p>
        </w:tc>
        <w:tc>
          <w:tcPr>
            <w:tcW w:w="1458" w:type="dxa"/>
            <w:tcBorders/>
            <w:shd w:fill="FFFFFF" w:val="clear"/>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$7.40</w:t>
            </w:r>
          </w:p>
        </w:tc>
      </w:tr>
      <w:tr>
        <w:trPr/>
        <w:tc>
          <w:tcPr>
            <w:tcW w:w="2253" w:type="dxa"/>
            <w:tcBorders/>
            <w:shd w:fill="CCEEFF" w:val="clear"/>
          </w:tcPr>
          <w:p>
            <w:pPr>
              <w:pStyle w:val="TableContents"/>
              <w:spacing w:before="0" w:after="283"/>
              <w:rPr/>
            </w:pPr>
            <w:r>
              <w:rPr/>
              <w:t> </w:t>
            </w:r>
          </w:p>
        </w:tc>
        <w:tc>
          <w:tcPr>
            <w:tcW w:w="2386" w:type="dxa"/>
            <w:tcBorders/>
            <w:shd w:fill="CCEEFF" w:val="cle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Third Quarter</w:t>
            </w:r>
          </w:p>
        </w:tc>
        <w:tc>
          <w:tcPr>
            <w:tcW w:w="1458" w:type="dxa"/>
            <w:tcBorders/>
            <w:shd w:fill="CCEEFF" w:val="clear"/>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$8.40</w:t>
            </w:r>
          </w:p>
        </w:tc>
        <w:tc>
          <w:tcPr>
            <w:tcW w:w="1325" w:type="dxa"/>
            <w:tcBorders/>
            <w:shd w:fill="CCEEFF" w:val="clear"/>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$7.18</w:t>
            </w:r>
          </w:p>
        </w:tc>
        <w:tc>
          <w:tcPr>
            <w:tcW w:w="1325" w:type="dxa"/>
            <w:tcBorders/>
            <w:shd w:fill="CCEEFF" w:val="clear"/>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$8.20</w:t>
            </w:r>
          </w:p>
        </w:tc>
        <w:tc>
          <w:tcPr>
            <w:tcW w:w="1458" w:type="dxa"/>
            <w:tcBorders/>
            <w:shd w:fill="CCEEFF" w:val="clear"/>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$7.10</w:t>
            </w:r>
          </w:p>
        </w:tc>
      </w:tr>
      <w:tr>
        <w:trPr/>
        <w:tc>
          <w:tcPr>
            <w:tcW w:w="2253" w:type="dxa"/>
            <w:tcBorders/>
            <w:shd w:fill="FFFFFF" w:val="clear"/>
          </w:tcPr>
          <w:p>
            <w:pPr>
              <w:pStyle w:val="TableContents"/>
              <w:spacing w:before="0" w:after="283"/>
              <w:rPr/>
            </w:pPr>
            <w:r>
              <w:rPr/>
              <w:t> </w:t>
            </w:r>
          </w:p>
        </w:tc>
        <w:tc>
          <w:tcPr>
            <w:tcW w:w="2386" w:type="dxa"/>
            <w:tcBorders/>
            <w:shd w:fill="FFFFFF" w:val="cle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Second Quarter</w:t>
            </w:r>
          </w:p>
        </w:tc>
        <w:tc>
          <w:tcPr>
            <w:tcW w:w="1458" w:type="dxa"/>
            <w:tcBorders/>
            <w:shd w:fill="FFFFFF" w:val="clear"/>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$7.50</w:t>
            </w:r>
          </w:p>
        </w:tc>
        <w:tc>
          <w:tcPr>
            <w:tcW w:w="1325" w:type="dxa"/>
            <w:tcBorders/>
            <w:shd w:fill="FFFFFF" w:val="clear"/>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$6.01</w:t>
            </w:r>
          </w:p>
        </w:tc>
        <w:tc>
          <w:tcPr>
            <w:tcW w:w="1325" w:type="dxa"/>
            <w:tcBorders/>
            <w:shd w:fill="FFFFFF" w:val="clear"/>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$7.40</w:t>
            </w:r>
          </w:p>
        </w:tc>
        <w:tc>
          <w:tcPr>
            <w:tcW w:w="1458" w:type="dxa"/>
            <w:tcBorders/>
            <w:shd w:fill="FFFFFF" w:val="clear"/>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$6.05</w:t>
            </w:r>
          </w:p>
        </w:tc>
      </w:tr>
      <w:tr>
        <w:trPr/>
        <w:tc>
          <w:tcPr>
            <w:tcW w:w="2253" w:type="dxa"/>
            <w:tcBorders/>
            <w:shd w:fill="CCEEFF" w:val="clear"/>
          </w:tcPr>
          <w:p>
            <w:pPr>
              <w:pStyle w:val="TableContents"/>
              <w:spacing w:before="0" w:after="283"/>
              <w:rPr/>
            </w:pPr>
            <w:r>
              <w:rPr/>
              <w:t> </w:t>
            </w:r>
          </w:p>
        </w:tc>
        <w:tc>
          <w:tcPr>
            <w:tcW w:w="2386" w:type="dxa"/>
            <w:tcBorders/>
            <w:shd w:fill="CCEEFF" w:val="cle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First Quarter</w:t>
            </w:r>
          </w:p>
        </w:tc>
        <w:tc>
          <w:tcPr>
            <w:tcW w:w="1458" w:type="dxa"/>
            <w:tcBorders/>
            <w:shd w:fill="CCEEFF" w:val="clear"/>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$8.19</w:t>
            </w:r>
          </w:p>
        </w:tc>
        <w:tc>
          <w:tcPr>
            <w:tcW w:w="1325" w:type="dxa"/>
            <w:tcBorders/>
            <w:shd w:fill="CCEEFF" w:val="clear"/>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$6.81</w:t>
            </w:r>
          </w:p>
        </w:tc>
        <w:tc>
          <w:tcPr>
            <w:tcW w:w="1325" w:type="dxa"/>
            <w:tcBorders/>
            <w:shd w:fill="CCEEFF" w:val="clear"/>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$8.20</w:t>
            </w:r>
          </w:p>
        </w:tc>
        <w:tc>
          <w:tcPr>
            <w:tcW w:w="1458" w:type="dxa"/>
            <w:tcBorders/>
            <w:shd w:fill="CCEEFF" w:val="clear"/>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$7.20</w:t>
            </w:r>
          </w:p>
        </w:tc>
      </w:tr>
    </w:tbl>
    <w:p>
      <w:pPr>
        <w:pStyle w:val="TextBody"/>
        <w:spacing w:lineRule="auto" w:line="300" w:before="0" w:after="0"/>
        <w:ind w:left="0" w:right="0" w:firstLine="720"/>
        <w:jc w:val="both"/>
        <w:rPr/>
      </w:pPr>
      <w:r>
        <w:rPr/>
        <w:t> </w:t>
      </w:r>
    </w:p>
    <w:p>
      <w:pPr>
        <w:pStyle w:val="TextBody"/>
        <w:spacing w:lineRule="auto" w:line="300" w:before="0" w:after="0"/>
        <w:ind w:left="0" w:right="0" w:hanging="0"/>
        <w:jc w:val="both"/>
        <w:rPr/>
      </w:pPr>
      <w:r>
        <w:rPr/>
      </w:r>
    </w:p>
    <w:p>
      <w:pPr>
        <w:pStyle w:val="TextBody"/>
        <w:spacing w:lineRule="auto" w:line="300" w:before="0" w:after="0"/>
        <w:ind w:left="0" w:right="0" w:hanging="0"/>
        <w:jc w:val="left"/>
        <w:rPr/>
      </w:pPr>
      <w:r>
        <w:rPr>
          <w:rStyle w:val="StrongEmphasis"/>
          <w:rFonts w:ascii="Times New Roman" w:hAnsi="Times New Roman"/>
          <w:sz w:val="20"/>
          <w:u w:val="single"/>
        </w:rPr>
        <w:t>Holders of Record</w:t>
      </w:r>
    </w:p>
    <w:p>
      <w:pPr>
        <w:pStyle w:val="TextBody"/>
        <w:spacing w:lineRule="auto" w:line="300" w:before="0" w:after="0"/>
        <w:ind w:left="0" w:right="0" w:hanging="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The number of holders of record of our Class A and Class B Stock in 2006 was approximately 3,500 and 300, respectively. On March 28, 2007, the closing price per share of our Class A Stock was $8.54, and the closing price per share of our Class B Stock was $8.40.</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pPr>
      <w:r>
        <w:rPr/>
      </w:r>
    </w:p>
    <w:p>
      <w:pPr>
        <w:pStyle w:val="TextBody"/>
        <w:spacing w:lineRule="auto" w:line="300" w:before="0" w:after="0"/>
        <w:ind w:left="0" w:right="0" w:hanging="0"/>
        <w:jc w:val="both"/>
        <w:rPr/>
      </w:pPr>
      <w:r>
        <w:rPr>
          <w:rStyle w:val="StrongEmphasis"/>
          <w:rFonts w:ascii="Times New Roman" w:hAnsi="Times New Roman"/>
          <w:sz w:val="20"/>
          <w:u w:val="single"/>
        </w:rPr>
        <w:t>Dividends on Common Stock</w:t>
      </w:r>
    </w:p>
    <w:p>
      <w:pPr>
        <w:pStyle w:val="TextBody"/>
        <w:spacing w:lineRule="auto" w:line="300" w:before="0" w:after="0"/>
        <w:ind w:left="0" w:right="0" w:hanging="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We have never declared a cash dividend on our common stock and we have no current plans to declare a dividend; however, we review this matter on an ongoing basis.</w:t>
      </w:r>
    </w:p>
    <w:p>
      <w:pPr>
        <w:pStyle w:val="TextBody"/>
        <w:spacing w:lineRule="auto" w:line="300" w:before="0" w:after="0"/>
        <w:ind w:left="0" w:right="0" w:firstLine="72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729" w:name="PGBRK39"/>
      <w:bookmarkStart w:id="730" w:name="PGBRK39"/>
      <w:bookmarkEnd w:id="73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31" w:name="FTR39"/>
      <w:bookmarkStart w:id="732" w:name="FTR39"/>
      <w:bookmarkEnd w:id="7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33" w:name="GLFTR39"/>
      <w:bookmarkStart w:id="734" w:name="GLFTR39"/>
      <w:bookmarkEnd w:id="73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735" w:name="PN39"/>
      <w:bookmarkEnd w:id="735"/>
      <w:r>
        <w:rPr>
          <w:rFonts w:ascii="Times New Roman" w:hAnsi="Times New Roman"/>
          <w:sz w:val="16"/>
        </w:rPr>
        <w:t>-39-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36" w:name="HDR39"/>
      <w:bookmarkStart w:id="737" w:name="HDR39"/>
      <w:bookmarkEnd w:id="73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738" w:name="GLHDR39"/>
        <w:bookmarkEnd w:id="738"/>
        <w:r>
          <w:rPr>
            <w:rStyle w:val="Emphasis"/>
            <w:rFonts w:ascii="Times New Roman" w:hAnsi="Times New Roman"/>
            <w:color w:val="000000"/>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300" w:before="0" w:after="0"/>
        <w:ind w:left="0" w:right="0" w:hanging="0"/>
        <w:jc w:val="center"/>
        <w:rPr/>
      </w:pPr>
      <w:bookmarkStart w:id="739" w:name="item6"/>
      <w:bookmarkEnd w:id="739"/>
      <w:r>
        <w:rPr>
          <w:rStyle w:val="StrongEmphasis"/>
          <w:rFonts w:ascii="Times New Roman" w:hAnsi="Times New Roman"/>
          <w:sz w:val="20"/>
          <w:u w:val="single"/>
        </w:rPr>
        <w:t>Item 6 - Selected Financial Data</w:t>
      </w:r>
    </w:p>
    <w:p>
      <w:pPr>
        <w:pStyle w:val="TextBody"/>
        <w:spacing w:lineRule="auto" w:line="300" w:before="0" w:after="0"/>
        <w:ind w:left="0" w:right="0" w:hanging="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The table below sets forth certain historical financial data regarding our Company. This information is derived in part from, and should be read in conjunction with our consolidated financial statements included in Item 8 of this Annual Report on Form 10-K for the year ended December 31, 2006 (the “2006 Annual Report”), and the related notes to the consolidated financial statements (dollars in thousands, except per share amounts).</w:t>
      </w:r>
    </w:p>
    <w:p>
      <w:pPr>
        <w:pStyle w:val="TextBody"/>
        <w:spacing w:lineRule="auto" w:line="300" w:before="0" w:after="0"/>
        <w:ind w:left="0" w:right="0" w:hanging="0"/>
        <w:jc w:val="left"/>
        <w:rPr/>
      </w:pPr>
      <w:r>
        <w:rPr/>
      </w:r>
    </w:p>
    <w:p>
      <w:pPr>
        <w:pStyle w:val="Normal"/>
        <w:spacing w:before="0" w:after="0"/>
        <w:rPr>
          <w:sz w:val="4"/>
          <w:szCs w:val="4"/>
        </w:rPr>
      </w:pPr>
      <w:r>
        <w:rPr>
          <w:sz w:val="4"/>
          <w:szCs w:val="4"/>
        </w:rPr>
      </w:r>
      <w:bookmarkStart w:id="740" w:name="ftable4"/>
      <w:bookmarkStart w:id="741" w:name="ftable4"/>
      <w:bookmarkEnd w:id="741"/>
    </w:p>
    <w:tbl>
      <w:tblPr>
        <w:tblW w:w="5000" w:type="pct"/>
        <w:jc w:val="left"/>
        <w:tblInd w:w="0" w:type="dxa"/>
        <w:tblCellMar>
          <w:top w:w="0" w:type="dxa"/>
          <w:left w:w="0" w:type="dxa"/>
          <w:bottom w:w="28" w:type="dxa"/>
          <w:right w:w="0" w:type="dxa"/>
        </w:tblCellMar>
      </w:tblPr>
      <w:tblGrid>
        <w:gridCol w:w="3610"/>
        <w:gridCol w:w="170"/>
        <w:gridCol w:w="125"/>
        <w:gridCol w:w="1052"/>
        <w:gridCol w:w="106"/>
        <w:gridCol w:w="125"/>
        <w:gridCol w:w="1052"/>
        <w:gridCol w:w="106"/>
        <w:gridCol w:w="125"/>
        <w:gridCol w:w="1051"/>
        <w:gridCol w:w="106"/>
        <w:gridCol w:w="125"/>
        <w:gridCol w:w="1052"/>
        <w:gridCol w:w="106"/>
        <w:gridCol w:w="125"/>
        <w:gridCol w:w="1052"/>
        <w:gridCol w:w="117"/>
      </w:tblGrid>
      <w:tr>
        <w:trPr/>
        <w:tc>
          <w:tcPr>
            <w:tcW w:w="3610" w:type="dxa"/>
            <w:tcBorders>
              <w:bottom w:val="single" w:sz="4" w:space="0" w:color="FFFFFF"/>
            </w:tcBorders>
            <w:shd w:fill="auto" w:val="clear"/>
            <w:vAlign w:val="bottom"/>
          </w:tcPr>
          <w:p>
            <w:pPr>
              <w:pStyle w:val="TableContents"/>
              <w:spacing w:before="0" w:after="283"/>
              <w:jc w:val="left"/>
              <w:rPr/>
            </w:pPr>
            <w:r>
              <w:rPr/>
              <w:t> </w:t>
            </w:r>
          </w:p>
        </w:tc>
        <w:tc>
          <w:tcPr>
            <w:tcW w:w="170" w:type="dxa"/>
            <w:tcBorders>
              <w:bottom w:val="single" w:sz="2" w:space="0" w:color="FFFFFF"/>
            </w:tcBorders>
            <w:shd w:fill="auto" w:val="clear"/>
            <w:vAlign w:val="center"/>
          </w:tcPr>
          <w:p>
            <w:pPr>
              <w:pStyle w:val="TableContents"/>
              <w:spacing w:before="0" w:after="283"/>
              <w:rPr/>
            </w:pPr>
            <w:r>
              <w:rPr/>
              <w:t> </w:t>
            </w:r>
          </w:p>
        </w:tc>
        <w:tc>
          <w:tcPr>
            <w:tcW w:w="6308" w:type="dxa"/>
            <w:gridSpan w:val="14"/>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At or for the Year Ended December 31,</w:t>
            </w:r>
          </w:p>
        </w:tc>
        <w:tc>
          <w:tcPr>
            <w:tcW w:w="117" w:type="dxa"/>
            <w:tcBorders>
              <w:bottom w:val="single" w:sz="2" w:space="0" w:color="FFFFFF"/>
            </w:tcBorders>
            <w:shd w:fill="auto" w:val="clear"/>
            <w:vAlign w:val="bottom"/>
          </w:tcPr>
          <w:p>
            <w:pPr>
              <w:pStyle w:val="TableContents"/>
              <w:spacing w:before="0" w:after="283"/>
              <w:jc w:val="left"/>
              <w:rPr/>
            </w:pPr>
            <w:r>
              <w:rPr/>
              <w:t> </w:t>
            </w:r>
          </w:p>
        </w:tc>
      </w:tr>
      <w:tr>
        <w:trPr/>
        <w:tc>
          <w:tcPr>
            <w:tcW w:w="3610" w:type="dxa"/>
            <w:tcBorders>
              <w:bottom w:val="double" w:sz="2" w:space="0" w:color="000000"/>
            </w:tcBorders>
            <w:shd w:fill="auto" w:val="clear"/>
            <w:vAlign w:val="bottom"/>
          </w:tcPr>
          <w:p>
            <w:pPr>
              <w:pStyle w:val="TableContents"/>
              <w:spacing w:before="0" w:after="283"/>
              <w:jc w:val="left"/>
              <w:rPr/>
            </w:pPr>
            <w:r>
              <w:rPr/>
              <w:t> </w:t>
            </w:r>
          </w:p>
        </w:tc>
        <w:tc>
          <w:tcPr>
            <w:tcW w:w="170" w:type="dxa"/>
            <w:tcBorders>
              <w:bottom w:val="single" w:sz="4" w:space="0" w:color="FFFFFF"/>
            </w:tcBorders>
            <w:shd w:fill="auto" w:val="clear"/>
            <w:vAlign w:val="center"/>
          </w:tcPr>
          <w:p>
            <w:pPr>
              <w:pStyle w:val="TableContents"/>
              <w:spacing w:before="0" w:after="283"/>
              <w:rPr/>
            </w:pPr>
            <w:r>
              <w:rPr/>
              <w:t> </w:t>
            </w:r>
          </w:p>
        </w:tc>
        <w:tc>
          <w:tcPr>
            <w:tcW w:w="1177"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2006</w:t>
            </w:r>
          </w:p>
        </w:tc>
        <w:tc>
          <w:tcPr>
            <w:tcW w:w="106" w:type="dxa"/>
            <w:tcBorders>
              <w:bottom w:val="single" w:sz="4" w:space="0" w:color="FFFFFF"/>
            </w:tcBorders>
            <w:shd w:fill="auto" w:val="clear"/>
            <w:vAlign w:val="bottom"/>
          </w:tcPr>
          <w:p>
            <w:pPr>
              <w:pStyle w:val="TableContents"/>
              <w:spacing w:before="0" w:after="283"/>
              <w:jc w:val="left"/>
              <w:rPr/>
            </w:pPr>
            <w:r>
              <w:rPr/>
              <w:t> </w:t>
            </w:r>
          </w:p>
        </w:tc>
        <w:tc>
          <w:tcPr>
            <w:tcW w:w="1177"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2005</w:t>
            </w:r>
          </w:p>
        </w:tc>
        <w:tc>
          <w:tcPr>
            <w:tcW w:w="106" w:type="dxa"/>
            <w:tcBorders>
              <w:bottom w:val="single" w:sz="4" w:space="0" w:color="FFFFFF"/>
            </w:tcBorders>
            <w:shd w:fill="auto" w:val="clear"/>
            <w:vAlign w:val="bottom"/>
          </w:tcPr>
          <w:p>
            <w:pPr>
              <w:pStyle w:val="TableContents"/>
              <w:spacing w:before="0" w:after="283"/>
              <w:jc w:val="left"/>
              <w:rPr/>
            </w:pPr>
            <w:r>
              <w:rPr/>
              <w:t> </w:t>
            </w:r>
          </w:p>
        </w:tc>
        <w:tc>
          <w:tcPr>
            <w:tcW w:w="1176"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2004</w:t>
            </w:r>
          </w:p>
        </w:tc>
        <w:tc>
          <w:tcPr>
            <w:tcW w:w="106" w:type="dxa"/>
            <w:tcBorders>
              <w:bottom w:val="single" w:sz="4" w:space="0" w:color="FFFFFF"/>
            </w:tcBorders>
            <w:shd w:fill="auto" w:val="clear"/>
            <w:vAlign w:val="bottom"/>
          </w:tcPr>
          <w:p>
            <w:pPr>
              <w:pStyle w:val="TableContents"/>
              <w:spacing w:before="0" w:after="283"/>
              <w:jc w:val="left"/>
              <w:rPr/>
            </w:pPr>
            <w:r>
              <w:rPr/>
              <w:t> </w:t>
            </w:r>
          </w:p>
        </w:tc>
        <w:tc>
          <w:tcPr>
            <w:tcW w:w="1177"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2003</w:t>
            </w:r>
          </w:p>
        </w:tc>
        <w:tc>
          <w:tcPr>
            <w:tcW w:w="106" w:type="dxa"/>
            <w:tcBorders>
              <w:bottom w:val="single" w:sz="4" w:space="0" w:color="FFFFFF"/>
            </w:tcBorders>
            <w:shd w:fill="auto" w:val="clear"/>
            <w:vAlign w:val="bottom"/>
          </w:tcPr>
          <w:p>
            <w:pPr>
              <w:pStyle w:val="TableContents"/>
              <w:spacing w:before="0" w:after="283"/>
              <w:jc w:val="left"/>
              <w:rPr/>
            </w:pPr>
            <w:r>
              <w:rPr/>
              <w:t> </w:t>
            </w:r>
          </w:p>
        </w:tc>
        <w:tc>
          <w:tcPr>
            <w:tcW w:w="1177"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2002</w:t>
            </w:r>
          </w:p>
        </w:tc>
        <w:tc>
          <w:tcPr>
            <w:tcW w:w="117" w:type="dxa"/>
            <w:tcBorders>
              <w:bottom w:val="single" w:sz="4" w:space="0" w:color="FFFFFF"/>
            </w:tcBorders>
            <w:shd w:fill="auto" w:val="clear"/>
            <w:vAlign w:val="bottom"/>
          </w:tcPr>
          <w:p>
            <w:pPr>
              <w:pStyle w:val="TableContents"/>
              <w:spacing w:before="0" w:after="283"/>
              <w:jc w:val="left"/>
              <w:rPr/>
            </w:pPr>
            <w:r>
              <w:rPr/>
              <w:t> </w:t>
            </w:r>
          </w:p>
        </w:tc>
      </w:tr>
      <w:tr>
        <w:trPr/>
        <w:tc>
          <w:tcPr>
            <w:tcW w:w="3610" w:type="dxa"/>
            <w:tcBorders/>
            <w:shd w:fill="CCEEFF" w:val="clear"/>
            <w:tcMar>
              <w:bottom w:w="0" w:type="dxa"/>
            </w:tcMar>
            <w:vAlign w:val="bottom"/>
          </w:tcPr>
          <w:p>
            <w:pPr>
              <w:pStyle w:val="TableContents"/>
              <w:spacing w:lineRule="auto" w:line="300" w:before="0" w:after="0"/>
              <w:ind w:left="540" w:right="0" w:hanging="540"/>
              <w:jc w:val="left"/>
              <w:rPr/>
            </w:pPr>
            <w:r>
              <w:rPr>
                <w:rFonts w:ascii="Times New Roman" w:hAnsi="Times New Roman"/>
                <w:sz w:val="20"/>
              </w:rPr>
              <w:t>Revenue</w:t>
            </w:r>
            <w:r>
              <w:rPr>
                <w:rFonts w:ascii="Times New Roman" w:hAnsi="Times New Roman"/>
                <w:position w:val="7"/>
                <w:sz w:val="16"/>
                <w:sz w:val="20"/>
              </w:rPr>
              <w:t>12</w:t>
            </w:r>
            <w:r>
              <w:rPr/>
              <w:t> </w:t>
            </w:r>
          </w:p>
        </w:tc>
        <w:tc>
          <w:tcPr>
            <w:tcW w:w="170" w:type="dxa"/>
            <w:tcBorders/>
            <w:shd w:fill="CCEEFF" w:val="clear"/>
            <w:tcMar>
              <w:bottom w:w="0" w:type="dxa"/>
            </w:tcMar>
            <w:vAlign w:val="center"/>
          </w:tcPr>
          <w:p>
            <w:pPr>
              <w:pStyle w:val="TableContents"/>
              <w:spacing w:before="0" w:after="283"/>
              <w:rPr/>
            </w:pPr>
            <w:r>
              <w:rPr/>
              <w:t> </w:t>
            </w:r>
          </w:p>
        </w:tc>
        <w:tc>
          <w:tcPr>
            <w:tcW w:w="125"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742" w:name="TAB1157"/>
            <w:bookmarkEnd w:id="742"/>
            <w:r>
              <w:rPr>
                <w:rFonts w:ascii="Times New Roman" w:hAnsi="Times New Roman"/>
                <w:sz w:val="20"/>
              </w:rPr>
              <w:t>$</w:t>
            </w:r>
          </w:p>
        </w:tc>
        <w:tc>
          <w:tcPr>
            <w:tcW w:w="1052"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743" w:name="TAB1158"/>
            <w:bookmarkEnd w:id="743"/>
            <w:r>
              <w:rPr>
                <w:rFonts w:ascii="Times New Roman" w:hAnsi="Times New Roman"/>
                <w:sz w:val="20"/>
              </w:rPr>
              <w:t>106,125</w:t>
            </w:r>
          </w:p>
        </w:tc>
        <w:tc>
          <w:tcPr>
            <w:tcW w:w="106"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744" w:name="TAB1159"/>
            <w:bookmarkEnd w:id="744"/>
            <w:r>
              <w:rPr>
                <w:rFonts w:ascii="Times New Roman" w:hAnsi="Times New Roman"/>
                <w:sz w:val="20"/>
              </w:rPr>
              <w:t>$</w:t>
            </w:r>
          </w:p>
        </w:tc>
        <w:tc>
          <w:tcPr>
            <w:tcW w:w="1052"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745" w:name="TAB1160"/>
            <w:bookmarkEnd w:id="745"/>
            <w:r>
              <w:rPr>
                <w:rFonts w:ascii="Times New Roman" w:hAnsi="Times New Roman"/>
                <w:sz w:val="20"/>
              </w:rPr>
              <w:t>98,105</w:t>
            </w:r>
          </w:p>
        </w:tc>
        <w:tc>
          <w:tcPr>
            <w:tcW w:w="106"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746" w:name="TAB1161"/>
            <w:bookmarkEnd w:id="746"/>
            <w:r>
              <w:rPr>
                <w:rFonts w:ascii="Times New Roman" w:hAnsi="Times New Roman"/>
                <w:sz w:val="20"/>
              </w:rPr>
              <w:t>$</w:t>
            </w:r>
          </w:p>
        </w:tc>
        <w:tc>
          <w:tcPr>
            <w:tcW w:w="1051"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747" w:name="TAB1162"/>
            <w:bookmarkEnd w:id="747"/>
            <w:r>
              <w:rPr>
                <w:rFonts w:ascii="Times New Roman" w:hAnsi="Times New Roman"/>
                <w:sz w:val="20"/>
              </w:rPr>
              <w:t>84,089</w:t>
            </w:r>
          </w:p>
        </w:tc>
        <w:tc>
          <w:tcPr>
            <w:tcW w:w="106"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748" w:name="TAB1163"/>
            <w:bookmarkEnd w:id="748"/>
            <w:r>
              <w:rPr>
                <w:rFonts w:ascii="Times New Roman" w:hAnsi="Times New Roman"/>
                <w:sz w:val="20"/>
              </w:rPr>
              <w:t>$</w:t>
            </w:r>
          </w:p>
        </w:tc>
        <w:tc>
          <w:tcPr>
            <w:tcW w:w="1052"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749" w:name="TAB1164"/>
            <w:bookmarkEnd w:id="749"/>
            <w:r>
              <w:rPr>
                <w:rFonts w:ascii="Times New Roman" w:hAnsi="Times New Roman"/>
                <w:sz w:val="20"/>
              </w:rPr>
              <w:t>73,911</w:t>
            </w:r>
          </w:p>
        </w:tc>
        <w:tc>
          <w:tcPr>
            <w:tcW w:w="106"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750" w:name="TAB1165"/>
            <w:bookmarkEnd w:id="750"/>
            <w:r>
              <w:rPr>
                <w:rFonts w:ascii="Times New Roman" w:hAnsi="Times New Roman"/>
                <w:sz w:val="20"/>
              </w:rPr>
              <w:t>$</w:t>
            </w:r>
          </w:p>
        </w:tc>
        <w:tc>
          <w:tcPr>
            <w:tcW w:w="1052"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751" w:name="TAB1166"/>
            <w:bookmarkEnd w:id="751"/>
            <w:r>
              <w:rPr>
                <w:rFonts w:ascii="Times New Roman" w:hAnsi="Times New Roman"/>
                <w:sz w:val="20"/>
              </w:rPr>
              <w:t>66,759</w:t>
            </w:r>
          </w:p>
        </w:tc>
        <w:tc>
          <w:tcPr>
            <w:tcW w:w="117" w:type="dxa"/>
            <w:tcBorders/>
            <w:shd w:fill="CCEEFF" w:val="clear"/>
            <w:tcMar>
              <w:bottom w:w="0" w:type="dxa"/>
            </w:tcMar>
            <w:vAlign w:val="bottom"/>
          </w:tcPr>
          <w:p>
            <w:pPr>
              <w:pStyle w:val="TableContents"/>
              <w:spacing w:before="0" w:after="283"/>
              <w:jc w:val="left"/>
              <w:rPr/>
            </w:pPr>
            <w:r>
              <w:rPr/>
              <w:t> </w:t>
            </w:r>
          </w:p>
        </w:tc>
      </w:tr>
      <w:tr>
        <w:trPr/>
        <w:tc>
          <w:tcPr>
            <w:tcW w:w="3610" w:type="dxa"/>
            <w:tcBorders/>
            <w:shd w:fill="FFFFFF" w:val="clear"/>
            <w:tcMar>
              <w:bottom w:w="0" w:type="dxa"/>
            </w:tcMar>
            <w:vAlign w:val="bottom"/>
          </w:tcPr>
          <w:p>
            <w:pPr>
              <w:pStyle w:val="TableContents"/>
              <w:spacing w:lineRule="auto" w:line="300" w:before="0" w:after="0"/>
              <w:ind w:left="540" w:right="0" w:hanging="540"/>
              <w:jc w:val="left"/>
              <w:rPr>
                <w:rFonts w:ascii="Times New Roman" w:hAnsi="Times New Roman"/>
                <w:sz w:val="20"/>
              </w:rPr>
            </w:pPr>
            <w:r>
              <w:rPr>
                <w:rFonts w:ascii="Times New Roman" w:hAnsi="Times New Roman"/>
                <w:sz w:val="20"/>
              </w:rPr>
              <w:t>Gain (loss) from discontinued operations</w:t>
            </w:r>
          </w:p>
        </w:tc>
        <w:tc>
          <w:tcPr>
            <w:tcW w:w="170" w:type="dxa"/>
            <w:tcBorders/>
            <w:shd w:fill="FFFFFF" w:val="clear"/>
            <w:tcMar>
              <w:bottom w:w="0" w:type="dxa"/>
            </w:tcMar>
            <w:vAlign w:val="center"/>
          </w:tcPr>
          <w:p>
            <w:pPr>
              <w:pStyle w:val="TableContents"/>
              <w:spacing w:before="0" w:after="283"/>
              <w:rPr/>
            </w:pPr>
            <w:r>
              <w:rPr/>
              <w:t> </w:t>
            </w:r>
          </w:p>
        </w:tc>
        <w:tc>
          <w:tcPr>
            <w:tcW w:w="125"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752" w:name="TAB1167"/>
            <w:bookmarkEnd w:id="752"/>
            <w:r>
              <w:rPr>
                <w:rFonts w:ascii="Times New Roman" w:hAnsi="Times New Roman"/>
                <w:sz w:val="20"/>
              </w:rPr>
              <w:t>$</w:t>
            </w:r>
          </w:p>
        </w:tc>
        <w:tc>
          <w:tcPr>
            <w:tcW w:w="1052"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753" w:name="TAB1168"/>
            <w:bookmarkEnd w:id="753"/>
            <w:r>
              <w:rPr>
                <w:rFonts w:ascii="Times New Roman" w:hAnsi="Times New Roman"/>
                <w:sz w:val="20"/>
              </w:rPr>
              <w:t>--</w:t>
            </w:r>
          </w:p>
        </w:tc>
        <w:tc>
          <w:tcPr>
            <w:tcW w:w="106"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754" w:name="TAB1169"/>
            <w:bookmarkEnd w:id="754"/>
            <w:r>
              <w:rPr>
                <w:rFonts w:ascii="Times New Roman" w:hAnsi="Times New Roman"/>
                <w:sz w:val="20"/>
              </w:rPr>
              <w:t>$</w:t>
            </w:r>
          </w:p>
        </w:tc>
        <w:tc>
          <w:tcPr>
            <w:tcW w:w="1052"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755" w:name="TAB1170"/>
            <w:bookmarkEnd w:id="755"/>
            <w:r>
              <w:rPr>
                <w:rFonts w:ascii="Times New Roman" w:hAnsi="Times New Roman"/>
                <w:sz w:val="20"/>
              </w:rPr>
              <w:t>12,231</w:t>
            </w:r>
          </w:p>
        </w:tc>
        <w:tc>
          <w:tcPr>
            <w:tcW w:w="106"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756" w:name="TAB1171"/>
            <w:bookmarkEnd w:id="756"/>
            <w:r>
              <w:rPr>
                <w:rFonts w:ascii="Times New Roman" w:hAnsi="Times New Roman"/>
                <w:sz w:val="20"/>
              </w:rPr>
              <w:t>$</w:t>
            </w:r>
          </w:p>
        </w:tc>
        <w:tc>
          <w:tcPr>
            <w:tcW w:w="1051"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757" w:name="TAB1172"/>
            <w:bookmarkEnd w:id="757"/>
            <w:r>
              <w:rPr>
                <w:rFonts w:ascii="Times New Roman" w:hAnsi="Times New Roman"/>
                <w:sz w:val="20"/>
              </w:rPr>
              <w:t>(469</w:t>
            </w:r>
          </w:p>
        </w:tc>
        <w:tc>
          <w:tcPr>
            <w:tcW w:w="106"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758" w:name="TAB1173"/>
            <w:bookmarkEnd w:id="758"/>
            <w:r>
              <w:rPr>
                <w:rFonts w:ascii="Times New Roman" w:hAnsi="Times New Roman"/>
                <w:sz w:val="20"/>
              </w:rPr>
              <w:t>)</w:t>
            </w:r>
          </w:p>
        </w:tc>
        <w:tc>
          <w:tcPr>
            <w:tcW w:w="125"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759" w:name="TAB1174"/>
            <w:bookmarkEnd w:id="759"/>
            <w:r>
              <w:rPr>
                <w:rFonts w:ascii="Times New Roman" w:hAnsi="Times New Roman"/>
                <w:sz w:val="20"/>
              </w:rPr>
              <w:t>$</w:t>
            </w:r>
          </w:p>
        </w:tc>
        <w:tc>
          <w:tcPr>
            <w:tcW w:w="1052"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760" w:name="TAB1175"/>
            <w:bookmarkEnd w:id="760"/>
            <w:r>
              <w:rPr>
                <w:rFonts w:ascii="Times New Roman" w:hAnsi="Times New Roman"/>
                <w:sz w:val="20"/>
              </w:rPr>
              <w:t>(288</w:t>
            </w:r>
          </w:p>
        </w:tc>
        <w:tc>
          <w:tcPr>
            <w:tcW w:w="106"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761" w:name="TAB1176"/>
            <w:bookmarkEnd w:id="761"/>
            <w:r>
              <w:rPr>
                <w:rFonts w:ascii="Times New Roman" w:hAnsi="Times New Roman"/>
                <w:sz w:val="20"/>
              </w:rPr>
              <w:t>)</w:t>
            </w:r>
          </w:p>
        </w:tc>
        <w:tc>
          <w:tcPr>
            <w:tcW w:w="125"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762" w:name="TAB1177"/>
            <w:bookmarkEnd w:id="762"/>
            <w:r>
              <w:rPr>
                <w:rFonts w:ascii="Times New Roman" w:hAnsi="Times New Roman"/>
                <w:sz w:val="20"/>
              </w:rPr>
              <w:t>$</w:t>
            </w:r>
          </w:p>
        </w:tc>
        <w:tc>
          <w:tcPr>
            <w:tcW w:w="1052"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763" w:name="TAB1178"/>
            <w:bookmarkEnd w:id="763"/>
            <w:r>
              <w:rPr>
                <w:rFonts w:ascii="Times New Roman" w:hAnsi="Times New Roman"/>
                <w:sz w:val="20"/>
              </w:rPr>
              <w:t>333</w:t>
            </w:r>
          </w:p>
        </w:tc>
        <w:tc>
          <w:tcPr>
            <w:tcW w:w="117" w:type="dxa"/>
            <w:tcBorders/>
            <w:shd w:fill="FFFFFF" w:val="clear"/>
            <w:tcMar>
              <w:bottom w:w="0" w:type="dxa"/>
            </w:tcMar>
            <w:vAlign w:val="bottom"/>
          </w:tcPr>
          <w:p>
            <w:pPr>
              <w:pStyle w:val="TableContents"/>
              <w:spacing w:before="0" w:after="283"/>
              <w:jc w:val="left"/>
              <w:rPr/>
            </w:pPr>
            <w:r>
              <w:rPr/>
              <w:t> </w:t>
            </w:r>
          </w:p>
        </w:tc>
      </w:tr>
      <w:tr>
        <w:trPr/>
        <w:tc>
          <w:tcPr>
            <w:tcW w:w="3610" w:type="dxa"/>
            <w:tcBorders/>
            <w:shd w:fill="CCEEFF" w:val="clear"/>
            <w:tcMar>
              <w:bottom w:w="0" w:type="dxa"/>
            </w:tcMar>
            <w:vAlign w:val="bottom"/>
          </w:tcPr>
          <w:p>
            <w:pPr>
              <w:pStyle w:val="TableContents"/>
              <w:spacing w:lineRule="auto" w:line="300" w:before="0" w:after="0"/>
              <w:ind w:left="540" w:right="0" w:hanging="540"/>
              <w:jc w:val="left"/>
              <w:rPr>
                <w:rFonts w:ascii="Times New Roman" w:hAnsi="Times New Roman"/>
                <w:sz w:val="20"/>
              </w:rPr>
            </w:pPr>
            <w:r>
              <w:rPr>
                <w:rFonts w:ascii="Times New Roman" w:hAnsi="Times New Roman"/>
                <w:sz w:val="20"/>
              </w:rPr>
              <w:t>Operating income (loss)</w:t>
            </w:r>
          </w:p>
        </w:tc>
        <w:tc>
          <w:tcPr>
            <w:tcW w:w="170" w:type="dxa"/>
            <w:tcBorders/>
            <w:shd w:fill="CCEEFF" w:val="clear"/>
            <w:tcMar>
              <w:bottom w:w="0" w:type="dxa"/>
            </w:tcMar>
            <w:vAlign w:val="center"/>
          </w:tcPr>
          <w:p>
            <w:pPr>
              <w:pStyle w:val="TableContents"/>
              <w:spacing w:before="0" w:after="283"/>
              <w:rPr/>
            </w:pPr>
            <w:r>
              <w:rPr/>
              <w:t> </w:t>
            </w:r>
          </w:p>
        </w:tc>
        <w:tc>
          <w:tcPr>
            <w:tcW w:w="125"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764" w:name="TAB1179"/>
            <w:bookmarkEnd w:id="764"/>
            <w:r>
              <w:rPr>
                <w:rFonts w:ascii="Times New Roman" w:hAnsi="Times New Roman"/>
                <w:sz w:val="20"/>
              </w:rPr>
              <w:t>$</w:t>
            </w:r>
          </w:p>
        </w:tc>
        <w:tc>
          <w:tcPr>
            <w:tcW w:w="1052"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765" w:name="TAB1180"/>
            <w:bookmarkEnd w:id="765"/>
            <w:r>
              <w:rPr>
                <w:rFonts w:ascii="Times New Roman" w:hAnsi="Times New Roman"/>
                <w:sz w:val="20"/>
              </w:rPr>
              <w:t>2,415</w:t>
            </w:r>
          </w:p>
        </w:tc>
        <w:tc>
          <w:tcPr>
            <w:tcW w:w="106"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766" w:name="TAB1181"/>
            <w:bookmarkEnd w:id="766"/>
            <w:r>
              <w:rPr>
                <w:rFonts w:ascii="Times New Roman" w:hAnsi="Times New Roman"/>
                <w:sz w:val="20"/>
              </w:rPr>
              <w:t>$</w:t>
            </w:r>
          </w:p>
        </w:tc>
        <w:tc>
          <w:tcPr>
            <w:tcW w:w="1052"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767" w:name="TAB1182"/>
            <w:bookmarkEnd w:id="767"/>
            <w:r>
              <w:rPr>
                <w:rFonts w:ascii="Times New Roman" w:hAnsi="Times New Roman"/>
                <w:sz w:val="20"/>
              </w:rPr>
              <w:t>(6,372</w:t>
            </w:r>
          </w:p>
        </w:tc>
        <w:tc>
          <w:tcPr>
            <w:tcW w:w="106"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768" w:name="TAB1183"/>
            <w:bookmarkEnd w:id="768"/>
            <w:r>
              <w:rPr>
                <w:rFonts w:ascii="Times New Roman" w:hAnsi="Times New Roman"/>
                <w:sz w:val="20"/>
              </w:rPr>
              <w:t>)</w:t>
            </w:r>
          </w:p>
        </w:tc>
        <w:tc>
          <w:tcPr>
            <w:tcW w:w="125"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769" w:name="TAB1184"/>
            <w:bookmarkEnd w:id="769"/>
            <w:r>
              <w:rPr>
                <w:rFonts w:ascii="Times New Roman" w:hAnsi="Times New Roman"/>
                <w:sz w:val="20"/>
              </w:rPr>
              <w:t>$</w:t>
            </w:r>
          </w:p>
        </w:tc>
        <w:tc>
          <w:tcPr>
            <w:tcW w:w="1051"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770" w:name="TAB1185"/>
            <w:bookmarkEnd w:id="770"/>
            <w:r>
              <w:rPr>
                <w:rFonts w:ascii="Times New Roman" w:hAnsi="Times New Roman"/>
                <w:sz w:val="20"/>
              </w:rPr>
              <w:t>(6,322</w:t>
            </w:r>
          </w:p>
        </w:tc>
        <w:tc>
          <w:tcPr>
            <w:tcW w:w="106"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771" w:name="TAB1186"/>
            <w:bookmarkEnd w:id="771"/>
            <w:r>
              <w:rPr>
                <w:rFonts w:ascii="Times New Roman" w:hAnsi="Times New Roman"/>
                <w:sz w:val="20"/>
              </w:rPr>
              <w:t>)</w:t>
            </w:r>
          </w:p>
        </w:tc>
        <w:tc>
          <w:tcPr>
            <w:tcW w:w="125"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772" w:name="TAB1187"/>
            <w:bookmarkEnd w:id="772"/>
            <w:r>
              <w:rPr>
                <w:rFonts w:ascii="Times New Roman" w:hAnsi="Times New Roman"/>
                <w:sz w:val="20"/>
              </w:rPr>
              <w:t>$</w:t>
            </w:r>
          </w:p>
        </w:tc>
        <w:tc>
          <w:tcPr>
            <w:tcW w:w="1052"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773" w:name="TAB1188"/>
            <w:bookmarkEnd w:id="773"/>
            <w:r>
              <w:rPr>
                <w:rFonts w:ascii="Times New Roman" w:hAnsi="Times New Roman"/>
                <w:sz w:val="20"/>
              </w:rPr>
              <w:t>(5,839</w:t>
            </w:r>
          </w:p>
        </w:tc>
        <w:tc>
          <w:tcPr>
            <w:tcW w:w="106"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774" w:name="TAB1189"/>
            <w:bookmarkEnd w:id="774"/>
            <w:r>
              <w:rPr>
                <w:rFonts w:ascii="Times New Roman" w:hAnsi="Times New Roman"/>
                <w:sz w:val="20"/>
              </w:rPr>
              <w:t>)</w:t>
            </w:r>
          </w:p>
        </w:tc>
        <w:tc>
          <w:tcPr>
            <w:tcW w:w="125"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775" w:name="TAB1190"/>
            <w:bookmarkEnd w:id="775"/>
            <w:r>
              <w:rPr>
                <w:rFonts w:ascii="Times New Roman" w:hAnsi="Times New Roman"/>
                <w:sz w:val="20"/>
              </w:rPr>
              <w:t>$</w:t>
            </w:r>
          </w:p>
        </w:tc>
        <w:tc>
          <w:tcPr>
            <w:tcW w:w="1052"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776" w:name="TAB1191"/>
            <w:bookmarkEnd w:id="776"/>
            <w:r>
              <w:rPr>
                <w:rFonts w:ascii="Times New Roman" w:hAnsi="Times New Roman"/>
                <w:sz w:val="20"/>
              </w:rPr>
              <w:t>(6,509</w:t>
            </w:r>
          </w:p>
        </w:tc>
        <w:tc>
          <w:tcPr>
            <w:tcW w:w="117"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777" w:name="TAB1192"/>
            <w:bookmarkEnd w:id="777"/>
            <w:r>
              <w:rPr>
                <w:rFonts w:ascii="Times New Roman" w:hAnsi="Times New Roman"/>
                <w:sz w:val="20"/>
              </w:rPr>
              <w:t>)</w:t>
            </w:r>
          </w:p>
        </w:tc>
      </w:tr>
      <w:tr>
        <w:trPr/>
        <w:tc>
          <w:tcPr>
            <w:tcW w:w="3610" w:type="dxa"/>
            <w:tcBorders/>
            <w:shd w:fill="FFFFFF" w:val="clear"/>
            <w:tcMar>
              <w:bottom w:w="0" w:type="dxa"/>
            </w:tcMar>
            <w:vAlign w:val="bottom"/>
          </w:tcPr>
          <w:p>
            <w:pPr>
              <w:pStyle w:val="TableContents"/>
              <w:spacing w:lineRule="auto" w:line="300" w:before="0" w:after="0"/>
              <w:ind w:left="540" w:right="0" w:hanging="540"/>
              <w:jc w:val="left"/>
              <w:rPr>
                <w:rFonts w:ascii="Times New Roman" w:hAnsi="Times New Roman"/>
                <w:sz w:val="20"/>
              </w:rPr>
            </w:pPr>
            <w:r>
              <w:rPr>
                <w:rFonts w:ascii="Times New Roman" w:hAnsi="Times New Roman"/>
                <w:sz w:val="20"/>
              </w:rPr>
              <w:t>Net income (loss)</w:t>
            </w:r>
          </w:p>
        </w:tc>
        <w:tc>
          <w:tcPr>
            <w:tcW w:w="170" w:type="dxa"/>
            <w:tcBorders/>
            <w:shd w:fill="FFFFFF" w:val="clear"/>
            <w:tcMar>
              <w:bottom w:w="0" w:type="dxa"/>
            </w:tcMar>
            <w:vAlign w:val="center"/>
          </w:tcPr>
          <w:p>
            <w:pPr>
              <w:pStyle w:val="TableContents"/>
              <w:spacing w:before="0" w:after="283"/>
              <w:rPr/>
            </w:pPr>
            <w:r>
              <w:rPr/>
              <w:t> </w:t>
            </w:r>
          </w:p>
        </w:tc>
        <w:tc>
          <w:tcPr>
            <w:tcW w:w="125"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778" w:name="TAB1193"/>
            <w:bookmarkEnd w:id="778"/>
            <w:r>
              <w:rPr>
                <w:rFonts w:ascii="Times New Roman" w:hAnsi="Times New Roman"/>
                <w:sz w:val="20"/>
              </w:rPr>
              <w:t>$</w:t>
            </w:r>
          </w:p>
        </w:tc>
        <w:tc>
          <w:tcPr>
            <w:tcW w:w="1052"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779" w:name="TAB1194"/>
            <w:bookmarkEnd w:id="779"/>
            <w:r>
              <w:rPr>
                <w:rFonts w:ascii="Times New Roman" w:hAnsi="Times New Roman"/>
                <w:sz w:val="20"/>
              </w:rPr>
              <w:t>3,856</w:t>
            </w:r>
          </w:p>
        </w:tc>
        <w:tc>
          <w:tcPr>
            <w:tcW w:w="106"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780" w:name="TAB1195"/>
            <w:bookmarkEnd w:id="780"/>
            <w:r>
              <w:rPr>
                <w:rFonts w:ascii="Times New Roman" w:hAnsi="Times New Roman"/>
                <w:sz w:val="20"/>
              </w:rPr>
              <w:t>$</w:t>
            </w:r>
          </w:p>
        </w:tc>
        <w:tc>
          <w:tcPr>
            <w:tcW w:w="1052"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781" w:name="TAB1196"/>
            <w:bookmarkEnd w:id="781"/>
            <w:r>
              <w:rPr>
                <w:rFonts w:ascii="Times New Roman" w:hAnsi="Times New Roman"/>
                <w:sz w:val="20"/>
              </w:rPr>
              <w:t>989</w:t>
            </w:r>
          </w:p>
        </w:tc>
        <w:tc>
          <w:tcPr>
            <w:tcW w:w="106"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782" w:name="TAB1197"/>
            <w:bookmarkEnd w:id="782"/>
            <w:r>
              <w:rPr>
                <w:rFonts w:ascii="Times New Roman" w:hAnsi="Times New Roman"/>
                <w:sz w:val="20"/>
              </w:rPr>
              <w:t>$</w:t>
            </w:r>
          </w:p>
        </w:tc>
        <w:tc>
          <w:tcPr>
            <w:tcW w:w="1051"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783" w:name="TAB1198"/>
            <w:bookmarkEnd w:id="783"/>
            <w:r>
              <w:rPr>
                <w:rFonts w:ascii="Times New Roman" w:hAnsi="Times New Roman"/>
                <w:sz w:val="20"/>
              </w:rPr>
              <w:t>(8,463</w:t>
            </w:r>
          </w:p>
        </w:tc>
        <w:tc>
          <w:tcPr>
            <w:tcW w:w="106"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784" w:name="TAB1199"/>
            <w:bookmarkEnd w:id="784"/>
            <w:r>
              <w:rPr>
                <w:rFonts w:ascii="Times New Roman" w:hAnsi="Times New Roman"/>
                <w:sz w:val="20"/>
              </w:rPr>
              <w:t>)</w:t>
            </w:r>
          </w:p>
        </w:tc>
        <w:tc>
          <w:tcPr>
            <w:tcW w:w="125"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785" w:name="TAB1200"/>
            <w:bookmarkEnd w:id="785"/>
            <w:r>
              <w:rPr>
                <w:rFonts w:ascii="Times New Roman" w:hAnsi="Times New Roman"/>
                <w:sz w:val="20"/>
              </w:rPr>
              <w:t>$</w:t>
            </w:r>
          </w:p>
        </w:tc>
        <w:tc>
          <w:tcPr>
            <w:tcW w:w="1052"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786" w:name="TAB1201"/>
            <w:bookmarkEnd w:id="786"/>
            <w:r>
              <w:rPr>
                <w:rFonts w:ascii="Times New Roman" w:hAnsi="Times New Roman"/>
                <w:sz w:val="20"/>
              </w:rPr>
              <w:t>(5,928</w:t>
            </w:r>
          </w:p>
        </w:tc>
        <w:tc>
          <w:tcPr>
            <w:tcW w:w="106"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787" w:name="TAB1202"/>
            <w:bookmarkEnd w:id="787"/>
            <w:r>
              <w:rPr>
                <w:rFonts w:ascii="Times New Roman" w:hAnsi="Times New Roman"/>
                <w:sz w:val="20"/>
              </w:rPr>
              <w:t>)</w:t>
            </w:r>
          </w:p>
        </w:tc>
        <w:tc>
          <w:tcPr>
            <w:tcW w:w="125"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788" w:name="TAB1203"/>
            <w:bookmarkEnd w:id="788"/>
            <w:r>
              <w:rPr>
                <w:rFonts w:ascii="Times New Roman" w:hAnsi="Times New Roman"/>
                <w:sz w:val="20"/>
              </w:rPr>
              <w:t>$</w:t>
            </w:r>
          </w:p>
        </w:tc>
        <w:tc>
          <w:tcPr>
            <w:tcW w:w="1052"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789" w:name="TAB1204"/>
            <w:bookmarkEnd w:id="789"/>
            <w:r>
              <w:rPr>
                <w:rFonts w:ascii="Times New Roman" w:hAnsi="Times New Roman"/>
                <w:sz w:val="20"/>
              </w:rPr>
              <w:t>(7,954</w:t>
            </w:r>
          </w:p>
        </w:tc>
        <w:tc>
          <w:tcPr>
            <w:tcW w:w="117"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790" w:name="TAB1205"/>
            <w:bookmarkEnd w:id="790"/>
            <w:r>
              <w:rPr>
                <w:rFonts w:ascii="Times New Roman" w:hAnsi="Times New Roman"/>
                <w:sz w:val="20"/>
              </w:rPr>
              <w:t>)</w:t>
            </w:r>
          </w:p>
        </w:tc>
      </w:tr>
      <w:tr>
        <w:trPr/>
        <w:tc>
          <w:tcPr>
            <w:tcW w:w="3610" w:type="dxa"/>
            <w:tcBorders/>
            <w:shd w:fill="CCEEFF" w:val="clear"/>
            <w:tcMar>
              <w:bottom w:w="0" w:type="dxa"/>
            </w:tcMar>
            <w:vAlign w:val="bottom"/>
          </w:tcPr>
          <w:p>
            <w:pPr>
              <w:pStyle w:val="TableContents"/>
              <w:spacing w:lineRule="auto" w:line="300" w:before="0" w:after="0"/>
              <w:ind w:left="540" w:right="0" w:hanging="540"/>
              <w:jc w:val="left"/>
              <w:rPr>
                <w:rFonts w:ascii="Times New Roman" w:hAnsi="Times New Roman"/>
                <w:sz w:val="20"/>
              </w:rPr>
            </w:pPr>
            <w:r>
              <w:rPr>
                <w:rFonts w:ascii="Times New Roman" w:hAnsi="Times New Roman"/>
                <w:sz w:val="20"/>
              </w:rPr>
              <w:t>Basic earnings (loss)per share - continuing operations</w:t>
            </w:r>
          </w:p>
        </w:tc>
        <w:tc>
          <w:tcPr>
            <w:tcW w:w="170" w:type="dxa"/>
            <w:tcBorders/>
            <w:shd w:fill="CCEEFF" w:val="clear"/>
            <w:tcMar>
              <w:bottom w:w="0" w:type="dxa"/>
            </w:tcMar>
            <w:vAlign w:val="center"/>
          </w:tcPr>
          <w:p>
            <w:pPr>
              <w:pStyle w:val="TableContents"/>
              <w:spacing w:before="0" w:after="283"/>
              <w:rPr/>
            </w:pPr>
            <w:r>
              <w:rPr/>
              <w:t> </w:t>
            </w:r>
          </w:p>
        </w:tc>
        <w:tc>
          <w:tcPr>
            <w:tcW w:w="125"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791" w:name="TAB1206"/>
            <w:bookmarkEnd w:id="791"/>
            <w:r>
              <w:rPr>
                <w:rFonts w:ascii="Times New Roman" w:hAnsi="Times New Roman"/>
                <w:sz w:val="20"/>
              </w:rPr>
              <w:t>$</w:t>
            </w:r>
          </w:p>
        </w:tc>
        <w:tc>
          <w:tcPr>
            <w:tcW w:w="1052"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792" w:name="TAB1207"/>
            <w:bookmarkEnd w:id="792"/>
            <w:r>
              <w:rPr>
                <w:rFonts w:ascii="Times New Roman" w:hAnsi="Times New Roman"/>
                <w:sz w:val="20"/>
              </w:rPr>
              <w:t>0.17</w:t>
            </w:r>
          </w:p>
        </w:tc>
        <w:tc>
          <w:tcPr>
            <w:tcW w:w="106"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793" w:name="TAB1208"/>
            <w:bookmarkEnd w:id="793"/>
            <w:r>
              <w:rPr>
                <w:rFonts w:ascii="Times New Roman" w:hAnsi="Times New Roman"/>
                <w:sz w:val="20"/>
              </w:rPr>
              <w:t>$</w:t>
            </w:r>
          </w:p>
        </w:tc>
        <w:tc>
          <w:tcPr>
            <w:tcW w:w="1052"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794" w:name="TAB1209"/>
            <w:bookmarkEnd w:id="794"/>
            <w:r>
              <w:rPr>
                <w:rFonts w:ascii="Times New Roman" w:hAnsi="Times New Roman"/>
                <w:sz w:val="20"/>
              </w:rPr>
              <w:t>(0.51</w:t>
            </w:r>
          </w:p>
        </w:tc>
        <w:tc>
          <w:tcPr>
            <w:tcW w:w="106"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795" w:name="TAB1210"/>
            <w:bookmarkEnd w:id="795"/>
            <w:r>
              <w:rPr>
                <w:rFonts w:ascii="Times New Roman" w:hAnsi="Times New Roman"/>
                <w:sz w:val="20"/>
              </w:rPr>
              <w:t>)</w:t>
            </w:r>
          </w:p>
        </w:tc>
        <w:tc>
          <w:tcPr>
            <w:tcW w:w="125"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796" w:name="TAB1211"/>
            <w:bookmarkEnd w:id="796"/>
            <w:r>
              <w:rPr>
                <w:rFonts w:ascii="Times New Roman" w:hAnsi="Times New Roman"/>
                <w:sz w:val="20"/>
              </w:rPr>
              <w:t>$</w:t>
            </w:r>
          </w:p>
        </w:tc>
        <w:tc>
          <w:tcPr>
            <w:tcW w:w="1051"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797" w:name="TAB1212"/>
            <w:bookmarkEnd w:id="797"/>
            <w:r>
              <w:rPr>
                <w:rFonts w:ascii="Times New Roman" w:hAnsi="Times New Roman"/>
                <w:sz w:val="20"/>
              </w:rPr>
              <w:t>(0.37</w:t>
            </w:r>
          </w:p>
        </w:tc>
        <w:tc>
          <w:tcPr>
            <w:tcW w:w="106"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798" w:name="TAB1213"/>
            <w:bookmarkEnd w:id="798"/>
            <w:r>
              <w:rPr>
                <w:rFonts w:ascii="Times New Roman" w:hAnsi="Times New Roman"/>
                <w:sz w:val="20"/>
              </w:rPr>
              <w:t>)</w:t>
            </w:r>
          </w:p>
        </w:tc>
        <w:tc>
          <w:tcPr>
            <w:tcW w:w="125"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799" w:name="TAB1214"/>
            <w:bookmarkEnd w:id="799"/>
            <w:r>
              <w:rPr>
                <w:rFonts w:ascii="Times New Roman" w:hAnsi="Times New Roman"/>
                <w:sz w:val="20"/>
              </w:rPr>
              <w:t>$</w:t>
            </w:r>
          </w:p>
        </w:tc>
        <w:tc>
          <w:tcPr>
            <w:tcW w:w="1052"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800" w:name="TAB1215"/>
            <w:bookmarkEnd w:id="800"/>
            <w:r>
              <w:rPr>
                <w:rFonts w:ascii="Times New Roman" w:hAnsi="Times New Roman"/>
                <w:sz w:val="20"/>
              </w:rPr>
              <w:t>(0.26</w:t>
            </w:r>
          </w:p>
        </w:tc>
        <w:tc>
          <w:tcPr>
            <w:tcW w:w="106"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801" w:name="TAB1216"/>
            <w:bookmarkEnd w:id="801"/>
            <w:r>
              <w:rPr>
                <w:rFonts w:ascii="Times New Roman" w:hAnsi="Times New Roman"/>
                <w:sz w:val="20"/>
              </w:rPr>
              <w:t>)</w:t>
            </w:r>
          </w:p>
        </w:tc>
        <w:tc>
          <w:tcPr>
            <w:tcW w:w="125"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802" w:name="TAB1217"/>
            <w:bookmarkEnd w:id="802"/>
            <w:r>
              <w:rPr>
                <w:rFonts w:ascii="Times New Roman" w:hAnsi="Times New Roman"/>
                <w:sz w:val="20"/>
              </w:rPr>
              <w:t>$</w:t>
            </w:r>
          </w:p>
        </w:tc>
        <w:tc>
          <w:tcPr>
            <w:tcW w:w="1052"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803" w:name="TAB1218"/>
            <w:bookmarkEnd w:id="803"/>
            <w:r>
              <w:rPr>
                <w:rFonts w:ascii="Times New Roman" w:hAnsi="Times New Roman"/>
                <w:sz w:val="20"/>
              </w:rPr>
              <w:t>(0.34</w:t>
            </w:r>
          </w:p>
        </w:tc>
        <w:tc>
          <w:tcPr>
            <w:tcW w:w="117"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804" w:name="TAB1219"/>
            <w:bookmarkEnd w:id="804"/>
            <w:r>
              <w:rPr>
                <w:rFonts w:ascii="Times New Roman" w:hAnsi="Times New Roman"/>
                <w:sz w:val="20"/>
              </w:rPr>
              <w:t>)</w:t>
            </w:r>
          </w:p>
        </w:tc>
      </w:tr>
      <w:tr>
        <w:trPr/>
        <w:tc>
          <w:tcPr>
            <w:tcW w:w="3610" w:type="dxa"/>
            <w:tcBorders/>
            <w:shd w:fill="FFFFFF" w:val="clear"/>
            <w:tcMar>
              <w:bottom w:w="0" w:type="dxa"/>
            </w:tcMar>
            <w:vAlign w:val="bottom"/>
          </w:tcPr>
          <w:p>
            <w:pPr>
              <w:pStyle w:val="TableContents"/>
              <w:spacing w:lineRule="auto" w:line="300" w:before="0" w:after="0"/>
              <w:ind w:left="540" w:right="0" w:hanging="540"/>
              <w:jc w:val="left"/>
              <w:rPr>
                <w:rFonts w:ascii="Times New Roman" w:hAnsi="Times New Roman"/>
                <w:sz w:val="20"/>
              </w:rPr>
            </w:pPr>
            <w:r>
              <w:rPr>
                <w:rFonts w:ascii="Times New Roman" w:hAnsi="Times New Roman"/>
                <w:sz w:val="20"/>
              </w:rPr>
              <w:t>Basic earnings (loss)per share - discontinued operations</w:t>
            </w:r>
          </w:p>
        </w:tc>
        <w:tc>
          <w:tcPr>
            <w:tcW w:w="170" w:type="dxa"/>
            <w:tcBorders/>
            <w:shd w:fill="FFFFFF" w:val="clear"/>
            <w:tcMar>
              <w:bottom w:w="0" w:type="dxa"/>
            </w:tcMar>
            <w:vAlign w:val="center"/>
          </w:tcPr>
          <w:p>
            <w:pPr>
              <w:pStyle w:val="TableContents"/>
              <w:spacing w:before="0" w:after="283"/>
              <w:rPr/>
            </w:pPr>
            <w:r>
              <w:rPr/>
              <w:t> </w:t>
            </w:r>
          </w:p>
        </w:tc>
        <w:tc>
          <w:tcPr>
            <w:tcW w:w="125"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805" w:name="TAB1220"/>
            <w:bookmarkEnd w:id="805"/>
            <w:r>
              <w:rPr>
                <w:rFonts w:ascii="Times New Roman" w:hAnsi="Times New Roman"/>
                <w:sz w:val="20"/>
              </w:rPr>
              <w:t>$</w:t>
            </w:r>
          </w:p>
        </w:tc>
        <w:tc>
          <w:tcPr>
            <w:tcW w:w="1052"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806" w:name="TAB1221"/>
            <w:bookmarkEnd w:id="806"/>
            <w:r>
              <w:rPr>
                <w:rFonts w:ascii="Times New Roman" w:hAnsi="Times New Roman"/>
                <w:sz w:val="20"/>
              </w:rPr>
              <w:t>--</w:t>
            </w:r>
          </w:p>
        </w:tc>
        <w:tc>
          <w:tcPr>
            <w:tcW w:w="106"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807" w:name="TAB1222"/>
            <w:bookmarkEnd w:id="807"/>
            <w:r>
              <w:rPr>
                <w:rFonts w:ascii="Times New Roman" w:hAnsi="Times New Roman"/>
                <w:sz w:val="20"/>
              </w:rPr>
              <w:t>$</w:t>
            </w:r>
          </w:p>
        </w:tc>
        <w:tc>
          <w:tcPr>
            <w:tcW w:w="1052"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808" w:name="TAB1223"/>
            <w:bookmarkEnd w:id="808"/>
            <w:r>
              <w:rPr>
                <w:rFonts w:ascii="Times New Roman" w:hAnsi="Times New Roman"/>
                <w:sz w:val="20"/>
              </w:rPr>
              <w:t>0.55</w:t>
            </w:r>
          </w:p>
        </w:tc>
        <w:tc>
          <w:tcPr>
            <w:tcW w:w="106"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809" w:name="TAB1224"/>
            <w:bookmarkEnd w:id="809"/>
            <w:r>
              <w:rPr>
                <w:rFonts w:ascii="Times New Roman" w:hAnsi="Times New Roman"/>
                <w:sz w:val="20"/>
              </w:rPr>
              <w:t>$</w:t>
            </w:r>
          </w:p>
        </w:tc>
        <w:tc>
          <w:tcPr>
            <w:tcW w:w="1051"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810" w:name="TAB1225"/>
            <w:bookmarkEnd w:id="810"/>
            <w:r>
              <w:rPr>
                <w:rFonts w:ascii="Times New Roman" w:hAnsi="Times New Roman"/>
                <w:sz w:val="20"/>
              </w:rPr>
              <w:t>(0.02</w:t>
            </w:r>
          </w:p>
        </w:tc>
        <w:tc>
          <w:tcPr>
            <w:tcW w:w="106"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811" w:name="TAB1226"/>
            <w:bookmarkEnd w:id="811"/>
            <w:r>
              <w:rPr>
                <w:rFonts w:ascii="Times New Roman" w:hAnsi="Times New Roman"/>
                <w:sz w:val="20"/>
              </w:rPr>
              <w:t>)</w:t>
            </w:r>
          </w:p>
        </w:tc>
        <w:tc>
          <w:tcPr>
            <w:tcW w:w="125"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812" w:name="TAB1227"/>
            <w:bookmarkEnd w:id="812"/>
            <w:r>
              <w:rPr>
                <w:rFonts w:ascii="Times New Roman" w:hAnsi="Times New Roman"/>
                <w:sz w:val="20"/>
              </w:rPr>
              <w:t>$</w:t>
            </w:r>
          </w:p>
        </w:tc>
        <w:tc>
          <w:tcPr>
            <w:tcW w:w="1052"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813" w:name="TAB1228"/>
            <w:bookmarkEnd w:id="813"/>
            <w:r>
              <w:rPr>
                <w:rFonts w:ascii="Times New Roman" w:hAnsi="Times New Roman"/>
                <w:sz w:val="20"/>
              </w:rPr>
              <w:t>(0.01</w:t>
            </w:r>
          </w:p>
        </w:tc>
        <w:tc>
          <w:tcPr>
            <w:tcW w:w="106"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814" w:name="TAB1229"/>
            <w:bookmarkEnd w:id="814"/>
            <w:r>
              <w:rPr>
                <w:rFonts w:ascii="Times New Roman" w:hAnsi="Times New Roman"/>
                <w:sz w:val="20"/>
              </w:rPr>
              <w:t>)</w:t>
            </w:r>
          </w:p>
        </w:tc>
        <w:tc>
          <w:tcPr>
            <w:tcW w:w="125"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815" w:name="TAB1230"/>
            <w:bookmarkEnd w:id="815"/>
            <w:r>
              <w:rPr>
                <w:rFonts w:ascii="Times New Roman" w:hAnsi="Times New Roman"/>
                <w:sz w:val="20"/>
              </w:rPr>
              <w:t>$</w:t>
            </w:r>
          </w:p>
        </w:tc>
        <w:tc>
          <w:tcPr>
            <w:tcW w:w="1052"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816" w:name="TAB1231"/>
            <w:bookmarkEnd w:id="816"/>
            <w:r>
              <w:rPr>
                <w:rFonts w:ascii="Times New Roman" w:hAnsi="Times New Roman"/>
                <w:sz w:val="20"/>
              </w:rPr>
              <w:t>(0.02</w:t>
            </w:r>
          </w:p>
        </w:tc>
        <w:tc>
          <w:tcPr>
            <w:tcW w:w="117"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817" w:name="TAB1232"/>
            <w:bookmarkEnd w:id="817"/>
            <w:r>
              <w:rPr>
                <w:rFonts w:ascii="Times New Roman" w:hAnsi="Times New Roman"/>
                <w:sz w:val="20"/>
              </w:rPr>
              <w:t>)</w:t>
            </w:r>
          </w:p>
        </w:tc>
      </w:tr>
      <w:tr>
        <w:trPr/>
        <w:tc>
          <w:tcPr>
            <w:tcW w:w="3610" w:type="dxa"/>
            <w:tcBorders/>
            <w:shd w:fill="CCEEFF" w:val="clear"/>
            <w:tcMar>
              <w:bottom w:w="0" w:type="dxa"/>
            </w:tcMar>
            <w:vAlign w:val="bottom"/>
          </w:tcPr>
          <w:p>
            <w:pPr>
              <w:pStyle w:val="TableContents"/>
              <w:spacing w:lineRule="auto" w:line="300" w:before="0" w:after="0"/>
              <w:ind w:left="540" w:right="0" w:hanging="540"/>
              <w:jc w:val="left"/>
              <w:rPr>
                <w:rFonts w:ascii="Times New Roman" w:hAnsi="Times New Roman"/>
                <w:sz w:val="20"/>
              </w:rPr>
            </w:pPr>
            <w:r>
              <w:rPr>
                <w:rFonts w:ascii="Times New Roman" w:hAnsi="Times New Roman"/>
                <w:sz w:val="20"/>
              </w:rPr>
              <w:t>Basic earnings (loss)per share</w:t>
            </w:r>
          </w:p>
        </w:tc>
        <w:tc>
          <w:tcPr>
            <w:tcW w:w="170" w:type="dxa"/>
            <w:tcBorders/>
            <w:shd w:fill="CCEEFF" w:val="clear"/>
            <w:tcMar>
              <w:bottom w:w="0" w:type="dxa"/>
            </w:tcMar>
            <w:vAlign w:val="center"/>
          </w:tcPr>
          <w:p>
            <w:pPr>
              <w:pStyle w:val="TableContents"/>
              <w:spacing w:before="0" w:after="283"/>
              <w:rPr/>
            </w:pPr>
            <w:r>
              <w:rPr/>
              <w:t> </w:t>
            </w:r>
          </w:p>
        </w:tc>
        <w:tc>
          <w:tcPr>
            <w:tcW w:w="125"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818" w:name="TAB1233"/>
            <w:bookmarkEnd w:id="818"/>
            <w:r>
              <w:rPr>
                <w:rFonts w:ascii="Times New Roman" w:hAnsi="Times New Roman"/>
                <w:sz w:val="20"/>
              </w:rPr>
              <w:t>$</w:t>
            </w:r>
          </w:p>
        </w:tc>
        <w:tc>
          <w:tcPr>
            <w:tcW w:w="1052"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819" w:name="TAB1234"/>
            <w:bookmarkEnd w:id="819"/>
            <w:r>
              <w:rPr>
                <w:rFonts w:ascii="Times New Roman" w:hAnsi="Times New Roman"/>
                <w:sz w:val="20"/>
              </w:rPr>
              <w:t>0.17</w:t>
            </w:r>
          </w:p>
        </w:tc>
        <w:tc>
          <w:tcPr>
            <w:tcW w:w="106"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820" w:name="TAB1235"/>
            <w:bookmarkEnd w:id="820"/>
            <w:r>
              <w:rPr>
                <w:rFonts w:ascii="Times New Roman" w:hAnsi="Times New Roman"/>
                <w:sz w:val="20"/>
              </w:rPr>
              <w:t>$</w:t>
            </w:r>
          </w:p>
        </w:tc>
        <w:tc>
          <w:tcPr>
            <w:tcW w:w="1052"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821" w:name="TAB1236"/>
            <w:bookmarkEnd w:id="821"/>
            <w:r>
              <w:rPr>
                <w:rFonts w:ascii="Times New Roman" w:hAnsi="Times New Roman"/>
                <w:sz w:val="20"/>
              </w:rPr>
              <w:t>0.04</w:t>
            </w:r>
          </w:p>
        </w:tc>
        <w:tc>
          <w:tcPr>
            <w:tcW w:w="106"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822" w:name="TAB1237"/>
            <w:bookmarkEnd w:id="822"/>
            <w:r>
              <w:rPr>
                <w:rFonts w:ascii="Times New Roman" w:hAnsi="Times New Roman"/>
                <w:sz w:val="20"/>
              </w:rPr>
              <w:t>$</w:t>
            </w:r>
          </w:p>
        </w:tc>
        <w:tc>
          <w:tcPr>
            <w:tcW w:w="1051"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823" w:name="TAB1238"/>
            <w:bookmarkEnd w:id="823"/>
            <w:r>
              <w:rPr>
                <w:rFonts w:ascii="Times New Roman" w:hAnsi="Times New Roman"/>
                <w:sz w:val="20"/>
              </w:rPr>
              <w:t>(0.39</w:t>
            </w:r>
          </w:p>
        </w:tc>
        <w:tc>
          <w:tcPr>
            <w:tcW w:w="106"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824" w:name="TAB1239"/>
            <w:bookmarkEnd w:id="824"/>
            <w:r>
              <w:rPr>
                <w:rFonts w:ascii="Times New Roman" w:hAnsi="Times New Roman"/>
                <w:sz w:val="20"/>
              </w:rPr>
              <w:t>)</w:t>
            </w:r>
          </w:p>
        </w:tc>
        <w:tc>
          <w:tcPr>
            <w:tcW w:w="125"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825" w:name="TAB1240"/>
            <w:bookmarkEnd w:id="825"/>
            <w:r>
              <w:rPr>
                <w:rFonts w:ascii="Times New Roman" w:hAnsi="Times New Roman"/>
                <w:sz w:val="20"/>
              </w:rPr>
              <w:t>$</w:t>
            </w:r>
          </w:p>
        </w:tc>
        <w:tc>
          <w:tcPr>
            <w:tcW w:w="1052"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826" w:name="TAB1241"/>
            <w:bookmarkEnd w:id="826"/>
            <w:r>
              <w:rPr>
                <w:rFonts w:ascii="Times New Roman" w:hAnsi="Times New Roman"/>
                <w:sz w:val="20"/>
              </w:rPr>
              <w:t>(0.27</w:t>
            </w:r>
          </w:p>
        </w:tc>
        <w:tc>
          <w:tcPr>
            <w:tcW w:w="106"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827" w:name="TAB1242"/>
            <w:bookmarkEnd w:id="827"/>
            <w:r>
              <w:rPr>
                <w:rFonts w:ascii="Times New Roman" w:hAnsi="Times New Roman"/>
                <w:sz w:val="20"/>
              </w:rPr>
              <w:t>)</w:t>
            </w:r>
          </w:p>
        </w:tc>
        <w:tc>
          <w:tcPr>
            <w:tcW w:w="125"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828" w:name="TAB1243"/>
            <w:bookmarkEnd w:id="828"/>
            <w:r>
              <w:rPr>
                <w:rFonts w:ascii="Times New Roman" w:hAnsi="Times New Roman"/>
                <w:sz w:val="20"/>
              </w:rPr>
              <w:t>$</w:t>
            </w:r>
          </w:p>
        </w:tc>
        <w:tc>
          <w:tcPr>
            <w:tcW w:w="1052"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829" w:name="TAB1244"/>
            <w:bookmarkEnd w:id="829"/>
            <w:r>
              <w:rPr>
                <w:rFonts w:ascii="Times New Roman" w:hAnsi="Times New Roman"/>
                <w:sz w:val="20"/>
              </w:rPr>
              <w:t>(0.36</w:t>
            </w:r>
          </w:p>
        </w:tc>
        <w:tc>
          <w:tcPr>
            <w:tcW w:w="117"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830" w:name="TAB1245"/>
            <w:bookmarkEnd w:id="830"/>
            <w:r>
              <w:rPr>
                <w:rFonts w:ascii="Times New Roman" w:hAnsi="Times New Roman"/>
                <w:sz w:val="20"/>
              </w:rPr>
              <w:t>)</w:t>
            </w:r>
          </w:p>
        </w:tc>
      </w:tr>
      <w:tr>
        <w:trPr/>
        <w:tc>
          <w:tcPr>
            <w:tcW w:w="3610" w:type="dxa"/>
            <w:tcBorders/>
            <w:shd w:fill="FFFFFF" w:val="clear"/>
            <w:tcMar>
              <w:bottom w:w="0" w:type="dxa"/>
            </w:tcMar>
            <w:vAlign w:val="bottom"/>
          </w:tcPr>
          <w:p>
            <w:pPr>
              <w:pStyle w:val="TableContents"/>
              <w:spacing w:lineRule="auto" w:line="300" w:before="0" w:after="0"/>
              <w:ind w:left="540" w:right="0" w:hanging="540"/>
              <w:jc w:val="left"/>
              <w:rPr>
                <w:rFonts w:ascii="Times New Roman" w:hAnsi="Times New Roman"/>
                <w:sz w:val="20"/>
              </w:rPr>
            </w:pPr>
            <w:r>
              <w:rPr>
                <w:rFonts w:ascii="Times New Roman" w:hAnsi="Times New Roman"/>
                <w:sz w:val="20"/>
              </w:rPr>
              <w:t>Diluted earnings (loss)per share - continuing operations</w:t>
            </w:r>
          </w:p>
        </w:tc>
        <w:tc>
          <w:tcPr>
            <w:tcW w:w="170" w:type="dxa"/>
            <w:tcBorders/>
            <w:shd w:fill="FFFFFF" w:val="clear"/>
            <w:tcMar>
              <w:bottom w:w="0" w:type="dxa"/>
            </w:tcMar>
            <w:vAlign w:val="center"/>
          </w:tcPr>
          <w:p>
            <w:pPr>
              <w:pStyle w:val="TableContents"/>
              <w:spacing w:before="0" w:after="283"/>
              <w:rPr/>
            </w:pPr>
            <w:r>
              <w:rPr/>
              <w:t> </w:t>
            </w:r>
          </w:p>
        </w:tc>
        <w:tc>
          <w:tcPr>
            <w:tcW w:w="125"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831" w:name="TAB1246"/>
            <w:bookmarkEnd w:id="831"/>
            <w:r>
              <w:rPr>
                <w:rFonts w:ascii="Times New Roman" w:hAnsi="Times New Roman"/>
                <w:sz w:val="20"/>
              </w:rPr>
              <w:t>$</w:t>
            </w:r>
          </w:p>
        </w:tc>
        <w:tc>
          <w:tcPr>
            <w:tcW w:w="1052"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832" w:name="TAB1247"/>
            <w:bookmarkEnd w:id="832"/>
            <w:r>
              <w:rPr>
                <w:rFonts w:ascii="Times New Roman" w:hAnsi="Times New Roman"/>
                <w:sz w:val="20"/>
              </w:rPr>
              <w:t>0.17</w:t>
            </w:r>
          </w:p>
        </w:tc>
        <w:tc>
          <w:tcPr>
            <w:tcW w:w="106"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833" w:name="TAB1248"/>
            <w:bookmarkEnd w:id="833"/>
            <w:r>
              <w:rPr>
                <w:rFonts w:ascii="Times New Roman" w:hAnsi="Times New Roman"/>
                <w:sz w:val="20"/>
              </w:rPr>
              <w:t>$</w:t>
            </w:r>
          </w:p>
        </w:tc>
        <w:tc>
          <w:tcPr>
            <w:tcW w:w="1052"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834" w:name="TAB1249"/>
            <w:bookmarkEnd w:id="834"/>
            <w:r>
              <w:rPr>
                <w:rFonts w:ascii="Times New Roman" w:hAnsi="Times New Roman"/>
                <w:sz w:val="20"/>
              </w:rPr>
              <w:t>(0.51</w:t>
            </w:r>
          </w:p>
        </w:tc>
        <w:tc>
          <w:tcPr>
            <w:tcW w:w="106"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835" w:name="TAB1250"/>
            <w:bookmarkEnd w:id="835"/>
            <w:r>
              <w:rPr>
                <w:rFonts w:ascii="Times New Roman" w:hAnsi="Times New Roman"/>
                <w:sz w:val="20"/>
              </w:rPr>
              <w:t>)</w:t>
            </w:r>
          </w:p>
        </w:tc>
        <w:tc>
          <w:tcPr>
            <w:tcW w:w="125"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836" w:name="TAB1251"/>
            <w:bookmarkEnd w:id="836"/>
            <w:r>
              <w:rPr>
                <w:rFonts w:ascii="Times New Roman" w:hAnsi="Times New Roman"/>
                <w:sz w:val="20"/>
              </w:rPr>
              <w:t>$</w:t>
            </w:r>
          </w:p>
        </w:tc>
        <w:tc>
          <w:tcPr>
            <w:tcW w:w="1051"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837" w:name="TAB1252"/>
            <w:bookmarkEnd w:id="837"/>
            <w:r>
              <w:rPr>
                <w:rFonts w:ascii="Times New Roman" w:hAnsi="Times New Roman"/>
                <w:sz w:val="20"/>
              </w:rPr>
              <w:t>(0.37</w:t>
            </w:r>
          </w:p>
        </w:tc>
        <w:tc>
          <w:tcPr>
            <w:tcW w:w="106"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838" w:name="TAB1253"/>
            <w:bookmarkEnd w:id="838"/>
            <w:r>
              <w:rPr>
                <w:rFonts w:ascii="Times New Roman" w:hAnsi="Times New Roman"/>
                <w:sz w:val="20"/>
              </w:rPr>
              <w:t>)</w:t>
            </w:r>
          </w:p>
        </w:tc>
        <w:tc>
          <w:tcPr>
            <w:tcW w:w="125"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839" w:name="TAB1254"/>
            <w:bookmarkEnd w:id="839"/>
            <w:r>
              <w:rPr>
                <w:rFonts w:ascii="Times New Roman" w:hAnsi="Times New Roman"/>
                <w:sz w:val="20"/>
              </w:rPr>
              <w:t>$</w:t>
            </w:r>
          </w:p>
        </w:tc>
        <w:tc>
          <w:tcPr>
            <w:tcW w:w="1052"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840" w:name="TAB1255"/>
            <w:bookmarkEnd w:id="840"/>
            <w:r>
              <w:rPr>
                <w:rFonts w:ascii="Times New Roman" w:hAnsi="Times New Roman"/>
                <w:sz w:val="20"/>
              </w:rPr>
              <w:t>(0.26</w:t>
            </w:r>
          </w:p>
        </w:tc>
        <w:tc>
          <w:tcPr>
            <w:tcW w:w="106"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841" w:name="TAB1256"/>
            <w:bookmarkEnd w:id="841"/>
            <w:r>
              <w:rPr>
                <w:rFonts w:ascii="Times New Roman" w:hAnsi="Times New Roman"/>
                <w:sz w:val="20"/>
              </w:rPr>
              <w:t>)</w:t>
            </w:r>
          </w:p>
        </w:tc>
        <w:tc>
          <w:tcPr>
            <w:tcW w:w="125"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842" w:name="TAB1257"/>
            <w:bookmarkEnd w:id="842"/>
            <w:r>
              <w:rPr>
                <w:rFonts w:ascii="Times New Roman" w:hAnsi="Times New Roman"/>
                <w:sz w:val="20"/>
              </w:rPr>
              <w:t>$</w:t>
            </w:r>
          </w:p>
        </w:tc>
        <w:tc>
          <w:tcPr>
            <w:tcW w:w="1052"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843" w:name="TAB1258"/>
            <w:bookmarkEnd w:id="843"/>
            <w:r>
              <w:rPr>
                <w:rFonts w:ascii="Times New Roman" w:hAnsi="Times New Roman"/>
                <w:sz w:val="20"/>
              </w:rPr>
              <w:t>(0.34</w:t>
            </w:r>
          </w:p>
        </w:tc>
        <w:tc>
          <w:tcPr>
            <w:tcW w:w="117"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844" w:name="TAB1259"/>
            <w:bookmarkEnd w:id="844"/>
            <w:r>
              <w:rPr>
                <w:rFonts w:ascii="Times New Roman" w:hAnsi="Times New Roman"/>
                <w:sz w:val="20"/>
              </w:rPr>
              <w:t>)</w:t>
            </w:r>
          </w:p>
        </w:tc>
      </w:tr>
      <w:tr>
        <w:trPr/>
        <w:tc>
          <w:tcPr>
            <w:tcW w:w="3610" w:type="dxa"/>
            <w:tcBorders/>
            <w:shd w:fill="CCEEFF" w:val="clear"/>
            <w:tcMar>
              <w:bottom w:w="0" w:type="dxa"/>
            </w:tcMar>
            <w:vAlign w:val="bottom"/>
          </w:tcPr>
          <w:p>
            <w:pPr>
              <w:pStyle w:val="TableContents"/>
              <w:spacing w:lineRule="auto" w:line="300" w:before="0" w:after="0"/>
              <w:ind w:left="540" w:right="0" w:hanging="540"/>
              <w:jc w:val="left"/>
              <w:rPr>
                <w:rFonts w:ascii="Times New Roman" w:hAnsi="Times New Roman"/>
                <w:sz w:val="20"/>
              </w:rPr>
            </w:pPr>
            <w:r>
              <w:rPr>
                <w:rFonts w:ascii="Times New Roman" w:hAnsi="Times New Roman"/>
                <w:sz w:val="20"/>
              </w:rPr>
              <w:t>Diluted earnings (loss)per share - discontinued operations</w:t>
            </w:r>
          </w:p>
        </w:tc>
        <w:tc>
          <w:tcPr>
            <w:tcW w:w="170" w:type="dxa"/>
            <w:tcBorders/>
            <w:shd w:fill="CCEEFF" w:val="clear"/>
            <w:tcMar>
              <w:bottom w:w="0" w:type="dxa"/>
            </w:tcMar>
            <w:vAlign w:val="center"/>
          </w:tcPr>
          <w:p>
            <w:pPr>
              <w:pStyle w:val="TableContents"/>
              <w:spacing w:before="0" w:after="283"/>
              <w:rPr/>
            </w:pPr>
            <w:r>
              <w:rPr/>
              <w:t> </w:t>
            </w:r>
          </w:p>
        </w:tc>
        <w:tc>
          <w:tcPr>
            <w:tcW w:w="125"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845" w:name="TAB1260"/>
            <w:bookmarkEnd w:id="845"/>
            <w:r>
              <w:rPr>
                <w:rFonts w:ascii="Times New Roman" w:hAnsi="Times New Roman"/>
                <w:sz w:val="20"/>
              </w:rPr>
              <w:t>$</w:t>
            </w:r>
          </w:p>
        </w:tc>
        <w:tc>
          <w:tcPr>
            <w:tcW w:w="1052"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846" w:name="TAB1261"/>
            <w:bookmarkEnd w:id="846"/>
            <w:r>
              <w:rPr>
                <w:rFonts w:ascii="Times New Roman" w:hAnsi="Times New Roman"/>
                <w:sz w:val="20"/>
              </w:rPr>
              <w:t>--</w:t>
            </w:r>
          </w:p>
        </w:tc>
        <w:tc>
          <w:tcPr>
            <w:tcW w:w="106"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847" w:name="TAB1262"/>
            <w:bookmarkEnd w:id="847"/>
            <w:r>
              <w:rPr>
                <w:rFonts w:ascii="Times New Roman" w:hAnsi="Times New Roman"/>
                <w:sz w:val="20"/>
              </w:rPr>
              <w:t>$</w:t>
            </w:r>
          </w:p>
        </w:tc>
        <w:tc>
          <w:tcPr>
            <w:tcW w:w="1052"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848" w:name="TAB1263"/>
            <w:bookmarkEnd w:id="848"/>
            <w:r>
              <w:rPr>
                <w:rFonts w:ascii="Times New Roman" w:hAnsi="Times New Roman"/>
                <w:sz w:val="20"/>
              </w:rPr>
              <w:t>0.55</w:t>
            </w:r>
          </w:p>
        </w:tc>
        <w:tc>
          <w:tcPr>
            <w:tcW w:w="106"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849" w:name="TAB1264"/>
            <w:bookmarkEnd w:id="849"/>
            <w:r>
              <w:rPr>
                <w:rFonts w:ascii="Times New Roman" w:hAnsi="Times New Roman"/>
                <w:sz w:val="20"/>
              </w:rPr>
              <w:t>$</w:t>
            </w:r>
          </w:p>
        </w:tc>
        <w:tc>
          <w:tcPr>
            <w:tcW w:w="1051"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850" w:name="TAB1265"/>
            <w:bookmarkEnd w:id="850"/>
            <w:r>
              <w:rPr>
                <w:rFonts w:ascii="Times New Roman" w:hAnsi="Times New Roman"/>
                <w:sz w:val="20"/>
              </w:rPr>
              <w:t>(0.02</w:t>
            </w:r>
          </w:p>
        </w:tc>
        <w:tc>
          <w:tcPr>
            <w:tcW w:w="106"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851" w:name="TAB1266"/>
            <w:bookmarkEnd w:id="851"/>
            <w:r>
              <w:rPr>
                <w:rFonts w:ascii="Times New Roman" w:hAnsi="Times New Roman"/>
                <w:sz w:val="20"/>
              </w:rPr>
              <w:t>)</w:t>
            </w:r>
          </w:p>
        </w:tc>
        <w:tc>
          <w:tcPr>
            <w:tcW w:w="125"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852" w:name="TAB1267"/>
            <w:bookmarkEnd w:id="852"/>
            <w:r>
              <w:rPr>
                <w:rFonts w:ascii="Times New Roman" w:hAnsi="Times New Roman"/>
                <w:sz w:val="20"/>
              </w:rPr>
              <w:t>$</w:t>
            </w:r>
          </w:p>
        </w:tc>
        <w:tc>
          <w:tcPr>
            <w:tcW w:w="1052"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853" w:name="TAB1268"/>
            <w:bookmarkEnd w:id="853"/>
            <w:r>
              <w:rPr>
                <w:rFonts w:ascii="Times New Roman" w:hAnsi="Times New Roman"/>
                <w:sz w:val="20"/>
              </w:rPr>
              <w:t>(0.01</w:t>
            </w:r>
          </w:p>
        </w:tc>
        <w:tc>
          <w:tcPr>
            <w:tcW w:w="106"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854" w:name="TAB1269"/>
            <w:bookmarkEnd w:id="854"/>
            <w:r>
              <w:rPr>
                <w:rFonts w:ascii="Times New Roman" w:hAnsi="Times New Roman"/>
                <w:sz w:val="20"/>
              </w:rPr>
              <w:t>)</w:t>
            </w:r>
          </w:p>
        </w:tc>
        <w:tc>
          <w:tcPr>
            <w:tcW w:w="125"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855" w:name="TAB1270"/>
            <w:bookmarkEnd w:id="855"/>
            <w:r>
              <w:rPr>
                <w:rFonts w:ascii="Times New Roman" w:hAnsi="Times New Roman"/>
                <w:sz w:val="20"/>
              </w:rPr>
              <w:t>$</w:t>
            </w:r>
          </w:p>
        </w:tc>
        <w:tc>
          <w:tcPr>
            <w:tcW w:w="1052"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856" w:name="TAB1271"/>
            <w:bookmarkEnd w:id="856"/>
            <w:r>
              <w:rPr>
                <w:rFonts w:ascii="Times New Roman" w:hAnsi="Times New Roman"/>
                <w:sz w:val="20"/>
              </w:rPr>
              <w:t>(0.02</w:t>
            </w:r>
          </w:p>
        </w:tc>
        <w:tc>
          <w:tcPr>
            <w:tcW w:w="117"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857" w:name="TAB1272"/>
            <w:bookmarkEnd w:id="857"/>
            <w:r>
              <w:rPr>
                <w:rFonts w:ascii="Times New Roman" w:hAnsi="Times New Roman"/>
                <w:sz w:val="20"/>
              </w:rPr>
              <w:t>)</w:t>
            </w:r>
          </w:p>
        </w:tc>
      </w:tr>
      <w:tr>
        <w:trPr/>
        <w:tc>
          <w:tcPr>
            <w:tcW w:w="3610" w:type="dxa"/>
            <w:tcBorders/>
            <w:shd w:fill="FFFFFF" w:val="clear"/>
            <w:tcMar>
              <w:bottom w:w="0" w:type="dxa"/>
            </w:tcMar>
            <w:vAlign w:val="bottom"/>
          </w:tcPr>
          <w:p>
            <w:pPr>
              <w:pStyle w:val="TableContents"/>
              <w:spacing w:lineRule="auto" w:line="300" w:before="0" w:after="0"/>
              <w:ind w:left="540" w:right="0" w:hanging="540"/>
              <w:jc w:val="left"/>
              <w:rPr>
                <w:rFonts w:ascii="Times New Roman" w:hAnsi="Times New Roman"/>
                <w:sz w:val="20"/>
              </w:rPr>
            </w:pPr>
            <w:r>
              <w:rPr>
                <w:rFonts w:ascii="Times New Roman" w:hAnsi="Times New Roman"/>
                <w:sz w:val="20"/>
              </w:rPr>
              <w:t>Diluted earnings (loss)per share</w:t>
            </w:r>
          </w:p>
        </w:tc>
        <w:tc>
          <w:tcPr>
            <w:tcW w:w="170" w:type="dxa"/>
            <w:tcBorders/>
            <w:shd w:fill="FFFFFF" w:val="clear"/>
            <w:tcMar>
              <w:bottom w:w="0" w:type="dxa"/>
            </w:tcMar>
            <w:vAlign w:val="center"/>
          </w:tcPr>
          <w:p>
            <w:pPr>
              <w:pStyle w:val="TableContents"/>
              <w:spacing w:before="0" w:after="283"/>
              <w:rPr/>
            </w:pPr>
            <w:r>
              <w:rPr/>
              <w:t> </w:t>
            </w:r>
          </w:p>
        </w:tc>
        <w:tc>
          <w:tcPr>
            <w:tcW w:w="125"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858" w:name="TAB1273"/>
            <w:bookmarkEnd w:id="858"/>
            <w:r>
              <w:rPr>
                <w:rFonts w:ascii="Times New Roman" w:hAnsi="Times New Roman"/>
                <w:sz w:val="20"/>
              </w:rPr>
              <w:t>$</w:t>
            </w:r>
          </w:p>
        </w:tc>
        <w:tc>
          <w:tcPr>
            <w:tcW w:w="1052"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859" w:name="TAB1274"/>
            <w:bookmarkEnd w:id="859"/>
            <w:r>
              <w:rPr>
                <w:rFonts w:ascii="Times New Roman" w:hAnsi="Times New Roman"/>
                <w:sz w:val="20"/>
              </w:rPr>
              <w:t>0.17</w:t>
            </w:r>
          </w:p>
        </w:tc>
        <w:tc>
          <w:tcPr>
            <w:tcW w:w="106"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860" w:name="TAB1275"/>
            <w:bookmarkEnd w:id="860"/>
            <w:r>
              <w:rPr>
                <w:rFonts w:ascii="Times New Roman" w:hAnsi="Times New Roman"/>
                <w:sz w:val="20"/>
              </w:rPr>
              <w:t>$</w:t>
            </w:r>
          </w:p>
        </w:tc>
        <w:tc>
          <w:tcPr>
            <w:tcW w:w="1052"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861" w:name="TAB1276"/>
            <w:bookmarkEnd w:id="861"/>
            <w:r>
              <w:rPr>
                <w:rFonts w:ascii="Times New Roman" w:hAnsi="Times New Roman"/>
                <w:sz w:val="20"/>
              </w:rPr>
              <w:t>0.04</w:t>
            </w:r>
          </w:p>
        </w:tc>
        <w:tc>
          <w:tcPr>
            <w:tcW w:w="106"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862" w:name="TAB1277"/>
            <w:bookmarkEnd w:id="862"/>
            <w:r>
              <w:rPr>
                <w:rFonts w:ascii="Times New Roman" w:hAnsi="Times New Roman"/>
                <w:sz w:val="20"/>
              </w:rPr>
              <w:t>$</w:t>
            </w:r>
          </w:p>
        </w:tc>
        <w:tc>
          <w:tcPr>
            <w:tcW w:w="1051"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863" w:name="TAB1278"/>
            <w:bookmarkEnd w:id="863"/>
            <w:r>
              <w:rPr>
                <w:rFonts w:ascii="Times New Roman" w:hAnsi="Times New Roman"/>
                <w:sz w:val="20"/>
              </w:rPr>
              <w:t>(0.39</w:t>
            </w:r>
          </w:p>
        </w:tc>
        <w:tc>
          <w:tcPr>
            <w:tcW w:w="106"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864" w:name="TAB1279"/>
            <w:bookmarkEnd w:id="864"/>
            <w:r>
              <w:rPr>
                <w:rFonts w:ascii="Times New Roman" w:hAnsi="Times New Roman"/>
                <w:sz w:val="20"/>
              </w:rPr>
              <w:t>)</w:t>
            </w:r>
          </w:p>
        </w:tc>
        <w:tc>
          <w:tcPr>
            <w:tcW w:w="125"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865" w:name="TAB1280"/>
            <w:bookmarkEnd w:id="865"/>
            <w:r>
              <w:rPr>
                <w:rFonts w:ascii="Times New Roman" w:hAnsi="Times New Roman"/>
                <w:sz w:val="20"/>
              </w:rPr>
              <w:t>$</w:t>
            </w:r>
          </w:p>
        </w:tc>
        <w:tc>
          <w:tcPr>
            <w:tcW w:w="1052"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866" w:name="TAB1281"/>
            <w:bookmarkEnd w:id="866"/>
            <w:r>
              <w:rPr>
                <w:rFonts w:ascii="Times New Roman" w:hAnsi="Times New Roman"/>
                <w:sz w:val="20"/>
              </w:rPr>
              <w:t>(0.27</w:t>
            </w:r>
          </w:p>
        </w:tc>
        <w:tc>
          <w:tcPr>
            <w:tcW w:w="106"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867" w:name="TAB1282"/>
            <w:bookmarkEnd w:id="867"/>
            <w:r>
              <w:rPr>
                <w:rFonts w:ascii="Times New Roman" w:hAnsi="Times New Roman"/>
                <w:sz w:val="20"/>
              </w:rPr>
              <w:t>)</w:t>
            </w:r>
          </w:p>
        </w:tc>
        <w:tc>
          <w:tcPr>
            <w:tcW w:w="125"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868" w:name="TAB1283"/>
            <w:bookmarkEnd w:id="868"/>
            <w:r>
              <w:rPr>
                <w:rFonts w:ascii="Times New Roman" w:hAnsi="Times New Roman"/>
                <w:sz w:val="20"/>
              </w:rPr>
              <w:t>$</w:t>
            </w:r>
          </w:p>
        </w:tc>
        <w:tc>
          <w:tcPr>
            <w:tcW w:w="1052"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869" w:name="TAB1284"/>
            <w:bookmarkEnd w:id="869"/>
            <w:r>
              <w:rPr>
                <w:rFonts w:ascii="Times New Roman" w:hAnsi="Times New Roman"/>
                <w:sz w:val="20"/>
              </w:rPr>
              <w:t>(0.36</w:t>
            </w:r>
          </w:p>
        </w:tc>
        <w:tc>
          <w:tcPr>
            <w:tcW w:w="117"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870" w:name="TAB1285"/>
            <w:bookmarkEnd w:id="870"/>
            <w:r>
              <w:rPr>
                <w:rFonts w:ascii="Times New Roman" w:hAnsi="Times New Roman"/>
                <w:sz w:val="20"/>
              </w:rPr>
              <w:t>)</w:t>
            </w:r>
          </w:p>
        </w:tc>
      </w:tr>
      <w:tr>
        <w:trPr/>
        <w:tc>
          <w:tcPr>
            <w:tcW w:w="3610" w:type="dxa"/>
            <w:tcBorders/>
            <w:shd w:fill="CCEEFF" w:val="clear"/>
            <w:tcMar>
              <w:bottom w:w="0" w:type="dxa"/>
            </w:tcMar>
            <w:vAlign w:val="bottom"/>
          </w:tcPr>
          <w:p>
            <w:pPr>
              <w:pStyle w:val="TableContents"/>
              <w:spacing w:lineRule="auto" w:line="300" w:before="0" w:after="0"/>
              <w:ind w:left="0" w:right="0" w:hanging="0"/>
              <w:jc w:val="left"/>
              <w:rPr/>
            </w:pPr>
            <w:r>
              <w:rPr/>
              <w:t> </w:t>
            </w:r>
          </w:p>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Other Information:</w:t>
            </w:r>
          </w:p>
        </w:tc>
        <w:tc>
          <w:tcPr>
            <w:tcW w:w="170" w:type="dxa"/>
            <w:tcBorders/>
            <w:shd w:fill="CCEEFF" w:val="clear"/>
            <w:tcMar>
              <w:bottom w:w="0" w:type="dxa"/>
            </w:tcMar>
            <w:vAlign w:val="center"/>
          </w:tcPr>
          <w:p>
            <w:pPr>
              <w:pStyle w:val="TableContents"/>
              <w:spacing w:before="0" w:after="283"/>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052" w:type="dxa"/>
            <w:tcBorders/>
            <w:shd w:fill="CCEEFF" w:val="clear"/>
            <w:tcMar>
              <w:bottom w:w="0" w:type="dxa"/>
            </w:tcMar>
            <w:vAlign w:val="bottom"/>
          </w:tcPr>
          <w:p>
            <w:pPr>
              <w:pStyle w:val="TableContents"/>
              <w:spacing w:before="0" w:after="283"/>
              <w:jc w:val="righ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052" w:type="dxa"/>
            <w:tcBorders/>
            <w:shd w:fill="CCEEFF" w:val="clear"/>
            <w:tcMar>
              <w:bottom w:w="0" w:type="dxa"/>
            </w:tcMar>
            <w:vAlign w:val="bottom"/>
          </w:tcPr>
          <w:p>
            <w:pPr>
              <w:pStyle w:val="TableContents"/>
              <w:spacing w:before="0" w:after="283"/>
              <w:jc w:val="righ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051" w:type="dxa"/>
            <w:tcBorders/>
            <w:shd w:fill="CCEEFF" w:val="clear"/>
            <w:tcMar>
              <w:bottom w:w="0" w:type="dxa"/>
            </w:tcMar>
            <w:vAlign w:val="bottom"/>
          </w:tcPr>
          <w:p>
            <w:pPr>
              <w:pStyle w:val="TableContents"/>
              <w:spacing w:before="0" w:after="283"/>
              <w:jc w:val="righ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052" w:type="dxa"/>
            <w:tcBorders/>
            <w:shd w:fill="CCEEFF" w:val="clear"/>
            <w:tcMar>
              <w:bottom w:w="0" w:type="dxa"/>
            </w:tcMar>
            <w:vAlign w:val="bottom"/>
          </w:tcPr>
          <w:p>
            <w:pPr>
              <w:pStyle w:val="TableContents"/>
              <w:spacing w:before="0" w:after="283"/>
              <w:jc w:val="righ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052" w:type="dxa"/>
            <w:tcBorders/>
            <w:shd w:fill="CCEEFF" w:val="clear"/>
            <w:tcMar>
              <w:bottom w:w="0" w:type="dxa"/>
            </w:tcMar>
            <w:vAlign w:val="bottom"/>
          </w:tcPr>
          <w:p>
            <w:pPr>
              <w:pStyle w:val="TableContents"/>
              <w:spacing w:before="0" w:after="283"/>
              <w:jc w:val="right"/>
              <w:rPr/>
            </w:pPr>
            <w:r>
              <w:rPr/>
              <w:t> </w:t>
            </w:r>
          </w:p>
        </w:tc>
        <w:tc>
          <w:tcPr>
            <w:tcW w:w="117" w:type="dxa"/>
            <w:tcBorders/>
            <w:shd w:fill="CCEEFF" w:val="clear"/>
            <w:tcMar>
              <w:bottom w:w="0" w:type="dxa"/>
            </w:tcMar>
            <w:vAlign w:val="bottom"/>
          </w:tcPr>
          <w:p>
            <w:pPr>
              <w:pStyle w:val="TableContents"/>
              <w:spacing w:before="0" w:after="283"/>
              <w:jc w:val="left"/>
              <w:rPr/>
            </w:pPr>
            <w:r>
              <w:rPr/>
              <w:t> </w:t>
            </w:r>
          </w:p>
        </w:tc>
      </w:tr>
      <w:tr>
        <w:trPr/>
        <w:tc>
          <w:tcPr>
            <w:tcW w:w="3610" w:type="dxa"/>
            <w:tcBorders/>
            <w:shd w:fill="FFFFFF" w:val="clear"/>
            <w:tcMar>
              <w:bottom w:w="0" w:type="dxa"/>
            </w:tcMar>
            <w:vAlign w:val="bottom"/>
          </w:tcPr>
          <w:p>
            <w:pPr>
              <w:pStyle w:val="TableContents"/>
              <w:spacing w:before="0" w:after="283"/>
              <w:jc w:val="left"/>
              <w:rPr/>
            </w:pPr>
            <w:r>
              <w:rPr/>
              <w:t> </w:t>
            </w:r>
          </w:p>
        </w:tc>
        <w:tc>
          <w:tcPr>
            <w:tcW w:w="170" w:type="dxa"/>
            <w:tcBorders/>
            <w:shd w:fill="FFFFFF" w:val="clear"/>
            <w:tcMar>
              <w:bottom w:w="0" w:type="dxa"/>
            </w:tcMar>
            <w:vAlign w:val="center"/>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52" w:type="dxa"/>
            <w:tcBorders/>
            <w:shd w:fill="FFFFFF" w:val="clear"/>
            <w:tcMar>
              <w:bottom w:w="0" w:type="dxa"/>
            </w:tcMar>
            <w:vAlign w:val="bottom"/>
          </w:tcPr>
          <w:p>
            <w:pPr>
              <w:pStyle w:val="TableContents"/>
              <w:spacing w:before="0" w:after="283"/>
              <w:jc w:val="righ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52" w:type="dxa"/>
            <w:tcBorders/>
            <w:shd w:fill="FFFFFF" w:val="clear"/>
            <w:tcMar>
              <w:bottom w:w="0" w:type="dxa"/>
            </w:tcMar>
            <w:vAlign w:val="bottom"/>
          </w:tcPr>
          <w:p>
            <w:pPr>
              <w:pStyle w:val="TableContents"/>
              <w:spacing w:before="0" w:after="283"/>
              <w:jc w:val="righ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51" w:type="dxa"/>
            <w:tcBorders/>
            <w:shd w:fill="FFFFFF" w:val="clear"/>
            <w:tcMar>
              <w:bottom w:w="0" w:type="dxa"/>
            </w:tcMar>
            <w:vAlign w:val="bottom"/>
          </w:tcPr>
          <w:p>
            <w:pPr>
              <w:pStyle w:val="TableContents"/>
              <w:spacing w:before="0" w:after="283"/>
              <w:jc w:val="righ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52" w:type="dxa"/>
            <w:tcBorders/>
            <w:shd w:fill="FFFFFF" w:val="clear"/>
            <w:tcMar>
              <w:bottom w:w="0" w:type="dxa"/>
            </w:tcMar>
            <w:vAlign w:val="bottom"/>
          </w:tcPr>
          <w:p>
            <w:pPr>
              <w:pStyle w:val="TableContents"/>
              <w:spacing w:before="0" w:after="283"/>
              <w:jc w:val="righ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52" w:type="dxa"/>
            <w:tcBorders/>
            <w:shd w:fill="FFFFFF" w:val="clear"/>
            <w:tcMar>
              <w:bottom w:w="0" w:type="dxa"/>
            </w:tcMar>
            <w:vAlign w:val="bottom"/>
          </w:tcPr>
          <w:p>
            <w:pPr>
              <w:pStyle w:val="TableContents"/>
              <w:spacing w:before="0" w:after="283"/>
              <w:jc w:val="right"/>
              <w:rPr/>
            </w:pPr>
            <w:r>
              <w:rPr/>
              <w:t> </w:t>
            </w:r>
          </w:p>
        </w:tc>
        <w:tc>
          <w:tcPr>
            <w:tcW w:w="117" w:type="dxa"/>
            <w:tcBorders/>
            <w:shd w:fill="FFFFFF" w:val="clear"/>
            <w:tcMar>
              <w:bottom w:w="0" w:type="dxa"/>
            </w:tcMar>
            <w:vAlign w:val="bottom"/>
          </w:tcPr>
          <w:p>
            <w:pPr>
              <w:pStyle w:val="TableContents"/>
              <w:spacing w:before="0" w:after="283"/>
              <w:jc w:val="left"/>
              <w:rPr/>
            </w:pPr>
            <w:r>
              <w:rPr/>
              <w:t> </w:t>
            </w:r>
          </w:p>
        </w:tc>
      </w:tr>
      <w:tr>
        <w:trPr/>
        <w:tc>
          <w:tcPr>
            <w:tcW w:w="3610"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Shares outstanding</w:t>
            </w:r>
          </w:p>
        </w:tc>
        <w:tc>
          <w:tcPr>
            <w:tcW w:w="170" w:type="dxa"/>
            <w:tcBorders/>
            <w:shd w:fill="CCEEFF" w:val="clear"/>
            <w:tcMar>
              <w:bottom w:w="0" w:type="dxa"/>
            </w:tcMar>
            <w:vAlign w:val="center"/>
          </w:tcPr>
          <w:p>
            <w:pPr>
              <w:pStyle w:val="TableContents"/>
              <w:spacing w:before="0" w:after="283"/>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052"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r>
          </w:p>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22,476,355</w:t>
            </w:r>
          </w:p>
        </w:tc>
        <w:tc>
          <w:tcPr>
            <w:tcW w:w="106"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052"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22,485,948</w:t>
            </w:r>
          </w:p>
        </w:tc>
        <w:tc>
          <w:tcPr>
            <w:tcW w:w="106"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051"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21,998,239</w:t>
            </w:r>
          </w:p>
        </w:tc>
        <w:tc>
          <w:tcPr>
            <w:tcW w:w="106"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052"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21,899,290</w:t>
            </w:r>
          </w:p>
        </w:tc>
        <w:tc>
          <w:tcPr>
            <w:tcW w:w="106"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052"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21,821,154</w:t>
            </w:r>
          </w:p>
        </w:tc>
        <w:tc>
          <w:tcPr>
            <w:tcW w:w="117" w:type="dxa"/>
            <w:tcBorders/>
            <w:shd w:fill="CCEEFF" w:val="clear"/>
            <w:tcMar>
              <w:bottom w:w="0" w:type="dxa"/>
            </w:tcMar>
            <w:vAlign w:val="bottom"/>
          </w:tcPr>
          <w:p>
            <w:pPr>
              <w:pStyle w:val="TableContents"/>
              <w:spacing w:before="0" w:after="283"/>
              <w:jc w:val="left"/>
              <w:rPr/>
            </w:pPr>
            <w:r>
              <w:rPr/>
              <w:t> </w:t>
            </w:r>
          </w:p>
        </w:tc>
      </w:tr>
      <w:tr>
        <w:trPr/>
        <w:tc>
          <w:tcPr>
            <w:tcW w:w="3610" w:type="dxa"/>
            <w:tcBorders/>
            <w:shd w:fill="FFFFFF" w:val="clear"/>
            <w:tcMar>
              <w:bottom w:w="0" w:type="dxa"/>
            </w:tcMar>
            <w:vAlign w:val="bottom"/>
          </w:tcPr>
          <w:p>
            <w:pPr>
              <w:pStyle w:val="TableContents"/>
              <w:spacing w:lineRule="auto" w:line="300" w:before="0" w:after="0"/>
              <w:ind w:left="180" w:right="0" w:hanging="180"/>
              <w:jc w:val="left"/>
              <w:rPr>
                <w:rFonts w:ascii="Times New Roman" w:hAnsi="Times New Roman"/>
                <w:sz w:val="20"/>
              </w:rPr>
            </w:pPr>
            <w:r>
              <w:rPr>
                <w:rFonts w:ascii="Times New Roman" w:hAnsi="Times New Roman"/>
                <w:sz w:val="20"/>
              </w:rPr>
              <w:t>Weighted average shares outstanding</w:t>
            </w:r>
          </w:p>
        </w:tc>
        <w:tc>
          <w:tcPr>
            <w:tcW w:w="170" w:type="dxa"/>
            <w:tcBorders/>
            <w:shd w:fill="FFFFFF" w:val="clear"/>
            <w:tcMar>
              <w:bottom w:w="0" w:type="dxa"/>
            </w:tcMar>
            <w:vAlign w:val="center"/>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52"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22,425,941</w:t>
            </w:r>
          </w:p>
        </w:tc>
        <w:tc>
          <w:tcPr>
            <w:tcW w:w="106"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52"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22,249,967</w:t>
            </w:r>
          </w:p>
        </w:tc>
        <w:tc>
          <w:tcPr>
            <w:tcW w:w="106"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51"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21,948,065</w:t>
            </w:r>
          </w:p>
        </w:tc>
        <w:tc>
          <w:tcPr>
            <w:tcW w:w="106"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52"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21,860,222</w:t>
            </w:r>
          </w:p>
        </w:tc>
        <w:tc>
          <w:tcPr>
            <w:tcW w:w="106"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52"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21,821,236</w:t>
            </w:r>
          </w:p>
        </w:tc>
        <w:tc>
          <w:tcPr>
            <w:tcW w:w="117" w:type="dxa"/>
            <w:tcBorders/>
            <w:shd w:fill="FFFFFF" w:val="clear"/>
            <w:tcMar>
              <w:bottom w:w="0" w:type="dxa"/>
            </w:tcMar>
            <w:vAlign w:val="bottom"/>
          </w:tcPr>
          <w:p>
            <w:pPr>
              <w:pStyle w:val="TableContents"/>
              <w:spacing w:before="0" w:after="283"/>
              <w:jc w:val="left"/>
              <w:rPr/>
            </w:pPr>
            <w:r>
              <w:rPr/>
              <w:t> </w:t>
            </w:r>
          </w:p>
        </w:tc>
      </w:tr>
      <w:tr>
        <w:trPr/>
        <w:tc>
          <w:tcPr>
            <w:tcW w:w="3610" w:type="dxa"/>
            <w:tcBorders/>
            <w:shd w:fill="CCEEFF" w:val="clear"/>
            <w:tcMar>
              <w:bottom w:w="0" w:type="dxa"/>
            </w:tcMar>
            <w:vAlign w:val="bottom"/>
          </w:tcPr>
          <w:p>
            <w:pPr>
              <w:pStyle w:val="TableContents"/>
              <w:spacing w:lineRule="auto" w:line="300" w:before="0" w:after="0"/>
              <w:ind w:left="180" w:right="0" w:hanging="180"/>
              <w:jc w:val="left"/>
              <w:rPr>
                <w:rFonts w:ascii="Times New Roman" w:hAnsi="Times New Roman"/>
                <w:sz w:val="20"/>
              </w:rPr>
            </w:pPr>
            <w:r>
              <w:rPr>
                <w:rFonts w:ascii="Times New Roman" w:hAnsi="Times New Roman"/>
                <w:sz w:val="20"/>
              </w:rPr>
              <w:t>Weighted average dilutive shares outstanding</w:t>
            </w:r>
          </w:p>
        </w:tc>
        <w:tc>
          <w:tcPr>
            <w:tcW w:w="170" w:type="dxa"/>
            <w:tcBorders/>
            <w:shd w:fill="CCEEFF" w:val="clear"/>
            <w:tcMar>
              <w:bottom w:w="0" w:type="dxa"/>
            </w:tcMar>
            <w:vAlign w:val="center"/>
          </w:tcPr>
          <w:p>
            <w:pPr>
              <w:pStyle w:val="TableContents"/>
              <w:spacing w:before="0" w:after="283"/>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052"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22,674,818</w:t>
            </w:r>
          </w:p>
        </w:tc>
        <w:tc>
          <w:tcPr>
            <w:tcW w:w="106"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052"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22,249,967</w:t>
            </w:r>
          </w:p>
        </w:tc>
        <w:tc>
          <w:tcPr>
            <w:tcW w:w="106"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051"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21,948,065</w:t>
            </w:r>
          </w:p>
        </w:tc>
        <w:tc>
          <w:tcPr>
            <w:tcW w:w="106"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052"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21,860,222</w:t>
            </w:r>
          </w:p>
        </w:tc>
        <w:tc>
          <w:tcPr>
            <w:tcW w:w="106"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052"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21,821,236</w:t>
            </w:r>
          </w:p>
        </w:tc>
        <w:tc>
          <w:tcPr>
            <w:tcW w:w="117" w:type="dxa"/>
            <w:tcBorders/>
            <w:shd w:fill="CCEEFF" w:val="clear"/>
            <w:tcMar>
              <w:bottom w:w="0" w:type="dxa"/>
            </w:tcMar>
            <w:vAlign w:val="bottom"/>
          </w:tcPr>
          <w:p>
            <w:pPr>
              <w:pStyle w:val="TableContents"/>
              <w:spacing w:before="0" w:after="283"/>
              <w:jc w:val="left"/>
              <w:rPr/>
            </w:pPr>
            <w:r>
              <w:rPr/>
              <w:t> </w:t>
            </w:r>
          </w:p>
        </w:tc>
      </w:tr>
      <w:tr>
        <w:trPr/>
        <w:tc>
          <w:tcPr>
            <w:tcW w:w="3610" w:type="dxa"/>
            <w:tcBorders/>
            <w:shd w:fill="FFFFFF" w:val="clear"/>
            <w:tcMar>
              <w:bottom w:w="0" w:type="dxa"/>
            </w:tcMar>
            <w:vAlign w:val="bottom"/>
          </w:tcPr>
          <w:p>
            <w:pPr>
              <w:pStyle w:val="TableContents"/>
              <w:spacing w:before="0" w:after="283"/>
              <w:jc w:val="left"/>
              <w:rPr/>
            </w:pPr>
            <w:r>
              <w:rPr/>
              <w:t> </w:t>
            </w:r>
          </w:p>
        </w:tc>
        <w:tc>
          <w:tcPr>
            <w:tcW w:w="170" w:type="dxa"/>
            <w:tcBorders/>
            <w:shd w:fill="FFFFFF" w:val="clear"/>
            <w:tcMar>
              <w:bottom w:w="0" w:type="dxa"/>
            </w:tcMar>
            <w:vAlign w:val="center"/>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52" w:type="dxa"/>
            <w:tcBorders/>
            <w:shd w:fill="FFFFFF" w:val="clear"/>
            <w:tcMar>
              <w:bottom w:w="0" w:type="dxa"/>
            </w:tcMar>
            <w:vAlign w:val="bottom"/>
          </w:tcPr>
          <w:p>
            <w:pPr>
              <w:pStyle w:val="TableContents"/>
              <w:spacing w:before="0" w:after="283"/>
              <w:jc w:val="righ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52" w:type="dxa"/>
            <w:tcBorders/>
            <w:shd w:fill="FFFFFF" w:val="clear"/>
            <w:tcMar>
              <w:bottom w:w="0" w:type="dxa"/>
            </w:tcMar>
            <w:vAlign w:val="bottom"/>
          </w:tcPr>
          <w:p>
            <w:pPr>
              <w:pStyle w:val="TableContents"/>
              <w:spacing w:before="0" w:after="283"/>
              <w:jc w:val="righ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51" w:type="dxa"/>
            <w:tcBorders/>
            <w:shd w:fill="FFFFFF" w:val="clear"/>
            <w:tcMar>
              <w:bottom w:w="0" w:type="dxa"/>
            </w:tcMar>
            <w:vAlign w:val="bottom"/>
          </w:tcPr>
          <w:p>
            <w:pPr>
              <w:pStyle w:val="TableContents"/>
              <w:spacing w:before="0" w:after="283"/>
              <w:jc w:val="righ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52" w:type="dxa"/>
            <w:tcBorders/>
            <w:shd w:fill="FFFFFF" w:val="clear"/>
            <w:tcMar>
              <w:bottom w:w="0" w:type="dxa"/>
            </w:tcMar>
            <w:vAlign w:val="bottom"/>
          </w:tcPr>
          <w:p>
            <w:pPr>
              <w:pStyle w:val="TableContents"/>
              <w:spacing w:before="0" w:after="283"/>
              <w:jc w:val="righ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52" w:type="dxa"/>
            <w:tcBorders/>
            <w:shd w:fill="FFFFFF" w:val="clear"/>
            <w:tcMar>
              <w:bottom w:w="0" w:type="dxa"/>
            </w:tcMar>
            <w:vAlign w:val="bottom"/>
          </w:tcPr>
          <w:p>
            <w:pPr>
              <w:pStyle w:val="TableContents"/>
              <w:spacing w:before="0" w:after="283"/>
              <w:jc w:val="right"/>
              <w:rPr/>
            </w:pPr>
            <w:r>
              <w:rPr/>
              <w:t> </w:t>
            </w:r>
          </w:p>
        </w:tc>
        <w:tc>
          <w:tcPr>
            <w:tcW w:w="117" w:type="dxa"/>
            <w:tcBorders/>
            <w:shd w:fill="FFFFFF" w:val="clear"/>
            <w:tcMar>
              <w:bottom w:w="0" w:type="dxa"/>
            </w:tcMar>
            <w:vAlign w:val="bottom"/>
          </w:tcPr>
          <w:p>
            <w:pPr>
              <w:pStyle w:val="TableContents"/>
              <w:spacing w:before="0" w:after="283"/>
              <w:jc w:val="left"/>
              <w:rPr/>
            </w:pPr>
            <w:r>
              <w:rPr/>
              <w:t> </w:t>
            </w:r>
          </w:p>
        </w:tc>
      </w:tr>
      <w:tr>
        <w:trPr/>
        <w:tc>
          <w:tcPr>
            <w:tcW w:w="3610"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Total assets</w:t>
            </w:r>
          </w:p>
        </w:tc>
        <w:tc>
          <w:tcPr>
            <w:tcW w:w="170" w:type="dxa"/>
            <w:tcBorders/>
            <w:shd w:fill="CCEEFF" w:val="clear"/>
            <w:tcMar>
              <w:bottom w:w="0" w:type="dxa"/>
            </w:tcMar>
            <w:vAlign w:val="center"/>
          </w:tcPr>
          <w:p>
            <w:pPr>
              <w:pStyle w:val="TableContents"/>
              <w:spacing w:before="0" w:after="283"/>
              <w:rPr/>
            </w:pPr>
            <w:r>
              <w:rPr/>
              <w:t> </w:t>
            </w:r>
          </w:p>
        </w:tc>
        <w:tc>
          <w:tcPr>
            <w:tcW w:w="125"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871" w:name="TAB1286"/>
            <w:bookmarkEnd w:id="871"/>
            <w:r>
              <w:rPr>
                <w:rFonts w:ascii="Times New Roman" w:hAnsi="Times New Roman"/>
                <w:sz w:val="20"/>
              </w:rPr>
              <w:t>$</w:t>
            </w:r>
          </w:p>
        </w:tc>
        <w:tc>
          <w:tcPr>
            <w:tcW w:w="1052"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872" w:name="TAB1287"/>
            <w:bookmarkEnd w:id="872"/>
            <w:r>
              <w:rPr>
                <w:rFonts w:ascii="Times New Roman" w:hAnsi="Times New Roman"/>
                <w:sz w:val="20"/>
              </w:rPr>
              <w:t>289,231</w:t>
            </w:r>
          </w:p>
        </w:tc>
        <w:tc>
          <w:tcPr>
            <w:tcW w:w="106"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873" w:name="TAB1288"/>
            <w:bookmarkEnd w:id="873"/>
            <w:r>
              <w:rPr>
                <w:rFonts w:ascii="Times New Roman" w:hAnsi="Times New Roman"/>
                <w:sz w:val="20"/>
              </w:rPr>
              <w:t>$</w:t>
            </w:r>
          </w:p>
        </w:tc>
        <w:tc>
          <w:tcPr>
            <w:tcW w:w="1052"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874" w:name="TAB1289"/>
            <w:bookmarkEnd w:id="874"/>
            <w:r>
              <w:rPr>
                <w:rFonts w:ascii="Times New Roman" w:hAnsi="Times New Roman"/>
                <w:sz w:val="20"/>
              </w:rPr>
              <w:t>253,057</w:t>
            </w:r>
          </w:p>
        </w:tc>
        <w:tc>
          <w:tcPr>
            <w:tcW w:w="106"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875" w:name="TAB1290"/>
            <w:bookmarkEnd w:id="875"/>
            <w:r>
              <w:rPr>
                <w:rFonts w:ascii="Times New Roman" w:hAnsi="Times New Roman"/>
                <w:sz w:val="20"/>
              </w:rPr>
              <w:t>$</w:t>
            </w:r>
          </w:p>
        </w:tc>
        <w:tc>
          <w:tcPr>
            <w:tcW w:w="1051"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876" w:name="TAB1291"/>
            <w:bookmarkEnd w:id="876"/>
            <w:r>
              <w:rPr>
                <w:rFonts w:ascii="Times New Roman" w:hAnsi="Times New Roman"/>
                <w:sz w:val="20"/>
              </w:rPr>
              <w:t>230,227</w:t>
            </w:r>
          </w:p>
        </w:tc>
        <w:tc>
          <w:tcPr>
            <w:tcW w:w="106"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877" w:name="TAB1292"/>
            <w:bookmarkEnd w:id="877"/>
            <w:r>
              <w:rPr>
                <w:rFonts w:ascii="Times New Roman" w:hAnsi="Times New Roman"/>
                <w:sz w:val="20"/>
              </w:rPr>
              <w:t>$</w:t>
            </w:r>
          </w:p>
        </w:tc>
        <w:tc>
          <w:tcPr>
            <w:tcW w:w="1052"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878" w:name="TAB1293"/>
            <w:bookmarkEnd w:id="878"/>
            <w:r>
              <w:rPr>
                <w:rFonts w:ascii="Times New Roman" w:hAnsi="Times New Roman"/>
                <w:sz w:val="20"/>
              </w:rPr>
              <w:t>222,866</w:t>
            </w:r>
          </w:p>
        </w:tc>
        <w:tc>
          <w:tcPr>
            <w:tcW w:w="106"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879" w:name="TAB1294"/>
            <w:bookmarkEnd w:id="879"/>
            <w:r>
              <w:rPr>
                <w:rFonts w:ascii="Times New Roman" w:hAnsi="Times New Roman"/>
                <w:sz w:val="20"/>
              </w:rPr>
              <w:t>$</w:t>
            </w:r>
          </w:p>
        </w:tc>
        <w:tc>
          <w:tcPr>
            <w:tcW w:w="1052"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880" w:name="TAB1295"/>
            <w:bookmarkEnd w:id="880"/>
            <w:r>
              <w:rPr>
                <w:rFonts w:ascii="Times New Roman" w:hAnsi="Times New Roman"/>
                <w:sz w:val="20"/>
              </w:rPr>
              <w:t>182,772</w:t>
            </w:r>
          </w:p>
        </w:tc>
        <w:tc>
          <w:tcPr>
            <w:tcW w:w="117" w:type="dxa"/>
            <w:tcBorders/>
            <w:shd w:fill="CCEEFF" w:val="clear"/>
            <w:tcMar>
              <w:bottom w:w="0" w:type="dxa"/>
            </w:tcMar>
            <w:vAlign w:val="bottom"/>
          </w:tcPr>
          <w:p>
            <w:pPr>
              <w:pStyle w:val="TableContents"/>
              <w:spacing w:before="0" w:after="283"/>
              <w:jc w:val="left"/>
              <w:rPr/>
            </w:pPr>
            <w:r>
              <w:rPr/>
              <w:t> </w:t>
            </w:r>
          </w:p>
        </w:tc>
      </w:tr>
      <w:tr>
        <w:trPr/>
        <w:tc>
          <w:tcPr>
            <w:tcW w:w="3610"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Total debt</w:t>
            </w:r>
          </w:p>
        </w:tc>
        <w:tc>
          <w:tcPr>
            <w:tcW w:w="170" w:type="dxa"/>
            <w:tcBorders/>
            <w:shd w:fill="FFFFFF" w:val="clear"/>
            <w:tcMar>
              <w:bottom w:w="0" w:type="dxa"/>
            </w:tcMar>
            <w:vAlign w:val="center"/>
          </w:tcPr>
          <w:p>
            <w:pPr>
              <w:pStyle w:val="TableContents"/>
              <w:spacing w:before="0" w:after="283"/>
              <w:rPr/>
            </w:pPr>
            <w:r>
              <w:rPr/>
              <w:t> </w:t>
            </w:r>
          </w:p>
        </w:tc>
        <w:tc>
          <w:tcPr>
            <w:tcW w:w="125"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881" w:name="TAB1296"/>
            <w:bookmarkEnd w:id="881"/>
            <w:r>
              <w:rPr>
                <w:rFonts w:ascii="Times New Roman" w:hAnsi="Times New Roman"/>
                <w:sz w:val="20"/>
              </w:rPr>
              <w:t>$</w:t>
            </w:r>
          </w:p>
        </w:tc>
        <w:tc>
          <w:tcPr>
            <w:tcW w:w="1052"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882" w:name="TAB1297"/>
            <w:bookmarkEnd w:id="882"/>
            <w:r>
              <w:rPr>
                <w:rFonts w:ascii="Times New Roman" w:hAnsi="Times New Roman"/>
                <w:sz w:val="20"/>
              </w:rPr>
              <w:t>130,212</w:t>
            </w:r>
          </w:p>
        </w:tc>
        <w:tc>
          <w:tcPr>
            <w:tcW w:w="106"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883" w:name="TAB1298"/>
            <w:bookmarkEnd w:id="883"/>
            <w:r>
              <w:rPr>
                <w:rFonts w:ascii="Times New Roman" w:hAnsi="Times New Roman"/>
                <w:sz w:val="20"/>
              </w:rPr>
              <w:t>$</w:t>
            </w:r>
          </w:p>
        </w:tc>
        <w:tc>
          <w:tcPr>
            <w:tcW w:w="1052"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884" w:name="TAB1299"/>
            <w:bookmarkEnd w:id="884"/>
            <w:r>
              <w:rPr>
                <w:rFonts w:ascii="Times New Roman" w:hAnsi="Times New Roman"/>
                <w:sz w:val="20"/>
              </w:rPr>
              <w:t>109,320</w:t>
            </w:r>
          </w:p>
        </w:tc>
        <w:tc>
          <w:tcPr>
            <w:tcW w:w="106"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885" w:name="TAB1300"/>
            <w:bookmarkEnd w:id="885"/>
            <w:r>
              <w:rPr>
                <w:rFonts w:ascii="Times New Roman" w:hAnsi="Times New Roman"/>
                <w:sz w:val="20"/>
              </w:rPr>
              <w:t>$</w:t>
            </w:r>
          </w:p>
        </w:tc>
        <w:tc>
          <w:tcPr>
            <w:tcW w:w="1051"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886" w:name="TAB1301"/>
            <w:bookmarkEnd w:id="886"/>
            <w:r>
              <w:rPr>
                <w:rFonts w:ascii="Times New Roman" w:hAnsi="Times New Roman"/>
                <w:sz w:val="20"/>
              </w:rPr>
              <w:t>72,879</w:t>
            </w:r>
          </w:p>
        </w:tc>
        <w:tc>
          <w:tcPr>
            <w:tcW w:w="106"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887" w:name="TAB1302"/>
            <w:bookmarkEnd w:id="887"/>
            <w:r>
              <w:rPr>
                <w:rFonts w:ascii="Times New Roman" w:hAnsi="Times New Roman"/>
                <w:sz w:val="20"/>
              </w:rPr>
              <w:t>$</w:t>
            </w:r>
          </w:p>
        </w:tc>
        <w:tc>
          <w:tcPr>
            <w:tcW w:w="1052"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888" w:name="TAB1303"/>
            <w:bookmarkEnd w:id="888"/>
            <w:r>
              <w:rPr>
                <w:rFonts w:ascii="Times New Roman" w:hAnsi="Times New Roman"/>
                <w:sz w:val="20"/>
              </w:rPr>
              <w:t>60,765</w:t>
            </w:r>
          </w:p>
        </w:tc>
        <w:tc>
          <w:tcPr>
            <w:tcW w:w="106"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889" w:name="TAB1304"/>
            <w:bookmarkEnd w:id="889"/>
            <w:r>
              <w:rPr>
                <w:rFonts w:ascii="Times New Roman" w:hAnsi="Times New Roman"/>
                <w:sz w:val="20"/>
              </w:rPr>
              <w:t>$</w:t>
            </w:r>
          </w:p>
        </w:tc>
        <w:tc>
          <w:tcPr>
            <w:tcW w:w="1052"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890" w:name="TAB1305"/>
            <w:bookmarkEnd w:id="890"/>
            <w:r>
              <w:rPr>
                <w:rFonts w:ascii="Times New Roman" w:hAnsi="Times New Roman"/>
                <w:sz w:val="20"/>
              </w:rPr>
              <w:t>37,563</w:t>
            </w:r>
          </w:p>
        </w:tc>
        <w:tc>
          <w:tcPr>
            <w:tcW w:w="117" w:type="dxa"/>
            <w:tcBorders/>
            <w:shd w:fill="FFFFFF" w:val="clear"/>
            <w:tcMar>
              <w:bottom w:w="0" w:type="dxa"/>
            </w:tcMar>
            <w:vAlign w:val="bottom"/>
          </w:tcPr>
          <w:p>
            <w:pPr>
              <w:pStyle w:val="TableContents"/>
              <w:spacing w:before="0" w:after="283"/>
              <w:jc w:val="left"/>
              <w:rPr/>
            </w:pPr>
            <w:r>
              <w:rPr/>
              <w:t> </w:t>
            </w:r>
          </w:p>
        </w:tc>
      </w:tr>
      <w:tr>
        <w:trPr/>
        <w:tc>
          <w:tcPr>
            <w:tcW w:w="3610"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Working capital (deficit)</w:t>
            </w:r>
          </w:p>
        </w:tc>
        <w:tc>
          <w:tcPr>
            <w:tcW w:w="170" w:type="dxa"/>
            <w:tcBorders/>
            <w:shd w:fill="CCEEFF" w:val="clear"/>
            <w:tcMar>
              <w:bottom w:w="0" w:type="dxa"/>
            </w:tcMar>
            <w:vAlign w:val="center"/>
          </w:tcPr>
          <w:p>
            <w:pPr>
              <w:pStyle w:val="TableContents"/>
              <w:spacing w:before="0" w:after="283"/>
              <w:rPr/>
            </w:pPr>
            <w:r>
              <w:rPr/>
              <w:t> </w:t>
            </w:r>
          </w:p>
        </w:tc>
        <w:tc>
          <w:tcPr>
            <w:tcW w:w="125"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891" w:name="TAB1306"/>
            <w:bookmarkEnd w:id="891"/>
            <w:r>
              <w:rPr>
                <w:rFonts w:ascii="Times New Roman" w:hAnsi="Times New Roman"/>
                <w:sz w:val="20"/>
              </w:rPr>
              <w:t>$</w:t>
            </w:r>
          </w:p>
        </w:tc>
        <w:tc>
          <w:tcPr>
            <w:tcW w:w="1052"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892" w:name="TAB1307"/>
            <w:bookmarkEnd w:id="892"/>
            <w:r>
              <w:rPr>
                <w:rFonts w:ascii="Times New Roman" w:hAnsi="Times New Roman"/>
                <w:sz w:val="20"/>
              </w:rPr>
              <w:t>(6,997</w:t>
            </w:r>
          </w:p>
        </w:tc>
        <w:tc>
          <w:tcPr>
            <w:tcW w:w="106"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893" w:name="TAB1308"/>
            <w:bookmarkEnd w:id="893"/>
            <w:r>
              <w:rPr>
                <w:rFonts w:ascii="Times New Roman" w:hAnsi="Times New Roman"/>
                <w:sz w:val="20"/>
              </w:rPr>
              <w:t>)</w:t>
            </w:r>
          </w:p>
        </w:tc>
        <w:tc>
          <w:tcPr>
            <w:tcW w:w="125"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894" w:name="TAB1309"/>
            <w:bookmarkEnd w:id="894"/>
            <w:r>
              <w:rPr>
                <w:rFonts w:ascii="Times New Roman" w:hAnsi="Times New Roman"/>
                <w:sz w:val="20"/>
              </w:rPr>
              <w:t>$</w:t>
            </w:r>
          </w:p>
        </w:tc>
        <w:tc>
          <w:tcPr>
            <w:tcW w:w="1052"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895" w:name="TAB1310"/>
            <w:bookmarkEnd w:id="895"/>
            <w:r>
              <w:rPr>
                <w:rFonts w:ascii="Times New Roman" w:hAnsi="Times New Roman"/>
                <w:sz w:val="20"/>
              </w:rPr>
              <w:t>(14,282</w:t>
            </w:r>
          </w:p>
        </w:tc>
        <w:tc>
          <w:tcPr>
            <w:tcW w:w="106"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896" w:name="TAB1311"/>
            <w:bookmarkEnd w:id="896"/>
            <w:r>
              <w:rPr>
                <w:rFonts w:ascii="Times New Roman" w:hAnsi="Times New Roman"/>
                <w:sz w:val="20"/>
              </w:rPr>
              <w:t>)</w:t>
            </w:r>
          </w:p>
        </w:tc>
        <w:tc>
          <w:tcPr>
            <w:tcW w:w="125"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897" w:name="TAB1312"/>
            <w:bookmarkEnd w:id="897"/>
            <w:r>
              <w:rPr>
                <w:rFonts w:ascii="Times New Roman" w:hAnsi="Times New Roman"/>
                <w:sz w:val="20"/>
              </w:rPr>
              <w:t>$</w:t>
            </w:r>
          </w:p>
        </w:tc>
        <w:tc>
          <w:tcPr>
            <w:tcW w:w="1051"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898" w:name="TAB1313"/>
            <w:bookmarkEnd w:id="898"/>
            <w:r>
              <w:rPr>
                <w:rFonts w:ascii="Times New Roman" w:hAnsi="Times New Roman"/>
                <w:sz w:val="20"/>
              </w:rPr>
              <w:t>(6,915</w:t>
            </w:r>
          </w:p>
        </w:tc>
        <w:tc>
          <w:tcPr>
            <w:tcW w:w="106"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899" w:name="TAB1314"/>
            <w:bookmarkEnd w:id="899"/>
            <w:r>
              <w:rPr>
                <w:rFonts w:ascii="Times New Roman" w:hAnsi="Times New Roman"/>
                <w:sz w:val="20"/>
              </w:rPr>
              <w:t>)</w:t>
            </w:r>
          </w:p>
        </w:tc>
        <w:tc>
          <w:tcPr>
            <w:tcW w:w="125"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900" w:name="TAB1315"/>
            <w:bookmarkEnd w:id="900"/>
            <w:r>
              <w:rPr>
                <w:rFonts w:ascii="Times New Roman" w:hAnsi="Times New Roman"/>
                <w:sz w:val="20"/>
              </w:rPr>
              <w:t>$</w:t>
            </w:r>
          </w:p>
        </w:tc>
        <w:tc>
          <w:tcPr>
            <w:tcW w:w="1052"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901" w:name="TAB1316"/>
            <w:bookmarkEnd w:id="901"/>
            <w:r>
              <w:rPr>
                <w:rFonts w:ascii="Times New Roman" w:hAnsi="Times New Roman"/>
                <w:sz w:val="20"/>
              </w:rPr>
              <w:t>(154</w:t>
            </w:r>
          </w:p>
        </w:tc>
        <w:tc>
          <w:tcPr>
            <w:tcW w:w="106"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902" w:name="TAB1317"/>
            <w:bookmarkEnd w:id="902"/>
            <w:r>
              <w:rPr>
                <w:rFonts w:ascii="Times New Roman" w:hAnsi="Times New Roman"/>
                <w:sz w:val="20"/>
              </w:rPr>
              <w:t>)</w:t>
            </w:r>
          </w:p>
        </w:tc>
        <w:tc>
          <w:tcPr>
            <w:tcW w:w="125"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903" w:name="TAB1318"/>
            <w:bookmarkEnd w:id="903"/>
            <w:r>
              <w:rPr>
                <w:rFonts w:ascii="Times New Roman" w:hAnsi="Times New Roman"/>
                <w:sz w:val="20"/>
              </w:rPr>
              <w:t>$</w:t>
            </w:r>
          </w:p>
        </w:tc>
        <w:tc>
          <w:tcPr>
            <w:tcW w:w="1052"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904" w:name="TAB1319"/>
            <w:bookmarkEnd w:id="904"/>
            <w:r>
              <w:rPr>
                <w:rFonts w:ascii="Times New Roman" w:hAnsi="Times New Roman"/>
                <w:sz w:val="20"/>
              </w:rPr>
              <w:t>124</w:t>
            </w:r>
          </w:p>
        </w:tc>
        <w:tc>
          <w:tcPr>
            <w:tcW w:w="117" w:type="dxa"/>
            <w:tcBorders/>
            <w:shd w:fill="CCEEFF" w:val="clear"/>
            <w:tcMar>
              <w:bottom w:w="0" w:type="dxa"/>
            </w:tcMar>
            <w:vAlign w:val="bottom"/>
          </w:tcPr>
          <w:p>
            <w:pPr>
              <w:pStyle w:val="TableContents"/>
              <w:spacing w:before="0" w:after="283"/>
              <w:jc w:val="left"/>
              <w:rPr/>
            </w:pPr>
            <w:r>
              <w:rPr/>
              <w:t> </w:t>
            </w:r>
          </w:p>
        </w:tc>
      </w:tr>
      <w:tr>
        <w:trPr/>
        <w:tc>
          <w:tcPr>
            <w:tcW w:w="3610"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Stockholders’ equity</w:t>
            </w:r>
          </w:p>
        </w:tc>
        <w:tc>
          <w:tcPr>
            <w:tcW w:w="170" w:type="dxa"/>
            <w:tcBorders/>
            <w:shd w:fill="FFFFFF" w:val="clear"/>
            <w:tcMar>
              <w:bottom w:w="0" w:type="dxa"/>
            </w:tcMar>
            <w:vAlign w:val="center"/>
          </w:tcPr>
          <w:p>
            <w:pPr>
              <w:pStyle w:val="TableContents"/>
              <w:spacing w:before="0" w:after="283"/>
              <w:rPr/>
            </w:pPr>
            <w:r>
              <w:rPr/>
              <w:t> </w:t>
            </w:r>
          </w:p>
        </w:tc>
        <w:tc>
          <w:tcPr>
            <w:tcW w:w="125"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905" w:name="TAB1320"/>
            <w:bookmarkEnd w:id="905"/>
            <w:r>
              <w:rPr>
                <w:rFonts w:ascii="Times New Roman" w:hAnsi="Times New Roman"/>
                <w:sz w:val="20"/>
              </w:rPr>
              <w:t>$</w:t>
            </w:r>
          </w:p>
        </w:tc>
        <w:tc>
          <w:tcPr>
            <w:tcW w:w="1052"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906" w:name="TAB1321"/>
            <w:bookmarkEnd w:id="906"/>
            <w:r>
              <w:rPr>
                <w:rFonts w:ascii="Times New Roman" w:hAnsi="Times New Roman"/>
                <w:sz w:val="20"/>
              </w:rPr>
              <w:t>107,659</w:t>
            </w:r>
          </w:p>
        </w:tc>
        <w:tc>
          <w:tcPr>
            <w:tcW w:w="106"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907" w:name="TAB1322"/>
            <w:bookmarkEnd w:id="907"/>
            <w:r>
              <w:rPr>
                <w:rFonts w:ascii="Times New Roman" w:hAnsi="Times New Roman"/>
                <w:sz w:val="20"/>
              </w:rPr>
              <w:t>$</w:t>
            </w:r>
          </w:p>
        </w:tc>
        <w:tc>
          <w:tcPr>
            <w:tcW w:w="1052"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908" w:name="TAB1323"/>
            <w:bookmarkEnd w:id="908"/>
            <w:r>
              <w:rPr>
                <w:rFonts w:ascii="Times New Roman" w:hAnsi="Times New Roman"/>
                <w:sz w:val="20"/>
              </w:rPr>
              <w:t>99,404</w:t>
            </w:r>
          </w:p>
        </w:tc>
        <w:tc>
          <w:tcPr>
            <w:tcW w:w="106"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909" w:name="TAB1324"/>
            <w:bookmarkEnd w:id="909"/>
            <w:r>
              <w:rPr>
                <w:rFonts w:ascii="Times New Roman" w:hAnsi="Times New Roman"/>
                <w:sz w:val="20"/>
              </w:rPr>
              <w:t>$</w:t>
            </w:r>
          </w:p>
        </w:tc>
        <w:tc>
          <w:tcPr>
            <w:tcW w:w="1051"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910" w:name="TAB1325"/>
            <w:bookmarkEnd w:id="910"/>
            <w:r>
              <w:rPr>
                <w:rFonts w:ascii="Times New Roman" w:hAnsi="Times New Roman"/>
                <w:sz w:val="20"/>
              </w:rPr>
              <w:t>102,010</w:t>
            </w:r>
          </w:p>
        </w:tc>
        <w:tc>
          <w:tcPr>
            <w:tcW w:w="106"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911" w:name="TAB1326"/>
            <w:bookmarkEnd w:id="911"/>
            <w:r>
              <w:rPr>
                <w:rFonts w:ascii="Times New Roman" w:hAnsi="Times New Roman"/>
                <w:sz w:val="20"/>
              </w:rPr>
              <w:t>$</w:t>
            </w:r>
          </w:p>
        </w:tc>
        <w:tc>
          <w:tcPr>
            <w:tcW w:w="1052"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912" w:name="TAB1327"/>
            <w:bookmarkEnd w:id="912"/>
            <w:r>
              <w:rPr>
                <w:rFonts w:ascii="Times New Roman" w:hAnsi="Times New Roman"/>
                <w:sz w:val="20"/>
              </w:rPr>
              <w:t>108,491</w:t>
            </w:r>
          </w:p>
        </w:tc>
        <w:tc>
          <w:tcPr>
            <w:tcW w:w="106"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913" w:name="TAB1328"/>
            <w:bookmarkEnd w:id="913"/>
            <w:r>
              <w:rPr>
                <w:rFonts w:ascii="Times New Roman" w:hAnsi="Times New Roman"/>
                <w:sz w:val="20"/>
              </w:rPr>
              <w:t>$</w:t>
            </w:r>
          </w:p>
        </w:tc>
        <w:tc>
          <w:tcPr>
            <w:tcW w:w="1052"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914" w:name="TAB1329"/>
            <w:bookmarkEnd w:id="914"/>
            <w:r>
              <w:rPr>
                <w:rFonts w:ascii="Times New Roman" w:hAnsi="Times New Roman"/>
                <w:sz w:val="20"/>
              </w:rPr>
              <w:t>91,265</w:t>
            </w:r>
          </w:p>
        </w:tc>
        <w:tc>
          <w:tcPr>
            <w:tcW w:w="117" w:type="dxa"/>
            <w:tcBorders/>
            <w:shd w:fill="FFFFFF" w:val="clear"/>
            <w:tcMar>
              <w:bottom w:w="0" w:type="dxa"/>
            </w:tcMar>
            <w:vAlign w:val="bottom"/>
          </w:tcPr>
          <w:p>
            <w:pPr>
              <w:pStyle w:val="TableContents"/>
              <w:spacing w:before="0" w:after="283"/>
              <w:jc w:val="left"/>
              <w:rPr/>
            </w:pPr>
            <w:r>
              <w:rPr/>
              <w:t> </w:t>
            </w:r>
          </w:p>
        </w:tc>
      </w:tr>
      <w:tr>
        <w:trPr/>
        <w:tc>
          <w:tcPr>
            <w:tcW w:w="3610" w:type="dxa"/>
            <w:tcBorders/>
            <w:shd w:fill="CCEEFF" w:val="clear"/>
            <w:tcMar>
              <w:bottom w:w="0" w:type="dxa"/>
            </w:tcMar>
            <w:vAlign w:val="bottom"/>
          </w:tcPr>
          <w:p>
            <w:pPr>
              <w:pStyle w:val="TableContents"/>
              <w:spacing w:before="0" w:after="283"/>
              <w:jc w:val="left"/>
              <w:rPr/>
            </w:pPr>
            <w:r>
              <w:rPr/>
              <w:t> </w:t>
            </w:r>
          </w:p>
        </w:tc>
        <w:tc>
          <w:tcPr>
            <w:tcW w:w="170" w:type="dxa"/>
            <w:tcBorders/>
            <w:shd w:fill="CCEEFF" w:val="clear"/>
            <w:tcMar>
              <w:bottom w:w="0" w:type="dxa"/>
            </w:tcMar>
            <w:vAlign w:val="center"/>
          </w:tcPr>
          <w:p>
            <w:pPr>
              <w:pStyle w:val="TableContents"/>
              <w:spacing w:before="0" w:after="283"/>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052" w:type="dxa"/>
            <w:tcBorders/>
            <w:shd w:fill="CCEEFF" w:val="clear"/>
            <w:tcMar>
              <w:bottom w:w="0" w:type="dxa"/>
            </w:tcMar>
            <w:vAlign w:val="bottom"/>
          </w:tcPr>
          <w:p>
            <w:pPr>
              <w:pStyle w:val="TableContents"/>
              <w:spacing w:before="0" w:after="283"/>
              <w:jc w:val="righ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052" w:type="dxa"/>
            <w:tcBorders/>
            <w:shd w:fill="CCEEFF" w:val="clear"/>
            <w:tcMar>
              <w:bottom w:w="0" w:type="dxa"/>
            </w:tcMar>
            <w:vAlign w:val="bottom"/>
          </w:tcPr>
          <w:p>
            <w:pPr>
              <w:pStyle w:val="TableContents"/>
              <w:spacing w:before="0" w:after="283"/>
              <w:jc w:val="righ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051" w:type="dxa"/>
            <w:tcBorders/>
            <w:shd w:fill="CCEEFF" w:val="clear"/>
            <w:tcMar>
              <w:bottom w:w="0" w:type="dxa"/>
            </w:tcMar>
            <w:vAlign w:val="bottom"/>
          </w:tcPr>
          <w:p>
            <w:pPr>
              <w:pStyle w:val="TableContents"/>
              <w:spacing w:before="0" w:after="283"/>
              <w:jc w:val="righ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052" w:type="dxa"/>
            <w:tcBorders/>
            <w:shd w:fill="CCEEFF" w:val="clear"/>
            <w:tcMar>
              <w:bottom w:w="0" w:type="dxa"/>
            </w:tcMar>
            <w:vAlign w:val="bottom"/>
          </w:tcPr>
          <w:p>
            <w:pPr>
              <w:pStyle w:val="TableContents"/>
              <w:spacing w:before="0" w:after="283"/>
              <w:jc w:val="righ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052" w:type="dxa"/>
            <w:tcBorders/>
            <w:shd w:fill="CCEEFF" w:val="clear"/>
            <w:tcMar>
              <w:bottom w:w="0" w:type="dxa"/>
            </w:tcMar>
            <w:vAlign w:val="bottom"/>
          </w:tcPr>
          <w:p>
            <w:pPr>
              <w:pStyle w:val="TableContents"/>
              <w:spacing w:before="0" w:after="283"/>
              <w:jc w:val="right"/>
              <w:rPr/>
            </w:pPr>
            <w:r>
              <w:rPr/>
              <w:t> </w:t>
            </w:r>
          </w:p>
        </w:tc>
        <w:tc>
          <w:tcPr>
            <w:tcW w:w="117" w:type="dxa"/>
            <w:tcBorders/>
            <w:shd w:fill="CCEEFF" w:val="clear"/>
            <w:tcMar>
              <w:bottom w:w="0" w:type="dxa"/>
            </w:tcMar>
            <w:vAlign w:val="bottom"/>
          </w:tcPr>
          <w:p>
            <w:pPr>
              <w:pStyle w:val="TableContents"/>
              <w:spacing w:before="0" w:after="283"/>
              <w:jc w:val="left"/>
              <w:rPr/>
            </w:pPr>
            <w:r>
              <w:rPr/>
              <w:t> </w:t>
            </w:r>
          </w:p>
        </w:tc>
      </w:tr>
      <w:tr>
        <w:trPr/>
        <w:tc>
          <w:tcPr>
            <w:tcW w:w="3610"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EBIT</w:t>
            </w:r>
          </w:p>
        </w:tc>
        <w:tc>
          <w:tcPr>
            <w:tcW w:w="170" w:type="dxa"/>
            <w:tcBorders/>
            <w:shd w:fill="FFFFFF" w:val="clear"/>
            <w:tcMar>
              <w:bottom w:w="0" w:type="dxa"/>
            </w:tcMar>
            <w:vAlign w:val="center"/>
          </w:tcPr>
          <w:p>
            <w:pPr>
              <w:pStyle w:val="TableContents"/>
              <w:spacing w:before="0" w:after="283"/>
              <w:rPr/>
            </w:pPr>
            <w:r>
              <w:rPr/>
              <w:t> </w:t>
            </w:r>
          </w:p>
        </w:tc>
        <w:tc>
          <w:tcPr>
            <w:tcW w:w="125"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915" w:name="TAB1330"/>
            <w:bookmarkEnd w:id="915"/>
            <w:r>
              <w:rPr>
                <w:rFonts w:ascii="Times New Roman" w:hAnsi="Times New Roman"/>
                <w:sz w:val="20"/>
              </w:rPr>
              <w:t>$</w:t>
            </w:r>
          </w:p>
        </w:tc>
        <w:tc>
          <w:tcPr>
            <w:tcW w:w="1052"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916" w:name="TAB1331"/>
            <w:bookmarkEnd w:id="916"/>
            <w:r>
              <w:rPr>
                <w:rFonts w:ascii="Times New Roman" w:hAnsi="Times New Roman"/>
                <w:sz w:val="20"/>
              </w:rPr>
              <w:t>12,734</w:t>
            </w:r>
          </w:p>
        </w:tc>
        <w:tc>
          <w:tcPr>
            <w:tcW w:w="106"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917" w:name="TAB1332"/>
            <w:bookmarkEnd w:id="917"/>
            <w:r>
              <w:rPr>
                <w:rFonts w:ascii="Times New Roman" w:hAnsi="Times New Roman"/>
                <w:sz w:val="20"/>
              </w:rPr>
              <w:t>$</w:t>
            </w:r>
          </w:p>
        </w:tc>
        <w:tc>
          <w:tcPr>
            <w:tcW w:w="1052"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918" w:name="TAB1333"/>
            <w:bookmarkEnd w:id="918"/>
            <w:r>
              <w:rPr>
                <w:rFonts w:ascii="Times New Roman" w:hAnsi="Times New Roman"/>
                <w:sz w:val="20"/>
              </w:rPr>
              <w:t>6,671</w:t>
            </w:r>
          </w:p>
        </w:tc>
        <w:tc>
          <w:tcPr>
            <w:tcW w:w="106"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919" w:name="TAB1334"/>
            <w:bookmarkEnd w:id="919"/>
            <w:r>
              <w:rPr>
                <w:rFonts w:ascii="Times New Roman" w:hAnsi="Times New Roman"/>
                <w:sz w:val="20"/>
              </w:rPr>
              <w:t>$</w:t>
            </w:r>
          </w:p>
        </w:tc>
        <w:tc>
          <w:tcPr>
            <w:tcW w:w="1051"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920" w:name="TAB1335"/>
            <w:bookmarkEnd w:id="920"/>
            <w:r>
              <w:rPr>
                <w:rFonts w:ascii="Times New Roman" w:hAnsi="Times New Roman"/>
                <w:sz w:val="20"/>
              </w:rPr>
              <w:t>(4,339</w:t>
            </w:r>
          </w:p>
        </w:tc>
        <w:tc>
          <w:tcPr>
            <w:tcW w:w="106"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921" w:name="TAB1336"/>
            <w:bookmarkEnd w:id="921"/>
            <w:r>
              <w:rPr>
                <w:rFonts w:ascii="Times New Roman" w:hAnsi="Times New Roman"/>
                <w:sz w:val="20"/>
              </w:rPr>
              <w:t>)</w:t>
            </w:r>
          </w:p>
        </w:tc>
        <w:tc>
          <w:tcPr>
            <w:tcW w:w="125"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922" w:name="TAB1337"/>
            <w:bookmarkEnd w:id="922"/>
            <w:r>
              <w:rPr>
                <w:rFonts w:ascii="Times New Roman" w:hAnsi="Times New Roman"/>
                <w:sz w:val="20"/>
              </w:rPr>
              <w:t>$</w:t>
            </w:r>
          </w:p>
        </w:tc>
        <w:tc>
          <w:tcPr>
            <w:tcW w:w="1052"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923" w:name="TAB1338"/>
            <w:bookmarkEnd w:id="923"/>
            <w:r>
              <w:rPr>
                <w:rFonts w:ascii="Times New Roman" w:hAnsi="Times New Roman"/>
                <w:sz w:val="20"/>
              </w:rPr>
              <w:t>(2,650</w:t>
            </w:r>
          </w:p>
        </w:tc>
        <w:tc>
          <w:tcPr>
            <w:tcW w:w="106"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924" w:name="TAB1339"/>
            <w:bookmarkEnd w:id="924"/>
            <w:r>
              <w:rPr>
                <w:rFonts w:ascii="Times New Roman" w:hAnsi="Times New Roman"/>
                <w:sz w:val="20"/>
              </w:rPr>
              <w:t>)</w:t>
            </w:r>
          </w:p>
        </w:tc>
        <w:tc>
          <w:tcPr>
            <w:tcW w:w="125"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925" w:name="TAB1340"/>
            <w:bookmarkEnd w:id="925"/>
            <w:r>
              <w:rPr>
                <w:rFonts w:ascii="Times New Roman" w:hAnsi="Times New Roman"/>
                <w:sz w:val="20"/>
              </w:rPr>
              <w:t>$</w:t>
            </w:r>
          </w:p>
        </w:tc>
        <w:tc>
          <w:tcPr>
            <w:tcW w:w="1052"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926" w:name="TAB1341"/>
            <w:bookmarkEnd w:id="926"/>
            <w:r>
              <w:rPr>
                <w:rFonts w:ascii="Times New Roman" w:hAnsi="Times New Roman"/>
                <w:sz w:val="20"/>
              </w:rPr>
              <w:t>(6,208</w:t>
            </w:r>
          </w:p>
        </w:tc>
        <w:tc>
          <w:tcPr>
            <w:tcW w:w="117"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927" w:name="TAB1342"/>
            <w:bookmarkEnd w:id="927"/>
            <w:r>
              <w:rPr>
                <w:rFonts w:ascii="Times New Roman" w:hAnsi="Times New Roman"/>
                <w:sz w:val="20"/>
              </w:rPr>
              <w:t>)</w:t>
            </w:r>
          </w:p>
        </w:tc>
      </w:tr>
      <w:tr>
        <w:trPr/>
        <w:tc>
          <w:tcPr>
            <w:tcW w:w="3610"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Depreciation and amortization</w:t>
            </w:r>
          </w:p>
        </w:tc>
        <w:tc>
          <w:tcPr>
            <w:tcW w:w="170" w:type="dxa"/>
            <w:tcBorders/>
            <w:shd w:fill="CCEEFF" w:val="clear"/>
            <w:tcMar>
              <w:bottom w:w="0" w:type="dxa"/>
            </w:tcMar>
            <w:vAlign w:val="center"/>
          </w:tcPr>
          <w:p>
            <w:pPr>
              <w:pStyle w:val="TableContents"/>
              <w:spacing w:before="0" w:after="283"/>
              <w:rPr/>
            </w:pPr>
            <w:r>
              <w:rPr/>
              <w:t> </w:t>
            </w:r>
          </w:p>
        </w:tc>
        <w:tc>
          <w:tcPr>
            <w:tcW w:w="125"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928" w:name="TAB1343"/>
            <w:bookmarkEnd w:id="928"/>
            <w:r>
              <w:rPr>
                <w:rFonts w:ascii="Times New Roman" w:hAnsi="Times New Roman"/>
                <w:sz w:val="20"/>
              </w:rPr>
              <w:t>$</w:t>
            </w:r>
          </w:p>
        </w:tc>
        <w:tc>
          <w:tcPr>
            <w:tcW w:w="1052"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929" w:name="TAB1344"/>
            <w:bookmarkEnd w:id="929"/>
            <w:r>
              <w:rPr>
                <w:rFonts w:ascii="Times New Roman" w:hAnsi="Times New Roman"/>
                <w:sz w:val="20"/>
              </w:rPr>
              <w:t>13,212</w:t>
            </w:r>
          </w:p>
        </w:tc>
        <w:tc>
          <w:tcPr>
            <w:tcW w:w="106"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930" w:name="TAB1345"/>
            <w:bookmarkEnd w:id="930"/>
            <w:r>
              <w:rPr>
                <w:rFonts w:ascii="Times New Roman" w:hAnsi="Times New Roman"/>
                <w:sz w:val="20"/>
              </w:rPr>
              <w:t>$</w:t>
            </w:r>
          </w:p>
        </w:tc>
        <w:tc>
          <w:tcPr>
            <w:tcW w:w="1052"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931" w:name="TAB1346"/>
            <w:bookmarkEnd w:id="931"/>
            <w:r>
              <w:rPr>
                <w:rFonts w:ascii="Times New Roman" w:hAnsi="Times New Roman"/>
                <w:sz w:val="20"/>
              </w:rPr>
              <w:t>12,384</w:t>
            </w:r>
          </w:p>
        </w:tc>
        <w:tc>
          <w:tcPr>
            <w:tcW w:w="106"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932" w:name="TAB1347"/>
            <w:bookmarkEnd w:id="932"/>
            <w:r>
              <w:rPr>
                <w:rFonts w:ascii="Times New Roman" w:hAnsi="Times New Roman"/>
                <w:sz w:val="20"/>
              </w:rPr>
              <w:t>$</w:t>
            </w:r>
          </w:p>
        </w:tc>
        <w:tc>
          <w:tcPr>
            <w:tcW w:w="1051"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933" w:name="TAB1348"/>
            <w:bookmarkEnd w:id="933"/>
            <w:r>
              <w:rPr>
                <w:rFonts w:ascii="Times New Roman" w:hAnsi="Times New Roman"/>
                <w:sz w:val="20"/>
              </w:rPr>
              <w:t>11,823</w:t>
            </w:r>
          </w:p>
        </w:tc>
        <w:tc>
          <w:tcPr>
            <w:tcW w:w="106"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934" w:name="TAB1349"/>
            <w:bookmarkEnd w:id="934"/>
            <w:r>
              <w:rPr>
                <w:rFonts w:ascii="Times New Roman" w:hAnsi="Times New Roman"/>
                <w:sz w:val="20"/>
              </w:rPr>
              <w:t>$</w:t>
            </w:r>
          </w:p>
        </w:tc>
        <w:tc>
          <w:tcPr>
            <w:tcW w:w="1052"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935" w:name="TAB1350"/>
            <w:bookmarkEnd w:id="935"/>
            <w:r>
              <w:rPr>
                <w:rFonts w:ascii="Times New Roman" w:hAnsi="Times New Roman"/>
                <w:sz w:val="20"/>
              </w:rPr>
              <w:t>10,952</w:t>
            </w:r>
          </w:p>
        </w:tc>
        <w:tc>
          <w:tcPr>
            <w:tcW w:w="106"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936" w:name="TAB1351"/>
            <w:bookmarkEnd w:id="936"/>
            <w:r>
              <w:rPr>
                <w:rFonts w:ascii="Times New Roman" w:hAnsi="Times New Roman"/>
                <w:sz w:val="20"/>
              </w:rPr>
              <w:t>$</w:t>
            </w:r>
          </w:p>
        </w:tc>
        <w:tc>
          <w:tcPr>
            <w:tcW w:w="1052"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937" w:name="TAB1352"/>
            <w:bookmarkEnd w:id="937"/>
            <w:r>
              <w:rPr>
                <w:rFonts w:ascii="Times New Roman" w:hAnsi="Times New Roman"/>
                <w:sz w:val="20"/>
              </w:rPr>
              <w:t>7,835</w:t>
            </w:r>
          </w:p>
        </w:tc>
        <w:tc>
          <w:tcPr>
            <w:tcW w:w="117" w:type="dxa"/>
            <w:tcBorders/>
            <w:shd w:fill="CCEEFF" w:val="clear"/>
            <w:tcMar>
              <w:bottom w:w="0" w:type="dxa"/>
            </w:tcMar>
            <w:vAlign w:val="bottom"/>
          </w:tcPr>
          <w:p>
            <w:pPr>
              <w:pStyle w:val="TableContents"/>
              <w:spacing w:before="0" w:after="283"/>
              <w:jc w:val="left"/>
              <w:rPr/>
            </w:pPr>
            <w:r>
              <w:rPr/>
              <w:t> </w:t>
            </w:r>
          </w:p>
        </w:tc>
      </w:tr>
      <w:tr>
        <w:trPr/>
        <w:tc>
          <w:tcPr>
            <w:tcW w:w="3610"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Add: Adjustments for discontinued operations</w:t>
            </w:r>
          </w:p>
        </w:tc>
        <w:tc>
          <w:tcPr>
            <w:tcW w:w="170" w:type="dxa"/>
            <w:tcBorders/>
            <w:shd w:fill="FFFFFF" w:val="clear"/>
            <w:tcMar>
              <w:bottom w:w="0" w:type="dxa"/>
            </w:tcMar>
            <w:vAlign w:val="center"/>
          </w:tcPr>
          <w:p>
            <w:pPr>
              <w:pStyle w:val="TableContents"/>
              <w:spacing w:before="0" w:after="283"/>
              <w:rPr/>
            </w:pPr>
            <w:r>
              <w:rPr/>
              <w:t> </w:t>
            </w:r>
          </w:p>
        </w:tc>
        <w:tc>
          <w:tcPr>
            <w:tcW w:w="125"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938" w:name="TAB1353"/>
            <w:bookmarkEnd w:id="938"/>
            <w:r>
              <w:rPr>
                <w:rFonts w:ascii="Times New Roman" w:hAnsi="Times New Roman"/>
                <w:sz w:val="20"/>
              </w:rPr>
              <w:t>$</w:t>
            </w:r>
          </w:p>
        </w:tc>
        <w:tc>
          <w:tcPr>
            <w:tcW w:w="1052"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939" w:name="TAB1354"/>
            <w:bookmarkEnd w:id="939"/>
            <w:r>
              <w:rPr>
                <w:rFonts w:ascii="Times New Roman" w:hAnsi="Times New Roman"/>
                <w:sz w:val="20"/>
              </w:rPr>
              <w:t>--</w:t>
            </w:r>
          </w:p>
        </w:tc>
        <w:tc>
          <w:tcPr>
            <w:tcW w:w="106"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940" w:name="TAB1355"/>
            <w:bookmarkEnd w:id="940"/>
            <w:r>
              <w:rPr>
                <w:rFonts w:ascii="Times New Roman" w:hAnsi="Times New Roman"/>
                <w:sz w:val="20"/>
              </w:rPr>
              <w:t>$</w:t>
            </w:r>
          </w:p>
        </w:tc>
        <w:tc>
          <w:tcPr>
            <w:tcW w:w="1052"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941" w:name="TAB1356"/>
            <w:bookmarkEnd w:id="941"/>
            <w:r>
              <w:rPr>
                <w:rFonts w:ascii="Times New Roman" w:hAnsi="Times New Roman"/>
                <w:sz w:val="20"/>
              </w:rPr>
              <w:t>567</w:t>
            </w:r>
          </w:p>
        </w:tc>
        <w:tc>
          <w:tcPr>
            <w:tcW w:w="106"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942" w:name="TAB1357"/>
            <w:bookmarkEnd w:id="942"/>
            <w:r>
              <w:rPr>
                <w:rFonts w:ascii="Times New Roman" w:hAnsi="Times New Roman"/>
                <w:sz w:val="20"/>
              </w:rPr>
              <w:t>$</w:t>
            </w:r>
          </w:p>
        </w:tc>
        <w:tc>
          <w:tcPr>
            <w:tcW w:w="1051"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943" w:name="TAB1358"/>
            <w:bookmarkEnd w:id="943"/>
            <w:r>
              <w:rPr>
                <w:rFonts w:ascii="Times New Roman" w:hAnsi="Times New Roman"/>
                <w:sz w:val="20"/>
              </w:rPr>
              <w:t>1,915</w:t>
            </w:r>
          </w:p>
        </w:tc>
        <w:tc>
          <w:tcPr>
            <w:tcW w:w="106"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944" w:name="TAB1359"/>
            <w:bookmarkEnd w:id="944"/>
            <w:r>
              <w:rPr>
                <w:rFonts w:ascii="Times New Roman" w:hAnsi="Times New Roman"/>
                <w:sz w:val="20"/>
              </w:rPr>
              <w:t>$</w:t>
            </w:r>
          </w:p>
        </w:tc>
        <w:tc>
          <w:tcPr>
            <w:tcW w:w="1052"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945" w:name="TAB1360"/>
            <w:bookmarkEnd w:id="945"/>
            <w:r>
              <w:rPr>
                <w:rFonts w:ascii="Times New Roman" w:hAnsi="Times New Roman"/>
                <w:sz w:val="20"/>
              </w:rPr>
              <w:t>1,907</w:t>
            </w:r>
          </w:p>
        </w:tc>
        <w:tc>
          <w:tcPr>
            <w:tcW w:w="106"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946" w:name="TAB1361"/>
            <w:bookmarkEnd w:id="946"/>
            <w:r>
              <w:rPr>
                <w:rFonts w:ascii="Times New Roman" w:hAnsi="Times New Roman"/>
                <w:sz w:val="20"/>
              </w:rPr>
              <w:t>$</w:t>
            </w:r>
          </w:p>
        </w:tc>
        <w:tc>
          <w:tcPr>
            <w:tcW w:w="1052"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947" w:name="TAB1362"/>
            <w:bookmarkEnd w:id="947"/>
            <w:r>
              <w:rPr>
                <w:rFonts w:ascii="Times New Roman" w:hAnsi="Times New Roman"/>
                <w:sz w:val="20"/>
              </w:rPr>
              <w:t>1,906</w:t>
            </w:r>
          </w:p>
        </w:tc>
        <w:tc>
          <w:tcPr>
            <w:tcW w:w="117" w:type="dxa"/>
            <w:tcBorders/>
            <w:shd w:fill="FFFFFF" w:val="clear"/>
            <w:tcMar>
              <w:bottom w:w="0" w:type="dxa"/>
            </w:tcMar>
            <w:vAlign w:val="bottom"/>
          </w:tcPr>
          <w:p>
            <w:pPr>
              <w:pStyle w:val="TableContents"/>
              <w:spacing w:before="0" w:after="283"/>
              <w:jc w:val="left"/>
              <w:rPr/>
            </w:pPr>
            <w:r>
              <w:rPr/>
              <w:t> </w:t>
            </w:r>
          </w:p>
        </w:tc>
      </w:tr>
      <w:tr>
        <w:trPr/>
        <w:tc>
          <w:tcPr>
            <w:tcW w:w="3610"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EBITDA</w:t>
            </w:r>
          </w:p>
        </w:tc>
        <w:tc>
          <w:tcPr>
            <w:tcW w:w="170" w:type="dxa"/>
            <w:tcBorders/>
            <w:shd w:fill="CCEEFF" w:val="clear"/>
            <w:tcMar>
              <w:bottom w:w="0" w:type="dxa"/>
            </w:tcMar>
            <w:vAlign w:val="center"/>
          </w:tcPr>
          <w:p>
            <w:pPr>
              <w:pStyle w:val="TableContents"/>
              <w:spacing w:before="0" w:after="283"/>
              <w:rPr/>
            </w:pPr>
            <w:r>
              <w:rPr/>
              <w:t> </w:t>
            </w:r>
          </w:p>
        </w:tc>
        <w:tc>
          <w:tcPr>
            <w:tcW w:w="125"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948" w:name="TAB1363"/>
            <w:bookmarkEnd w:id="948"/>
            <w:r>
              <w:rPr>
                <w:rFonts w:ascii="Times New Roman" w:hAnsi="Times New Roman"/>
                <w:sz w:val="20"/>
              </w:rPr>
              <w:t>$</w:t>
            </w:r>
          </w:p>
        </w:tc>
        <w:tc>
          <w:tcPr>
            <w:tcW w:w="1052"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949" w:name="TAB1364"/>
            <w:bookmarkEnd w:id="949"/>
            <w:r>
              <w:rPr>
                <w:rFonts w:ascii="Times New Roman" w:hAnsi="Times New Roman"/>
                <w:sz w:val="20"/>
              </w:rPr>
              <w:t>25,946</w:t>
            </w:r>
          </w:p>
        </w:tc>
        <w:tc>
          <w:tcPr>
            <w:tcW w:w="106"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950" w:name="TAB1365"/>
            <w:bookmarkEnd w:id="950"/>
            <w:r>
              <w:rPr>
                <w:rFonts w:ascii="Times New Roman" w:hAnsi="Times New Roman"/>
                <w:sz w:val="20"/>
              </w:rPr>
              <w:t>$</w:t>
            </w:r>
          </w:p>
        </w:tc>
        <w:tc>
          <w:tcPr>
            <w:tcW w:w="1052"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951" w:name="TAB1366"/>
            <w:bookmarkEnd w:id="951"/>
            <w:r>
              <w:rPr>
                <w:rFonts w:ascii="Times New Roman" w:hAnsi="Times New Roman"/>
                <w:sz w:val="20"/>
              </w:rPr>
              <w:t>19,622</w:t>
            </w:r>
          </w:p>
        </w:tc>
        <w:tc>
          <w:tcPr>
            <w:tcW w:w="106"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952" w:name="TAB1367"/>
            <w:bookmarkEnd w:id="952"/>
            <w:r>
              <w:rPr>
                <w:rFonts w:ascii="Times New Roman" w:hAnsi="Times New Roman"/>
                <w:sz w:val="20"/>
              </w:rPr>
              <w:t>$</w:t>
            </w:r>
          </w:p>
        </w:tc>
        <w:tc>
          <w:tcPr>
            <w:tcW w:w="1051"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953" w:name="TAB1368"/>
            <w:bookmarkEnd w:id="953"/>
            <w:r>
              <w:rPr>
                <w:rFonts w:ascii="Times New Roman" w:hAnsi="Times New Roman"/>
                <w:sz w:val="20"/>
              </w:rPr>
              <w:t>9,399</w:t>
            </w:r>
          </w:p>
        </w:tc>
        <w:tc>
          <w:tcPr>
            <w:tcW w:w="106"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954" w:name="TAB1369"/>
            <w:bookmarkEnd w:id="954"/>
            <w:r>
              <w:rPr>
                <w:rFonts w:ascii="Times New Roman" w:hAnsi="Times New Roman"/>
                <w:sz w:val="20"/>
              </w:rPr>
              <w:t>$</w:t>
            </w:r>
          </w:p>
        </w:tc>
        <w:tc>
          <w:tcPr>
            <w:tcW w:w="1052"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955" w:name="TAB1370"/>
            <w:bookmarkEnd w:id="955"/>
            <w:r>
              <w:rPr>
                <w:rFonts w:ascii="Times New Roman" w:hAnsi="Times New Roman"/>
                <w:sz w:val="20"/>
              </w:rPr>
              <w:t>10,209</w:t>
            </w:r>
          </w:p>
        </w:tc>
        <w:tc>
          <w:tcPr>
            <w:tcW w:w="106"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956" w:name="TAB1371"/>
            <w:bookmarkEnd w:id="956"/>
            <w:r>
              <w:rPr>
                <w:rFonts w:ascii="Times New Roman" w:hAnsi="Times New Roman"/>
                <w:sz w:val="20"/>
              </w:rPr>
              <w:t>$</w:t>
            </w:r>
          </w:p>
        </w:tc>
        <w:tc>
          <w:tcPr>
            <w:tcW w:w="1052"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957" w:name="TAB1372"/>
            <w:bookmarkEnd w:id="957"/>
            <w:r>
              <w:rPr>
                <w:rFonts w:ascii="Times New Roman" w:hAnsi="Times New Roman"/>
                <w:sz w:val="20"/>
              </w:rPr>
              <w:t>3,533</w:t>
            </w:r>
          </w:p>
        </w:tc>
        <w:tc>
          <w:tcPr>
            <w:tcW w:w="117" w:type="dxa"/>
            <w:tcBorders/>
            <w:shd w:fill="CCEEFF" w:val="clear"/>
            <w:tcMar>
              <w:bottom w:w="0" w:type="dxa"/>
            </w:tcMar>
            <w:vAlign w:val="bottom"/>
          </w:tcPr>
          <w:p>
            <w:pPr>
              <w:pStyle w:val="TableContents"/>
              <w:spacing w:before="0" w:after="283"/>
              <w:jc w:val="left"/>
              <w:rPr/>
            </w:pPr>
            <w:r>
              <w:rPr/>
              <w:t> </w:t>
            </w:r>
          </w:p>
        </w:tc>
      </w:tr>
      <w:tr>
        <w:trPr/>
        <w:tc>
          <w:tcPr>
            <w:tcW w:w="3610"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Debt to EBITDA</w:t>
            </w:r>
          </w:p>
        </w:tc>
        <w:tc>
          <w:tcPr>
            <w:tcW w:w="170" w:type="dxa"/>
            <w:tcBorders/>
            <w:shd w:fill="FFFFFF" w:val="clear"/>
            <w:tcMar>
              <w:bottom w:w="0" w:type="dxa"/>
            </w:tcMar>
            <w:vAlign w:val="center"/>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52"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5.02</w:t>
            </w:r>
          </w:p>
        </w:tc>
        <w:tc>
          <w:tcPr>
            <w:tcW w:w="106"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52"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5.57</w:t>
            </w:r>
          </w:p>
        </w:tc>
        <w:tc>
          <w:tcPr>
            <w:tcW w:w="106"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51"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7.75</w:t>
            </w:r>
          </w:p>
        </w:tc>
        <w:tc>
          <w:tcPr>
            <w:tcW w:w="106"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52"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5.95</w:t>
            </w:r>
          </w:p>
        </w:tc>
        <w:tc>
          <w:tcPr>
            <w:tcW w:w="106"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52"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10.63</w:t>
            </w:r>
          </w:p>
        </w:tc>
        <w:tc>
          <w:tcPr>
            <w:tcW w:w="117" w:type="dxa"/>
            <w:tcBorders/>
            <w:shd w:fill="FFFFFF" w:val="clear"/>
            <w:tcMar>
              <w:bottom w:w="0" w:type="dxa"/>
            </w:tcMar>
            <w:vAlign w:val="bottom"/>
          </w:tcPr>
          <w:p>
            <w:pPr>
              <w:pStyle w:val="TableContents"/>
              <w:spacing w:before="0" w:after="283"/>
              <w:jc w:val="left"/>
              <w:rPr/>
            </w:pPr>
            <w:r>
              <w:rPr/>
              <w:t> </w:t>
            </w:r>
          </w:p>
        </w:tc>
      </w:tr>
      <w:tr>
        <w:trPr/>
        <w:tc>
          <w:tcPr>
            <w:tcW w:w="3610" w:type="dxa"/>
            <w:tcBorders/>
            <w:shd w:fill="CCEEFF" w:val="clear"/>
            <w:tcMar>
              <w:bottom w:w="0" w:type="dxa"/>
            </w:tcMar>
            <w:vAlign w:val="bottom"/>
          </w:tcPr>
          <w:p>
            <w:pPr>
              <w:pStyle w:val="TableContents"/>
              <w:spacing w:before="0" w:after="283"/>
              <w:jc w:val="left"/>
              <w:rPr/>
            </w:pPr>
            <w:r>
              <w:rPr/>
              <w:t> </w:t>
            </w:r>
          </w:p>
        </w:tc>
        <w:tc>
          <w:tcPr>
            <w:tcW w:w="170" w:type="dxa"/>
            <w:tcBorders/>
            <w:shd w:fill="CCEEFF" w:val="clear"/>
            <w:tcMar>
              <w:bottom w:w="0" w:type="dxa"/>
            </w:tcMar>
            <w:vAlign w:val="center"/>
          </w:tcPr>
          <w:p>
            <w:pPr>
              <w:pStyle w:val="TableContents"/>
              <w:spacing w:before="0" w:after="283"/>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052" w:type="dxa"/>
            <w:tcBorders/>
            <w:shd w:fill="CCEEFF" w:val="clear"/>
            <w:tcMar>
              <w:bottom w:w="0" w:type="dxa"/>
            </w:tcMar>
            <w:vAlign w:val="bottom"/>
          </w:tcPr>
          <w:p>
            <w:pPr>
              <w:pStyle w:val="TableContents"/>
              <w:spacing w:before="0" w:after="283"/>
              <w:jc w:val="righ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052" w:type="dxa"/>
            <w:tcBorders/>
            <w:shd w:fill="CCEEFF" w:val="clear"/>
            <w:tcMar>
              <w:bottom w:w="0" w:type="dxa"/>
            </w:tcMar>
            <w:vAlign w:val="bottom"/>
          </w:tcPr>
          <w:p>
            <w:pPr>
              <w:pStyle w:val="TableContents"/>
              <w:spacing w:before="0" w:after="283"/>
              <w:jc w:val="righ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051" w:type="dxa"/>
            <w:tcBorders/>
            <w:shd w:fill="CCEEFF" w:val="clear"/>
            <w:tcMar>
              <w:bottom w:w="0" w:type="dxa"/>
            </w:tcMar>
            <w:vAlign w:val="bottom"/>
          </w:tcPr>
          <w:p>
            <w:pPr>
              <w:pStyle w:val="TableContents"/>
              <w:spacing w:before="0" w:after="283"/>
              <w:jc w:val="righ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052" w:type="dxa"/>
            <w:tcBorders/>
            <w:shd w:fill="CCEEFF" w:val="clear"/>
            <w:tcMar>
              <w:bottom w:w="0" w:type="dxa"/>
            </w:tcMar>
            <w:vAlign w:val="bottom"/>
          </w:tcPr>
          <w:p>
            <w:pPr>
              <w:pStyle w:val="TableContents"/>
              <w:spacing w:before="0" w:after="283"/>
              <w:jc w:val="righ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052" w:type="dxa"/>
            <w:tcBorders/>
            <w:shd w:fill="CCEEFF" w:val="clear"/>
            <w:tcMar>
              <w:bottom w:w="0" w:type="dxa"/>
            </w:tcMar>
            <w:vAlign w:val="bottom"/>
          </w:tcPr>
          <w:p>
            <w:pPr>
              <w:pStyle w:val="TableContents"/>
              <w:spacing w:before="0" w:after="283"/>
              <w:jc w:val="right"/>
              <w:rPr/>
            </w:pPr>
            <w:r>
              <w:rPr/>
              <w:t> </w:t>
            </w:r>
          </w:p>
        </w:tc>
        <w:tc>
          <w:tcPr>
            <w:tcW w:w="117" w:type="dxa"/>
            <w:tcBorders/>
            <w:shd w:fill="CCEEFF" w:val="clear"/>
            <w:tcMar>
              <w:bottom w:w="0" w:type="dxa"/>
            </w:tcMar>
            <w:vAlign w:val="bottom"/>
          </w:tcPr>
          <w:p>
            <w:pPr>
              <w:pStyle w:val="TableContents"/>
              <w:spacing w:before="0" w:after="283"/>
              <w:jc w:val="left"/>
              <w:rPr/>
            </w:pPr>
            <w:r>
              <w:rPr/>
              <w:t> </w:t>
            </w:r>
          </w:p>
        </w:tc>
      </w:tr>
      <w:tr>
        <w:trPr/>
        <w:tc>
          <w:tcPr>
            <w:tcW w:w="3610" w:type="dxa"/>
            <w:tcBorders/>
            <w:shd w:fill="FFFFFF" w:val="clear"/>
            <w:tcMar>
              <w:bottom w:w="0" w:type="dxa"/>
            </w:tcMar>
            <w:vAlign w:val="bottom"/>
          </w:tcPr>
          <w:p>
            <w:pPr>
              <w:pStyle w:val="TableContents"/>
              <w:spacing w:lineRule="auto" w:line="300" w:before="0" w:after="0"/>
              <w:ind w:left="180" w:right="0" w:hanging="180"/>
              <w:jc w:val="left"/>
              <w:rPr>
                <w:rFonts w:ascii="Times New Roman" w:hAnsi="Times New Roman"/>
                <w:sz w:val="20"/>
              </w:rPr>
            </w:pPr>
            <w:r>
              <w:rPr>
                <w:rFonts w:ascii="Times New Roman" w:hAnsi="Times New Roman"/>
                <w:sz w:val="20"/>
              </w:rPr>
              <w:t>Capital expenditure (including acquisitions)</w:t>
            </w:r>
          </w:p>
        </w:tc>
        <w:tc>
          <w:tcPr>
            <w:tcW w:w="170" w:type="dxa"/>
            <w:tcBorders/>
            <w:shd w:fill="FFFFFF" w:val="clear"/>
            <w:tcMar>
              <w:bottom w:w="0" w:type="dxa"/>
            </w:tcMar>
            <w:vAlign w:val="center"/>
          </w:tcPr>
          <w:p>
            <w:pPr>
              <w:pStyle w:val="TableContents"/>
              <w:spacing w:before="0" w:after="283"/>
              <w:rPr/>
            </w:pPr>
            <w:r>
              <w:rPr/>
              <w:t> </w:t>
            </w:r>
          </w:p>
        </w:tc>
        <w:tc>
          <w:tcPr>
            <w:tcW w:w="125"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958" w:name="TAB1373"/>
            <w:bookmarkEnd w:id="958"/>
            <w:r>
              <w:rPr>
                <w:rFonts w:ascii="Times New Roman" w:hAnsi="Times New Roman"/>
                <w:sz w:val="20"/>
              </w:rPr>
              <w:t>$</w:t>
            </w:r>
          </w:p>
        </w:tc>
        <w:tc>
          <w:tcPr>
            <w:tcW w:w="1052"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959" w:name="TAB1374"/>
            <w:bookmarkEnd w:id="959"/>
            <w:r>
              <w:rPr>
                <w:rFonts w:ascii="Times New Roman" w:hAnsi="Times New Roman"/>
                <w:sz w:val="20"/>
              </w:rPr>
              <w:t>16,389</w:t>
            </w:r>
          </w:p>
        </w:tc>
        <w:tc>
          <w:tcPr>
            <w:tcW w:w="106"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960" w:name="TAB1375"/>
            <w:bookmarkEnd w:id="960"/>
            <w:r>
              <w:rPr>
                <w:rFonts w:ascii="Times New Roman" w:hAnsi="Times New Roman"/>
                <w:sz w:val="20"/>
              </w:rPr>
              <w:t>$</w:t>
            </w:r>
          </w:p>
        </w:tc>
        <w:tc>
          <w:tcPr>
            <w:tcW w:w="1052"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961" w:name="TAB1376"/>
            <w:bookmarkEnd w:id="961"/>
            <w:r>
              <w:rPr>
                <w:rFonts w:ascii="Times New Roman" w:hAnsi="Times New Roman"/>
                <w:sz w:val="20"/>
              </w:rPr>
              <w:t>53,954</w:t>
            </w:r>
          </w:p>
        </w:tc>
        <w:tc>
          <w:tcPr>
            <w:tcW w:w="106"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962" w:name="TAB1377"/>
            <w:bookmarkEnd w:id="962"/>
            <w:r>
              <w:rPr>
                <w:rFonts w:ascii="Times New Roman" w:hAnsi="Times New Roman"/>
                <w:sz w:val="20"/>
              </w:rPr>
              <w:t>$</w:t>
            </w:r>
          </w:p>
        </w:tc>
        <w:tc>
          <w:tcPr>
            <w:tcW w:w="1051"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963" w:name="TAB1378"/>
            <w:bookmarkEnd w:id="963"/>
            <w:r>
              <w:rPr>
                <w:rFonts w:ascii="Times New Roman" w:hAnsi="Times New Roman"/>
                <w:sz w:val="20"/>
              </w:rPr>
              <w:t>33,180</w:t>
            </w:r>
          </w:p>
        </w:tc>
        <w:tc>
          <w:tcPr>
            <w:tcW w:w="106"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964" w:name="TAB1379"/>
            <w:bookmarkEnd w:id="964"/>
            <w:r>
              <w:rPr>
                <w:rFonts w:ascii="Times New Roman" w:hAnsi="Times New Roman"/>
                <w:sz w:val="20"/>
              </w:rPr>
              <w:t>$</w:t>
            </w:r>
          </w:p>
        </w:tc>
        <w:tc>
          <w:tcPr>
            <w:tcW w:w="1052"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965" w:name="TAB1380"/>
            <w:bookmarkEnd w:id="965"/>
            <w:r>
              <w:rPr>
                <w:rFonts w:ascii="Times New Roman" w:hAnsi="Times New Roman"/>
                <w:sz w:val="20"/>
              </w:rPr>
              <w:t>5,809</w:t>
            </w:r>
          </w:p>
        </w:tc>
        <w:tc>
          <w:tcPr>
            <w:tcW w:w="106"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966" w:name="TAB1381"/>
            <w:bookmarkEnd w:id="966"/>
            <w:r>
              <w:rPr>
                <w:rFonts w:ascii="Times New Roman" w:hAnsi="Times New Roman"/>
                <w:sz w:val="20"/>
              </w:rPr>
              <w:t>$</w:t>
            </w:r>
          </w:p>
        </w:tc>
        <w:tc>
          <w:tcPr>
            <w:tcW w:w="1052"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967" w:name="TAB1382"/>
            <w:bookmarkEnd w:id="967"/>
            <w:r>
              <w:rPr>
                <w:rFonts w:ascii="Times New Roman" w:hAnsi="Times New Roman"/>
                <w:sz w:val="20"/>
              </w:rPr>
              <w:t>10,437</w:t>
            </w:r>
          </w:p>
        </w:tc>
        <w:tc>
          <w:tcPr>
            <w:tcW w:w="117" w:type="dxa"/>
            <w:tcBorders/>
            <w:shd w:fill="FFFFFF" w:val="clear"/>
            <w:tcMar>
              <w:bottom w:w="0" w:type="dxa"/>
            </w:tcMar>
            <w:vAlign w:val="bottom"/>
          </w:tcPr>
          <w:p>
            <w:pPr>
              <w:pStyle w:val="TableContents"/>
              <w:spacing w:before="0" w:after="283"/>
              <w:jc w:val="left"/>
              <w:rPr/>
            </w:pPr>
            <w:r>
              <w:rPr/>
              <w:t> </w:t>
            </w:r>
          </w:p>
        </w:tc>
      </w:tr>
      <w:tr>
        <w:trPr/>
        <w:tc>
          <w:tcPr>
            <w:tcW w:w="3610"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Number of employees at 12/31</w:t>
            </w:r>
          </w:p>
        </w:tc>
        <w:tc>
          <w:tcPr>
            <w:tcW w:w="170" w:type="dxa"/>
            <w:tcBorders/>
            <w:shd w:fill="CCEEFF" w:val="clear"/>
            <w:tcMar>
              <w:bottom w:w="0" w:type="dxa"/>
            </w:tcMar>
            <w:vAlign w:val="center"/>
          </w:tcPr>
          <w:p>
            <w:pPr>
              <w:pStyle w:val="TableContents"/>
              <w:spacing w:before="0" w:after="283"/>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052"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1,451</w:t>
            </w:r>
          </w:p>
        </w:tc>
        <w:tc>
          <w:tcPr>
            <w:tcW w:w="106"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052"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1,523</w:t>
            </w:r>
          </w:p>
        </w:tc>
        <w:tc>
          <w:tcPr>
            <w:tcW w:w="106"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051"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1,677</w:t>
            </w:r>
          </w:p>
        </w:tc>
        <w:tc>
          <w:tcPr>
            <w:tcW w:w="106"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052"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1,453</w:t>
            </w:r>
          </w:p>
        </w:tc>
        <w:tc>
          <w:tcPr>
            <w:tcW w:w="106"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052"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968" w:name="TAB1383"/>
            <w:bookmarkEnd w:id="968"/>
            <w:r>
              <w:rPr>
                <w:rFonts w:ascii="Times New Roman" w:hAnsi="Times New Roman"/>
                <w:sz w:val="20"/>
              </w:rPr>
              <w:t>1,304</w:t>
            </w:r>
          </w:p>
        </w:tc>
        <w:tc>
          <w:tcPr>
            <w:tcW w:w="117" w:type="dxa"/>
            <w:tcBorders/>
            <w:shd w:fill="CCEEFF" w:val="clear"/>
            <w:tcMar>
              <w:bottom w:w="0" w:type="dxa"/>
            </w:tcMar>
            <w:vAlign w:val="bottom"/>
          </w:tcPr>
          <w:p>
            <w:pPr>
              <w:pStyle w:val="TableContents"/>
              <w:spacing w:before="0" w:after="283"/>
              <w:jc w:val="left"/>
              <w:rPr/>
            </w:pPr>
            <w:r>
              <w:rPr/>
              <w:t> </w:t>
            </w:r>
          </w:p>
        </w:tc>
      </w:tr>
    </w:tbl>
    <w:p>
      <w:pPr>
        <w:pStyle w:val="TextBody"/>
        <w:spacing w:lineRule="auto" w:line="300" w:before="0" w:after="0"/>
        <w:ind w:left="0" w:right="0" w:hanging="0"/>
        <w:jc w:val="left"/>
        <w:rPr/>
      </w:pPr>
      <w:r>
        <w:rPr/>
        <w:t> </w:t>
      </w:r>
    </w:p>
    <w:p>
      <w:pPr>
        <w:pStyle w:val="TextBody"/>
        <w:spacing w:lineRule="auto" w:line="300" w:before="0" w:after="0"/>
        <w:ind w:left="0" w:right="0" w:hanging="0"/>
        <w:jc w:val="left"/>
        <w:rPr/>
      </w:pPr>
      <w:r>
        <w:rPr>
          <w:rFonts w:ascii="Times New Roman" w:hAnsi="Times New Roman"/>
          <w:position w:val="7"/>
          <w:sz w:val="16"/>
          <w:sz w:val="20"/>
        </w:rPr>
        <w:t>12</w:t>
      </w:r>
      <w:r>
        <w:rPr>
          <w:position w:val="8"/>
          <w:sz w:val="19"/>
        </w:rPr>
        <w:t xml:space="preserve">  </w:t>
      </w:r>
      <w:r>
        <w:rPr>
          <w:rFonts w:ascii="Times New Roman" w:hAnsi="Times New Roman"/>
          <w:sz w:val="20"/>
        </w:rPr>
        <w:t>2005, 2004, 2003 and 2002 revenues have been adjusted from the amounts previously reported. See Note 2 and Note 21 to the 2006 Consolidated Financial Statements.</w:t>
      </w:r>
    </w:p>
    <w:p>
      <w:pPr>
        <w:pStyle w:val="TextBody"/>
        <w:spacing w:lineRule="auto" w:line="300" w:before="0" w:after="0"/>
        <w:ind w:left="0" w:right="0" w:firstLine="720"/>
        <w:jc w:val="both"/>
        <w:rPr/>
      </w:pPr>
      <w:r>
        <w:rPr/>
        <w:t> </w:t>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EBIT presented above represents net income (loss) adjusted for interest expense (calculated net of interest income) and income tax expense. EBIT is presented for informational purposes to show the significance of depreciation and amortization in the calculation of EBITDA. We use EBIT in our evaluation of our operating results since we believe that it is useful as a measure of financial performance, particularly for us as a multinational company. We believe it is a useful measure of financial performance principally for the following reasons:</w:t>
      </w:r>
    </w:p>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969" w:name="hangingindent80"/>
      <w:bookmarkStart w:id="970" w:name="hangingindent80"/>
      <w:bookmarkEnd w:id="970"/>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since we operate in multiple tax jurisdictions, we find EBIT removes the impact of the varying tax rates and tax regimes in the jurisdictions in which we operate.</w:t>
            </w:r>
          </w:p>
        </w:tc>
      </w:tr>
    </w:tbl>
    <w:p>
      <w:pPr>
        <w:pStyle w:val="TextBody"/>
        <w:spacing w:lineRule="auto" w:line="300"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971" w:name="PGBRK40"/>
      <w:bookmarkStart w:id="972" w:name="PGBRK40"/>
      <w:bookmarkEnd w:id="97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73" w:name="FTR40"/>
      <w:bookmarkStart w:id="974" w:name="FTR40"/>
      <w:bookmarkEnd w:id="97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75" w:name="GLFTR40"/>
      <w:bookmarkStart w:id="976" w:name="GLFTR40"/>
      <w:bookmarkEnd w:id="97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977" w:name="PN40"/>
      <w:bookmarkEnd w:id="977"/>
      <w:r>
        <w:rPr>
          <w:rFonts w:ascii="Times New Roman" w:hAnsi="Times New Roman"/>
          <w:sz w:val="16"/>
        </w:rPr>
        <w:t>-40-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78" w:name="HDR40"/>
      <w:bookmarkStart w:id="979" w:name="HDR40"/>
      <w:bookmarkEnd w:id="97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980" w:name="GLHDR40"/>
        <w:bookmarkEnd w:id="980"/>
        <w:r>
          <w:rPr>
            <w:rStyle w:val="Emphasis"/>
            <w:rFonts w:ascii="Times New Roman" w:hAnsi="Times New Roman"/>
            <w:color w:val="000000"/>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pStyle w:val="Normal"/>
        <w:spacing w:before="0" w:after="0"/>
        <w:ind w:left="0" w:right="0" w:hanging="0"/>
        <w:rPr>
          <w:sz w:val="4"/>
          <w:szCs w:val="4"/>
        </w:rPr>
      </w:pPr>
      <w:r>
        <w:rPr>
          <w:sz w:val="4"/>
          <w:szCs w:val="4"/>
        </w:rPr>
      </w:r>
      <w:bookmarkStart w:id="981" w:name="hangingindent81"/>
      <w:bookmarkStart w:id="982" w:name="hangingindent81"/>
      <w:bookmarkEnd w:id="982"/>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283"/>
              <w:rPr>
                <w:rFonts w:ascii="Times New Roman" w:hAnsi="Times New Roman"/>
                <w:sz w:val="20"/>
              </w:rPr>
            </w:pPr>
            <w:r>
              <w:rPr>
                <w:rFonts w:ascii="Times New Roman" w:hAnsi="Times New Roman"/>
                <w:sz w:val="20"/>
              </w:rPr>
              <w:t xml:space="preserve">in addition, we find EBIT useful as a financial measure that removes the impact from our effective tax rate of factors not directly related to our business operations, such as, whether we have acquired operating assets by purchasing those assets directly, or indirectly by purchasing the stock of a company that might hold such operating assets. </w:t>
            </w:r>
          </w:p>
        </w:tc>
      </w:tr>
    </w:tbl>
    <w:p>
      <w:pPr>
        <w:pStyle w:val="TextBody"/>
        <w:spacing w:lineRule="auto" w:line="300" w:before="0" w:after="0"/>
        <w:jc w:val="both"/>
        <w:rPr/>
      </w:pPr>
      <w:r>
        <w:rPr/>
        <w:t> </w:t>
      </w:r>
    </w:p>
    <w:p>
      <w:pPr>
        <w:pStyle w:val="Normal"/>
        <w:spacing w:before="0" w:after="0"/>
        <w:rPr>
          <w:sz w:val="4"/>
          <w:szCs w:val="4"/>
        </w:rPr>
      </w:pPr>
      <w:r>
        <w:rPr>
          <w:sz w:val="4"/>
          <w:szCs w:val="4"/>
        </w:rPr>
      </w:r>
      <w:bookmarkStart w:id="983" w:name="hangingindent82"/>
      <w:bookmarkStart w:id="984" w:name="hangingindent82"/>
      <w:bookmarkEnd w:id="984"/>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use of EBIT as a financial measure also (i) removes the impact of tax timing differences which may vary from time to time and from jurisdiction to jurisdiction, (ii) allows us to compare our performance to that achieved by other companies, and (iii) is useful as a financial measure that removes the impact of our historically significant net loss carryforwards.</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985" w:name="hangingindent83"/>
      <w:bookmarkStart w:id="986" w:name="hangingindent83"/>
      <w:bookmarkEnd w:id="986"/>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elimination of net interest expense helps us to compare our operating performance to those companies that may have more or less debt than do we.</w:t>
            </w:r>
          </w:p>
        </w:tc>
      </w:tr>
    </w:tbl>
    <w:p>
      <w:pPr>
        <w:pStyle w:val="TextBody"/>
        <w:spacing w:lineRule="auto" w:line="300" w:before="0" w:after="0"/>
        <w:ind w:left="0" w:right="0" w:hanging="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EBITDA presented above is net income (loss) adjusted for interest expense (again, calculated net of interest income), income tax expense, and in addition depreciation and amortization expense. We use EBITDA in our evaluation of our performance since we believe that EBITDA provides a useful measure of financial performance and value. We believe this principally for the following reasons:</w:t>
      </w:r>
    </w:p>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987" w:name="hangingindent84"/>
      <w:bookmarkStart w:id="988" w:name="hangingindent84"/>
      <w:bookmarkEnd w:id="988"/>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we believe that EBITDA is an industry comparative measure of financial performance. It is, in our experience, a measure commonly used by analysts and financial commentators who report on the cinema exhibition and real estate industries and a measure used by financial institutions in underwriting the creditworthiness of companies in these industries. Accordingly, our management monitors this calculation as a method of judging our performance against our peers and market expectations and our creditworthiness.</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989" w:name="hangingindent85"/>
      <w:bookmarkStart w:id="990" w:name="hangingindent85"/>
      <w:bookmarkEnd w:id="990"/>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also, analysts, financial commentators and persons active in the cinema exhibition and real estate industries typically value enterprises engaged in these businesses at various multiples of EBITDA. Accordingly, we find EBITDA valuable as an indicator of the underlying value of our businesses.</w:t>
            </w:r>
          </w:p>
        </w:tc>
      </w:tr>
    </w:tbl>
    <w:p>
      <w:pPr>
        <w:pStyle w:val="TextBody"/>
        <w:spacing w:lineRule="auto" w:line="300" w:before="0" w:after="0"/>
        <w:ind w:left="0" w:right="0" w:firstLine="72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 xml:space="preserve">We expect that investors may use EBITDA to judge our ability to generate cash, as a basis of comparison to other companies engaged in the cinema exhibition and real estate businesses and as a basis to value our company against such other companies. </w:t>
      </w:r>
    </w:p>
    <w:p>
      <w:pPr>
        <w:pStyle w:val="TextBody"/>
        <w:spacing w:lineRule="auto" w:line="300" w:before="0" w:after="0"/>
        <w:ind w:left="0" w:right="0" w:firstLine="72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 xml:space="preserve">Neither EBIT nor EBITDA is a measurement of financial performance under accounting principles generally accepted in the United States of America and should not be considered in isolation or construed as a substitute for net income or other operations data or cash flow data prepared in accordance with accounting principles generally accepted in the United States for purposes of analyzing our profitability. The exclusion of various components such as interest, taxes, depreciation and amortization necessarily limit the usefulness of these measures when assessing our financial performance, as not all funds depicted by EBITDA are available for management’s discretionary use. For example, a substantial portion of such funds are subject to contractual restrictions and functional requirements to service debt, to fund necessary capital expenditures and to meet other commitments from time to time as described in more detail in this Annual Report on Form 10-K. </w:t>
      </w:r>
    </w:p>
    <w:p>
      <w:pPr>
        <w:pStyle w:val="TextBody"/>
        <w:spacing w:lineRule="auto" w:line="300" w:before="0" w:after="0"/>
        <w:ind w:left="0" w:right="0" w:firstLine="72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EBIT and EBITDA also fail to take into account the cost of interest and taxes. Interest is clearly a real cost that for us is paid periodically as accrued. Taxes may or may not be a current cash item but are nevertheless real costs which, in most situations, must eventually be paid. A company that realizes taxable earnings in high tax jurisdictions may, ultimately, be less valuable than a company that realizes the same amount of taxable earnings in a low tax jurisdiction. EBITDA fails to take into account the cost of depreciation and amortization and the fact that assets will eventually wear out and have to be replaced.</w:t>
      </w:r>
    </w:p>
    <w:p>
      <w:pPr>
        <w:pStyle w:val="TextBody"/>
        <w:spacing w:lineRule="auto" w:line="300" w:before="0" w:after="0"/>
        <w:ind w:left="0" w:right="0" w:firstLine="72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991" w:name="PGBRK41"/>
      <w:bookmarkStart w:id="992" w:name="PGBRK41"/>
      <w:bookmarkEnd w:id="9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93" w:name="FTR41"/>
      <w:bookmarkStart w:id="994" w:name="FTR41"/>
      <w:bookmarkEnd w:id="99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95" w:name="GLFTR41"/>
      <w:bookmarkStart w:id="996" w:name="GLFTR41"/>
      <w:bookmarkEnd w:id="99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997" w:name="PN41"/>
      <w:bookmarkEnd w:id="997"/>
      <w:r>
        <w:rPr>
          <w:rFonts w:ascii="Times New Roman" w:hAnsi="Times New Roman"/>
          <w:sz w:val="16"/>
        </w:rPr>
        <w:t>-41-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98" w:name="HDR41"/>
      <w:bookmarkStart w:id="999" w:name="HDR41"/>
      <w:bookmarkEnd w:id="99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1000" w:name="GLHDR41"/>
        <w:bookmarkEnd w:id="1000"/>
        <w:r>
          <w:rPr>
            <w:rStyle w:val="Emphasis"/>
            <w:rFonts w:ascii="Times New Roman" w:hAnsi="Times New Roman"/>
            <w:color w:val="000000"/>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EBITDA, as calculated by us, may not be comparable to similarly titled measures reported by other companies. A reconciliation of net income (loss) to EBIT and EBITDA is presented below (dollars in thousands):</w:t>
      </w:r>
    </w:p>
    <w:p>
      <w:pPr>
        <w:pStyle w:val="TextBody"/>
        <w:spacing w:lineRule="auto" w:line="300" w:before="0" w:after="0"/>
        <w:ind w:left="0" w:right="0" w:firstLine="720"/>
        <w:jc w:val="both"/>
        <w:rPr/>
      </w:pPr>
      <w:r>
        <w:rPr/>
      </w:r>
    </w:p>
    <w:p>
      <w:pPr>
        <w:pStyle w:val="Normal"/>
        <w:spacing w:lineRule="auto" w:line="300" w:before="0" w:after="0"/>
        <w:jc w:val="both"/>
        <w:rPr>
          <w:sz w:val="4"/>
          <w:szCs w:val="4"/>
        </w:rPr>
      </w:pPr>
      <w:r>
        <w:rPr>
          <w:sz w:val="4"/>
          <w:szCs w:val="4"/>
        </w:rPr>
      </w:r>
      <w:bookmarkStart w:id="1001" w:name="ftable5"/>
      <w:bookmarkStart w:id="1002" w:name="ftable5"/>
      <w:bookmarkEnd w:id="1002"/>
    </w:p>
    <w:tbl>
      <w:tblPr>
        <w:tblW w:w="5000" w:type="pct"/>
        <w:jc w:val="left"/>
        <w:tblInd w:w="0" w:type="dxa"/>
        <w:tblCellMar>
          <w:top w:w="0" w:type="dxa"/>
          <w:left w:w="0" w:type="dxa"/>
          <w:bottom w:w="28" w:type="dxa"/>
          <w:right w:w="0" w:type="dxa"/>
        </w:tblCellMar>
      </w:tblPr>
      <w:tblGrid>
        <w:gridCol w:w="4115"/>
        <w:gridCol w:w="187"/>
        <w:gridCol w:w="125"/>
        <w:gridCol w:w="949"/>
        <w:gridCol w:w="103"/>
        <w:gridCol w:w="125"/>
        <w:gridCol w:w="949"/>
        <w:gridCol w:w="103"/>
        <w:gridCol w:w="125"/>
        <w:gridCol w:w="949"/>
        <w:gridCol w:w="110"/>
        <w:gridCol w:w="124"/>
        <w:gridCol w:w="949"/>
        <w:gridCol w:w="110"/>
        <w:gridCol w:w="125"/>
        <w:gridCol w:w="934"/>
        <w:gridCol w:w="123"/>
      </w:tblGrid>
      <w:tr>
        <w:trPr/>
        <w:tc>
          <w:tcPr>
            <w:tcW w:w="4115" w:type="dxa"/>
            <w:tcBorders>
              <w:bottom w:val="double" w:sz="2" w:space="0" w:color="000000"/>
            </w:tcBorders>
            <w:shd w:fill="auto" w:val="clear"/>
            <w:vAlign w:val="bottom"/>
          </w:tcPr>
          <w:p>
            <w:pPr>
              <w:pStyle w:val="TableContents"/>
              <w:spacing w:before="0" w:after="283"/>
              <w:jc w:val="left"/>
              <w:rPr/>
            </w:pPr>
            <w:r>
              <w:rPr/>
              <w:t> </w:t>
            </w:r>
          </w:p>
        </w:tc>
        <w:tc>
          <w:tcPr>
            <w:tcW w:w="187" w:type="dxa"/>
            <w:tcBorders>
              <w:bottom w:val="single" w:sz="4" w:space="0" w:color="FFFFFF"/>
            </w:tcBorders>
            <w:shd w:fill="auto" w:val="clear"/>
            <w:vAlign w:val="center"/>
          </w:tcPr>
          <w:p>
            <w:pPr>
              <w:pStyle w:val="TableContents"/>
              <w:spacing w:before="0" w:after="283"/>
              <w:rPr/>
            </w:pPr>
            <w:r>
              <w:rPr/>
              <w:t> </w:t>
            </w:r>
          </w:p>
        </w:tc>
        <w:tc>
          <w:tcPr>
            <w:tcW w:w="1074" w:type="dxa"/>
            <w:gridSpan w:val="2"/>
            <w:tcBorders>
              <w:bottom w:val="double" w:sz="2" w:space="0" w:color="000000"/>
            </w:tcBorders>
            <w:shd w:fill="auto" w:val="cle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2006</w:t>
            </w:r>
          </w:p>
        </w:tc>
        <w:tc>
          <w:tcPr>
            <w:tcW w:w="103" w:type="dxa"/>
            <w:tcBorders>
              <w:bottom w:val="single" w:sz="4" w:space="0" w:color="FFFFFF"/>
            </w:tcBorders>
            <w:shd w:fill="auto" w:val="clear"/>
            <w:vAlign w:val="bottom"/>
          </w:tcPr>
          <w:p>
            <w:pPr>
              <w:pStyle w:val="TableContents"/>
              <w:spacing w:before="0" w:after="283"/>
              <w:jc w:val="left"/>
              <w:rPr/>
            </w:pPr>
            <w:r>
              <w:rPr/>
              <w:t> </w:t>
            </w:r>
          </w:p>
        </w:tc>
        <w:tc>
          <w:tcPr>
            <w:tcW w:w="1074" w:type="dxa"/>
            <w:gridSpan w:val="2"/>
            <w:tcBorders>
              <w:bottom w:val="double" w:sz="2" w:space="0" w:color="000000"/>
            </w:tcBorders>
            <w:shd w:fill="auto" w:val="cle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2005</w:t>
            </w:r>
          </w:p>
        </w:tc>
        <w:tc>
          <w:tcPr>
            <w:tcW w:w="103" w:type="dxa"/>
            <w:tcBorders>
              <w:bottom w:val="single" w:sz="4" w:space="0" w:color="FFFFFF"/>
            </w:tcBorders>
            <w:shd w:fill="auto" w:val="clear"/>
            <w:vAlign w:val="bottom"/>
          </w:tcPr>
          <w:p>
            <w:pPr>
              <w:pStyle w:val="TableContents"/>
              <w:spacing w:before="0" w:after="283"/>
              <w:jc w:val="left"/>
              <w:rPr/>
            </w:pPr>
            <w:r>
              <w:rPr/>
              <w:t> </w:t>
            </w:r>
          </w:p>
        </w:tc>
        <w:tc>
          <w:tcPr>
            <w:tcW w:w="1074" w:type="dxa"/>
            <w:gridSpan w:val="2"/>
            <w:tcBorders>
              <w:bottom w:val="double" w:sz="2" w:space="0" w:color="000000"/>
            </w:tcBorders>
            <w:shd w:fill="auto" w:val="cle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2004</w:t>
            </w:r>
          </w:p>
        </w:tc>
        <w:tc>
          <w:tcPr>
            <w:tcW w:w="110" w:type="dxa"/>
            <w:tcBorders>
              <w:bottom w:val="single" w:sz="4" w:space="0" w:color="FFFFFF"/>
            </w:tcBorders>
            <w:shd w:fill="auto" w:val="clear"/>
            <w:vAlign w:val="bottom"/>
          </w:tcPr>
          <w:p>
            <w:pPr>
              <w:pStyle w:val="TableContents"/>
              <w:spacing w:before="0" w:after="283"/>
              <w:jc w:val="left"/>
              <w:rPr/>
            </w:pPr>
            <w:r>
              <w:rPr/>
              <w:t> </w:t>
            </w:r>
          </w:p>
        </w:tc>
        <w:tc>
          <w:tcPr>
            <w:tcW w:w="1073" w:type="dxa"/>
            <w:gridSpan w:val="2"/>
            <w:tcBorders>
              <w:bottom w:val="double" w:sz="2" w:space="0" w:color="000000"/>
            </w:tcBorders>
            <w:shd w:fill="auto" w:val="cle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2003</w:t>
            </w:r>
          </w:p>
        </w:tc>
        <w:tc>
          <w:tcPr>
            <w:tcW w:w="110" w:type="dxa"/>
            <w:tcBorders>
              <w:bottom w:val="single" w:sz="4" w:space="0" w:color="FFFFFF"/>
            </w:tcBorders>
            <w:shd w:fill="auto" w:val="clear"/>
            <w:vAlign w:val="bottom"/>
          </w:tcPr>
          <w:p>
            <w:pPr>
              <w:pStyle w:val="TableContents"/>
              <w:spacing w:before="0" w:after="283"/>
              <w:jc w:val="left"/>
              <w:rPr/>
            </w:pPr>
            <w:r>
              <w:rPr/>
              <w:t> </w:t>
            </w:r>
          </w:p>
        </w:tc>
        <w:tc>
          <w:tcPr>
            <w:tcW w:w="1059" w:type="dxa"/>
            <w:gridSpan w:val="2"/>
            <w:tcBorders>
              <w:bottom w:val="double" w:sz="2" w:space="0" w:color="000000"/>
            </w:tcBorders>
            <w:shd w:fill="auto" w:val="cle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2002</w:t>
            </w:r>
          </w:p>
        </w:tc>
        <w:tc>
          <w:tcPr>
            <w:tcW w:w="123" w:type="dxa"/>
            <w:tcBorders>
              <w:bottom w:val="single" w:sz="4" w:space="0" w:color="FFFFFF"/>
            </w:tcBorders>
            <w:shd w:fill="auto" w:val="clear"/>
            <w:vAlign w:val="bottom"/>
          </w:tcPr>
          <w:p>
            <w:pPr>
              <w:pStyle w:val="TableContents"/>
              <w:spacing w:before="0" w:after="283"/>
              <w:jc w:val="left"/>
              <w:rPr/>
            </w:pPr>
            <w:r>
              <w:rPr/>
              <w:t> </w:t>
            </w:r>
          </w:p>
        </w:tc>
      </w:tr>
      <w:tr>
        <w:trPr/>
        <w:tc>
          <w:tcPr>
            <w:tcW w:w="4115"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Net income (loss)</w:t>
            </w:r>
          </w:p>
        </w:tc>
        <w:tc>
          <w:tcPr>
            <w:tcW w:w="187" w:type="dxa"/>
            <w:tcBorders/>
            <w:shd w:fill="CCEEFF" w:val="clear"/>
            <w:tcMar>
              <w:bottom w:w="0" w:type="dxa"/>
            </w:tcMar>
            <w:vAlign w:val="center"/>
          </w:tcPr>
          <w:p>
            <w:pPr>
              <w:pStyle w:val="TableContents"/>
              <w:spacing w:before="0" w:after="283"/>
              <w:rPr/>
            </w:pPr>
            <w:r>
              <w:rPr/>
              <w:t> </w:t>
            </w:r>
          </w:p>
        </w:tc>
        <w:tc>
          <w:tcPr>
            <w:tcW w:w="125"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1003" w:name="TAB1384"/>
            <w:bookmarkEnd w:id="1003"/>
            <w:r>
              <w:rPr>
                <w:rFonts w:ascii="Times New Roman" w:hAnsi="Times New Roman"/>
                <w:sz w:val="20"/>
              </w:rPr>
              <w:t>$</w:t>
            </w:r>
          </w:p>
        </w:tc>
        <w:tc>
          <w:tcPr>
            <w:tcW w:w="949"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004" w:name="TAB1385"/>
            <w:bookmarkEnd w:id="1004"/>
            <w:r>
              <w:rPr>
                <w:rFonts w:ascii="Times New Roman" w:hAnsi="Times New Roman"/>
                <w:sz w:val="20"/>
              </w:rPr>
              <w:t>3,856</w:t>
            </w:r>
          </w:p>
        </w:tc>
        <w:tc>
          <w:tcPr>
            <w:tcW w:w="103"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1005" w:name="TAB1386"/>
            <w:bookmarkEnd w:id="1005"/>
            <w:r>
              <w:rPr>
                <w:rFonts w:ascii="Times New Roman" w:hAnsi="Times New Roman"/>
                <w:sz w:val="20"/>
              </w:rPr>
              <w:t>$</w:t>
            </w:r>
          </w:p>
        </w:tc>
        <w:tc>
          <w:tcPr>
            <w:tcW w:w="949"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006" w:name="TAB1387"/>
            <w:bookmarkEnd w:id="1006"/>
            <w:r>
              <w:rPr>
                <w:rFonts w:ascii="Times New Roman" w:hAnsi="Times New Roman"/>
                <w:sz w:val="20"/>
              </w:rPr>
              <w:t>989</w:t>
            </w:r>
          </w:p>
        </w:tc>
        <w:tc>
          <w:tcPr>
            <w:tcW w:w="103"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1007" w:name="TAB1388"/>
            <w:bookmarkEnd w:id="1007"/>
            <w:r>
              <w:rPr>
                <w:rFonts w:ascii="Times New Roman" w:hAnsi="Times New Roman"/>
                <w:sz w:val="20"/>
              </w:rPr>
              <w:t>$</w:t>
            </w:r>
          </w:p>
        </w:tc>
        <w:tc>
          <w:tcPr>
            <w:tcW w:w="949"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008" w:name="TAB1389"/>
            <w:bookmarkEnd w:id="1008"/>
            <w:r>
              <w:rPr>
                <w:rFonts w:ascii="Times New Roman" w:hAnsi="Times New Roman"/>
                <w:sz w:val="20"/>
              </w:rPr>
              <w:t>(8,463</w:t>
            </w:r>
          </w:p>
        </w:tc>
        <w:tc>
          <w:tcPr>
            <w:tcW w:w="110"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1009" w:name="TAB1390"/>
            <w:bookmarkEnd w:id="1009"/>
            <w:r>
              <w:rPr>
                <w:rFonts w:ascii="Times New Roman" w:hAnsi="Times New Roman"/>
                <w:sz w:val="20"/>
              </w:rPr>
              <w:t>)</w:t>
            </w:r>
          </w:p>
        </w:tc>
        <w:tc>
          <w:tcPr>
            <w:tcW w:w="124"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1010" w:name="TAB1391"/>
            <w:bookmarkEnd w:id="1010"/>
            <w:r>
              <w:rPr>
                <w:rFonts w:ascii="Times New Roman" w:hAnsi="Times New Roman"/>
                <w:sz w:val="20"/>
              </w:rPr>
              <w:t>$</w:t>
            </w:r>
          </w:p>
        </w:tc>
        <w:tc>
          <w:tcPr>
            <w:tcW w:w="949"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011" w:name="TAB1392"/>
            <w:bookmarkEnd w:id="1011"/>
            <w:r>
              <w:rPr>
                <w:rFonts w:ascii="Times New Roman" w:hAnsi="Times New Roman"/>
                <w:sz w:val="20"/>
              </w:rPr>
              <w:t>(5,928</w:t>
            </w:r>
          </w:p>
        </w:tc>
        <w:tc>
          <w:tcPr>
            <w:tcW w:w="110"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1012" w:name="TAB1393"/>
            <w:bookmarkEnd w:id="1012"/>
            <w:r>
              <w:rPr>
                <w:rFonts w:ascii="Times New Roman" w:hAnsi="Times New Roman"/>
                <w:sz w:val="20"/>
              </w:rPr>
              <w:t>)</w:t>
            </w:r>
          </w:p>
        </w:tc>
        <w:tc>
          <w:tcPr>
            <w:tcW w:w="125"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1013" w:name="TAB1394"/>
            <w:bookmarkEnd w:id="1013"/>
            <w:r>
              <w:rPr>
                <w:rFonts w:ascii="Times New Roman" w:hAnsi="Times New Roman"/>
                <w:sz w:val="20"/>
              </w:rPr>
              <w:t>$</w:t>
            </w:r>
          </w:p>
        </w:tc>
        <w:tc>
          <w:tcPr>
            <w:tcW w:w="934"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014" w:name="TAB1395"/>
            <w:bookmarkEnd w:id="1014"/>
            <w:r>
              <w:rPr>
                <w:rFonts w:ascii="Times New Roman" w:hAnsi="Times New Roman"/>
                <w:sz w:val="20"/>
              </w:rPr>
              <w:t>(7,954</w:t>
            </w:r>
          </w:p>
        </w:tc>
        <w:tc>
          <w:tcPr>
            <w:tcW w:w="123"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1015" w:name="TAB1396"/>
            <w:bookmarkEnd w:id="1015"/>
            <w:r>
              <w:rPr>
                <w:rFonts w:ascii="Times New Roman" w:hAnsi="Times New Roman"/>
                <w:sz w:val="20"/>
              </w:rPr>
              <w:t>)</w:t>
            </w:r>
          </w:p>
        </w:tc>
      </w:tr>
      <w:tr>
        <w:trPr/>
        <w:tc>
          <w:tcPr>
            <w:tcW w:w="4115" w:type="dxa"/>
            <w:tcBorders/>
            <w:shd w:fill="FFFFFF" w:val="clear"/>
            <w:tcMar>
              <w:bottom w:w="0" w:type="dxa"/>
            </w:tcMar>
            <w:vAlign w:val="bottom"/>
          </w:tcPr>
          <w:p>
            <w:pPr>
              <w:pStyle w:val="TableContents"/>
              <w:spacing w:lineRule="auto" w:line="300" w:before="0" w:after="0"/>
              <w:ind w:left="0" w:right="0" w:firstLine="180"/>
              <w:jc w:val="left"/>
              <w:rPr/>
            </w:pPr>
            <w:r>
              <w:rPr>
                <w:rFonts w:ascii="Times New Roman" w:hAnsi="Times New Roman"/>
                <w:sz w:val="20"/>
              </w:rPr>
              <w:t>Add:</w:t>
            </w:r>
            <w:bookmarkStart w:id="1016" w:name="TAB21"/>
            <w:bookmarkEnd w:id="1016"/>
            <w:r>
              <w:rPr>
                <w:color w:val="000000"/>
                <w:spacing w:val="365"/>
              </w:rPr>
              <w:t> </w:t>
            </w:r>
            <w:r>
              <w:rPr>
                <w:rFonts w:ascii="Times New Roman" w:hAnsi="Times New Roman"/>
                <w:sz w:val="20"/>
              </w:rPr>
              <w:t>Interest expense, net</w:t>
            </w:r>
          </w:p>
        </w:tc>
        <w:tc>
          <w:tcPr>
            <w:tcW w:w="187" w:type="dxa"/>
            <w:tcBorders/>
            <w:shd w:fill="FFFFFF" w:val="clear"/>
            <w:tcMar>
              <w:bottom w:w="0" w:type="dxa"/>
            </w:tcMar>
            <w:vAlign w:val="center"/>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949"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6,608</w:t>
            </w:r>
          </w:p>
        </w:tc>
        <w:tc>
          <w:tcPr>
            <w:tcW w:w="103"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949"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4,473</w:t>
            </w:r>
          </w:p>
        </w:tc>
        <w:tc>
          <w:tcPr>
            <w:tcW w:w="103"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949"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3,078</w:t>
            </w:r>
          </w:p>
        </w:tc>
        <w:tc>
          <w:tcPr>
            <w:tcW w:w="110" w:type="dxa"/>
            <w:tcBorders/>
            <w:shd w:fill="FFFFFF" w:val="clear"/>
            <w:tcMar>
              <w:bottom w:w="0" w:type="dxa"/>
            </w:tcMar>
            <w:vAlign w:val="bottom"/>
          </w:tcPr>
          <w:p>
            <w:pPr>
              <w:pStyle w:val="TableContents"/>
              <w:spacing w:before="0" w:after="283"/>
              <w:jc w:val="left"/>
              <w:rPr/>
            </w:pPr>
            <w:r>
              <w:rPr/>
              <w:t> </w:t>
            </w:r>
          </w:p>
        </w:tc>
        <w:tc>
          <w:tcPr>
            <w:tcW w:w="124" w:type="dxa"/>
            <w:tcBorders/>
            <w:shd w:fill="FFFFFF" w:val="clear"/>
            <w:tcMar>
              <w:bottom w:w="0" w:type="dxa"/>
            </w:tcMar>
            <w:vAlign w:val="bottom"/>
          </w:tcPr>
          <w:p>
            <w:pPr>
              <w:pStyle w:val="TableContents"/>
              <w:spacing w:before="0" w:after="283"/>
              <w:jc w:val="left"/>
              <w:rPr/>
            </w:pPr>
            <w:r>
              <w:rPr/>
              <w:t> </w:t>
            </w:r>
          </w:p>
        </w:tc>
        <w:tc>
          <w:tcPr>
            <w:tcW w:w="949"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2,567</w:t>
            </w:r>
          </w:p>
        </w:tc>
        <w:tc>
          <w:tcPr>
            <w:tcW w:w="110"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934"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1,740</w:t>
            </w:r>
          </w:p>
        </w:tc>
        <w:tc>
          <w:tcPr>
            <w:tcW w:w="123" w:type="dxa"/>
            <w:tcBorders/>
            <w:shd w:fill="FFFFFF" w:val="clear"/>
            <w:tcMar>
              <w:bottom w:w="0" w:type="dxa"/>
            </w:tcMar>
            <w:vAlign w:val="bottom"/>
          </w:tcPr>
          <w:p>
            <w:pPr>
              <w:pStyle w:val="TableContents"/>
              <w:spacing w:before="0" w:after="283"/>
              <w:jc w:val="left"/>
              <w:rPr/>
            </w:pPr>
            <w:r>
              <w:rPr/>
              <w:t> </w:t>
            </w:r>
          </w:p>
        </w:tc>
      </w:tr>
      <w:tr>
        <w:trPr/>
        <w:tc>
          <w:tcPr>
            <w:tcW w:w="4115" w:type="dxa"/>
            <w:tcBorders>
              <w:bottom w:val="single" w:sz="2" w:space="0" w:color="000000"/>
            </w:tcBorders>
            <w:shd w:fill="CCEEFF" w:val="clear"/>
            <w:vAlign w:val="bottom"/>
          </w:tcPr>
          <w:p>
            <w:pPr>
              <w:pStyle w:val="TableContents"/>
              <w:spacing w:lineRule="auto" w:line="300" w:before="0" w:after="0"/>
              <w:ind w:left="0" w:right="0" w:firstLine="180"/>
              <w:jc w:val="left"/>
              <w:rPr/>
            </w:pPr>
            <w:r>
              <w:rPr>
                <w:rFonts w:ascii="Times New Roman" w:hAnsi="Times New Roman"/>
                <w:sz w:val="20"/>
              </w:rPr>
              <w:t>Add:</w:t>
            </w:r>
            <w:bookmarkStart w:id="1017" w:name="TAB22"/>
            <w:bookmarkEnd w:id="1017"/>
            <w:r>
              <w:rPr>
                <w:color w:val="000000"/>
                <w:spacing w:val="365"/>
              </w:rPr>
              <w:t> </w:t>
            </w:r>
            <w:r>
              <w:rPr>
                <w:rFonts w:ascii="Times New Roman" w:hAnsi="Times New Roman"/>
                <w:sz w:val="20"/>
              </w:rPr>
              <w:t>Income tax expense</w:t>
            </w:r>
          </w:p>
        </w:tc>
        <w:tc>
          <w:tcPr>
            <w:tcW w:w="187" w:type="dxa"/>
            <w:tcBorders>
              <w:bottom w:val="single" w:sz="2" w:space="0" w:color="CCEEFF"/>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vAlign w:val="bottom"/>
          </w:tcPr>
          <w:p>
            <w:pPr>
              <w:pStyle w:val="TableContents"/>
              <w:spacing w:before="0" w:after="283"/>
              <w:jc w:val="left"/>
              <w:rPr/>
            </w:pPr>
            <w:r>
              <w:rPr/>
              <w:t> </w:t>
            </w:r>
          </w:p>
        </w:tc>
        <w:tc>
          <w:tcPr>
            <w:tcW w:w="949"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2,270</w:t>
            </w:r>
          </w:p>
        </w:tc>
        <w:tc>
          <w:tcPr>
            <w:tcW w:w="103" w:type="dxa"/>
            <w:tcBorders>
              <w:bottom w:val="single" w:sz="2" w:space="0" w:color="CCEEFF"/>
            </w:tcBorders>
            <w:shd w:fill="CCEEFF" w:val="clear"/>
            <w:vAlign w:val="bottom"/>
          </w:tcPr>
          <w:p>
            <w:pPr>
              <w:pStyle w:val="TableContents"/>
              <w:spacing w:before="0" w:after="283"/>
              <w:jc w:val="left"/>
              <w:rPr/>
            </w:pPr>
            <w:r>
              <w:rPr/>
              <w:t> </w:t>
            </w:r>
          </w:p>
        </w:tc>
        <w:tc>
          <w:tcPr>
            <w:tcW w:w="125" w:type="dxa"/>
            <w:tcBorders>
              <w:bottom w:val="single" w:sz="2" w:space="0" w:color="000000"/>
            </w:tcBorders>
            <w:shd w:fill="CCEEFF" w:val="clear"/>
            <w:vAlign w:val="bottom"/>
          </w:tcPr>
          <w:p>
            <w:pPr>
              <w:pStyle w:val="TableContents"/>
              <w:spacing w:before="0" w:after="283"/>
              <w:jc w:val="left"/>
              <w:rPr/>
            </w:pPr>
            <w:r>
              <w:rPr/>
              <w:t> </w:t>
            </w:r>
          </w:p>
        </w:tc>
        <w:tc>
          <w:tcPr>
            <w:tcW w:w="949"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1,209</w:t>
            </w:r>
          </w:p>
        </w:tc>
        <w:tc>
          <w:tcPr>
            <w:tcW w:w="103" w:type="dxa"/>
            <w:tcBorders>
              <w:bottom w:val="single" w:sz="2" w:space="0" w:color="CCEEFF"/>
            </w:tcBorders>
            <w:shd w:fill="CCEEFF" w:val="clear"/>
            <w:vAlign w:val="bottom"/>
          </w:tcPr>
          <w:p>
            <w:pPr>
              <w:pStyle w:val="TableContents"/>
              <w:spacing w:before="0" w:after="283"/>
              <w:jc w:val="left"/>
              <w:rPr/>
            </w:pPr>
            <w:r>
              <w:rPr/>
              <w:t> </w:t>
            </w:r>
          </w:p>
        </w:tc>
        <w:tc>
          <w:tcPr>
            <w:tcW w:w="125" w:type="dxa"/>
            <w:tcBorders>
              <w:bottom w:val="single" w:sz="2" w:space="0" w:color="000000"/>
            </w:tcBorders>
            <w:shd w:fill="CCEEFF" w:val="clear"/>
            <w:vAlign w:val="bottom"/>
          </w:tcPr>
          <w:p>
            <w:pPr>
              <w:pStyle w:val="TableContents"/>
              <w:spacing w:before="0" w:after="283"/>
              <w:jc w:val="left"/>
              <w:rPr/>
            </w:pPr>
            <w:r>
              <w:rPr/>
              <w:t> </w:t>
            </w:r>
          </w:p>
        </w:tc>
        <w:tc>
          <w:tcPr>
            <w:tcW w:w="949"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1,046</w:t>
            </w:r>
          </w:p>
        </w:tc>
        <w:tc>
          <w:tcPr>
            <w:tcW w:w="110" w:type="dxa"/>
            <w:tcBorders>
              <w:bottom w:val="single" w:sz="2" w:space="0" w:color="CCEEFF"/>
            </w:tcBorders>
            <w:shd w:fill="CCEEFF" w:val="clear"/>
            <w:vAlign w:val="bottom"/>
          </w:tcPr>
          <w:p>
            <w:pPr>
              <w:pStyle w:val="TableContents"/>
              <w:spacing w:before="0" w:after="283"/>
              <w:jc w:val="left"/>
              <w:rPr/>
            </w:pPr>
            <w:r>
              <w:rPr/>
              <w:t> </w:t>
            </w:r>
          </w:p>
        </w:tc>
        <w:tc>
          <w:tcPr>
            <w:tcW w:w="124" w:type="dxa"/>
            <w:tcBorders>
              <w:bottom w:val="single" w:sz="2" w:space="0" w:color="000000"/>
            </w:tcBorders>
            <w:shd w:fill="CCEEFF" w:val="clear"/>
            <w:vAlign w:val="bottom"/>
          </w:tcPr>
          <w:p>
            <w:pPr>
              <w:pStyle w:val="TableContents"/>
              <w:spacing w:before="0" w:after="283"/>
              <w:jc w:val="left"/>
              <w:rPr/>
            </w:pPr>
            <w:r>
              <w:rPr/>
              <w:t> </w:t>
            </w:r>
          </w:p>
        </w:tc>
        <w:tc>
          <w:tcPr>
            <w:tcW w:w="949"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711</w:t>
            </w:r>
          </w:p>
        </w:tc>
        <w:tc>
          <w:tcPr>
            <w:tcW w:w="110" w:type="dxa"/>
            <w:tcBorders>
              <w:bottom w:val="single" w:sz="2" w:space="0" w:color="CCEEFF"/>
            </w:tcBorders>
            <w:shd w:fill="CCEEFF" w:val="clear"/>
            <w:vAlign w:val="bottom"/>
          </w:tcPr>
          <w:p>
            <w:pPr>
              <w:pStyle w:val="TableContents"/>
              <w:spacing w:before="0" w:after="283"/>
              <w:jc w:val="left"/>
              <w:rPr/>
            </w:pPr>
            <w:r>
              <w:rPr/>
              <w:t> </w:t>
            </w:r>
          </w:p>
        </w:tc>
        <w:tc>
          <w:tcPr>
            <w:tcW w:w="125" w:type="dxa"/>
            <w:tcBorders>
              <w:bottom w:val="single" w:sz="2" w:space="0" w:color="000000"/>
            </w:tcBorders>
            <w:shd w:fill="CCEEFF" w:val="clear"/>
            <w:vAlign w:val="bottom"/>
          </w:tcPr>
          <w:p>
            <w:pPr>
              <w:pStyle w:val="TableContents"/>
              <w:spacing w:before="0" w:after="283"/>
              <w:jc w:val="left"/>
              <w:rPr/>
            </w:pPr>
            <w:r>
              <w:rPr/>
              <w:t> </w:t>
            </w:r>
          </w:p>
        </w:tc>
        <w:tc>
          <w:tcPr>
            <w:tcW w:w="934"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6</w:t>
            </w:r>
          </w:p>
        </w:tc>
        <w:tc>
          <w:tcPr>
            <w:tcW w:w="123" w:type="dxa"/>
            <w:tcBorders>
              <w:bottom w:val="single" w:sz="2" w:space="0" w:color="CCEEFF"/>
            </w:tcBorders>
            <w:shd w:fill="CCEEFF" w:val="clear"/>
            <w:vAlign w:val="bottom"/>
          </w:tcPr>
          <w:p>
            <w:pPr>
              <w:pStyle w:val="TableContents"/>
              <w:spacing w:before="0" w:after="283"/>
              <w:jc w:val="left"/>
              <w:rPr/>
            </w:pPr>
            <w:r>
              <w:rPr/>
              <w:t> </w:t>
            </w:r>
          </w:p>
        </w:tc>
      </w:tr>
      <w:tr>
        <w:trPr/>
        <w:tc>
          <w:tcPr>
            <w:tcW w:w="4115" w:type="dxa"/>
            <w:tcBorders/>
            <w:shd w:fill="FFFFFF" w:val="clear"/>
            <w:tcMar>
              <w:bottom w:w="0" w:type="dxa"/>
            </w:tcMar>
            <w:vAlign w:val="bottom"/>
          </w:tcPr>
          <w:p>
            <w:pPr>
              <w:pStyle w:val="TableContents"/>
              <w:spacing w:lineRule="auto" w:line="300" w:before="0" w:after="0"/>
              <w:ind w:left="900" w:right="0" w:hanging="0"/>
              <w:jc w:val="left"/>
              <w:rPr>
                <w:rFonts w:ascii="Times New Roman" w:hAnsi="Times New Roman"/>
                <w:sz w:val="20"/>
              </w:rPr>
            </w:pPr>
            <w:bookmarkStart w:id="1018" w:name="TAB1397"/>
            <w:bookmarkEnd w:id="1018"/>
            <w:r>
              <w:rPr>
                <w:rFonts w:ascii="Times New Roman" w:hAnsi="Times New Roman"/>
                <w:sz w:val="20"/>
              </w:rPr>
              <w:t>EBIT</w:t>
            </w:r>
          </w:p>
        </w:tc>
        <w:tc>
          <w:tcPr>
            <w:tcW w:w="187" w:type="dxa"/>
            <w:tcBorders/>
            <w:shd w:fill="FFFFFF" w:val="clear"/>
            <w:tcMar>
              <w:bottom w:w="0" w:type="dxa"/>
            </w:tcMar>
            <w:vAlign w:val="center"/>
          </w:tcPr>
          <w:p>
            <w:pPr>
              <w:pStyle w:val="TableContents"/>
              <w:spacing w:before="0" w:after="283"/>
              <w:rPr/>
            </w:pPr>
            <w:r>
              <w:rPr/>
              <w:t> </w:t>
            </w:r>
          </w:p>
        </w:tc>
        <w:tc>
          <w:tcPr>
            <w:tcW w:w="125"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1019" w:name="TAB1398"/>
            <w:bookmarkEnd w:id="1019"/>
            <w:r>
              <w:rPr>
                <w:rFonts w:ascii="Times New Roman" w:hAnsi="Times New Roman"/>
                <w:sz w:val="20"/>
              </w:rPr>
              <w:t>$</w:t>
            </w:r>
          </w:p>
        </w:tc>
        <w:tc>
          <w:tcPr>
            <w:tcW w:w="949"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020" w:name="TAB1399"/>
            <w:bookmarkEnd w:id="1020"/>
            <w:r>
              <w:rPr>
                <w:rFonts w:ascii="Times New Roman" w:hAnsi="Times New Roman"/>
                <w:sz w:val="20"/>
              </w:rPr>
              <w:t>12,734</w:t>
            </w:r>
          </w:p>
        </w:tc>
        <w:tc>
          <w:tcPr>
            <w:tcW w:w="103"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1021" w:name="TAB1400"/>
            <w:bookmarkEnd w:id="1021"/>
            <w:r>
              <w:rPr>
                <w:rFonts w:ascii="Times New Roman" w:hAnsi="Times New Roman"/>
                <w:sz w:val="20"/>
              </w:rPr>
              <w:t>$</w:t>
            </w:r>
          </w:p>
        </w:tc>
        <w:tc>
          <w:tcPr>
            <w:tcW w:w="949"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022" w:name="TAB1401"/>
            <w:bookmarkEnd w:id="1022"/>
            <w:r>
              <w:rPr>
                <w:rFonts w:ascii="Times New Roman" w:hAnsi="Times New Roman"/>
                <w:sz w:val="20"/>
              </w:rPr>
              <w:t>6,671</w:t>
            </w:r>
          </w:p>
        </w:tc>
        <w:tc>
          <w:tcPr>
            <w:tcW w:w="103"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1023" w:name="TAB1402"/>
            <w:bookmarkEnd w:id="1023"/>
            <w:r>
              <w:rPr>
                <w:rFonts w:ascii="Times New Roman" w:hAnsi="Times New Roman"/>
                <w:sz w:val="20"/>
              </w:rPr>
              <w:t>$</w:t>
            </w:r>
          </w:p>
        </w:tc>
        <w:tc>
          <w:tcPr>
            <w:tcW w:w="949"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024" w:name="TAB1403"/>
            <w:bookmarkEnd w:id="1024"/>
            <w:r>
              <w:rPr>
                <w:rFonts w:ascii="Times New Roman" w:hAnsi="Times New Roman"/>
                <w:sz w:val="20"/>
              </w:rPr>
              <w:t>(4,339</w:t>
            </w:r>
          </w:p>
        </w:tc>
        <w:tc>
          <w:tcPr>
            <w:tcW w:w="110"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1025" w:name="TAB1404"/>
            <w:bookmarkEnd w:id="1025"/>
            <w:r>
              <w:rPr>
                <w:rFonts w:ascii="Times New Roman" w:hAnsi="Times New Roman"/>
                <w:sz w:val="20"/>
              </w:rPr>
              <w:t>)</w:t>
            </w:r>
          </w:p>
        </w:tc>
        <w:tc>
          <w:tcPr>
            <w:tcW w:w="124"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1026" w:name="TAB1405"/>
            <w:bookmarkEnd w:id="1026"/>
            <w:r>
              <w:rPr>
                <w:rFonts w:ascii="Times New Roman" w:hAnsi="Times New Roman"/>
                <w:sz w:val="20"/>
              </w:rPr>
              <w:t>$</w:t>
            </w:r>
          </w:p>
        </w:tc>
        <w:tc>
          <w:tcPr>
            <w:tcW w:w="949"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027" w:name="TAB1406"/>
            <w:bookmarkEnd w:id="1027"/>
            <w:r>
              <w:rPr>
                <w:rFonts w:ascii="Times New Roman" w:hAnsi="Times New Roman"/>
                <w:sz w:val="20"/>
              </w:rPr>
              <w:t>(2,650</w:t>
            </w:r>
          </w:p>
        </w:tc>
        <w:tc>
          <w:tcPr>
            <w:tcW w:w="110"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1028" w:name="TAB1407"/>
            <w:bookmarkEnd w:id="1028"/>
            <w:r>
              <w:rPr>
                <w:rFonts w:ascii="Times New Roman" w:hAnsi="Times New Roman"/>
                <w:sz w:val="20"/>
              </w:rPr>
              <w:t>)</w:t>
            </w:r>
          </w:p>
        </w:tc>
        <w:tc>
          <w:tcPr>
            <w:tcW w:w="125"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1029" w:name="TAB1408"/>
            <w:bookmarkEnd w:id="1029"/>
            <w:r>
              <w:rPr>
                <w:rFonts w:ascii="Times New Roman" w:hAnsi="Times New Roman"/>
                <w:sz w:val="20"/>
              </w:rPr>
              <w:t>$</w:t>
            </w:r>
          </w:p>
        </w:tc>
        <w:tc>
          <w:tcPr>
            <w:tcW w:w="934"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030" w:name="TAB1409"/>
            <w:bookmarkEnd w:id="1030"/>
            <w:r>
              <w:rPr>
                <w:rFonts w:ascii="Times New Roman" w:hAnsi="Times New Roman"/>
                <w:sz w:val="20"/>
              </w:rPr>
              <w:t>(6,208</w:t>
            </w:r>
          </w:p>
        </w:tc>
        <w:tc>
          <w:tcPr>
            <w:tcW w:w="123"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1031" w:name="TAB1410"/>
            <w:bookmarkEnd w:id="1031"/>
            <w:r>
              <w:rPr>
                <w:rFonts w:ascii="Times New Roman" w:hAnsi="Times New Roman"/>
                <w:sz w:val="20"/>
              </w:rPr>
              <w:t>)</w:t>
            </w:r>
          </w:p>
        </w:tc>
      </w:tr>
      <w:tr>
        <w:trPr/>
        <w:tc>
          <w:tcPr>
            <w:tcW w:w="4115" w:type="dxa"/>
            <w:tcBorders/>
            <w:shd w:fill="CCEEFF" w:val="clear"/>
            <w:tcMar>
              <w:bottom w:w="0" w:type="dxa"/>
            </w:tcMar>
            <w:vAlign w:val="bottom"/>
          </w:tcPr>
          <w:p>
            <w:pPr>
              <w:pStyle w:val="TableContents"/>
              <w:spacing w:lineRule="auto" w:line="300" w:before="0" w:after="0"/>
              <w:ind w:left="360" w:right="0" w:hanging="180"/>
              <w:jc w:val="left"/>
              <w:rPr/>
            </w:pPr>
            <w:r>
              <w:rPr>
                <w:rFonts w:ascii="Times New Roman" w:hAnsi="Times New Roman"/>
                <w:sz w:val="20"/>
              </w:rPr>
              <w:t>Add:</w:t>
            </w:r>
            <w:bookmarkStart w:id="1032" w:name="TAB23"/>
            <w:bookmarkEnd w:id="1032"/>
            <w:r>
              <w:rPr>
                <w:color w:val="000000"/>
                <w:spacing w:val="362"/>
              </w:rPr>
              <w:t> </w:t>
            </w:r>
            <w:r>
              <w:rPr>
                <w:rFonts w:ascii="Times New Roman" w:hAnsi="Times New Roman"/>
                <w:sz w:val="20"/>
              </w:rPr>
              <w:t>Depreciation and amortization</w:t>
            </w:r>
          </w:p>
        </w:tc>
        <w:tc>
          <w:tcPr>
            <w:tcW w:w="187" w:type="dxa"/>
            <w:tcBorders/>
            <w:shd w:fill="CCEEFF" w:val="clear"/>
            <w:tcMar>
              <w:bottom w:w="0" w:type="dxa"/>
            </w:tcMar>
            <w:vAlign w:val="center"/>
          </w:tcPr>
          <w:p>
            <w:pPr>
              <w:pStyle w:val="TableContents"/>
              <w:spacing w:before="0" w:after="283"/>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949"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13,212</w:t>
            </w:r>
          </w:p>
        </w:tc>
        <w:tc>
          <w:tcPr>
            <w:tcW w:w="103"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949"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12,384</w:t>
            </w:r>
          </w:p>
        </w:tc>
        <w:tc>
          <w:tcPr>
            <w:tcW w:w="103"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949"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11,823</w:t>
            </w:r>
          </w:p>
        </w:tc>
        <w:tc>
          <w:tcPr>
            <w:tcW w:w="110" w:type="dxa"/>
            <w:tcBorders/>
            <w:shd w:fill="CCEEFF" w:val="clear"/>
            <w:tcMar>
              <w:bottom w:w="0" w:type="dxa"/>
            </w:tcMar>
            <w:vAlign w:val="bottom"/>
          </w:tcPr>
          <w:p>
            <w:pPr>
              <w:pStyle w:val="TableContents"/>
              <w:spacing w:before="0" w:after="283"/>
              <w:jc w:val="left"/>
              <w:rPr/>
            </w:pPr>
            <w:r>
              <w:rPr/>
              <w:t> </w:t>
            </w:r>
          </w:p>
        </w:tc>
        <w:tc>
          <w:tcPr>
            <w:tcW w:w="124" w:type="dxa"/>
            <w:tcBorders/>
            <w:shd w:fill="CCEEFF" w:val="clear"/>
            <w:tcMar>
              <w:bottom w:w="0" w:type="dxa"/>
            </w:tcMar>
            <w:vAlign w:val="bottom"/>
          </w:tcPr>
          <w:p>
            <w:pPr>
              <w:pStyle w:val="TableContents"/>
              <w:spacing w:before="0" w:after="283"/>
              <w:jc w:val="left"/>
              <w:rPr/>
            </w:pPr>
            <w:r>
              <w:rPr/>
              <w:t> </w:t>
            </w:r>
          </w:p>
        </w:tc>
        <w:tc>
          <w:tcPr>
            <w:tcW w:w="949"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10,952</w:t>
            </w:r>
          </w:p>
        </w:tc>
        <w:tc>
          <w:tcPr>
            <w:tcW w:w="110"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934"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7,835</w:t>
            </w:r>
          </w:p>
        </w:tc>
        <w:tc>
          <w:tcPr>
            <w:tcW w:w="123" w:type="dxa"/>
            <w:tcBorders/>
            <w:shd w:fill="CCEEFF" w:val="clear"/>
            <w:tcMar>
              <w:bottom w:w="0" w:type="dxa"/>
            </w:tcMar>
            <w:vAlign w:val="bottom"/>
          </w:tcPr>
          <w:p>
            <w:pPr>
              <w:pStyle w:val="TableContents"/>
              <w:spacing w:before="0" w:after="283"/>
              <w:jc w:val="left"/>
              <w:rPr/>
            </w:pPr>
            <w:r>
              <w:rPr/>
              <w:t> </w:t>
            </w:r>
          </w:p>
        </w:tc>
      </w:tr>
      <w:tr>
        <w:trPr/>
        <w:tc>
          <w:tcPr>
            <w:tcW w:w="4115" w:type="dxa"/>
            <w:tcBorders/>
            <w:shd w:fill="FFFFFF" w:val="clear"/>
            <w:tcMar>
              <w:bottom w:w="0" w:type="dxa"/>
            </w:tcMar>
            <w:vAlign w:val="bottom"/>
          </w:tcPr>
          <w:p>
            <w:pPr>
              <w:pStyle w:val="TableContents"/>
              <w:spacing w:lineRule="auto" w:line="300" w:before="0" w:after="0"/>
              <w:ind w:left="360" w:right="0" w:hanging="180"/>
              <w:jc w:val="left"/>
              <w:rPr>
                <w:rFonts w:ascii="Times New Roman" w:hAnsi="Times New Roman"/>
                <w:sz w:val="20"/>
              </w:rPr>
            </w:pPr>
            <w:r>
              <w:rPr>
                <w:rFonts w:ascii="Times New Roman" w:hAnsi="Times New Roman"/>
                <w:sz w:val="20"/>
              </w:rPr>
              <w:t>Adjustments for discontinued operations:</w:t>
            </w:r>
          </w:p>
        </w:tc>
        <w:tc>
          <w:tcPr>
            <w:tcW w:w="187" w:type="dxa"/>
            <w:tcBorders/>
            <w:shd w:fill="FFFFFF" w:val="clear"/>
            <w:tcMar>
              <w:bottom w:w="0" w:type="dxa"/>
            </w:tcMar>
            <w:vAlign w:val="center"/>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949" w:type="dxa"/>
            <w:tcBorders/>
            <w:shd w:fill="FFFFFF" w:val="clear"/>
            <w:tcMar>
              <w:bottom w:w="0" w:type="dxa"/>
            </w:tcMar>
            <w:vAlign w:val="bottom"/>
          </w:tcPr>
          <w:p>
            <w:pPr>
              <w:pStyle w:val="TableContents"/>
              <w:spacing w:before="0" w:after="283"/>
              <w:jc w:val="right"/>
              <w:rPr/>
            </w:pPr>
            <w:r>
              <w:rPr/>
              <w:t> </w:t>
            </w:r>
          </w:p>
        </w:tc>
        <w:tc>
          <w:tcPr>
            <w:tcW w:w="103"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949" w:type="dxa"/>
            <w:tcBorders/>
            <w:shd w:fill="FFFFFF" w:val="clear"/>
            <w:tcMar>
              <w:bottom w:w="0" w:type="dxa"/>
            </w:tcMar>
            <w:vAlign w:val="bottom"/>
          </w:tcPr>
          <w:p>
            <w:pPr>
              <w:pStyle w:val="TableContents"/>
              <w:spacing w:before="0" w:after="283"/>
              <w:jc w:val="right"/>
              <w:rPr/>
            </w:pPr>
            <w:r>
              <w:rPr/>
              <w:t> </w:t>
            </w:r>
          </w:p>
        </w:tc>
        <w:tc>
          <w:tcPr>
            <w:tcW w:w="103"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949" w:type="dxa"/>
            <w:tcBorders/>
            <w:shd w:fill="FFFFFF" w:val="clear"/>
            <w:tcMar>
              <w:bottom w:w="0" w:type="dxa"/>
            </w:tcMar>
            <w:vAlign w:val="bottom"/>
          </w:tcPr>
          <w:p>
            <w:pPr>
              <w:pStyle w:val="TableContents"/>
              <w:spacing w:before="0" w:after="283"/>
              <w:jc w:val="right"/>
              <w:rPr/>
            </w:pPr>
            <w:r>
              <w:rPr/>
              <w:t> </w:t>
            </w:r>
          </w:p>
        </w:tc>
        <w:tc>
          <w:tcPr>
            <w:tcW w:w="110" w:type="dxa"/>
            <w:tcBorders/>
            <w:shd w:fill="FFFFFF" w:val="clear"/>
            <w:tcMar>
              <w:bottom w:w="0" w:type="dxa"/>
            </w:tcMar>
            <w:vAlign w:val="bottom"/>
          </w:tcPr>
          <w:p>
            <w:pPr>
              <w:pStyle w:val="TableContents"/>
              <w:spacing w:before="0" w:after="283"/>
              <w:jc w:val="left"/>
              <w:rPr/>
            </w:pPr>
            <w:r>
              <w:rPr/>
              <w:t> </w:t>
            </w:r>
          </w:p>
        </w:tc>
        <w:tc>
          <w:tcPr>
            <w:tcW w:w="124" w:type="dxa"/>
            <w:tcBorders/>
            <w:shd w:fill="FFFFFF" w:val="clear"/>
            <w:tcMar>
              <w:bottom w:w="0" w:type="dxa"/>
            </w:tcMar>
            <w:vAlign w:val="bottom"/>
          </w:tcPr>
          <w:p>
            <w:pPr>
              <w:pStyle w:val="TableContents"/>
              <w:spacing w:before="0" w:after="283"/>
              <w:jc w:val="left"/>
              <w:rPr/>
            </w:pPr>
            <w:r>
              <w:rPr/>
              <w:t> </w:t>
            </w:r>
          </w:p>
        </w:tc>
        <w:tc>
          <w:tcPr>
            <w:tcW w:w="949" w:type="dxa"/>
            <w:tcBorders/>
            <w:shd w:fill="FFFFFF" w:val="clear"/>
            <w:tcMar>
              <w:bottom w:w="0" w:type="dxa"/>
            </w:tcMar>
            <w:vAlign w:val="bottom"/>
          </w:tcPr>
          <w:p>
            <w:pPr>
              <w:pStyle w:val="TableContents"/>
              <w:spacing w:before="0" w:after="283"/>
              <w:jc w:val="right"/>
              <w:rPr/>
            </w:pPr>
            <w:r>
              <w:rPr/>
              <w:t> </w:t>
            </w:r>
          </w:p>
        </w:tc>
        <w:tc>
          <w:tcPr>
            <w:tcW w:w="110"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934" w:type="dxa"/>
            <w:tcBorders/>
            <w:shd w:fill="FFFFFF" w:val="clear"/>
            <w:tcMar>
              <w:bottom w:w="0" w:type="dxa"/>
            </w:tcMar>
            <w:vAlign w:val="bottom"/>
          </w:tcPr>
          <w:p>
            <w:pPr>
              <w:pStyle w:val="TableContents"/>
              <w:spacing w:before="0" w:after="283"/>
              <w:jc w:val="right"/>
              <w:rPr/>
            </w:pPr>
            <w:r>
              <w:rPr/>
              <w:t> </w:t>
            </w:r>
          </w:p>
        </w:tc>
        <w:tc>
          <w:tcPr>
            <w:tcW w:w="123" w:type="dxa"/>
            <w:tcBorders/>
            <w:shd w:fill="FFFFFF" w:val="clear"/>
            <w:tcMar>
              <w:bottom w:w="0" w:type="dxa"/>
            </w:tcMar>
            <w:vAlign w:val="bottom"/>
          </w:tcPr>
          <w:p>
            <w:pPr>
              <w:pStyle w:val="TableContents"/>
              <w:spacing w:before="0" w:after="283"/>
              <w:jc w:val="left"/>
              <w:rPr/>
            </w:pPr>
            <w:r>
              <w:rPr/>
              <w:t> </w:t>
            </w:r>
          </w:p>
        </w:tc>
      </w:tr>
      <w:tr>
        <w:trPr/>
        <w:tc>
          <w:tcPr>
            <w:tcW w:w="4115" w:type="dxa"/>
            <w:tcBorders/>
            <w:shd w:fill="CCEEFF" w:val="clear"/>
            <w:tcMar>
              <w:bottom w:w="0" w:type="dxa"/>
            </w:tcMar>
            <w:vAlign w:val="bottom"/>
          </w:tcPr>
          <w:p>
            <w:pPr>
              <w:pStyle w:val="TableContents"/>
              <w:spacing w:lineRule="auto" w:line="300" w:before="0" w:after="0"/>
              <w:ind w:left="180" w:right="0" w:hanging="0"/>
              <w:jc w:val="left"/>
              <w:rPr/>
            </w:pPr>
            <w:r>
              <w:rPr>
                <w:rFonts w:ascii="Times New Roman" w:hAnsi="Times New Roman"/>
                <w:sz w:val="20"/>
              </w:rPr>
              <w:t>Add:</w:t>
            </w:r>
            <w:bookmarkStart w:id="1033" w:name="TAB24"/>
            <w:bookmarkEnd w:id="1033"/>
            <w:r>
              <w:rPr>
                <w:color w:val="000000"/>
                <w:spacing w:val="368"/>
              </w:rPr>
              <w:t> </w:t>
            </w:r>
            <w:r>
              <w:rPr>
                <w:rFonts w:ascii="Times New Roman" w:hAnsi="Times New Roman"/>
                <w:sz w:val="20"/>
              </w:rPr>
              <w:t>Interest expense, net</w:t>
            </w:r>
          </w:p>
        </w:tc>
        <w:tc>
          <w:tcPr>
            <w:tcW w:w="187" w:type="dxa"/>
            <w:tcBorders/>
            <w:shd w:fill="CCEEFF" w:val="clear"/>
            <w:tcMar>
              <w:bottom w:w="0" w:type="dxa"/>
            </w:tcMar>
            <w:vAlign w:val="center"/>
          </w:tcPr>
          <w:p>
            <w:pPr>
              <w:pStyle w:val="TableContents"/>
              <w:spacing w:before="0" w:after="283"/>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949"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103"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949"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310</w:t>
            </w:r>
          </w:p>
        </w:tc>
        <w:tc>
          <w:tcPr>
            <w:tcW w:w="103"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949"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839</w:t>
            </w:r>
          </w:p>
        </w:tc>
        <w:tc>
          <w:tcPr>
            <w:tcW w:w="110" w:type="dxa"/>
            <w:tcBorders/>
            <w:shd w:fill="CCEEFF" w:val="clear"/>
            <w:tcMar>
              <w:bottom w:w="0" w:type="dxa"/>
            </w:tcMar>
            <w:vAlign w:val="bottom"/>
          </w:tcPr>
          <w:p>
            <w:pPr>
              <w:pStyle w:val="TableContents"/>
              <w:spacing w:before="0" w:after="283"/>
              <w:jc w:val="left"/>
              <w:rPr/>
            </w:pPr>
            <w:r>
              <w:rPr/>
              <w:t> </w:t>
            </w:r>
          </w:p>
        </w:tc>
        <w:tc>
          <w:tcPr>
            <w:tcW w:w="124" w:type="dxa"/>
            <w:tcBorders/>
            <w:shd w:fill="CCEEFF" w:val="clear"/>
            <w:tcMar>
              <w:bottom w:w="0" w:type="dxa"/>
            </w:tcMar>
            <w:vAlign w:val="bottom"/>
          </w:tcPr>
          <w:p>
            <w:pPr>
              <w:pStyle w:val="TableContents"/>
              <w:spacing w:before="0" w:after="283"/>
              <w:jc w:val="left"/>
              <w:rPr/>
            </w:pPr>
            <w:r>
              <w:rPr/>
              <w:t> </w:t>
            </w:r>
          </w:p>
        </w:tc>
        <w:tc>
          <w:tcPr>
            <w:tcW w:w="949"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856</w:t>
            </w:r>
          </w:p>
        </w:tc>
        <w:tc>
          <w:tcPr>
            <w:tcW w:w="110"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934"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1,036</w:t>
            </w:r>
          </w:p>
        </w:tc>
        <w:tc>
          <w:tcPr>
            <w:tcW w:w="123" w:type="dxa"/>
            <w:tcBorders/>
            <w:shd w:fill="CCEEFF" w:val="clear"/>
            <w:tcMar>
              <w:bottom w:w="0" w:type="dxa"/>
            </w:tcMar>
            <w:vAlign w:val="bottom"/>
          </w:tcPr>
          <w:p>
            <w:pPr>
              <w:pStyle w:val="TableContents"/>
              <w:spacing w:before="0" w:after="283"/>
              <w:jc w:val="left"/>
              <w:rPr/>
            </w:pPr>
            <w:r>
              <w:rPr/>
              <w:t> </w:t>
            </w:r>
          </w:p>
        </w:tc>
      </w:tr>
      <w:tr>
        <w:trPr/>
        <w:tc>
          <w:tcPr>
            <w:tcW w:w="4115" w:type="dxa"/>
            <w:tcBorders/>
            <w:shd w:fill="FFFFFF" w:val="clear"/>
            <w:tcMar>
              <w:bottom w:w="0" w:type="dxa"/>
            </w:tcMar>
            <w:vAlign w:val="bottom"/>
          </w:tcPr>
          <w:p>
            <w:pPr>
              <w:pStyle w:val="TableContents"/>
              <w:spacing w:lineRule="auto" w:line="300" w:before="0" w:after="0"/>
              <w:ind w:left="180" w:right="0" w:hanging="0"/>
              <w:jc w:val="left"/>
              <w:rPr/>
            </w:pPr>
            <w:r>
              <w:rPr>
                <w:rFonts w:ascii="Times New Roman" w:hAnsi="Times New Roman"/>
                <w:sz w:val="20"/>
              </w:rPr>
              <w:t>Add:</w:t>
            </w:r>
            <w:bookmarkStart w:id="1034" w:name="TAB25"/>
            <w:bookmarkEnd w:id="1034"/>
            <w:r>
              <w:rPr>
                <w:color w:val="000000"/>
                <w:spacing w:val="368"/>
              </w:rPr>
              <w:t> </w:t>
            </w:r>
            <w:r>
              <w:rPr>
                <w:rFonts w:ascii="Times New Roman" w:hAnsi="Times New Roman"/>
                <w:sz w:val="20"/>
              </w:rPr>
              <w:t xml:space="preserve">Depreciation and amortization </w:t>
            </w:r>
          </w:p>
        </w:tc>
        <w:tc>
          <w:tcPr>
            <w:tcW w:w="187" w:type="dxa"/>
            <w:tcBorders/>
            <w:shd w:fill="FFFFFF" w:val="clear"/>
            <w:tcMar>
              <w:bottom w:w="0" w:type="dxa"/>
            </w:tcMar>
            <w:vAlign w:val="center"/>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949"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103"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949"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257</w:t>
            </w:r>
          </w:p>
        </w:tc>
        <w:tc>
          <w:tcPr>
            <w:tcW w:w="103"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949"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1,076</w:t>
            </w:r>
          </w:p>
        </w:tc>
        <w:tc>
          <w:tcPr>
            <w:tcW w:w="110" w:type="dxa"/>
            <w:tcBorders/>
            <w:shd w:fill="FFFFFF" w:val="clear"/>
            <w:tcMar>
              <w:bottom w:w="0" w:type="dxa"/>
            </w:tcMar>
            <w:vAlign w:val="bottom"/>
          </w:tcPr>
          <w:p>
            <w:pPr>
              <w:pStyle w:val="TableContents"/>
              <w:spacing w:before="0" w:after="283"/>
              <w:jc w:val="left"/>
              <w:rPr/>
            </w:pPr>
            <w:r>
              <w:rPr/>
              <w:t> </w:t>
            </w:r>
          </w:p>
        </w:tc>
        <w:tc>
          <w:tcPr>
            <w:tcW w:w="124" w:type="dxa"/>
            <w:tcBorders/>
            <w:shd w:fill="FFFFFF" w:val="clear"/>
            <w:tcMar>
              <w:bottom w:w="0" w:type="dxa"/>
            </w:tcMar>
            <w:vAlign w:val="bottom"/>
          </w:tcPr>
          <w:p>
            <w:pPr>
              <w:pStyle w:val="TableContents"/>
              <w:spacing w:before="0" w:after="283"/>
              <w:jc w:val="left"/>
              <w:rPr/>
            </w:pPr>
            <w:r>
              <w:rPr/>
              <w:t> </w:t>
            </w:r>
          </w:p>
        </w:tc>
        <w:tc>
          <w:tcPr>
            <w:tcW w:w="949"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1,051</w:t>
            </w:r>
          </w:p>
        </w:tc>
        <w:tc>
          <w:tcPr>
            <w:tcW w:w="110"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934"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870</w:t>
            </w:r>
          </w:p>
        </w:tc>
        <w:tc>
          <w:tcPr>
            <w:tcW w:w="123" w:type="dxa"/>
            <w:tcBorders/>
            <w:shd w:fill="FFFFFF" w:val="clear"/>
            <w:tcMar>
              <w:bottom w:w="0" w:type="dxa"/>
            </w:tcMar>
            <w:vAlign w:val="bottom"/>
          </w:tcPr>
          <w:p>
            <w:pPr>
              <w:pStyle w:val="TableContents"/>
              <w:spacing w:before="0" w:after="283"/>
              <w:jc w:val="left"/>
              <w:rPr/>
            </w:pPr>
            <w:r>
              <w:rPr/>
              <w:t> </w:t>
            </w:r>
          </w:p>
        </w:tc>
      </w:tr>
      <w:tr>
        <w:trPr/>
        <w:tc>
          <w:tcPr>
            <w:tcW w:w="4115" w:type="dxa"/>
            <w:tcBorders/>
            <w:shd w:fill="CCEEFF" w:val="clear"/>
            <w:tcMar>
              <w:bottom w:w="0" w:type="dxa"/>
            </w:tcMar>
            <w:vAlign w:val="bottom"/>
          </w:tcPr>
          <w:p>
            <w:pPr>
              <w:pStyle w:val="TableContents"/>
              <w:spacing w:before="0" w:after="283"/>
              <w:jc w:val="left"/>
              <w:rPr/>
            </w:pPr>
            <w:r>
              <w:rPr/>
              <w:t> </w:t>
            </w:r>
          </w:p>
        </w:tc>
        <w:tc>
          <w:tcPr>
            <w:tcW w:w="187" w:type="dxa"/>
            <w:tcBorders/>
            <w:shd w:fill="CCEEFF" w:val="clear"/>
            <w:tcMar>
              <w:bottom w:w="0" w:type="dxa"/>
            </w:tcMar>
            <w:vAlign w:val="center"/>
          </w:tcPr>
          <w:p>
            <w:pPr>
              <w:pStyle w:val="TableContents"/>
              <w:spacing w:before="0" w:after="283"/>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949" w:type="dxa"/>
            <w:tcBorders/>
            <w:shd w:fill="CCEEFF" w:val="clear"/>
            <w:tcMar>
              <w:bottom w:w="0" w:type="dxa"/>
            </w:tcMar>
            <w:vAlign w:val="bottom"/>
          </w:tcPr>
          <w:p>
            <w:pPr>
              <w:pStyle w:val="TableContents"/>
              <w:spacing w:before="0" w:after="283"/>
              <w:jc w:val="right"/>
              <w:rPr/>
            </w:pPr>
            <w:r>
              <w:rPr/>
              <w:t> </w:t>
            </w:r>
          </w:p>
        </w:tc>
        <w:tc>
          <w:tcPr>
            <w:tcW w:w="103"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949" w:type="dxa"/>
            <w:tcBorders/>
            <w:shd w:fill="CCEEFF" w:val="clear"/>
            <w:tcMar>
              <w:bottom w:w="0" w:type="dxa"/>
            </w:tcMar>
            <w:vAlign w:val="bottom"/>
          </w:tcPr>
          <w:p>
            <w:pPr>
              <w:pStyle w:val="TableContents"/>
              <w:spacing w:before="0" w:after="283"/>
              <w:jc w:val="right"/>
              <w:rPr/>
            </w:pPr>
            <w:r>
              <w:rPr/>
              <w:t> </w:t>
            </w:r>
          </w:p>
        </w:tc>
        <w:tc>
          <w:tcPr>
            <w:tcW w:w="103"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949" w:type="dxa"/>
            <w:tcBorders/>
            <w:shd w:fill="CCEEFF" w:val="clear"/>
            <w:tcMar>
              <w:bottom w:w="0" w:type="dxa"/>
            </w:tcMar>
            <w:vAlign w:val="bottom"/>
          </w:tcPr>
          <w:p>
            <w:pPr>
              <w:pStyle w:val="TableContents"/>
              <w:spacing w:before="0" w:after="283"/>
              <w:jc w:val="right"/>
              <w:rPr/>
            </w:pPr>
            <w:r>
              <w:rPr/>
              <w:t> </w:t>
            </w:r>
          </w:p>
        </w:tc>
        <w:tc>
          <w:tcPr>
            <w:tcW w:w="110" w:type="dxa"/>
            <w:tcBorders/>
            <w:shd w:fill="CCEEFF" w:val="clear"/>
            <w:tcMar>
              <w:bottom w:w="0" w:type="dxa"/>
            </w:tcMar>
            <w:vAlign w:val="bottom"/>
          </w:tcPr>
          <w:p>
            <w:pPr>
              <w:pStyle w:val="TableContents"/>
              <w:spacing w:before="0" w:after="283"/>
              <w:jc w:val="left"/>
              <w:rPr/>
            </w:pPr>
            <w:r>
              <w:rPr/>
              <w:t> </w:t>
            </w:r>
          </w:p>
        </w:tc>
        <w:tc>
          <w:tcPr>
            <w:tcW w:w="124" w:type="dxa"/>
            <w:tcBorders/>
            <w:shd w:fill="CCEEFF" w:val="clear"/>
            <w:tcMar>
              <w:bottom w:w="0" w:type="dxa"/>
            </w:tcMar>
            <w:vAlign w:val="bottom"/>
          </w:tcPr>
          <w:p>
            <w:pPr>
              <w:pStyle w:val="TableContents"/>
              <w:spacing w:before="0" w:after="283"/>
              <w:jc w:val="left"/>
              <w:rPr/>
            </w:pPr>
            <w:r>
              <w:rPr/>
              <w:t> </w:t>
            </w:r>
          </w:p>
        </w:tc>
        <w:tc>
          <w:tcPr>
            <w:tcW w:w="949" w:type="dxa"/>
            <w:tcBorders/>
            <w:shd w:fill="CCEEFF" w:val="clear"/>
            <w:tcMar>
              <w:bottom w:w="0" w:type="dxa"/>
            </w:tcMar>
            <w:vAlign w:val="bottom"/>
          </w:tcPr>
          <w:p>
            <w:pPr>
              <w:pStyle w:val="TableContents"/>
              <w:spacing w:before="0" w:after="283"/>
              <w:jc w:val="right"/>
              <w:rPr/>
            </w:pPr>
            <w:r>
              <w:rPr/>
              <w:t> </w:t>
            </w:r>
          </w:p>
        </w:tc>
        <w:tc>
          <w:tcPr>
            <w:tcW w:w="110"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934" w:type="dxa"/>
            <w:tcBorders/>
            <w:shd w:fill="CCEEFF" w:val="clear"/>
            <w:tcMar>
              <w:bottom w:w="0" w:type="dxa"/>
            </w:tcMar>
            <w:vAlign w:val="bottom"/>
          </w:tcPr>
          <w:p>
            <w:pPr>
              <w:pStyle w:val="TableContents"/>
              <w:spacing w:before="0" w:after="283"/>
              <w:jc w:val="right"/>
              <w:rPr/>
            </w:pPr>
            <w:r>
              <w:rPr/>
              <w:t> </w:t>
            </w:r>
          </w:p>
        </w:tc>
        <w:tc>
          <w:tcPr>
            <w:tcW w:w="123" w:type="dxa"/>
            <w:tcBorders/>
            <w:shd w:fill="CCEEFF" w:val="clear"/>
            <w:tcMar>
              <w:bottom w:w="0" w:type="dxa"/>
            </w:tcMar>
            <w:vAlign w:val="bottom"/>
          </w:tcPr>
          <w:p>
            <w:pPr>
              <w:pStyle w:val="TableContents"/>
              <w:spacing w:before="0" w:after="283"/>
              <w:jc w:val="left"/>
              <w:rPr/>
            </w:pPr>
            <w:r>
              <w:rPr/>
              <w:t> </w:t>
            </w:r>
          </w:p>
        </w:tc>
      </w:tr>
      <w:tr>
        <w:trPr/>
        <w:tc>
          <w:tcPr>
            <w:tcW w:w="4115" w:type="dxa"/>
            <w:tcBorders>
              <w:bottom w:val="double" w:sz="2" w:space="0" w:color="000000"/>
            </w:tcBorders>
            <w:shd w:fill="FFFFFF" w:val="clear"/>
            <w:vAlign w:val="bottom"/>
          </w:tcPr>
          <w:p>
            <w:pPr>
              <w:pStyle w:val="TableContents"/>
              <w:spacing w:lineRule="auto" w:line="300" w:before="0" w:after="0"/>
              <w:ind w:left="360" w:right="0" w:hanging="0"/>
              <w:jc w:val="left"/>
              <w:rPr>
                <w:rFonts w:ascii="Times New Roman" w:hAnsi="Times New Roman"/>
                <w:sz w:val="20"/>
              </w:rPr>
            </w:pPr>
            <w:bookmarkStart w:id="1035" w:name="TAB1411"/>
            <w:bookmarkEnd w:id="1035"/>
            <w:r>
              <w:rPr>
                <w:rFonts w:ascii="Times New Roman" w:hAnsi="Times New Roman"/>
                <w:sz w:val="20"/>
              </w:rPr>
              <w:t>EBITDA</w:t>
            </w:r>
          </w:p>
        </w:tc>
        <w:tc>
          <w:tcPr>
            <w:tcW w:w="187" w:type="dxa"/>
            <w:tcBorders>
              <w:bottom w:val="single" w:sz="4" w:space="0" w:color="FFFFFF"/>
            </w:tcBorders>
            <w:shd w:fill="FFFFFF" w:val="clear"/>
            <w:vAlign w:val="center"/>
          </w:tcPr>
          <w:p>
            <w:pPr>
              <w:pStyle w:val="TableContents"/>
              <w:spacing w:before="0" w:after="283"/>
              <w:rPr/>
            </w:pPr>
            <w:r>
              <w:rPr/>
              <w:t> </w:t>
            </w:r>
          </w:p>
        </w:tc>
        <w:tc>
          <w:tcPr>
            <w:tcW w:w="125" w:type="dxa"/>
            <w:tcBorders>
              <w:bottom w:val="double" w:sz="2" w:space="0" w:color="000000"/>
            </w:tcBorders>
            <w:shd w:fill="FFFFFF" w:val="clear"/>
            <w:vAlign w:val="bottom"/>
          </w:tcPr>
          <w:p>
            <w:pPr>
              <w:pStyle w:val="TableContents"/>
              <w:spacing w:before="0" w:after="0"/>
              <w:ind w:left="0" w:right="0" w:hanging="0"/>
              <w:jc w:val="left"/>
              <w:rPr>
                <w:rFonts w:ascii="Times New Roman" w:hAnsi="Times New Roman"/>
                <w:sz w:val="20"/>
              </w:rPr>
            </w:pPr>
            <w:bookmarkStart w:id="1036" w:name="TAB1412"/>
            <w:bookmarkEnd w:id="1036"/>
            <w:r>
              <w:rPr>
                <w:rFonts w:ascii="Times New Roman" w:hAnsi="Times New Roman"/>
                <w:sz w:val="20"/>
              </w:rPr>
              <w:t>$</w:t>
            </w:r>
          </w:p>
        </w:tc>
        <w:tc>
          <w:tcPr>
            <w:tcW w:w="949" w:type="dxa"/>
            <w:tcBorders>
              <w:bottom w:val="double" w:sz="2" w:space="0" w:color="000000"/>
            </w:tcBorders>
            <w:shd w:fill="FFFFFF" w:val="clear"/>
            <w:vAlign w:val="bottom"/>
          </w:tcPr>
          <w:p>
            <w:pPr>
              <w:pStyle w:val="TableContents"/>
              <w:spacing w:before="0" w:after="0"/>
              <w:ind w:left="0" w:right="0" w:hanging="0"/>
              <w:jc w:val="right"/>
              <w:rPr>
                <w:rFonts w:ascii="Times New Roman" w:hAnsi="Times New Roman"/>
                <w:sz w:val="20"/>
              </w:rPr>
            </w:pPr>
            <w:bookmarkStart w:id="1037" w:name="TAB1413"/>
            <w:bookmarkEnd w:id="1037"/>
            <w:r>
              <w:rPr>
                <w:rFonts w:ascii="Times New Roman" w:hAnsi="Times New Roman"/>
                <w:sz w:val="20"/>
              </w:rPr>
              <w:t>25,946</w:t>
            </w:r>
          </w:p>
        </w:tc>
        <w:tc>
          <w:tcPr>
            <w:tcW w:w="103" w:type="dxa"/>
            <w:tcBorders>
              <w:bottom w:val="single" w:sz="4" w:space="0" w:color="FFFFFF"/>
            </w:tcBorders>
            <w:shd w:fill="FFFFFF" w:val="clear"/>
            <w:vAlign w:val="bottom"/>
          </w:tcPr>
          <w:p>
            <w:pPr>
              <w:pStyle w:val="TableContents"/>
              <w:spacing w:before="0" w:after="283"/>
              <w:jc w:val="left"/>
              <w:rPr/>
            </w:pPr>
            <w:r>
              <w:rPr/>
              <w:t> </w:t>
            </w:r>
          </w:p>
        </w:tc>
        <w:tc>
          <w:tcPr>
            <w:tcW w:w="125" w:type="dxa"/>
            <w:tcBorders>
              <w:bottom w:val="double" w:sz="2" w:space="0" w:color="000000"/>
            </w:tcBorders>
            <w:shd w:fill="FFFFFF" w:val="clear"/>
            <w:vAlign w:val="bottom"/>
          </w:tcPr>
          <w:p>
            <w:pPr>
              <w:pStyle w:val="TableContents"/>
              <w:spacing w:before="0" w:after="0"/>
              <w:ind w:left="0" w:right="0" w:hanging="0"/>
              <w:jc w:val="left"/>
              <w:rPr>
                <w:rFonts w:ascii="Times New Roman" w:hAnsi="Times New Roman"/>
                <w:sz w:val="20"/>
              </w:rPr>
            </w:pPr>
            <w:bookmarkStart w:id="1038" w:name="TAB1414"/>
            <w:bookmarkEnd w:id="1038"/>
            <w:r>
              <w:rPr>
                <w:rFonts w:ascii="Times New Roman" w:hAnsi="Times New Roman"/>
                <w:sz w:val="20"/>
              </w:rPr>
              <w:t>$</w:t>
            </w:r>
          </w:p>
        </w:tc>
        <w:tc>
          <w:tcPr>
            <w:tcW w:w="949" w:type="dxa"/>
            <w:tcBorders>
              <w:bottom w:val="double" w:sz="2" w:space="0" w:color="000000"/>
            </w:tcBorders>
            <w:shd w:fill="FFFFFF" w:val="clear"/>
            <w:vAlign w:val="bottom"/>
          </w:tcPr>
          <w:p>
            <w:pPr>
              <w:pStyle w:val="TableContents"/>
              <w:spacing w:before="0" w:after="0"/>
              <w:ind w:left="0" w:right="0" w:hanging="0"/>
              <w:jc w:val="right"/>
              <w:rPr>
                <w:rFonts w:ascii="Times New Roman" w:hAnsi="Times New Roman"/>
                <w:sz w:val="20"/>
              </w:rPr>
            </w:pPr>
            <w:bookmarkStart w:id="1039" w:name="TAB1415"/>
            <w:bookmarkEnd w:id="1039"/>
            <w:r>
              <w:rPr>
                <w:rFonts w:ascii="Times New Roman" w:hAnsi="Times New Roman"/>
                <w:sz w:val="20"/>
              </w:rPr>
              <w:t>19,622</w:t>
            </w:r>
          </w:p>
        </w:tc>
        <w:tc>
          <w:tcPr>
            <w:tcW w:w="103" w:type="dxa"/>
            <w:tcBorders>
              <w:bottom w:val="single" w:sz="4" w:space="0" w:color="FFFFFF"/>
            </w:tcBorders>
            <w:shd w:fill="FFFFFF" w:val="clear"/>
            <w:vAlign w:val="bottom"/>
          </w:tcPr>
          <w:p>
            <w:pPr>
              <w:pStyle w:val="TableContents"/>
              <w:spacing w:before="0" w:after="283"/>
              <w:jc w:val="left"/>
              <w:rPr/>
            </w:pPr>
            <w:r>
              <w:rPr/>
              <w:t> </w:t>
            </w:r>
          </w:p>
        </w:tc>
        <w:tc>
          <w:tcPr>
            <w:tcW w:w="125" w:type="dxa"/>
            <w:tcBorders>
              <w:bottom w:val="double" w:sz="2" w:space="0" w:color="000000"/>
            </w:tcBorders>
            <w:shd w:fill="FFFFFF" w:val="clear"/>
            <w:vAlign w:val="bottom"/>
          </w:tcPr>
          <w:p>
            <w:pPr>
              <w:pStyle w:val="TableContents"/>
              <w:spacing w:before="0" w:after="0"/>
              <w:ind w:left="0" w:right="0" w:hanging="0"/>
              <w:jc w:val="left"/>
              <w:rPr>
                <w:rFonts w:ascii="Times New Roman" w:hAnsi="Times New Roman"/>
                <w:sz w:val="20"/>
              </w:rPr>
            </w:pPr>
            <w:bookmarkStart w:id="1040" w:name="TAB1416"/>
            <w:bookmarkEnd w:id="1040"/>
            <w:r>
              <w:rPr>
                <w:rFonts w:ascii="Times New Roman" w:hAnsi="Times New Roman"/>
                <w:sz w:val="20"/>
              </w:rPr>
              <w:t>$</w:t>
            </w:r>
          </w:p>
        </w:tc>
        <w:tc>
          <w:tcPr>
            <w:tcW w:w="949" w:type="dxa"/>
            <w:tcBorders>
              <w:bottom w:val="double" w:sz="2" w:space="0" w:color="000000"/>
            </w:tcBorders>
            <w:shd w:fill="FFFFFF" w:val="clear"/>
            <w:vAlign w:val="bottom"/>
          </w:tcPr>
          <w:p>
            <w:pPr>
              <w:pStyle w:val="TableContents"/>
              <w:spacing w:before="0" w:after="0"/>
              <w:ind w:left="0" w:right="0" w:hanging="0"/>
              <w:jc w:val="right"/>
              <w:rPr>
                <w:rFonts w:ascii="Times New Roman" w:hAnsi="Times New Roman"/>
                <w:sz w:val="20"/>
              </w:rPr>
            </w:pPr>
            <w:bookmarkStart w:id="1041" w:name="TAB1417"/>
            <w:bookmarkEnd w:id="1041"/>
            <w:r>
              <w:rPr>
                <w:rFonts w:ascii="Times New Roman" w:hAnsi="Times New Roman"/>
                <w:sz w:val="20"/>
              </w:rPr>
              <w:t>9,399</w:t>
            </w:r>
          </w:p>
        </w:tc>
        <w:tc>
          <w:tcPr>
            <w:tcW w:w="110" w:type="dxa"/>
            <w:tcBorders>
              <w:bottom w:val="single" w:sz="4" w:space="0" w:color="FFFFFF"/>
            </w:tcBorders>
            <w:shd w:fill="FFFFFF" w:val="clear"/>
            <w:vAlign w:val="bottom"/>
          </w:tcPr>
          <w:p>
            <w:pPr>
              <w:pStyle w:val="TableContents"/>
              <w:spacing w:before="0" w:after="283"/>
              <w:jc w:val="left"/>
              <w:rPr/>
            </w:pPr>
            <w:r>
              <w:rPr/>
              <w:t> </w:t>
            </w:r>
          </w:p>
        </w:tc>
        <w:tc>
          <w:tcPr>
            <w:tcW w:w="124" w:type="dxa"/>
            <w:tcBorders>
              <w:bottom w:val="double" w:sz="2" w:space="0" w:color="000000"/>
            </w:tcBorders>
            <w:shd w:fill="FFFFFF" w:val="clear"/>
            <w:vAlign w:val="bottom"/>
          </w:tcPr>
          <w:p>
            <w:pPr>
              <w:pStyle w:val="TableContents"/>
              <w:spacing w:before="0" w:after="0"/>
              <w:ind w:left="0" w:right="0" w:hanging="0"/>
              <w:jc w:val="left"/>
              <w:rPr>
                <w:rFonts w:ascii="Times New Roman" w:hAnsi="Times New Roman"/>
                <w:sz w:val="20"/>
              </w:rPr>
            </w:pPr>
            <w:bookmarkStart w:id="1042" w:name="TAB1418"/>
            <w:bookmarkEnd w:id="1042"/>
            <w:r>
              <w:rPr>
                <w:rFonts w:ascii="Times New Roman" w:hAnsi="Times New Roman"/>
                <w:sz w:val="20"/>
              </w:rPr>
              <w:t>$</w:t>
            </w:r>
          </w:p>
        </w:tc>
        <w:tc>
          <w:tcPr>
            <w:tcW w:w="949" w:type="dxa"/>
            <w:tcBorders>
              <w:bottom w:val="double" w:sz="2" w:space="0" w:color="000000"/>
            </w:tcBorders>
            <w:shd w:fill="FFFFFF" w:val="clear"/>
            <w:vAlign w:val="bottom"/>
          </w:tcPr>
          <w:p>
            <w:pPr>
              <w:pStyle w:val="TableContents"/>
              <w:spacing w:before="0" w:after="0"/>
              <w:ind w:left="0" w:right="0" w:hanging="0"/>
              <w:jc w:val="right"/>
              <w:rPr>
                <w:rFonts w:ascii="Times New Roman" w:hAnsi="Times New Roman"/>
                <w:sz w:val="20"/>
              </w:rPr>
            </w:pPr>
            <w:bookmarkStart w:id="1043" w:name="TAB1419"/>
            <w:bookmarkEnd w:id="1043"/>
            <w:r>
              <w:rPr>
                <w:rFonts w:ascii="Times New Roman" w:hAnsi="Times New Roman"/>
                <w:sz w:val="20"/>
              </w:rPr>
              <w:t>10,209</w:t>
            </w:r>
          </w:p>
        </w:tc>
        <w:tc>
          <w:tcPr>
            <w:tcW w:w="110" w:type="dxa"/>
            <w:tcBorders>
              <w:bottom w:val="single" w:sz="4" w:space="0" w:color="FFFFFF"/>
            </w:tcBorders>
            <w:shd w:fill="FFFFFF" w:val="clear"/>
            <w:vAlign w:val="bottom"/>
          </w:tcPr>
          <w:p>
            <w:pPr>
              <w:pStyle w:val="TableContents"/>
              <w:spacing w:before="0" w:after="283"/>
              <w:jc w:val="left"/>
              <w:rPr/>
            </w:pPr>
            <w:r>
              <w:rPr/>
              <w:t> </w:t>
            </w:r>
          </w:p>
        </w:tc>
        <w:tc>
          <w:tcPr>
            <w:tcW w:w="125" w:type="dxa"/>
            <w:tcBorders>
              <w:bottom w:val="doub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bookmarkStart w:id="1044" w:name="TAB1420"/>
            <w:bookmarkEnd w:id="1044"/>
            <w:r>
              <w:rPr>
                <w:rFonts w:ascii="Times New Roman" w:hAnsi="Times New Roman"/>
                <w:sz w:val="20"/>
              </w:rPr>
              <w:t>$</w:t>
            </w:r>
          </w:p>
        </w:tc>
        <w:tc>
          <w:tcPr>
            <w:tcW w:w="934"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1045" w:name="TAB1421"/>
            <w:bookmarkEnd w:id="1045"/>
            <w:r>
              <w:rPr>
                <w:rFonts w:ascii="Times New Roman" w:hAnsi="Times New Roman"/>
                <w:sz w:val="20"/>
              </w:rPr>
              <w:t>3,533</w:t>
            </w:r>
          </w:p>
        </w:tc>
        <w:tc>
          <w:tcPr>
            <w:tcW w:w="123" w:type="dxa"/>
            <w:tcBorders>
              <w:bottom w:val="single" w:sz="4" w:space="0" w:color="FFFFFF"/>
            </w:tcBorders>
            <w:shd w:fill="FFFFFF" w:val="clear"/>
            <w:vAlign w:val="bottom"/>
          </w:tcPr>
          <w:p>
            <w:pPr>
              <w:pStyle w:val="TableContents"/>
              <w:spacing w:before="0" w:after="283"/>
              <w:jc w:val="left"/>
              <w:rPr/>
            </w:pPr>
            <w:r>
              <w:rPr/>
              <w:t> </w:t>
            </w:r>
          </w:p>
        </w:tc>
      </w:tr>
    </w:tbl>
    <w:p>
      <w:pPr>
        <w:pStyle w:val="TextBody"/>
        <w:spacing w:lineRule="auto" w:line="300"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046" w:name="PGBRK42"/>
      <w:bookmarkStart w:id="1047" w:name="PGBRK42"/>
      <w:bookmarkEnd w:id="104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48" w:name="FTR42"/>
      <w:bookmarkStart w:id="1049" w:name="FTR42"/>
      <w:bookmarkEnd w:id="104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50" w:name="GLFTR42"/>
      <w:bookmarkStart w:id="1051" w:name="GLFTR42"/>
      <w:bookmarkEnd w:id="105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1052" w:name="PN42"/>
      <w:bookmarkEnd w:id="1052"/>
      <w:r>
        <w:rPr>
          <w:rFonts w:ascii="Times New Roman" w:hAnsi="Times New Roman"/>
          <w:sz w:val="16"/>
        </w:rPr>
        <w:t>-42-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53" w:name="HDR42"/>
      <w:bookmarkStart w:id="1054" w:name="HDR42"/>
      <w:bookmarkEnd w:id="105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1055" w:name="GLHDR42"/>
        <w:bookmarkEnd w:id="1055"/>
        <w:r>
          <w:rPr>
            <w:rStyle w:val="Emphasis"/>
            <w:rFonts w:ascii="Times New Roman" w:hAnsi="Times New Roman"/>
            <w:color w:val="000000"/>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300" w:before="0" w:after="0"/>
        <w:ind w:left="0" w:right="0" w:hanging="0"/>
        <w:jc w:val="center"/>
        <w:rPr/>
      </w:pPr>
      <w:bookmarkStart w:id="1056" w:name="item7"/>
      <w:bookmarkEnd w:id="1056"/>
      <w:r>
        <w:rPr>
          <w:rStyle w:val="StrongEmphasis"/>
          <w:rFonts w:ascii="Times New Roman" w:hAnsi="Times New Roman"/>
          <w:sz w:val="20"/>
        </w:rPr>
        <w:t>Item 7 - Management’s Discussions and Analysis of Financial Condition and Results of Operations</w:t>
      </w:r>
    </w:p>
    <w:p>
      <w:pPr>
        <w:pStyle w:val="TextBody"/>
        <w:spacing w:lineRule="auto" w:line="300" w:before="0" w:after="0"/>
        <w:ind w:left="0" w:right="0" w:hanging="0"/>
        <w:jc w:val="left"/>
        <w:rPr/>
      </w:pPr>
      <w:r>
        <w:rPr/>
      </w:r>
    </w:p>
    <w:p>
      <w:pPr>
        <w:pStyle w:val="TextBody"/>
        <w:spacing w:lineRule="auto" w:line="300" w:before="0" w:after="0"/>
        <w:ind w:left="720" w:right="0" w:hanging="0"/>
        <w:jc w:val="both"/>
        <w:rPr/>
      </w:pPr>
      <w:bookmarkStart w:id="1057" w:name="TAB1422"/>
      <w:bookmarkEnd w:id="1057"/>
      <w:r>
        <w:rPr>
          <w:rFonts w:ascii="Times New Roman" w:hAnsi="Times New Roman"/>
          <w:sz w:val="20"/>
        </w:rPr>
        <w:t>The following review should be read in conjunction with the consolidated financial statements and related notes included in our 2006 Annual Report. Historical results and percentage relationships do not necessarily indicate operating results for any future periods.</w:t>
      </w:r>
      <w:bookmarkStart w:id="1058" w:name="TAB26"/>
      <w:bookmarkEnd w:id="1058"/>
      <w:r>
        <w:rPr>
          <w:color w:val="000000"/>
          <w:spacing w:val="540"/>
        </w:rPr>
        <w:t> </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pPr>
      <w:r>
        <w:rPr/>
      </w:r>
    </w:p>
    <w:p>
      <w:pPr>
        <w:pStyle w:val="TextBody"/>
        <w:spacing w:lineRule="auto" w:line="300" w:before="0" w:after="0"/>
        <w:ind w:left="0" w:right="0" w:hanging="0"/>
        <w:jc w:val="both"/>
        <w:rPr/>
      </w:pPr>
      <w:r>
        <w:rPr>
          <w:rStyle w:val="StrongEmphasis"/>
          <w:rFonts w:ascii="Times New Roman" w:hAnsi="Times New Roman"/>
          <w:sz w:val="20"/>
          <w:u w:val="single"/>
        </w:rPr>
        <w:t>Overview</w:t>
      </w:r>
    </w:p>
    <w:p>
      <w:pPr>
        <w:pStyle w:val="TextBody"/>
        <w:spacing w:lineRule="auto" w:line="300" w:before="0" w:after="0"/>
        <w:ind w:left="0" w:right="0" w:hanging="0"/>
        <w:jc w:val="both"/>
        <w:rPr/>
      </w:pPr>
      <w:r>
        <w:rPr/>
      </w:r>
    </w:p>
    <w:p>
      <w:pPr>
        <w:pStyle w:val="TextBody"/>
        <w:spacing w:lineRule="auto" w:line="300" w:before="0" w:after="0"/>
        <w:ind w:left="720" w:right="0" w:hanging="0"/>
        <w:jc w:val="both"/>
        <w:rPr>
          <w:rFonts w:ascii="Times New Roman" w:hAnsi="Times New Roman"/>
          <w:sz w:val="20"/>
        </w:rPr>
      </w:pPr>
      <w:bookmarkStart w:id="1059" w:name="TAB1423"/>
      <w:bookmarkEnd w:id="1059"/>
      <w:r>
        <w:rPr>
          <w:rFonts w:ascii="Times New Roman" w:hAnsi="Times New Roman"/>
          <w:sz w:val="20"/>
        </w:rPr>
        <w:t>Today, our businesses consist primarily of:</w:t>
      </w:r>
    </w:p>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060" w:name="hangingindent86"/>
      <w:bookmarkStart w:id="1061" w:name="hangingindent86"/>
      <w:bookmarkEnd w:id="1061"/>
    </w:p>
    <w:tbl>
      <w:tblPr>
        <w:tblW w:w="5000" w:type="pct"/>
        <w:jc w:val="center"/>
        <w:tblInd w:w="0" w:type="dxa"/>
        <w:tblCellMar>
          <w:top w:w="0" w:type="dxa"/>
          <w:left w:w="0" w:type="dxa"/>
          <w:bottom w:w="0" w:type="dxa"/>
          <w:right w:w="0" w:type="dxa"/>
        </w:tblCellMar>
      </w:tblPr>
      <w:tblGrid>
        <w:gridCol w:w="62"/>
        <w:gridCol w:w="99"/>
        <w:gridCol w:w="10044"/>
      </w:tblGrid>
      <w:tr>
        <w:trPr/>
        <w:tc>
          <w:tcPr>
            <w:tcW w:w="62" w:type="dxa"/>
            <w:tcBorders/>
            <w:shd w:fill="auto" w:val="clear"/>
          </w:tcPr>
          <w:p>
            <w:pPr>
              <w:pStyle w:val="TableContents"/>
              <w:spacing w:before="0" w:after="283"/>
              <w:rPr/>
            </w:pPr>
            <w:r>
              <w:rPr/>
              <w:t> </w:t>
            </w:r>
          </w:p>
        </w:tc>
        <w:tc>
          <w:tcPr>
            <w:tcW w:w="99"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4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development, ownership and operation of multiplex cinemas in the United States, Australia, and New Zealand; and</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062" w:name="hangingindent87"/>
      <w:bookmarkStart w:id="1063" w:name="hangingindent87"/>
      <w:bookmarkEnd w:id="1063"/>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development, ownership and operation of retail and commercial real estate in Australia, New Zealand and the United States, including entertainment-themed retail centers (“ETRCs”) in Australia and New Zealand and live theater assets in Manhattan and Chicago in the United States.</w:t>
            </w:r>
          </w:p>
        </w:tc>
      </w:tr>
    </w:tbl>
    <w:p>
      <w:pPr>
        <w:pStyle w:val="TextBody"/>
        <w:spacing w:lineRule="auto" w:line="300" w:before="0" w:after="0"/>
        <w:ind w:left="0" w:right="0" w:hanging="0"/>
        <w:jc w:val="both"/>
        <w:rPr/>
      </w:pPr>
      <w:r>
        <w:rPr/>
      </w:r>
    </w:p>
    <w:p>
      <w:pPr>
        <w:pStyle w:val="TextBody"/>
        <w:spacing w:lineRule="auto" w:line="300" w:before="0" w:after="0"/>
        <w:ind w:left="720" w:right="0" w:hanging="0"/>
        <w:jc w:val="both"/>
        <w:rPr>
          <w:rFonts w:ascii="Times New Roman" w:hAnsi="Times New Roman"/>
          <w:sz w:val="20"/>
        </w:rPr>
      </w:pPr>
      <w:r>
        <w:rPr>
          <w:rFonts w:ascii="Times New Roman" w:hAnsi="Times New Roman"/>
          <w:sz w:val="20"/>
        </w:rPr>
        <w:t>We manage our worldwide cinema businesses under various different brands:</w:t>
      </w:r>
    </w:p>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064" w:name="hangingindent88"/>
      <w:bookmarkStart w:id="1065" w:name="hangingindent88"/>
      <w:bookmarkEnd w:id="1065"/>
    </w:p>
    <w:tbl>
      <w:tblPr>
        <w:tblW w:w="5000" w:type="pct"/>
        <w:jc w:val="center"/>
        <w:tblInd w:w="0" w:type="dxa"/>
        <w:tblCellMar>
          <w:top w:w="0" w:type="dxa"/>
          <w:left w:w="0" w:type="dxa"/>
          <w:bottom w:w="0" w:type="dxa"/>
          <w:right w:w="0" w:type="dxa"/>
        </w:tblCellMar>
      </w:tblPr>
      <w:tblGrid>
        <w:gridCol w:w="94"/>
        <w:gridCol w:w="149"/>
        <w:gridCol w:w="9962"/>
      </w:tblGrid>
      <w:tr>
        <w:trPr/>
        <w:tc>
          <w:tcPr>
            <w:tcW w:w="94" w:type="dxa"/>
            <w:tcBorders/>
            <w:shd w:fill="auto" w:val="clear"/>
          </w:tcPr>
          <w:p>
            <w:pPr>
              <w:pStyle w:val="TableContents"/>
              <w:spacing w:before="0" w:after="283"/>
              <w:rPr/>
            </w:pPr>
            <w:r>
              <w:rPr/>
              <w:t> </w:t>
            </w:r>
          </w:p>
        </w:tc>
        <w:tc>
          <w:tcPr>
            <w:tcW w:w="149"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996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in the US, under the Reading, Angelika Film Center and City Cinemas brands;</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066" w:name="hangingindent89"/>
      <w:bookmarkStart w:id="1067" w:name="hangingindent89"/>
      <w:bookmarkEnd w:id="1067"/>
    </w:p>
    <w:tbl>
      <w:tblPr>
        <w:tblW w:w="5000" w:type="pct"/>
        <w:jc w:val="center"/>
        <w:tblInd w:w="0" w:type="dxa"/>
        <w:tblCellMar>
          <w:top w:w="0" w:type="dxa"/>
          <w:left w:w="0" w:type="dxa"/>
          <w:bottom w:w="0" w:type="dxa"/>
          <w:right w:w="0" w:type="dxa"/>
        </w:tblCellMar>
      </w:tblPr>
      <w:tblGrid>
        <w:gridCol w:w="168"/>
        <w:gridCol w:w="268"/>
        <w:gridCol w:w="9769"/>
      </w:tblGrid>
      <w:tr>
        <w:trPr/>
        <w:tc>
          <w:tcPr>
            <w:tcW w:w="168" w:type="dxa"/>
            <w:tcBorders/>
            <w:shd w:fill="auto" w:val="clear"/>
          </w:tcPr>
          <w:p>
            <w:pPr>
              <w:pStyle w:val="TableContents"/>
              <w:spacing w:before="0" w:after="283"/>
              <w:rPr/>
            </w:pPr>
            <w:r>
              <w:rPr/>
              <w:t> </w:t>
            </w:r>
          </w:p>
        </w:tc>
        <w:tc>
          <w:tcPr>
            <w:tcW w:w="268"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976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in Australia, under the Reading brand; and</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068" w:name="hangingindent90"/>
      <w:bookmarkStart w:id="1069" w:name="hangingindent90"/>
      <w:bookmarkEnd w:id="1069"/>
    </w:p>
    <w:tbl>
      <w:tblPr>
        <w:tblW w:w="5000" w:type="pct"/>
        <w:jc w:val="center"/>
        <w:tblInd w:w="0" w:type="dxa"/>
        <w:tblCellMar>
          <w:top w:w="0" w:type="dxa"/>
          <w:left w:w="0" w:type="dxa"/>
          <w:bottom w:w="0" w:type="dxa"/>
          <w:right w:w="0" w:type="dxa"/>
        </w:tblCellMar>
      </w:tblPr>
      <w:tblGrid>
        <w:gridCol w:w="98"/>
        <w:gridCol w:w="157"/>
        <w:gridCol w:w="9950"/>
      </w:tblGrid>
      <w:tr>
        <w:trPr/>
        <w:tc>
          <w:tcPr>
            <w:tcW w:w="98" w:type="dxa"/>
            <w:tcBorders/>
            <w:shd w:fill="auto" w:val="clear"/>
          </w:tcPr>
          <w:p>
            <w:pPr>
              <w:pStyle w:val="TableContents"/>
              <w:spacing w:before="0" w:after="283"/>
              <w:rPr/>
            </w:pPr>
            <w:r>
              <w:rPr/>
              <w:t> </w:t>
            </w:r>
          </w:p>
        </w:tc>
        <w:tc>
          <w:tcPr>
            <w:tcW w:w="157"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995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in New Zealand, under the Reading, Berkeley Cinemas and Rialto brands. </w:t>
            </w:r>
          </w:p>
        </w:tc>
      </w:tr>
    </w:tbl>
    <w:p>
      <w:pPr>
        <w:pStyle w:val="TextBody"/>
        <w:spacing w:lineRule="auto" w:line="300" w:before="0" w:after="0"/>
        <w:ind w:left="0" w:right="0" w:hanging="0"/>
        <w:jc w:val="both"/>
        <w:rPr/>
      </w:pPr>
      <w:r>
        <w:rPr/>
      </w:r>
    </w:p>
    <w:p>
      <w:pPr>
        <w:pStyle w:val="TextBody"/>
        <w:spacing w:lineRule="auto" w:line="300" w:before="0" w:after="0"/>
        <w:ind w:left="720" w:right="0" w:hanging="0"/>
        <w:jc w:val="both"/>
        <w:rPr>
          <w:rFonts w:ascii="Times New Roman" w:hAnsi="Times New Roman"/>
          <w:sz w:val="20"/>
        </w:rPr>
      </w:pPr>
      <w:bookmarkStart w:id="1070" w:name="TAB1424"/>
      <w:bookmarkEnd w:id="1070"/>
      <w:r>
        <w:rPr>
          <w:rFonts w:ascii="Times New Roman" w:hAnsi="Times New Roman"/>
          <w:sz w:val="20"/>
        </w:rPr>
        <w:t xml:space="preserve">While we do not believe the cinema exhibition business to be a growth business at this time, we do believe it to be a business that will likely continue to generate fairly consistent cash flows in the years ahead. This is based on our belief that people will continue to spend some reasonable portion of their entertainment dollar on entertainment outside of the home and that, when compared to other forms of outside the home entertainment, movies continue to be a popular and competitively priced option. However, since we believe the cinema exhibition business to be a mature business with most markets either adequately screened or over-screened, we see our future asset growth coming more from our real estate development activities than from the acquisition or development of additional cinemas. While we intend to be opportunistic in adding to our existing cinema portfolio (and to continue to work to expand our art cinema operations), we believe it likely that, going forward, we will be reinvesting our free cash flow more in our general real estate development activities than in the acquisition or development of additional cinemas. Over time, we anticipate that our cinema operations will become increasing a source of cash flow to support our real estate oriented activities and that our real estate activities will become the principal thrust of our business. </w:t>
      </w:r>
    </w:p>
    <w:p>
      <w:pPr>
        <w:pStyle w:val="TextBody"/>
        <w:spacing w:before="0" w:after="0"/>
        <w:rPr/>
      </w:pPr>
      <w:r>
        <w:rPr/>
        <w:t> </w:t>
      </w:r>
    </w:p>
    <w:p>
      <w:pPr>
        <w:pStyle w:val="TextBody"/>
        <w:spacing w:lineRule="auto" w:line="300" w:before="0" w:after="0"/>
        <w:ind w:left="720" w:right="0" w:hanging="0"/>
        <w:jc w:val="both"/>
        <w:rPr>
          <w:rFonts w:ascii="Times New Roman" w:hAnsi="Times New Roman"/>
          <w:sz w:val="20"/>
        </w:rPr>
      </w:pPr>
      <w:bookmarkStart w:id="1071" w:name="TAB1425"/>
      <w:bookmarkEnd w:id="1071"/>
      <w:r>
        <w:rPr>
          <w:rFonts w:ascii="Times New Roman" w:hAnsi="Times New Roman"/>
          <w:sz w:val="20"/>
        </w:rPr>
        <w:t>In short, while we do have operating company attributes, we see ourselves principally as a hard asset company that will add to shareholder value by building the value of our portfolio of tangible assets.</w:t>
      </w:r>
    </w:p>
    <w:p>
      <w:pPr>
        <w:pStyle w:val="TextBody"/>
        <w:spacing w:lineRule="auto" w:line="300" w:before="0" w:after="0"/>
        <w:ind w:left="0" w:right="0" w:hanging="0"/>
        <w:jc w:val="both"/>
        <w:rPr/>
      </w:pPr>
      <w:r>
        <w:rPr/>
      </w:r>
    </w:p>
    <w:p>
      <w:pPr>
        <w:pStyle w:val="TextBody"/>
        <w:spacing w:lineRule="auto" w:line="300" w:before="0" w:after="0"/>
        <w:ind w:left="0" w:right="0" w:hanging="0"/>
        <w:jc w:val="left"/>
        <w:rPr>
          <w:rFonts w:ascii="Times New Roman" w:hAnsi="Times New Roman"/>
          <w:sz w:val="20"/>
          <w:u w:val="single"/>
        </w:rPr>
      </w:pPr>
      <w:r>
        <w:rPr>
          <w:rFonts w:ascii="Times New Roman" w:hAnsi="Times New Roman"/>
          <w:sz w:val="20"/>
          <w:u w:val="single"/>
        </w:rPr>
        <w:t>Business Climate</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pPr>
      <w:r>
        <w:rPr>
          <w:rStyle w:val="Emphasis"/>
          <w:rFonts w:ascii="Times New Roman" w:hAnsi="Times New Roman"/>
          <w:sz w:val="20"/>
          <w:u w:val="single"/>
        </w:rPr>
        <w:t>Cinema Exhibition - General</w:t>
      </w:r>
    </w:p>
    <w:p>
      <w:pPr>
        <w:pStyle w:val="TextBody"/>
        <w:spacing w:lineRule="auto" w:line="300" w:before="0" w:after="0"/>
        <w:ind w:left="0" w:right="0" w:hanging="0"/>
        <w:jc w:val="both"/>
        <w:rPr/>
      </w:pPr>
      <w:r>
        <w:rPr/>
      </w:r>
    </w:p>
    <w:p>
      <w:pPr>
        <w:pStyle w:val="TextBody"/>
        <w:spacing w:lineRule="auto" w:line="300" w:before="0" w:after="0"/>
        <w:ind w:left="720" w:right="0" w:hanging="0"/>
        <w:jc w:val="both"/>
        <w:rPr>
          <w:rFonts w:ascii="Times New Roman" w:hAnsi="Times New Roman"/>
          <w:sz w:val="20"/>
        </w:rPr>
      </w:pPr>
      <w:bookmarkStart w:id="1072" w:name="TAB1426"/>
      <w:bookmarkEnd w:id="1072"/>
      <w:r>
        <w:rPr>
          <w:rFonts w:ascii="Times New Roman" w:hAnsi="Times New Roman"/>
          <w:sz w:val="20"/>
        </w:rPr>
        <w:t>There is considerable uncertainty in the film industry as to the future of digital exhibition and in-the-home entertainment alternatives. In the case of digital exhibition, there is currently considerable discussion within the industry as to the benefits and detriments of moving from conventional film projection to digital projection technology. There are issues as to when it will be available on an economically attractive basis, as to who will pay for the conversion from conventional to digital technology between exhibitors and distributors, as to what the impact will be on film licensing expense, and as to how to deal with security and potential pirating issues if film is distributed in a digital format. In the case of in-the-home entertainment alternatives, the industry is faced with the significant leaps achieved in recent periods in both the quality and affordability of in-the-home entertainment systems and in the accessibility to entertainment programming through cable, satellite and DVD distribution channels. These are issues common to both our domestic and international cinema operations.</w:t>
      </w:r>
    </w:p>
    <w:p>
      <w:pPr>
        <w:pStyle w:val="TextBody"/>
        <w:spacing w:before="0" w:after="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073" w:name="PGBRK43"/>
      <w:bookmarkStart w:id="1074" w:name="PGBRK43"/>
      <w:bookmarkEnd w:id="107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75" w:name="FTR43"/>
      <w:bookmarkStart w:id="1076" w:name="FTR43"/>
      <w:bookmarkEnd w:id="107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77" w:name="GLFTR43"/>
      <w:bookmarkStart w:id="1078" w:name="GLFTR43"/>
      <w:bookmarkEnd w:id="107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1079" w:name="PN43"/>
      <w:bookmarkEnd w:id="1079"/>
      <w:r>
        <w:rPr>
          <w:rFonts w:ascii="Times New Roman" w:hAnsi="Times New Roman"/>
          <w:sz w:val="16"/>
        </w:rPr>
        <w:t>-43-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80" w:name="HDR43"/>
      <w:bookmarkStart w:id="1081" w:name="HDR43"/>
      <w:bookmarkEnd w:id="108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1082" w:name="GLHDR43"/>
        <w:bookmarkEnd w:id="1082"/>
        <w:r>
          <w:rPr>
            <w:rStyle w:val="Emphasis"/>
            <w:rFonts w:ascii="Times New Roman" w:hAnsi="Times New Roman"/>
            <w:color w:val="000000"/>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300" w:before="0" w:after="0"/>
        <w:ind w:left="0" w:right="0" w:hanging="0"/>
        <w:jc w:val="both"/>
        <w:rPr/>
      </w:pPr>
      <w:r>
        <w:rPr>
          <w:rStyle w:val="Emphasis"/>
          <w:rFonts w:ascii="Times New Roman" w:hAnsi="Times New Roman"/>
          <w:sz w:val="20"/>
          <w:u w:val="single"/>
        </w:rPr>
        <w:t>Cinema Exhibition - Australia / New Zealand</w:t>
      </w:r>
    </w:p>
    <w:p>
      <w:pPr>
        <w:pStyle w:val="TextBody"/>
        <w:spacing w:lineRule="auto" w:line="300" w:before="0" w:after="0"/>
        <w:ind w:left="0" w:right="0" w:hanging="0"/>
        <w:jc w:val="both"/>
        <w:rPr/>
      </w:pPr>
      <w:r>
        <w:rPr/>
      </w:r>
    </w:p>
    <w:p>
      <w:pPr>
        <w:pStyle w:val="TextBody"/>
        <w:spacing w:lineRule="auto" w:line="300" w:before="0" w:after="0"/>
        <w:ind w:left="720" w:right="0" w:hanging="0"/>
        <w:jc w:val="both"/>
        <w:rPr>
          <w:rFonts w:ascii="Times New Roman" w:hAnsi="Times New Roman"/>
          <w:sz w:val="20"/>
        </w:rPr>
      </w:pPr>
      <w:bookmarkStart w:id="1083" w:name="TAB1427"/>
      <w:bookmarkEnd w:id="1083"/>
      <w:r>
        <w:rPr>
          <w:rFonts w:ascii="Times New Roman" w:hAnsi="Times New Roman"/>
          <w:sz w:val="20"/>
        </w:rPr>
        <w:t xml:space="preserve">The film exhibition industry in Australia and New Zealand is highly concentrated and somewhat vertically integrated in that one of the Major Exhibitors, Roadshow Film Distributors, also serves as a distributor of film in Australia and New Zealand for Warner Bros. and New Line. Films produced or distributed by the majority of the local international independent producers are also distributed by Roadshow. Typically, the Major Exhibitors own the newer multiplex and mega-plex cinemas, while the independent exhibitors typically have older and smaller cinemas. Accordingly, we believe it likely that the Major Exhibitors may control upwards of 65% of the total cinema box office in Australia and New Zealand. Also, the Major Exhibitors have in recent periods built a number of new multiplexes as joint venture partners or under-shared facility arrangements, and have historically not engaged in head-to-head competition, except in the downtown areas of Sydney and Melbourne. </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pPr>
      <w:r>
        <w:rPr>
          <w:rStyle w:val="Emphasis"/>
          <w:rFonts w:ascii="Times New Roman" w:hAnsi="Times New Roman"/>
          <w:sz w:val="20"/>
          <w:u w:val="single"/>
        </w:rPr>
        <w:t>Cinema Exhibition - North America</w:t>
      </w:r>
    </w:p>
    <w:p>
      <w:pPr>
        <w:pStyle w:val="TextBody"/>
        <w:spacing w:lineRule="auto" w:line="300" w:before="0" w:after="0"/>
        <w:ind w:left="0" w:right="0" w:hanging="0"/>
        <w:jc w:val="both"/>
        <w:rPr/>
      </w:pPr>
      <w:r>
        <w:rPr/>
      </w:r>
    </w:p>
    <w:p>
      <w:pPr>
        <w:pStyle w:val="TextBody"/>
        <w:spacing w:lineRule="auto" w:line="300" w:before="0" w:after="0"/>
        <w:ind w:left="720" w:right="0" w:hanging="0"/>
        <w:jc w:val="both"/>
        <w:rPr>
          <w:rFonts w:ascii="Times New Roman" w:hAnsi="Times New Roman"/>
          <w:sz w:val="20"/>
        </w:rPr>
      </w:pPr>
      <w:bookmarkStart w:id="1084" w:name="TAB1428"/>
      <w:bookmarkEnd w:id="1084"/>
      <w:r>
        <w:rPr>
          <w:rFonts w:ascii="Times New Roman" w:hAnsi="Times New Roman"/>
          <w:sz w:val="20"/>
        </w:rPr>
        <w:t xml:space="preserve">In North America, distributors may find it more commercially appealing to deal with major exhibitors, rather than to deal with independents like us, which tends to suppress supply screens in a very limited number of markets. This competitive disadvantage has increased significantly in recent periods with the development of mega circuits like Regal and AMC, who are able to offer distributors access to screens on a truly nationwide basis, or on the other hand, to deny access if their desires with respect to film supply are not satisfied. </w:t>
      </w:r>
    </w:p>
    <w:p>
      <w:pPr>
        <w:pStyle w:val="TextBody"/>
        <w:spacing w:lineRule="auto" w:line="300" w:before="0" w:after="0"/>
        <w:ind w:left="0" w:right="0" w:hanging="0"/>
        <w:jc w:val="both"/>
        <w:rPr/>
      </w:pPr>
      <w:r>
        <w:rPr/>
      </w:r>
    </w:p>
    <w:p>
      <w:pPr>
        <w:pStyle w:val="TextBody"/>
        <w:spacing w:lineRule="auto" w:line="300" w:before="0" w:after="0"/>
        <w:ind w:left="720" w:right="0" w:hanging="0"/>
        <w:jc w:val="both"/>
        <w:rPr>
          <w:rFonts w:ascii="Times New Roman" w:hAnsi="Times New Roman"/>
          <w:sz w:val="20"/>
        </w:rPr>
      </w:pPr>
      <w:bookmarkStart w:id="1085" w:name="TAB1429"/>
      <w:bookmarkEnd w:id="1085"/>
      <w:r>
        <w:rPr>
          <w:rFonts w:ascii="Times New Roman" w:hAnsi="Times New Roman"/>
          <w:sz w:val="20"/>
        </w:rPr>
        <w:t xml:space="preserve">With the restructuring and consolidation recently undertaken in the industry, and the emergence of increasingly attractive in-home entertainment alternatives, it is unclear what the competitive future holds for our North American operations. These consolidations have adversely affected our ability to get film in certain domestic markets where we compete against major exhibitors. </w:t>
      </w:r>
    </w:p>
    <w:p>
      <w:pPr>
        <w:pStyle w:val="TextBody"/>
        <w:spacing w:before="0" w:after="0"/>
        <w:rPr/>
      </w:pPr>
      <w:r>
        <w:rPr/>
        <w:t> </w:t>
      </w:r>
    </w:p>
    <w:p>
      <w:pPr>
        <w:pStyle w:val="TextBody"/>
        <w:spacing w:lineRule="auto" w:line="300" w:before="0" w:after="0"/>
        <w:ind w:left="0" w:right="0" w:hanging="0"/>
        <w:jc w:val="left"/>
        <w:rPr/>
      </w:pPr>
      <w:r>
        <w:rPr>
          <w:rStyle w:val="Emphasis"/>
          <w:rFonts w:ascii="Times New Roman" w:hAnsi="Times New Roman"/>
          <w:sz w:val="20"/>
          <w:u w:val="single"/>
        </w:rPr>
        <w:t>Real Estate - Australia and New Zealand</w:t>
      </w:r>
    </w:p>
    <w:p>
      <w:pPr>
        <w:pStyle w:val="TextBody"/>
        <w:spacing w:lineRule="auto" w:line="300" w:before="0" w:after="0"/>
        <w:ind w:left="0" w:right="0" w:hanging="0"/>
        <w:jc w:val="left"/>
        <w:rPr/>
      </w:pPr>
      <w:r>
        <w:rPr/>
      </w:r>
    </w:p>
    <w:p>
      <w:pPr>
        <w:pStyle w:val="TextBody"/>
        <w:spacing w:lineRule="auto" w:line="300" w:before="0" w:after="0"/>
        <w:ind w:left="0" w:right="0" w:firstLine="720"/>
        <w:jc w:val="left"/>
        <w:rPr>
          <w:rFonts w:ascii="Times New Roman" w:hAnsi="Times New Roman"/>
          <w:sz w:val="20"/>
        </w:rPr>
      </w:pPr>
      <w:r>
        <w:rPr>
          <w:rFonts w:ascii="Times New Roman" w:hAnsi="Times New Roman"/>
          <w:sz w:val="20"/>
        </w:rPr>
        <w:t>Commercial and retail property values have remained high in Australia and New Zealand due to sound economic growth and controlled interest rates. New Zealand has enjoyed consistent growth in rentals and values with some signs in early 2006 that this has plateaued in the short term. Project commencements have declined with indications that construction prices will tighten this year. There are signs that Australian based large funds are actively seeking out opportunities in New Zealand.</w:t>
      </w:r>
    </w:p>
    <w:p>
      <w:pPr>
        <w:pStyle w:val="TextBody"/>
        <w:spacing w:lineRule="auto" w:line="300" w:before="0" w:after="0"/>
        <w:ind w:left="0" w:right="0" w:hanging="0"/>
        <w:jc w:val="left"/>
        <w:rPr/>
      </w:pPr>
      <w:r>
        <w:rPr/>
        <w:t> </w:t>
      </w:r>
    </w:p>
    <w:p>
      <w:pPr>
        <w:pStyle w:val="TextBody"/>
        <w:spacing w:lineRule="auto" w:line="300" w:before="0" w:after="0"/>
        <w:ind w:left="720" w:right="0" w:hanging="0"/>
        <w:jc w:val="both"/>
        <w:rPr>
          <w:rFonts w:ascii="Times New Roman" w:hAnsi="Times New Roman"/>
          <w:sz w:val="20"/>
        </w:rPr>
      </w:pPr>
      <w:bookmarkStart w:id="1086" w:name="TAB1430"/>
      <w:bookmarkEnd w:id="1086"/>
      <w:r>
        <w:rPr>
          <w:rFonts w:ascii="Times New Roman" w:hAnsi="Times New Roman"/>
          <w:sz w:val="20"/>
        </w:rPr>
        <w:t>The Australian commercial sector of the real estate market has remained buoyant in Australia during 2006. The large institutional funds are still seeking out prime assets with premium prices being paid for good retail and commercial investments and development opportunities. Leasing interest in growth areas such as Brisbane is driving positive returns. Many large residential unit developments in Sydney and Melbourne have however resulted in some oversupply and this sector has softening values.</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pPr>
      <w:r>
        <w:rPr>
          <w:rStyle w:val="Emphasis"/>
          <w:rFonts w:ascii="Times New Roman" w:hAnsi="Times New Roman"/>
          <w:sz w:val="20"/>
          <w:u w:val="single"/>
        </w:rPr>
        <w:t>Real Estate - North America</w:t>
      </w:r>
    </w:p>
    <w:p>
      <w:pPr>
        <w:pStyle w:val="TextBody"/>
        <w:spacing w:lineRule="auto" w:line="300" w:before="0" w:after="0"/>
        <w:ind w:left="0" w:right="0" w:hanging="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In the U.S., our real estate interests are predominantly centered on our live theatre rental operations, with the exception of one property relating to a cinema asset that we operate. In addition our geographic focus of real estate holdings is narrowed to New York and Illinois, and there specifically Manhattan and Chicago.</w:t>
      </w:r>
    </w:p>
    <w:p>
      <w:pPr>
        <w:pStyle w:val="TextBody"/>
        <w:spacing w:lineRule="auto" w:line="300" w:before="0" w:after="0"/>
        <w:ind w:left="0" w:right="0" w:hanging="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The four properties that we own relative to our live theatre operations are therefore affected by i) our ability to secure the right live production and ii) the potential for redevelopment of any one site. Any ancillary rental stream, which would be affected by the general state of the US property market, is minor compared to that. Likewise, the rental stream of the one cinema that we own depends solely on our cinema operation, and its value to us depends on this and its redevelopment potential.</w:t>
      </w:r>
    </w:p>
    <w:p>
      <w:pPr>
        <w:pStyle w:val="TextBody"/>
        <w:spacing w:lineRule="auto" w:line="300" w:before="0" w:after="0"/>
        <w:ind w:left="0" w:right="0" w:hanging="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 xml:space="preserve">The market for redevelopment sites in Manhattan and Chicago will likely stabilize from the rapid rise in appreciation values over the past few years. </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u w:val="single"/>
        </w:rPr>
      </w:pPr>
      <w:r>
        <w:rPr>
          <w:rFonts w:ascii="Times New Roman" w:hAnsi="Times New Roman"/>
          <w:sz w:val="20"/>
          <w:u w:val="single"/>
        </w:rPr>
        <w:t>Business Segments</w:t>
      </w:r>
    </w:p>
    <w:p>
      <w:pPr>
        <w:pStyle w:val="TextBody"/>
        <w:spacing w:lineRule="auto" w:line="300" w:before="0" w:after="0"/>
        <w:ind w:left="0" w:right="0" w:hanging="0"/>
        <w:jc w:val="both"/>
        <w:rPr/>
      </w:pPr>
      <w:r>
        <w:rPr/>
      </w:r>
    </w:p>
    <w:p>
      <w:pPr>
        <w:pStyle w:val="TextBody"/>
        <w:spacing w:lineRule="auto" w:line="300" w:before="0" w:after="0"/>
        <w:ind w:left="720" w:right="0" w:hanging="0"/>
        <w:jc w:val="both"/>
        <w:rPr>
          <w:rFonts w:ascii="Times New Roman" w:hAnsi="Times New Roman"/>
          <w:sz w:val="20"/>
        </w:rPr>
      </w:pPr>
      <w:bookmarkStart w:id="1087" w:name="TAB1431"/>
      <w:bookmarkEnd w:id="1087"/>
      <w:r>
        <w:rPr>
          <w:rFonts w:ascii="Times New Roman" w:hAnsi="Times New Roman"/>
          <w:sz w:val="20"/>
        </w:rPr>
        <w:t>As indicated above, our two primary business segments are cinema exhibition and the holding and development of real estate. These segments are summarized as follows: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088" w:name="PGBRK44"/>
      <w:bookmarkStart w:id="1089" w:name="PGBRK44"/>
      <w:bookmarkEnd w:id="108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90" w:name="FTR44"/>
      <w:bookmarkStart w:id="1091" w:name="FTR44"/>
      <w:bookmarkEnd w:id="109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92" w:name="GLFTR44"/>
      <w:bookmarkStart w:id="1093" w:name="GLFTR44"/>
      <w:bookmarkEnd w:id="109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1094" w:name="PN44"/>
      <w:bookmarkEnd w:id="1094"/>
      <w:r>
        <w:rPr>
          <w:rFonts w:ascii="Times New Roman" w:hAnsi="Times New Roman"/>
          <w:sz w:val="16"/>
        </w:rPr>
        <w:t>-44-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95" w:name="HDR44"/>
      <w:bookmarkStart w:id="1096" w:name="HDR44"/>
      <w:bookmarkEnd w:id="109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1097" w:name="GLHDR44"/>
        <w:bookmarkEnd w:id="1097"/>
        <w:r>
          <w:rPr>
            <w:rStyle w:val="Emphasis"/>
            <w:rFonts w:ascii="Times New Roman" w:hAnsi="Times New Roman"/>
            <w:color w:val="000000"/>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pStyle w:val="TextBody"/>
        <w:spacing w:lineRule="auto" w:line="300" w:before="0" w:after="0"/>
        <w:ind w:left="0" w:right="0" w:hanging="0"/>
        <w:jc w:val="both"/>
        <w:rPr/>
      </w:pPr>
      <w:r>
        <w:rPr>
          <w:rStyle w:val="Emphasis"/>
          <w:rFonts w:ascii="Times New Roman" w:hAnsi="Times New Roman"/>
          <w:sz w:val="20"/>
          <w:u w:val="single"/>
        </w:rPr>
        <w:t>Cinema Exhibition</w:t>
      </w:r>
    </w:p>
    <w:p>
      <w:pPr>
        <w:pStyle w:val="TextBody"/>
        <w:spacing w:lineRule="auto" w:line="300" w:before="0" w:after="0"/>
        <w:ind w:left="0" w:right="0" w:hanging="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One of our primary businesses consists of the ownership and operation of cinemas. At December 31, 2006 we:</w:t>
      </w:r>
    </w:p>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098" w:name="hangingindent91"/>
      <w:bookmarkStart w:id="1099" w:name="hangingindent91"/>
      <w:bookmarkEnd w:id="1099"/>
    </w:p>
    <w:tbl>
      <w:tblPr>
        <w:tblW w:w="5000" w:type="pct"/>
        <w:jc w:val="center"/>
        <w:tblInd w:w="0" w:type="dxa"/>
        <w:tblCellMar>
          <w:top w:w="0" w:type="dxa"/>
          <w:left w:w="0" w:type="dxa"/>
          <w:bottom w:w="0" w:type="dxa"/>
          <w:right w:w="0" w:type="dxa"/>
        </w:tblCellMar>
      </w:tblPr>
      <w:tblGrid>
        <w:gridCol w:w="154"/>
        <w:gridCol w:w="244"/>
        <w:gridCol w:w="9807"/>
      </w:tblGrid>
      <w:tr>
        <w:trPr/>
        <w:tc>
          <w:tcPr>
            <w:tcW w:w="154" w:type="dxa"/>
            <w:tcBorders/>
            <w:shd w:fill="auto" w:val="clear"/>
          </w:tcPr>
          <w:p>
            <w:pPr>
              <w:pStyle w:val="TableContents"/>
              <w:spacing w:before="0" w:after="283"/>
              <w:rPr/>
            </w:pPr>
            <w:r>
              <w:rPr/>
              <w:t> </w:t>
            </w:r>
          </w:p>
        </w:tc>
        <w:tc>
          <w:tcPr>
            <w:tcW w:w="244"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980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directly operated 35 cinemas with 231 screens;</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100" w:name="hangingindent92"/>
      <w:bookmarkStart w:id="1101" w:name="hangingindent92"/>
      <w:bookmarkEnd w:id="1101"/>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had interests in certain unconsolidated joint ventures in which we have varying interests, which own an additional 7 cinemas with 46 screens;</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102" w:name="hangingindent93"/>
      <w:bookmarkStart w:id="1103" w:name="hangingindent93"/>
      <w:bookmarkEnd w:id="1103"/>
    </w:p>
    <w:tbl>
      <w:tblPr>
        <w:tblW w:w="5000" w:type="pct"/>
        <w:jc w:val="center"/>
        <w:tblInd w:w="0" w:type="dxa"/>
        <w:tblCellMar>
          <w:top w:w="0" w:type="dxa"/>
          <w:left w:w="0" w:type="dxa"/>
          <w:bottom w:w="0" w:type="dxa"/>
          <w:right w:w="0" w:type="dxa"/>
        </w:tblCellMar>
      </w:tblPr>
      <w:tblGrid>
        <w:gridCol w:w="203"/>
        <w:gridCol w:w="322"/>
        <w:gridCol w:w="9680"/>
      </w:tblGrid>
      <w:tr>
        <w:trPr/>
        <w:tc>
          <w:tcPr>
            <w:tcW w:w="203" w:type="dxa"/>
            <w:tcBorders/>
            <w:shd w:fill="auto" w:val="clear"/>
          </w:tcPr>
          <w:p>
            <w:pPr>
              <w:pStyle w:val="TableContents"/>
              <w:spacing w:before="0" w:after="283"/>
              <w:rPr/>
            </w:pPr>
            <w:r>
              <w:rPr/>
              <w:t> </w:t>
            </w:r>
          </w:p>
        </w:tc>
        <w:tc>
          <w:tcPr>
            <w:tcW w:w="322"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968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managed 2 cinemas with 9 screens;</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104" w:name="hangingindent94"/>
      <w:bookmarkStart w:id="1105" w:name="hangingindent94"/>
      <w:bookmarkEnd w:id="1105"/>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had entered into an agreement for lease with respect to a new 8-screen cinema currently under development in a regional shopping center located in a fast growing suburban area in Australia. It is anticipated that this cinema will open in March 2008; and</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106" w:name="hangingindent95"/>
      <w:bookmarkStart w:id="1107" w:name="hangingindent95"/>
      <w:bookmarkEnd w:id="1107"/>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had obtained the final governmental approvals required for the construction of the approximately 33,000 square foot cinema component of our Newmarket ETRC.</w:t>
            </w:r>
          </w:p>
        </w:tc>
      </w:tr>
    </w:tbl>
    <w:p>
      <w:pPr>
        <w:pStyle w:val="TextBody"/>
        <w:spacing w:lineRule="auto" w:line="300" w:before="0" w:after="0"/>
        <w:ind w:left="0" w:right="0" w:firstLine="72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Our cinema revenue consists of admissions, concessions and advertising. The cinema operating expense consists of the costs directly attributable to the operation of the cinemas including employee-related, occupancy and operating costs and film rent expense. Cinema revenue and expense fluctuates with the availability of quality first-run films and the numbers of weeks the first-run films stay in the market.</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pPr>
      <w:r>
        <w:rPr>
          <w:rStyle w:val="Emphasis"/>
          <w:rFonts w:ascii="Times New Roman" w:hAnsi="Times New Roman"/>
          <w:sz w:val="20"/>
          <w:u w:val="single"/>
        </w:rPr>
        <w:t>Rental Real Estate Holdings</w:t>
      </w:r>
    </w:p>
    <w:p>
      <w:pPr>
        <w:pStyle w:val="TextBody"/>
        <w:spacing w:lineRule="auto" w:line="300" w:before="0" w:after="0"/>
        <w:ind w:left="0" w:right="0" w:hanging="0"/>
        <w:jc w:val="both"/>
        <w:rPr/>
      </w:pPr>
      <w:r>
        <w:rPr/>
        <w:t> </w:t>
      </w:r>
    </w:p>
    <w:p>
      <w:pPr>
        <w:pStyle w:val="TextBody"/>
        <w:spacing w:lineRule="auto" w:line="300" w:before="0" w:after="0"/>
        <w:ind w:left="720" w:right="0" w:hanging="0"/>
        <w:jc w:val="both"/>
        <w:rPr>
          <w:rFonts w:ascii="Times New Roman" w:hAnsi="Times New Roman"/>
          <w:sz w:val="20"/>
        </w:rPr>
      </w:pPr>
      <w:bookmarkStart w:id="1108" w:name="TAB1432"/>
      <w:bookmarkEnd w:id="1108"/>
      <w:r>
        <w:rPr>
          <w:rFonts w:ascii="Times New Roman" w:hAnsi="Times New Roman"/>
          <w:sz w:val="20"/>
        </w:rPr>
        <w:t>For fiscal 2006, our rental generating real estate holdings consisted of the following properties:</w:t>
      </w:r>
    </w:p>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109" w:name="hangingindent96"/>
      <w:bookmarkStart w:id="1110" w:name="hangingindent96"/>
      <w:bookmarkEnd w:id="1110"/>
    </w:p>
    <w:tbl>
      <w:tblPr>
        <w:tblW w:w="5000" w:type="pct"/>
        <w:jc w:val="center"/>
        <w:tblInd w:w="0" w:type="dxa"/>
        <w:tblCellMar>
          <w:top w:w="0" w:type="dxa"/>
          <w:left w:w="0" w:type="dxa"/>
          <w:bottom w:w="0" w:type="dxa"/>
          <w:right w:w="0" w:type="dxa"/>
        </w:tblCellMar>
      </w:tblPr>
      <w:tblGrid>
        <w:gridCol w:w="62"/>
        <w:gridCol w:w="99"/>
        <w:gridCol w:w="10044"/>
      </w:tblGrid>
      <w:tr>
        <w:trPr/>
        <w:tc>
          <w:tcPr>
            <w:tcW w:w="62" w:type="dxa"/>
            <w:tcBorders/>
            <w:shd w:fill="auto" w:val="clear"/>
          </w:tcPr>
          <w:p>
            <w:pPr>
              <w:pStyle w:val="TableContents"/>
              <w:spacing w:before="0" w:after="283"/>
              <w:rPr/>
            </w:pPr>
            <w:r>
              <w:rPr/>
              <w:t> </w:t>
            </w:r>
          </w:p>
        </w:tc>
        <w:tc>
          <w:tcPr>
            <w:tcW w:w="99"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4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our Belmont, Western Australia ETRC, our Auburn, New South Wales ETRC and our Wellington, New Zealand ETRC;</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111" w:name="hangingindent97"/>
      <w:bookmarkStart w:id="1112" w:name="hangingindent97"/>
      <w:bookmarkEnd w:id="1112"/>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our Newmarket shopping center in Newmarket, Queensland, a suburb of Brisbane. The center is ultimately intended to be an ETRC, and we recently obtained final government approvals for the construction of an approximately 33,000 square foot cinema as a part of the complex;</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113" w:name="hangingindent98"/>
      <w:bookmarkStart w:id="1114" w:name="hangingindent98"/>
      <w:bookmarkEnd w:id="1114"/>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three single auditorium live theaters in Manhattan (Minetta Lane, Orpheum, and Union Square) and a four auditorium live theater complex in Chicago (The Royal George) and, in the case of the Union Square and the Royal George their accompanying ancillary retail and commercial tenants; and</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115" w:name="hangingindent99"/>
      <w:bookmarkStart w:id="1116" w:name="hangingindent99"/>
      <w:bookmarkEnd w:id="1116"/>
    </w:p>
    <w:tbl>
      <w:tblPr>
        <w:tblW w:w="5000" w:type="pct"/>
        <w:jc w:val="center"/>
        <w:tblInd w:w="0" w:type="dxa"/>
        <w:tblCellMar>
          <w:top w:w="0" w:type="dxa"/>
          <w:left w:w="0" w:type="dxa"/>
          <w:bottom w:w="0" w:type="dxa"/>
          <w:right w:w="0" w:type="dxa"/>
        </w:tblCellMar>
      </w:tblPr>
      <w:tblGrid>
        <w:gridCol w:w="84"/>
        <w:gridCol w:w="133"/>
        <w:gridCol w:w="9988"/>
      </w:tblGrid>
      <w:tr>
        <w:trPr/>
        <w:tc>
          <w:tcPr>
            <w:tcW w:w="84" w:type="dxa"/>
            <w:tcBorders/>
            <w:shd w:fill="auto" w:val="clear"/>
          </w:tcPr>
          <w:p>
            <w:pPr>
              <w:pStyle w:val="TableContents"/>
              <w:spacing w:before="0" w:after="283"/>
              <w:rPr/>
            </w:pPr>
            <w:r>
              <w:rPr/>
              <w:t> </w:t>
            </w:r>
          </w:p>
        </w:tc>
        <w:tc>
          <w:tcPr>
            <w:tcW w:w="133"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998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ancillary retail and commercial tenants at some of our non-ETRC cinema properties.</w:t>
            </w:r>
          </w:p>
        </w:tc>
      </w:tr>
    </w:tbl>
    <w:p>
      <w:pPr>
        <w:pStyle w:val="TextBody"/>
        <w:spacing w:lineRule="auto" w:line="300" w:before="0" w:after="0"/>
        <w:ind w:left="0" w:right="0" w:firstLine="72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In addition, we have approximately 2.5 million square feet of unimproved real estate held for development in Australia and New Zealand, discussed in greater detail below, and certain unimproved land in the United States that was used in our historic activities. We also own an 8,783 square foot commercial building in Melbourne, which serves as our administrative headquarters for Australia and New Zealand.</w:t>
      </w:r>
    </w:p>
    <w:p>
      <w:pPr>
        <w:pStyle w:val="TextBody"/>
        <w:spacing w:lineRule="auto" w:line="300" w:before="0" w:after="0"/>
        <w:ind w:left="0" w:right="0" w:hanging="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In 2006, we acquired the following interests:</w:t>
      </w:r>
    </w:p>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117" w:name="hangingindent100"/>
      <w:bookmarkStart w:id="1118" w:name="hangingindent100"/>
      <w:bookmarkEnd w:id="1118"/>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left"/>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left"/>
              <w:rPr/>
            </w:pPr>
            <w:r>
              <w:rPr>
                <w:rStyle w:val="Emphasis"/>
                <w:rFonts w:ascii="Times New Roman" w:hAnsi="Times New Roman"/>
                <w:sz w:val="20"/>
              </w:rPr>
              <w:t xml:space="preserve">Indooroopilly Land. </w:t>
            </w:r>
            <w:r>
              <w:rPr>
                <w:rFonts w:ascii="Times New Roman" w:hAnsi="Times New Roman"/>
                <w:sz w:val="20"/>
              </w:rPr>
              <w:t>On September 18, 2006, we purchased a 0.3 acre property for $1.8 million (AUS$2.3 million) as part of our newly established Landplan Property Partners initiative. It is currently anticipated that the property will be redeveloped for commercial purposes.</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119" w:name="hangingindent101"/>
      <w:bookmarkStart w:id="1120" w:name="hangingindent101"/>
      <w:bookmarkEnd w:id="1120"/>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both"/>
              <w:rPr/>
            </w:pPr>
            <w:r>
              <w:rPr>
                <w:rStyle w:val="Emphasis"/>
                <w:rFonts w:ascii="Times New Roman" w:hAnsi="Times New Roman"/>
                <w:sz w:val="20"/>
              </w:rPr>
              <w:t xml:space="preserve">Moonee Ponds Land. </w:t>
            </w:r>
            <w:r>
              <w:rPr>
                <w:rFonts w:ascii="Times New Roman" w:hAnsi="Times New Roman"/>
                <w:sz w:val="20"/>
              </w:rPr>
              <w:t>On September 1, 2006, we purchased two parcels of land aggregating 0.4 acres adjacent to our Moonee Ponds property for $2.5 million (AUS$3.3 million). This acquisition increases our holdings at Moonee Ponds to 3.1 acres and gives us frontage facing the principal transit station servicing the area. We are currently working to finalize plans for the development of this property into a mixed use entertainment based retail and commercial complex.</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121" w:name="hangingindent102"/>
      <w:bookmarkStart w:id="1122" w:name="hangingindent102"/>
      <w:bookmarkEnd w:id="1122"/>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both"/>
              <w:rPr/>
            </w:pPr>
            <w:r>
              <w:rPr>
                <w:rStyle w:val="Emphasis"/>
                <w:rFonts w:ascii="Times New Roman" w:hAnsi="Times New Roman"/>
                <w:sz w:val="20"/>
              </w:rPr>
              <w:t>Malulani Investments</w:t>
            </w:r>
            <w:r>
              <w:rPr>
                <w:rFonts w:ascii="Times New Roman" w:hAnsi="Times New Roman"/>
                <w:sz w:val="20"/>
              </w:rPr>
              <w:t>. On June 28, 2006, we acquired for $1.8 million, an 18.4% equity interest in Malulani Investments, Limited (“MIL”), a closely held Hawaiian company which currently owns approximately 763,000 square feet of developed commercial real estate principally in California, Hawaii and Texas, and approximately 22,000 acres of agricultural land in Northern California. Included among</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123" w:name="PGBRK45"/>
      <w:bookmarkStart w:id="1124" w:name="PGBRK45"/>
      <w:bookmarkEnd w:id="112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25" w:name="FTR45"/>
      <w:bookmarkStart w:id="1126" w:name="FTR45"/>
      <w:bookmarkEnd w:id="112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27" w:name="GLFTR45"/>
      <w:bookmarkStart w:id="1128" w:name="GLFTR45"/>
      <w:bookmarkEnd w:id="11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1129" w:name="PN45"/>
      <w:bookmarkEnd w:id="1129"/>
      <w:r>
        <w:rPr>
          <w:rFonts w:ascii="Times New Roman" w:hAnsi="Times New Roman"/>
          <w:sz w:val="16"/>
        </w:rPr>
        <w:t>-45-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30" w:name="HDR45"/>
      <w:bookmarkStart w:id="1131" w:name="HDR45"/>
      <w:bookmarkEnd w:id="113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1132" w:name="GLHDR45"/>
        <w:bookmarkEnd w:id="1132"/>
        <w:r>
          <w:rPr>
            <w:rStyle w:val="Emphasis"/>
            <w:rFonts w:ascii="Times New Roman" w:hAnsi="Times New Roman"/>
            <w:color w:val="000000"/>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pStyle w:val="Normal"/>
        <w:spacing w:before="0" w:after="0"/>
        <w:ind w:left="0" w:right="0" w:hanging="0"/>
        <w:rPr>
          <w:sz w:val="4"/>
          <w:szCs w:val="4"/>
        </w:rPr>
      </w:pPr>
      <w:r>
        <w:rPr>
          <w:sz w:val="4"/>
          <w:szCs w:val="4"/>
        </w:rPr>
      </w:r>
      <w:bookmarkStart w:id="1133" w:name="hangingindent103"/>
      <w:bookmarkStart w:id="1134" w:name="hangingindent103"/>
      <w:bookmarkEnd w:id="1134"/>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51" w:type="dxa"/>
            <w:tcBorders/>
            <w:shd w:fill="auto" w:val="clear"/>
          </w:tcPr>
          <w:p>
            <w:pPr>
              <w:pStyle w:val="TableContents"/>
              <w:spacing w:lineRule="auto" w:line="300" w:before="0" w:after="0"/>
              <w:ind w:left="0" w:right="0" w:hanging="0"/>
              <w:jc w:val="both"/>
              <w:rPr>
                <w:rFonts w:ascii="Times New Roman" w:hAnsi="Times New Roman"/>
                <w:sz w:val="20"/>
              </w:rPr>
            </w:pPr>
            <w:r>
              <w:rPr>
                <w:rFonts w:ascii="Times New Roman" w:hAnsi="Times New Roman"/>
                <w:sz w:val="20"/>
              </w:rPr>
              <w:t>MIL’s assets is the Guenoc Winery, consisting of approximately 400 acres of vineyard land and a winery equipped to bottle up to 120,000 cases of wine annually. This land and commercial real estate holdings are encumbered by debt.</w:t>
            </w:r>
          </w:p>
        </w:tc>
      </w:tr>
    </w:tbl>
    <w:p>
      <w:pPr>
        <w:pStyle w:val="TextBody"/>
        <w:spacing w:lineRule="auto" w:line="300" w:before="0" w:after="0"/>
        <w:jc w:val="both"/>
        <w:rPr/>
      </w:pPr>
      <w:r>
        <w:rPr/>
        <w:t> </w:t>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In 2005, we acquired the following real property interests:</w:t>
      </w:r>
    </w:p>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135" w:name="hangingindent104"/>
      <w:bookmarkStart w:id="1136" w:name="hangingindent104"/>
      <w:bookmarkEnd w:id="1136"/>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the 8,783 square foot commercial building in Melbourne, Australia which we use as the administrative headquarters for our operations in Australia and New Zealand; </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137" w:name="hangingindent105"/>
      <w:bookmarkStart w:id="1138" w:name="hangingindent105"/>
      <w:bookmarkEnd w:id="1138"/>
    </w:p>
    <w:tbl>
      <w:tblPr>
        <w:tblW w:w="5000" w:type="pct"/>
        <w:jc w:val="center"/>
        <w:tblInd w:w="0" w:type="dxa"/>
        <w:tblCellMar>
          <w:top w:w="0" w:type="dxa"/>
          <w:left w:w="0" w:type="dxa"/>
          <w:bottom w:w="0" w:type="dxa"/>
          <w:right w:w="0" w:type="dxa"/>
        </w:tblCellMar>
      </w:tblPr>
      <w:tblGrid>
        <w:gridCol w:w="61"/>
        <w:gridCol w:w="99"/>
        <w:gridCol w:w="10045"/>
      </w:tblGrid>
      <w:tr>
        <w:trPr/>
        <w:tc>
          <w:tcPr>
            <w:tcW w:w="61" w:type="dxa"/>
            <w:tcBorders/>
            <w:shd w:fill="auto" w:val="clear"/>
          </w:tcPr>
          <w:p>
            <w:pPr>
              <w:pStyle w:val="TableContents"/>
              <w:spacing w:before="0" w:after="283"/>
              <w:rPr/>
            </w:pPr>
            <w:r>
              <w:rPr/>
              <w:t> </w:t>
            </w:r>
          </w:p>
        </w:tc>
        <w:tc>
          <w:tcPr>
            <w:tcW w:w="99"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4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fee interest and the lessor’s interest in the ground lease underlying our Cinemas 1, 2 &amp; 3 property in Manhattan; and</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139" w:name="hangingindent106"/>
      <w:bookmarkStart w:id="1140" w:name="hangingindent106"/>
      <w:bookmarkEnd w:id="1140"/>
    </w:p>
    <w:tbl>
      <w:tblPr>
        <w:tblW w:w="5000" w:type="pct"/>
        <w:jc w:val="center"/>
        <w:tblInd w:w="0" w:type="dxa"/>
        <w:tblCellMar>
          <w:top w:w="0" w:type="dxa"/>
          <w:left w:w="0" w:type="dxa"/>
          <w:bottom w:w="0" w:type="dxa"/>
          <w:right w:w="0" w:type="dxa"/>
        </w:tblCellMar>
      </w:tblPr>
      <w:tblGrid>
        <w:gridCol w:w="127"/>
        <w:gridCol w:w="201"/>
        <w:gridCol w:w="9877"/>
      </w:tblGrid>
      <w:tr>
        <w:trPr/>
        <w:tc>
          <w:tcPr>
            <w:tcW w:w="127" w:type="dxa"/>
            <w:tcBorders/>
            <w:shd w:fill="auto" w:val="clear"/>
          </w:tcPr>
          <w:p>
            <w:pPr>
              <w:pStyle w:val="TableContents"/>
              <w:spacing w:before="0" w:after="283"/>
              <w:rPr/>
            </w:pPr>
            <w:r>
              <w:rPr/>
              <w:t> </w:t>
            </w:r>
          </w:p>
        </w:tc>
        <w:tc>
          <w:tcPr>
            <w:tcW w:w="201"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987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lessee’s interest in the Cinemas 1, 2 &amp; 3 ground lease.</w:t>
            </w:r>
          </w:p>
        </w:tc>
      </w:tr>
    </w:tbl>
    <w:p>
      <w:pPr>
        <w:pStyle w:val="TextBody"/>
        <w:spacing w:lineRule="auto" w:line="300" w:before="0" w:after="0"/>
        <w:ind w:left="0" w:right="0" w:hanging="0"/>
        <w:jc w:val="both"/>
        <w:rPr/>
      </w:pPr>
      <w:r>
        <w:rPr/>
      </w:r>
    </w:p>
    <w:p>
      <w:pPr>
        <w:pStyle w:val="TextBody"/>
        <w:spacing w:lineRule="auto" w:line="300" w:before="0" w:after="0"/>
        <w:ind w:left="0" w:right="0" w:hanging="0"/>
        <w:jc w:val="both"/>
        <w:rPr/>
      </w:pPr>
      <w:r>
        <w:rPr>
          <w:rStyle w:val="Emphasis"/>
          <w:rFonts w:ascii="Times New Roman" w:hAnsi="Times New Roman"/>
          <w:sz w:val="20"/>
          <w:u w:val="single"/>
        </w:rPr>
        <w:t>Property Held For or Under Development</w:t>
      </w:r>
    </w:p>
    <w:p>
      <w:pPr>
        <w:pStyle w:val="TextBody"/>
        <w:spacing w:lineRule="auto" w:line="300" w:before="0" w:after="0"/>
        <w:ind w:left="0" w:right="0" w:firstLine="720"/>
        <w:jc w:val="both"/>
        <w:rPr/>
      </w:pPr>
      <w:r>
        <w:rPr/>
      </w:r>
    </w:p>
    <w:p>
      <w:pPr>
        <w:pStyle w:val="TextBody"/>
        <w:spacing w:lineRule="auto" w:line="300" w:before="0" w:after="0"/>
        <w:ind w:left="720" w:right="0" w:hanging="0"/>
        <w:jc w:val="both"/>
        <w:rPr>
          <w:rFonts w:ascii="Times New Roman" w:hAnsi="Times New Roman"/>
          <w:sz w:val="20"/>
        </w:rPr>
      </w:pPr>
      <w:bookmarkStart w:id="1141" w:name="TAB1433"/>
      <w:bookmarkEnd w:id="1141"/>
      <w:r>
        <w:rPr>
          <w:rFonts w:ascii="Times New Roman" w:hAnsi="Times New Roman"/>
          <w:sz w:val="20"/>
        </w:rPr>
        <w:t>For fiscal 2006, our investments in property held for or under development consisted of:</w:t>
      </w:r>
    </w:p>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142" w:name="hangingindent107"/>
      <w:bookmarkStart w:id="1143" w:name="hangingindent107"/>
      <w:bookmarkEnd w:id="1143"/>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an approximately 50.6 acre property located in the Burwood area of Melbourne, Australia, recently rezoned from an essentially industrial zone to a priority zone allowing a variety of retail, entertainment, commercial and residential uses and currently in the planning stages of development;</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144" w:name="hangingindent108"/>
      <w:bookmarkStart w:id="1145" w:name="hangingindent108"/>
      <w:bookmarkEnd w:id="1145"/>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an approximately 3.1 acre property located in the Moonee Ponds area of Melbourne, Australia. We are currently working to finalize plans for the development of this property into a mixed use entertainment based retail and commercial complex;</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146" w:name="hangingindent109"/>
      <w:bookmarkStart w:id="1147" w:name="hangingindent109"/>
      <w:bookmarkEnd w:id="1147"/>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an approximately 2.1 acre property located next to our Auburn ETRC in the Auburn area of Sydney, Australia. This property is in an area adjacent to the 2000 Olympic Village in Sydney and is currently being considered by local governmental authorities for significant up-zoning; </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148" w:name="hangingindent110"/>
      <w:bookmarkStart w:id="1149" w:name="hangingindent110"/>
      <w:bookmarkEnd w:id="1149"/>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an approximately 0.9 acre property located adjacent to the Courtenay Central ETRC in Wellington, New Zealand. We have received all necessary governmental approvals to develop the site for retail, commercial and entertainment purposes as Phase II of our existing ETRC. We anticipate the construction of an approximately 155,000 square foot retail project which, when completed, will be integrated into the common areas of our existing ETRC; </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150" w:name="hangingindent111"/>
      <w:bookmarkStart w:id="1151" w:name="hangingindent111"/>
      <w:bookmarkEnd w:id="1151"/>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both"/>
              <w:rPr/>
            </w:pPr>
            <w:r>
              <w:rPr>
                <w:rFonts w:ascii="Times New Roman" w:hAnsi="Times New Roman"/>
                <w:sz w:val="20"/>
              </w:rPr>
              <w:t>a 25% interest, representing an investment of $3.0 million, in the company redeveloping the site of our old Sutton Cinema site in Manhattan, New York. The property is being redeveloped as an approximately 100,000 square foot residential condominium project with ground floor retail and is being marketed under the name “</w:t>
            </w:r>
            <w:r>
              <w:rPr>
                <w:rStyle w:val="Emphasis"/>
                <w:rFonts w:ascii="Times New Roman" w:hAnsi="Times New Roman"/>
                <w:sz w:val="20"/>
              </w:rPr>
              <w:t>Place 57</w:t>
            </w:r>
            <w:r>
              <w:rPr>
                <w:rFonts w:ascii="Times New Roman" w:hAnsi="Times New Roman"/>
                <w:sz w:val="20"/>
              </w:rPr>
              <w:t>.” The partnership has closed on the sale of 59 condominiums during 2006, resulting in gross sales of $117.7 million and equity earnings from unconsolidated joint venture to us of $8.3 million. At December 31, 2006, 6 residential units were under contract of sale</w:t>
            </w:r>
            <w:r>
              <w:rPr/>
              <w:t xml:space="preserve"> </w:t>
            </w:r>
            <w:r>
              <w:rPr>
                <w:rFonts w:ascii="Times New Roman" w:hAnsi="Times New Roman"/>
                <w:sz w:val="20"/>
              </w:rPr>
              <w:t>and scheduled to close in 2007 while 2 of the residential units and the commercial unit were still available for sale; and</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152" w:name="hangingindent112"/>
      <w:bookmarkStart w:id="1153" w:name="hangingindent112"/>
      <w:bookmarkEnd w:id="1153"/>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 0.3 acre property with a two-story 3,464 square foot building Indooroopilly, Brisbane, Australia. The site is zoned for commercial purposes. We are currently seeking approval to develop a 27,868 square foot grade A commercial office building comprising five floors of office space and two basement levels of parking with 38 parking spaces. We plan to complete this project in July 2008.</w:t>
            </w:r>
          </w:p>
        </w:tc>
      </w:tr>
    </w:tbl>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u w:val="single"/>
        </w:rPr>
      </w:pPr>
      <w:r>
        <w:rPr>
          <w:rFonts w:ascii="Times New Roman" w:hAnsi="Times New Roman"/>
          <w:sz w:val="20"/>
          <w:u w:val="single"/>
        </w:rPr>
        <w:t>Recent Business Developments</w:t>
      </w:r>
    </w:p>
    <w:p>
      <w:pPr>
        <w:pStyle w:val="TextBody"/>
        <w:spacing w:lineRule="auto" w:line="300" w:before="0" w:after="0"/>
        <w:ind w:left="0" w:right="0" w:hanging="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We look to take advantage of those opportunities that may present themselves to expand strategically our existing cinema circuits. However, we do not intend to reach out for cinema assets or to grow simply for the sake of growing. Rather, we intend to be disciplined in our approach to acquiring and developing cinema assets.</w:t>
      </w:r>
    </w:p>
    <w:p>
      <w:pPr>
        <w:pStyle w:val="TextBody"/>
        <w:spacing w:lineRule="auto" w:line="300" w:before="0" w:after="0"/>
        <w:ind w:left="0" w:right="0" w:firstLine="72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154" w:name="PGBRK46"/>
      <w:bookmarkStart w:id="1155" w:name="PGBRK46"/>
      <w:bookmarkEnd w:id="115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56" w:name="FTR46"/>
      <w:bookmarkStart w:id="1157" w:name="FTR46"/>
      <w:bookmarkEnd w:id="115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58" w:name="GLFTR46"/>
      <w:bookmarkStart w:id="1159" w:name="GLFTR46"/>
      <w:bookmarkEnd w:id="115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1160" w:name="PN46"/>
      <w:bookmarkEnd w:id="1160"/>
      <w:r>
        <w:rPr>
          <w:rFonts w:ascii="Times New Roman" w:hAnsi="Times New Roman"/>
          <w:sz w:val="16"/>
        </w:rPr>
        <w:t>-46-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61" w:name="HDR46"/>
      <w:bookmarkStart w:id="1162" w:name="HDR46"/>
      <w:bookmarkEnd w:id="116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1163" w:name="GLHDR46"/>
        <w:bookmarkEnd w:id="1163"/>
        <w:r>
          <w:rPr>
            <w:rStyle w:val="Emphasis"/>
            <w:rFonts w:ascii="Times New Roman" w:hAnsi="Times New Roman"/>
            <w:color w:val="000000"/>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We have, in the past, and may, in the future, dispose of, or put to alternative use some or all of our interests in various operating assets, in order to maximize the values of such assets. Generally speaking, since the Consolidation, we have disposed of our non-cinema and non-real estate related assets so as to focus on our principal two businesses.</w:t>
      </w:r>
    </w:p>
    <w:p>
      <w:pPr>
        <w:pStyle w:val="TextBody"/>
        <w:spacing w:lineRule="auto" w:line="300" w:before="0" w:after="0"/>
        <w:ind w:left="0" w:right="0" w:hanging="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 xml:space="preserve">During the past 24 months, we have engaged in the following transactions which we believe are consistent with our business plan: </w:t>
      </w:r>
    </w:p>
    <w:p>
      <w:pPr>
        <w:pStyle w:val="TextBody"/>
        <w:spacing w:lineRule="auto" w:line="300" w:before="0" w:after="0"/>
        <w:ind w:left="0" w:right="0" w:firstLine="720"/>
        <w:jc w:val="both"/>
        <w:rPr/>
      </w:pPr>
      <w:r>
        <w:rPr/>
      </w:r>
    </w:p>
    <w:p>
      <w:pPr>
        <w:pStyle w:val="Normal"/>
        <w:spacing w:before="0" w:after="0"/>
        <w:rPr>
          <w:sz w:val="4"/>
          <w:szCs w:val="4"/>
        </w:rPr>
      </w:pPr>
      <w:r>
        <w:rPr>
          <w:sz w:val="4"/>
          <w:szCs w:val="4"/>
        </w:rPr>
      </w:r>
      <w:bookmarkStart w:id="1164" w:name="hangingindent113"/>
      <w:bookmarkStart w:id="1165" w:name="hangingindent113"/>
      <w:bookmarkEnd w:id="1165"/>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left"/>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left"/>
              <w:rPr/>
            </w:pPr>
            <w:r>
              <w:rPr>
                <w:rStyle w:val="Emphasis"/>
                <w:rFonts w:ascii="Times New Roman" w:hAnsi="Times New Roman"/>
                <w:sz w:val="20"/>
              </w:rPr>
              <w:t xml:space="preserve">Place 57, Manhattan. </w:t>
            </w:r>
            <w:r>
              <w:rPr>
                <w:rFonts w:ascii="Times New Roman" w:hAnsi="Times New Roman"/>
                <w:sz w:val="20"/>
              </w:rPr>
              <w:t>We own a 25% membership interest in the limited liability company that is developing the site of our former Sutton Cinema on 57</w:t>
            </w:r>
            <w:r>
              <w:rPr>
                <w:rFonts w:ascii="Times New Roman" w:hAnsi="Times New Roman"/>
                <w:position w:val="7"/>
                <w:sz w:val="16"/>
                <w:sz w:val="20"/>
              </w:rPr>
              <w:t>th</w:t>
            </w:r>
            <w:r>
              <w:rPr/>
              <w:t xml:space="preserve"> </w:t>
            </w:r>
            <w:r>
              <w:rPr>
                <w:rFonts w:ascii="Times New Roman" w:hAnsi="Times New Roman"/>
                <w:sz w:val="20"/>
              </w:rPr>
              <w:t>Street just east of 3</w:t>
            </w:r>
            <w:r>
              <w:rPr>
                <w:rFonts w:ascii="Times New Roman" w:hAnsi="Times New Roman"/>
                <w:position w:val="7"/>
                <w:sz w:val="16"/>
                <w:sz w:val="20"/>
              </w:rPr>
              <w:t>rd</w:t>
            </w:r>
            <w:r>
              <w:rPr/>
              <w:t xml:space="preserve"> </w:t>
            </w:r>
            <w:r>
              <w:rPr>
                <w:rFonts w:ascii="Times New Roman" w:hAnsi="Times New Roman"/>
                <w:sz w:val="20"/>
              </w:rPr>
              <w:t>Avenue in Manhattan, as a 100,000 square foot residential condominium tower, with ground floor retail. 59 of the residential units have now been sold, 6 residential units are under contract of sale, and 2 of the residential units and the commercial unit are still available for sale. At December 31, 2006, we had received distributions totaling $5.9 million from this project, and we currently anticipate that something in the area of an additional $5.6 million will be distributed during 2007 comprising profit and return of capital investment.</w:t>
            </w:r>
          </w:p>
        </w:tc>
      </w:tr>
    </w:tbl>
    <w:p>
      <w:pPr>
        <w:pStyle w:val="TextBody"/>
        <w:spacing w:lineRule="auto" w:line="300" w:before="0" w:after="0"/>
        <w:ind w:left="360" w:right="0" w:hanging="0"/>
        <w:jc w:val="left"/>
        <w:rPr/>
      </w:pPr>
      <w:r>
        <w:rPr/>
      </w:r>
    </w:p>
    <w:p>
      <w:pPr>
        <w:pStyle w:val="Normal"/>
        <w:spacing w:before="0" w:after="0"/>
        <w:rPr>
          <w:sz w:val="4"/>
          <w:szCs w:val="4"/>
        </w:rPr>
      </w:pPr>
      <w:r>
        <w:rPr>
          <w:sz w:val="4"/>
          <w:szCs w:val="4"/>
        </w:rPr>
      </w:r>
      <w:bookmarkStart w:id="1166" w:name="hangingindent114"/>
      <w:bookmarkStart w:id="1167" w:name="hangingindent114"/>
      <w:bookmarkEnd w:id="1167"/>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left"/>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left"/>
              <w:rPr/>
            </w:pPr>
            <w:r>
              <w:rPr>
                <w:rStyle w:val="Emphasis"/>
                <w:rFonts w:ascii="Times New Roman" w:hAnsi="Times New Roman"/>
                <w:sz w:val="20"/>
              </w:rPr>
              <w:t xml:space="preserve">Indooroopilly Land. </w:t>
            </w:r>
            <w:r>
              <w:rPr>
                <w:rFonts w:ascii="Times New Roman" w:hAnsi="Times New Roman"/>
                <w:sz w:val="20"/>
              </w:rPr>
              <w:t>On September 18, 2006, we purchased a 0.3 acre property for $1.8 million (AUS$2.3 million) as part of our newly established Landplan Property Partners initiative. It is currently anticipated that the property will be redeveloped for commercial purposes.</w:t>
            </w:r>
          </w:p>
        </w:tc>
      </w:tr>
    </w:tbl>
    <w:p>
      <w:pPr>
        <w:pStyle w:val="TextBody"/>
        <w:spacing w:lineRule="auto" w:line="300" w:before="0" w:after="0"/>
        <w:ind w:left="0" w:right="0" w:hanging="0"/>
        <w:jc w:val="left"/>
        <w:rPr/>
      </w:pPr>
      <w:r>
        <w:rPr/>
      </w:r>
    </w:p>
    <w:p>
      <w:pPr>
        <w:pStyle w:val="Normal"/>
        <w:spacing w:before="0" w:after="0"/>
        <w:rPr>
          <w:sz w:val="4"/>
          <w:szCs w:val="4"/>
        </w:rPr>
      </w:pPr>
      <w:r>
        <w:rPr>
          <w:sz w:val="4"/>
          <w:szCs w:val="4"/>
        </w:rPr>
      </w:r>
      <w:bookmarkStart w:id="1168" w:name="hangingindent115"/>
      <w:bookmarkStart w:id="1169" w:name="hangingindent115"/>
      <w:bookmarkEnd w:id="1169"/>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left"/>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left"/>
              <w:rPr/>
            </w:pPr>
            <w:r>
              <w:rPr>
                <w:rStyle w:val="Emphasis"/>
                <w:rFonts w:ascii="Times New Roman" w:hAnsi="Times New Roman"/>
                <w:sz w:val="20"/>
              </w:rPr>
              <w:t xml:space="preserve">Moonee Ponds Land. </w:t>
            </w:r>
            <w:r>
              <w:rPr>
                <w:rFonts w:ascii="Times New Roman" w:hAnsi="Times New Roman"/>
                <w:sz w:val="20"/>
              </w:rPr>
              <w:t>On September 1, 2006, we purchased two parcels of land aggregating 0.4 acres adjacent to our Moonee Ponds property for $2.5 million (AUS$3.3 million). This acquisition increases our holdings at Moonee Ponds to 3.1 acres and gives us frontage facing the principal transit station servicing the area. We are now in the process of developing the entire site and anticipate completion of this project in 2008.</w:t>
            </w:r>
          </w:p>
        </w:tc>
      </w:tr>
    </w:tbl>
    <w:p>
      <w:pPr>
        <w:pStyle w:val="TextBody"/>
        <w:spacing w:lineRule="auto" w:line="300" w:before="0" w:after="0"/>
        <w:ind w:left="0" w:right="0" w:hanging="0"/>
        <w:jc w:val="left"/>
        <w:rPr/>
      </w:pPr>
      <w:r>
        <w:rPr/>
      </w:r>
    </w:p>
    <w:p>
      <w:pPr>
        <w:pStyle w:val="Normal"/>
        <w:spacing w:before="0" w:after="0"/>
        <w:rPr>
          <w:sz w:val="4"/>
          <w:szCs w:val="4"/>
        </w:rPr>
      </w:pPr>
      <w:r>
        <w:rPr>
          <w:sz w:val="4"/>
          <w:szCs w:val="4"/>
        </w:rPr>
      </w:r>
      <w:bookmarkStart w:id="1170" w:name="hangingindent116"/>
      <w:bookmarkStart w:id="1171" w:name="hangingindent116"/>
      <w:bookmarkEnd w:id="1171"/>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left"/>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left"/>
              <w:rPr/>
            </w:pPr>
            <w:r>
              <w:rPr>
                <w:rStyle w:val="Emphasis"/>
                <w:rFonts w:ascii="Times New Roman" w:hAnsi="Times New Roman"/>
                <w:sz w:val="20"/>
              </w:rPr>
              <w:t>Berkeley Cinemas</w:t>
            </w:r>
            <w:r>
              <w:rPr>
                <w:rFonts w:ascii="Times New Roman" w:hAnsi="Times New Roman"/>
                <w:sz w:val="20"/>
              </w:rPr>
              <w:t xml:space="preserve">. On August 28, 2006, we sold to our joint venture partner our interest in the cinemas at Whangaparaoa, Takapuna and Mission Bay, New Zealand, the Berkeley Cinema Group, for $4.6 million (NZ$7.2 million) in cash and the assumption of $1.6 million (NZ$2.5 million) in debt. The sale resulted in a gain on sale of unconsolidated joint venture in 2006 of $3.4 million (NZ$5.4 million). See Note 11 - </w:t>
            </w:r>
            <w:r>
              <w:rPr>
                <w:rStyle w:val="Emphasis"/>
                <w:rFonts w:ascii="Times New Roman" w:hAnsi="Times New Roman"/>
                <w:sz w:val="20"/>
              </w:rPr>
              <w:t>Investments in and Advances to Unconsolidated Joint Ventures and Entities</w:t>
            </w:r>
            <w:r>
              <w:rPr/>
              <w:t xml:space="preserve"> </w:t>
            </w:r>
            <w:r>
              <w:rPr>
                <w:rFonts w:ascii="Times New Roman" w:hAnsi="Times New Roman"/>
                <w:sz w:val="20"/>
              </w:rPr>
              <w:t>for the Berkeley Cinema Group Condensed Balance Sheet and Statement of Operations.</w:t>
            </w:r>
          </w:p>
        </w:tc>
      </w:tr>
    </w:tbl>
    <w:p>
      <w:pPr>
        <w:pStyle w:val="TextBody"/>
        <w:spacing w:lineRule="auto" w:line="300" w:before="0" w:after="0"/>
        <w:ind w:left="0" w:right="0" w:hanging="0"/>
        <w:jc w:val="left"/>
        <w:rPr/>
      </w:pPr>
      <w:r>
        <w:rPr/>
      </w:r>
    </w:p>
    <w:p>
      <w:pPr>
        <w:pStyle w:val="TextBody"/>
        <w:spacing w:lineRule="auto" w:line="300" w:before="0" w:after="0"/>
        <w:ind w:left="720" w:right="0" w:hanging="0"/>
        <w:jc w:val="left"/>
        <w:rPr>
          <w:rFonts w:ascii="Times New Roman" w:hAnsi="Times New Roman"/>
          <w:sz w:val="20"/>
        </w:rPr>
      </w:pPr>
      <w:r>
        <w:rPr>
          <w:rFonts w:ascii="Times New Roman" w:hAnsi="Times New Roman"/>
          <w:sz w:val="20"/>
        </w:rPr>
        <w:t>Additionally, effective April 1, 2006, we purchased from our Joint Venture partner the 50% share that we did not already own of the Palms cinema located in Christchurch, New Zealand for cash of $2.6 million (NZ$4.1 million) and the proportionate share of assumed debt which amounted to $987,000 (NZ$1.6 million). This 8-screen, leasehold cinema had previously been included in our Berkeley Cinemas Joint Venture investment and was not previously consolidated for accounting purposes. Subsequent to April 1, 2006, we have consolidated this entity into our financial statements.</w:t>
      </w:r>
    </w:p>
    <w:p>
      <w:pPr>
        <w:pStyle w:val="TextBody"/>
        <w:spacing w:lineRule="auto" w:line="300" w:before="0" w:after="0"/>
        <w:ind w:left="0" w:right="0" w:firstLine="720"/>
        <w:jc w:val="both"/>
        <w:rPr/>
      </w:pPr>
      <w:r>
        <w:rPr/>
      </w:r>
    </w:p>
    <w:p>
      <w:pPr>
        <w:pStyle w:val="TextBody"/>
        <w:spacing w:lineRule="auto" w:line="300" w:before="0" w:after="0"/>
        <w:ind w:left="720" w:right="0" w:hanging="0"/>
        <w:jc w:val="both"/>
        <w:rPr>
          <w:rFonts w:ascii="Times New Roman" w:hAnsi="Times New Roman"/>
          <w:sz w:val="20"/>
        </w:rPr>
      </w:pPr>
      <w:r>
        <w:rPr>
          <w:rFonts w:ascii="Times New Roman" w:hAnsi="Times New Roman"/>
          <w:sz w:val="20"/>
        </w:rPr>
        <w:t xml:space="preserve">As a result of these transactions, the only cinema owned by this joint venture is the Botany Downs cinema, located in suburban Auckland. </w:t>
      </w:r>
    </w:p>
    <w:p>
      <w:pPr>
        <w:pStyle w:val="TextBody"/>
        <w:spacing w:lineRule="auto" w:line="300" w:before="0" w:after="0"/>
        <w:ind w:left="720" w:right="0" w:hanging="360"/>
        <w:jc w:val="both"/>
        <w:rPr/>
      </w:pPr>
      <w:r>
        <w:rPr/>
      </w:r>
    </w:p>
    <w:p>
      <w:pPr>
        <w:pStyle w:val="Normal"/>
        <w:spacing w:before="0" w:after="0"/>
        <w:rPr>
          <w:sz w:val="4"/>
          <w:szCs w:val="4"/>
        </w:rPr>
      </w:pPr>
      <w:r>
        <w:rPr>
          <w:sz w:val="4"/>
          <w:szCs w:val="4"/>
        </w:rPr>
      </w:r>
      <w:bookmarkStart w:id="1172" w:name="hangingindent117"/>
      <w:bookmarkStart w:id="1173" w:name="hangingindent117"/>
      <w:bookmarkEnd w:id="1173"/>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both"/>
              <w:rPr/>
            </w:pPr>
            <w:r>
              <w:rPr>
                <w:rStyle w:val="Emphasis"/>
                <w:rFonts w:ascii="Times New Roman" w:hAnsi="Times New Roman"/>
                <w:sz w:val="20"/>
              </w:rPr>
              <w:t xml:space="preserve">Malulani Investments, Ltd. </w:t>
            </w:r>
            <w:r>
              <w:rPr>
                <w:rFonts w:ascii="Times New Roman" w:hAnsi="Times New Roman"/>
                <w:sz w:val="20"/>
              </w:rPr>
              <w:t>On June 26, 2006, we acquired for $1.8 million, an 18.4% interest in a private real estate company with holdings principally in California, Texas and Hawaii including, the Guenoc Winery located on approximately 22,000 acres of land located in Northern California. This land and commercial real estate holdings are encumbered by debt.</w:t>
            </w:r>
          </w:p>
        </w:tc>
      </w:tr>
    </w:tbl>
    <w:p>
      <w:pPr>
        <w:pStyle w:val="TextBody"/>
        <w:spacing w:lineRule="auto" w:line="300" w:before="0" w:after="0"/>
        <w:ind w:left="0" w:right="0" w:hanging="0"/>
        <w:jc w:val="both"/>
        <w:rPr/>
      </w:pPr>
      <w:r>
        <w:rPr/>
      </w:r>
    </w:p>
    <w:p>
      <w:pPr>
        <w:pStyle w:val="Normal"/>
        <w:spacing w:before="0" w:after="0"/>
        <w:rPr>
          <w:sz w:val="4"/>
          <w:szCs w:val="4"/>
        </w:rPr>
      </w:pPr>
      <w:r>
        <w:rPr>
          <w:sz w:val="4"/>
          <w:szCs w:val="4"/>
        </w:rPr>
      </w:r>
      <w:bookmarkStart w:id="1174" w:name="hangingindent118"/>
      <w:bookmarkStart w:id="1175" w:name="hangingindent118"/>
      <w:bookmarkEnd w:id="1175"/>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both"/>
              <w:rPr/>
            </w:pPr>
            <w:r>
              <w:rPr>
                <w:rStyle w:val="Emphasis"/>
                <w:rFonts w:ascii="Times New Roman" w:hAnsi="Times New Roman"/>
                <w:sz w:val="20"/>
              </w:rPr>
              <w:t>Queenstown Cinema</w:t>
            </w:r>
            <w:r>
              <w:rPr>
                <w:rFonts w:ascii="Times New Roman" w:hAnsi="Times New Roman"/>
                <w:sz w:val="20"/>
              </w:rPr>
              <w:t>. Effective February 23, 2006, we purchased a 3-screen leasehold cinema in Queenstown, New Zealand for $939,000 (NZ$1.4 million). We funded this acquisition through internal sources.</w:t>
            </w:r>
          </w:p>
        </w:tc>
      </w:tr>
    </w:tbl>
    <w:p>
      <w:pPr>
        <w:pStyle w:val="TextBody"/>
        <w:spacing w:lineRule="auto" w:line="300" w:before="0" w:after="0"/>
        <w:ind w:left="0" w:right="0" w:hanging="0"/>
        <w:jc w:val="both"/>
        <w:rPr/>
      </w:pPr>
      <w:r>
        <w:rPr/>
      </w:r>
    </w:p>
    <w:p>
      <w:pPr>
        <w:pStyle w:val="Normal"/>
        <w:spacing w:before="0" w:after="0"/>
        <w:rPr>
          <w:sz w:val="4"/>
          <w:szCs w:val="4"/>
        </w:rPr>
      </w:pPr>
      <w:r>
        <w:rPr>
          <w:sz w:val="4"/>
          <w:szCs w:val="4"/>
        </w:rPr>
      </w:r>
      <w:bookmarkStart w:id="1176" w:name="hangingindent119"/>
      <w:bookmarkStart w:id="1177" w:name="hangingindent119"/>
      <w:bookmarkEnd w:id="1177"/>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both"/>
              <w:rPr/>
            </w:pPr>
            <w:r>
              <w:rPr>
                <w:rStyle w:val="Emphasis"/>
                <w:rFonts w:ascii="Times New Roman" w:hAnsi="Times New Roman"/>
                <w:sz w:val="20"/>
              </w:rPr>
              <w:t>Newmarket Property</w:t>
            </w:r>
            <w:r>
              <w:rPr>
                <w:rFonts w:ascii="Times New Roman" w:hAnsi="Times New Roman"/>
                <w:sz w:val="20"/>
              </w:rPr>
              <w:t>: At the end of 2005 and during the first few months of 2006, we opened the retail elements of our Newmarket ETRC, a 100,373 square foot retail facility situated on an approximately 177,497 square foot parcel in Newmarket, a suburban of Brisbane. The total construction costs for the site were $26.7 million (AUS$34.2 million) including $1.4 million (AUS$1.9 million) of capitalized interest. This project was funded through our $78.8 million (AUS$100.0 million) Australian Corporate Credit Facility with the Bank of Western Australia, Ltd.</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178" w:name="PGBRK47"/>
      <w:bookmarkStart w:id="1179" w:name="PGBRK47"/>
      <w:bookmarkEnd w:id="117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80" w:name="FTR47"/>
      <w:bookmarkStart w:id="1181" w:name="FTR47"/>
      <w:bookmarkEnd w:id="118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82" w:name="GLFTR47"/>
      <w:bookmarkStart w:id="1183" w:name="GLFTR47"/>
      <w:bookmarkEnd w:id="118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1184" w:name="PN47"/>
      <w:bookmarkEnd w:id="1184"/>
      <w:r>
        <w:rPr>
          <w:rFonts w:ascii="Times New Roman" w:hAnsi="Times New Roman"/>
          <w:sz w:val="16"/>
        </w:rPr>
        <w:t>-47-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85" w:name="HDR47"/>
      <w:bookmarkStart w:id="1186" w:name="HDR47"/>
      <w:bookmarkEnd w:id="118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1187" w:name="GLHDR47"/>
        <w:bookmarkEnd w:id="1187"/>
        <w:r>
          <w:rPr>
            <w:rStyle w:val="Emphasis"/>
            <w:rFonts w:ascii="Times New Roman" w:hAnsi="Times New Roman"/>
            <w:color w:val="000000"/>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pStyle w:val="Normal"/>
        <w:spacing w:before="0" w:after="0"/>
        <w:rPr>
          <w:sz w:val="4"/>
          <w:szCs w:val="4"/>
        </w:rPr>
      </w:pPr>
      <w:r>
        <w:rPr>
          <w:sz w:val="4"/>
          <w:szCs w:val="4"/>
        </w:rPr>
      </w:r>
      <w:bookmarkStart w:id="1188" w:name="hangingindent120"/>
      <w:bookmarkStart w:id="1189" w:name="hangingindent120"/>
      <w:bookmarkEnd w:id="1189"/>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both"/>
              <w:rPr/>
            </w:pPr>
            <w:r>
              <w:rPr>
                <w:rStyle w:val="Emphasis"/>
                <w:rFonts w:ascii="Times New Roman" w:hAnsi="Times New Roman"/>
                <w:sz w:val="20"/>
              </w:rPr>
              <w:t>Elizabeth Cinema</w:t>
            </w:r>
            <w:r>
              <w:rPr>
                <w:rFonts w:ascii="Times New Roman" w:hAnsi="Times New Roman"/>
                <w:sz w:val="20"/>
              </w:rPr>
              <w:t>: We opened on October 20, 2005 our 8-screen leasehold cinema in Adelaide, Australia. The cost to us of the fit-out of this cinema was $2.2 million (AUS$2.9 million) and was funded from internal sources.</w:t>
            </w:r>
          </w:p>
        </w:tc>
      </w:tr>
    </w:tbl>
    <w:p>
      <w:pPr>
        <w:pStyle w:val="TextBody"/>
        <w:spacing w:lineRule="auto" w:line="300" w:before="0" w:after="0"/>
        <w:ind w:left="0" w:right="0" w:hanging="0"/>
        <w:jc w:val="both"/>
        <w:rPr/>
      </w:pPr>
      <w:r>
        <w:rPr/>
      </w:r>
    </w:p>
    <w:p>
      <w:pPr>
        <w:pStyle w:val="Normal"/>
        <w:spacing w:before="0" w:after="0"/>
        <w:rPr>
          <w:sz w:val="4"/>
          <w:szCs w:val="4"/>
        </w:rPr>
      </w:pPr>
      <w:r>
        <w:rPr>
          <w:sz w:val="4"/>
          <w:szCs w:val="4"/>
        </w:rPr>
      </w:r>
      <w:bookmarkStart w:id="1190" w:name="hangingindent121"/>
      <w:bookmarkStart w:id="1191" w:name="hangingindent121"/>
      <w:bookmarkEnd w:id="1191"/>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both"/>
              <w:rPr/>
            </w:pPr>
            <w:r>
              <w:rPr>
                <w:rStyle w:val="Emphasis"/>
                <w:rFonts w:ascii="Times New Roman" w:hAnsi="Times New Roman"/>
                <w:sz w:val="20"/>
              </w:rPr>
              <w:t>Rialto Entertainment</w:t>
            </w:r>
            <w:r>
              <w:rPr>
                <w:rFonts w:ascii="Times New Roman" w:hAnsi="Times New Roman"/>
                <w:sz w:val="20"/>
              </w:rPr>
              <w:t>: Effective October 1, 2005, we purchased, indirectly, beneficial ownership of 100% of the stock of Rialto Entertainment for $4.8 million (NZ$6.9 million). Rialto Entertainment is a 50% joint venture partner with Village Roadshow Ltd (“Village”) and SkyCity Leisure Ltd (“Sky”) in Rialto Cinemas, the largest art cinema circuit in New Zealand. The joint venture owns or manages five leasehold cinemas with 22 screens in the New Zealand cities of Auckland, Christchurch, Wellington, Dunedin and Hamilton.</w:t>
            </w:r>
          </w:p>
        </w:tc>
      </w:tr>
    </w:tbl>
    <w:p>
      <w:pPr>
        <w:pStyle w:val="TextBody"/>
        <w:spacing w:lineRule="auto" w:line="300" w:before="0" w:after="0"/>
        <w:ind w:left="0" w:right="0" w:hanging="0"/>
        <w:jc w:val="both"/>
        <w:rPr/>
      </w:pPr>
      <w:r>
        <w:rPr/>
      </w:r>
    </w:p>
    <w:p>
      <w:pPr>
        <w:pStyle w:val="Normal"/>
        <w:spacing w:before="0" w:after="0"/>
        <w:rPr>
          <w:sz w:val="4"/>
          <w:szCs w:val="4"/>
        </w:rPr>
      </w:pPr>
      <w:r>
        <w:rPr>
          <w:sz w:val="4"/>
          <w:szCs w:val="4"/>
        </w:rPr>
      </w:r>
      <w:bookmarkStart w:id="1192" w:name="hangingindent122"/>
      <w:bookmarkStart w:id="1193" w:name="hangingindent122"/>
      <w:bookmarkEnd w:id="1193"/>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both"/>
              <w:rPr/>
            </w:pPr>
            <w:r>
              <w:rPr>
                <w:rStyle w:val="Emphasis"/>
                <w:rFonts w:ascii="Times New Roman" w:hAnsi="Times New Roman"/>
                <w:sz w:val="20"/>
              </w:rPr>
              <w:t>Rialto Distribution</w:t>
            </w:r>
            <w:r>
              <w:rPr>
                <w:rFonts w:ascii="Times New Roman" w:hAnsi="Times New Roman"/>
                <w:sz w:val="20"/>
              </w:rPr>
              <w:t>: Effective October 1, 2005, we purchased for $694,000 (NZ$1.0 million) a 1/3 interest in Rialto Distribution. Rialto Distribution, an unincorporated joint venture, is engaged in the business of distributing art film in New Zealand and Australia.</w:t>
            </w:r>
          </w:p>
        </w:tc>
      </w:tr>
    </w:tbl>
    <w:p>
      <w:pPr>
        <w:pStyle w:val="TextBody"/>
        <w:spacing w:lineRule="auto" w:line="300" w:before="0" w:after="0"/>
        <w:ind w:left="0" w:right="0" w:hanging="0"/>
        <w:jc w:val="both"/>
        <w:rPr/>
      </w:pPr>
      <w:r>
        <w:rPr/>
      </w:r>
    </w:p>
    <w:p>
      <w:pPr>
        <w:pStyle w:val="Normal"/>
        <w:spacing w:before="0" w:after="0"/>
        <w:rPr>
          <w:sz w:val="4"/>
          <w:szCs w:val="4"/>
        </w:rPr>
      </w:pPr>
      <w:r>
        <w:rPr>
          <w:sz w:val="4"/>
          <w:szCs w:val="4"/>
        </w:rPr>
      </w:r>
      <w:bookmarkStart w:id="1194" w:name="hangingindent123"/>
      <w:bookmarkStart w:id="1195" w:name="hangingindent123"/>
      <w:bookmarkEnd w:id="1195"/>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both"/>
              <w:rPr/>
            </w:pPr>
            <w:r>
              <w:rPr>
                <w:rStyle w:val="Emphasis"/>
                <w:rFonts w:ascii="Times New Roman" w:hAnsi="Times New Roman"/>
                <w:sz w:val="20"/>
              </w:rPr>
              <w:t>Melbourne Office Building</w:t>
            </w:r>
            <w:r>
              <w:rPr>
                <w:rFonts w:ascii="Times New Roman" w:hAnsi="Times New Roman"/>
                <w:sz w:val="20"/>
              </w:rPr>
              <w:t>: On September 29, 2005, we purchased an office building in Melbourne, Australia for $2.0 million (AUS$2.6 million) to serve as our Australia headquarters, eliminating the need for leasehold administrative facilities in Australia, and reducing our general and administrative expenses by approximately $165,000 (AUS$226,000) per year.</w:t>
            </w:r>
          </w:p>
        </w:tc>
      </w:tr>
    </w:tbl>
    <w:p>
      <w:pPr>
        <w:pStyle w:val="TextBody"/>
        <w:spacing w:lineRule="auto" w:line="300" w:before="0" w:after="0"/>
        <w:ind w:left="0" w:right="0" w:hanging="0"/>
        <w:jc w:val="both"/>
        <w:rPr/>
      </w:pPr>
      <w:r>
        <w:rPr/>
      </w:r>
    </w:p>
    <w:p>
      <w:pPr>
        <w:pStyle w:val="Normal"/>
        <w:spacing w:before="0" w:after="0"/>
        <w:rPr>
          <w:sz w:val="4"/>
          <w:szCs w:val="4"/>
        </w:rPr>
      </w:pPr>
      <w:r>
        <w:rPr>
          <w:sz w:val="4"/>
          <w:szCs w:val="4"/>
        </w:rPr>
      </w:r>
      <w:bookmarkStart w:id="1196" w:name="hangingindent124"/>
      <w:bookmarkStart w:id="1197" w:name="hangingindent124"/>
      <w:bookmarkEnd w:id="1197"/>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both"/>
              <w:rPr/>
            </w:pPr>
            <w:r>
              <w:rPr>
                <w:rStyle w:val="Emphasis"/>
                <w:rFonts w:ascii="Times New Roman" w:hAnsi="Times New Roman"/>
                <w:sz w:val="20"/>
              </w:rPr>
              <w:t>Wilmington and Northern Property</w:t>
            </w:r>
            <w:r>
              <w:rPr>
                <w:rFonts w:ascii="Times New Roman" w:hAnsi="Times New Roman"/>
                <w:sz w:val="20"/>
              </w:rPr>
              <w:t>: On September 26, 2005, we sold the railroad right of way previously servicing the Wilmington and Northern Railroad for cash totaling $515,000. This property was one of several remaining tracks of railroad land, all of which are considered non-core assets under our current business plan. The sale resulted in a negligible loss during the third quarter and the property produced a nominal income per year.</w:t>
            </w:r>
          </w:p>
        </w:tc>
      </w:tr>
    </w:tbl>
    <w:p>
      <w:pPr>
        <w:pStyle w:val="TextBody"/>
        <w:spacing w:lineRule="auto" w:line="300" w:before="0" w:after="0"/>
        <w:ind w:left="0" w:right="0" w:hanging="0"/>
        <w:jc w:val="both"/>
        <w:rPr/>
      </w:pPr>
      <w:r>
        <w:rPr/>
      </w:r>
    </w:p>
    <w:p>
      <w:pPr>
        <w:pStyle w:val="Normal"/>
        <w:spacing w:before="0" w:after="0"/>
        <w:rPr>
          <w:sz w:val="4"/>
          <w:szCs w:val="4"/>
        </w:rPr>
      </w:pPr>
      <w:r>
        <w:rPr>
          <w:sz w:val="4"/>
          <w:szCs w:val="4"/>
        </w:rPr>
      </w:r>
      <w:bookmarkStart w:id="1198" w:name="hangingindent125"/>
      <w:bookmarkStart w:id="1199" w:name="hangingindent125"/>
      <w:bookmarkEnd w:id="1199"/>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both"/>
              <w:rPr/>
            </w:pPr>
            <w:r>
              <w:rPr>
                <w:rStyle w:val="Emphasis"/>
                <w:rFonts w:ascii="Times New Roman" w:hAnsi="Times New Roman"/>
                <w:sz w:val="20"/>
              </w:rPr>
              <w:t>Cinemas 1, 2 &amp; 3:</w:t>
            </w:r>
            <w:r>
              <w:rPr/>
              <w:t xml:space="preserve"> </w:t>
            </w:r>
            <w:r>
              <w:rPr>
                <w:rFonts w:ascii="Times New Roman" w:hAnsi="Times New Roman"/>
                <w:sz w:val="20"/>
              </w:rPr>
              <w:t>On September 19, 2005, we acquired the tenant’s interest in the ground lease estate that lay between (i) our fee ownership of the underlying land and (ii) our possessory interest as the tenant in the building and improvements constituting the Cinemas 1, 2 &amp; 3 in Manhattan. This tenant’s ground lease interest was purchased from Sutton Hill Capital LLC (“SHC”) in exchange for a $9.0 million promissory note, bearing interest at a fixed rate of 8.25% and maturing on December 31, 2010. As SHC is a related party to our corporation, our Board’s Audit and Conflicts Committee, comprised entirely of outside independent directors, and subsequently our entire Board of Directors unanimously approved the purchase of the tenant’s ground lease interest. The Cinemas 1, 2 &amp; 3 is located on 3</w:t>
            </w:r>
            <w:r>
              <w:rPr>
                <w:rFonts w:ascii="Times New Roman" w:hAnsi="Times New Roman"/>
                <w:position w:val="7"/>
                <w:sz w:val="16"/>
                <w:sz w:val="20"/>
              </w:rPr>
              <w:t>rd</w:t>
            </w:r>
            <w:r>
              <w:rPr/>
              <w:t xml:space="preserve"> </w:t>
            </w:r>
            <w:r>
              <w:rPr>
                <w:rFonts w:ascii="Times New Roman" w:hAnsi="Times New Roman"/>
                <w:sz w:val="20"/>
              </w:rPr>
              <w:t>Avenue between 59</w:t>
            </w:r>
            <w:r>
              <w:rPr>
                <w:rFonts w:ascii="Times New Roman" w:hAnsi="Times New Roman"/>
                <w:position w:val="7"/>
                <w:sz w:val="16"/>
                <w:sz w:val="20"/>
              </w:rPr>
              <w:t>th</w:t>
            </w:r>
            <w:r>
              <w:rPr/>
              <w:t xml:space="preserve"> </w:t>
            </w:r>
            <w:r>
              <w:rPr>
                <w:rFonts w:ascii="Times New Roman" w:hAnsi="Times New Roman"/>
                <w:sz w:val="20"/>
              </w:rPr>
              <w:t>and 60</w:t>
            </w:r>
            <w:r>
              <w:rPr>
                <w:rFonts w:ascii="Times New Roman" w:hAnsi="Times New Roman"/>
                <w:position w:val="7"/>
                <w:sz w:val="16"/>
                <w:sz w:val="20"/>
              </w:rPr>
              <w:t>th</w:t>
            </w:r>
            <w:r>
              <w:rPr/>
              <w:t xml:space="preserve"> </w:t>
            </w:r>
            <w:r>
              <w:rPr>
                <w:rFonts w:ascii="Times New Roman" w:hAnsi="Times New Roman"/>
                <w:sz w:val="20"/>
              </w:rPr>
              <w:t>Streets.</w:t>
            </w:r>
          </w:p>
        </w:tc>
      </w:tr>
    </w:tbl>
    <w:p>
      <w:pPr>
        <w:pStyle w:val="TextBody"/>
        <w:spacing w:lineRule="auto" w:line="300" w:before="0" w:after="0"/>
        <w:ind w:left="360" w:right="0" w:hanging="0"/>
        <w:jc w:val="both"/>
        <w:rPr/>
      </w:pPr>
      <w:r>
        <w:rPr/>
      </w:r>
    </w:p>
    <w:p>
      <w:pPr>
        <w:pStyle w:val="TextBody"/>
        <w:spacing w:lineRule="auto" w:line="300" w:before="0" w:after="0"/>
        <w:ind w:left="720" w:right="0" w:hanging="0"/>
        <w:jc w:val="both"/>
        <w:rPr/>
      </w:pPr>
      <w:r>
        <w:rPr>
          <w:rFonts w:ascii="Times New Roman" w:hAnsi="Times New Roman"/>
          <w:sz w:val="20"/>
        </w:rPr>
        <w:t xml:space="preserve">The acquisition of the tenant’s ground lease interest finalizes the acquisition side of a tax deferred exchange under Section 1031 of the Internal Revenue Code designed to exchange our interest in our only non-entertainment oriented fee property in the United States for the fee interest underlying our leasehold estate in the Cinemas 1, 2 &amp; 3. The acquisition of this tenant’s ground lease interest and the Cinemas 1, 2 &amp; 3 Fee Interest described below has resulted in a book value of approximately $23.9 million and a tax basis of $10.4 million (which includes $1.3 million of option fees paid in 2000 as part of the City Cinemas Master Lease Agreement, see Note 10 - </w:t>
      </w:r>
      <w:r>
        <w:rPr>
          <w:rStyle w:val="Emphasis"/>
          <w:rFonts w:ascii="Times New Roman" w:hAnsi="Times New Roman"/>
          <w:sz w:val="20"/>
        </w:rPr>
        <w:t>Goodwill and Intangible Assets</w:t>
      </w:r>
      <w:r>
        <w:rPr>
          <w:rFonts w:ascii="Times New Roman" w:hAnsi="Times New Roman"/>
          <w:sz w:val="20"/>
        </w:rPr>
        <w:t xml:space="preserve">). </w:t>
      </w:r>
    </w:p>
    <w:p>
      <w:pPr>
        <w:pStyle w:val="TextBody"/>
        <w:spacing w:lineRule="auto" w:line="300" w:before="0" w:after="0"/>
        <w:ind w:left="720" w:right="0" w:hanging="0"/>
        <w:jc w:val="both"/>
        <w:rPr/>
      </w:pPr>
      <w:r>
        <w:rPr/>
      </w:r>
    </w:p>
    <w:p>
      <w:pPr>
        <w:pStyle w:val="TextBody"/>
        <w:spacing w:lineRule="auto" w:line="300" w:before="0" w:after="0"/>
        <w:ind w:left="720" w:right="0" w:hanging="0"/>
        <w:jc w:val="both"/>
        <w:rPr>
          <w:rFonts w:ascii="Times New Roman" w:hAnsi="Times New Roman"/>
          <w:sz w:val="20"/>
        </w:rPr>
      </w:pPr>
      <w:r>
        <w:rPr>
          <w:rFonts w:ascii="Times New Roman" w:hAnsi="Times New Roman"/>
          <w:sz w:val="20"/>
        </w:rPr>
        <w:t>On June 1, 2005, we acquired for $12.6 million the fee interest and the landlord’s ground lease interest underlying our Cinemas 1, 2 &amp; 3 property in Manhattan, as a part of a tax deferred exchange under Section 1031 of the Internal Revenue Code. The funds used for the acquisition came primarily from the sale proceeds of our Glendale, California office building. As a result of the acquisition of the fee interest, the landlord’s interest in the ground lease and the tenant’s interest in the ground lease, our effective rental expense with respect to the Cinemas 1, 2 &amp; 3 and the Village East cinema and of the building and equipment constituting the Cinemas 1, 2 &amp; 3 has decreased by approximately $1.0 million annually beginning September 30, 2005 to $945,000 per annum, virtually all of which is allocated to the rental of the Village East cinema.</w:t>
      </w:r>
    </w:p>
    <w:p>
      <w:pPr>
        <w:pStyle w:val="TextBody"/>
        <w:spacing w:lineRule="auto" w:line="300" w:before="0" w:after="0"/>
        <w:ind w:left="720" w:right="0" w:hanging="0"/>
        <w:jc w:val="both"/>
        <w:rPr/>
      </w:pPr>
      <w:r>
        <w:rPr/>
      </w:r>
    </w:p>
    <w:p>
      <w:pPr>
        <w:pStyle w:val="TextBody"/>
        <w:spacing w:lineRule="auto" w:line="300" w:before="0" w:after="0"/>
        <w:ind w:left="720" w:right="0" w:hanging="0"/>
        <w:jc w:val="both"/>
        <w:rPr>
          <w:rFonts w:ascii="Times New Roman" w:hAnsi="Times New Roman"/>
          <w:sz w:val="20"/>
        </w:rPr>
      </w:pPr>
      <w:r>
        <w:rPr>
          <w:rFonts w:ascii="Times New Roman" w:hAnsi="Times New Roman"/>
          <w:sz w:val="20"/>
        </w:rPr>
        <w:t>As part of the purchase of this ground lease interest, we have agreed in principal, as a part of our negotiations to acquire the land and the SHC interests in the Cinemas 1, 2 &amp; 3, to grant an option to Sutton Hill Capital, LLC, a limited liability company beneficially owned in equal 50/50 shares by Messrs. James J.</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200" w:name="PGBRK48"/>
      <w:bookmarkStart w:id="1201" w:name="PGBRK48"/>
      <w:bookmarkEnd w:id="120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02" w:name="FTR48"/>
      <w:bookmarkStart w:id="1203" w:name="FTR48"/>
      <w:bookmarkEnd w:id="120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04" w:name="GLFTR48"/>
      <w:bookmarkStart w:id="1205" w:name="GLFTR48"/>
      <w:bookmarkEnd w:id="120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1206" w:name="PN48"/>
      <w:bookmarkEnd w:id="1206"/>
      <w:r>
        <w:rPr>
          <w:rFonts w:ascii="Times New Roman" w:hAnsi="Times New Roman"/>
          <w:sz w:val="16"/>
        </w:rPr>
        <w:t>-48-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07" w:name="HDR48"/>
      <w:bookmarkStart w:id="1208" w:name="HDR48"/>
      <w:bookmarkEnd w:id="120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1209" w:name="GLHDR48"/>
        <w:bookmarkEnd w:id="1209"/>
        <w:r>
          <w:rPr>
            <w:rStyle w:val="Emphasis"/>
            <w:rFonts w:ascii="Times New Roman" w:hAnsi="Times New Roman"/>
            <w:color w:val="000000"/>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300" w:before="0" w:after="0"/>
        <w:ind w:left="720" w:right="0" w:hanging="0"/>
        <w:jc w:val="both"/>
        <w:rPr>
          <w:rFonts w:ascii="Times New Roman" w:hAnsi="Times New Roman"/>
          <w:sz w:val="20"/>
        </w:rPr>
      </w:pPr>
      <w:r>
        <w:rPr>
          <w:rFonts w:ascii="Times New Roman" w:hAnsi="Times New Roman"/>
          <w:sz w:val="20"/>
        </w:rPr>
        <w:t xml:space="preserve">Cotter and Michael Forman to acquire, at cost, up to a 25% non-managing membership interest in the limited liability company that we formed to acquire these interests. In relation to this option, we have recorded a $3.7 million call option liability in our other liabilities at December 31, 2006. Mr. Cotter is our Chairman, Chief Executive Officer and controlling stockholder. Mr. Forman is a major holder of our Class A Stock. </w:t>
      </w:r>
    </w:p>
    <w:p>
      <w:pPr>
        <w:pStyle w:val="TextBody"/>
        <w:spacing w:lineRule="auto" w:line="300" w:before="0" w:after="0"/>
        <w:ind w:left="0" w:right="0" w:hanging="0"/>
        <w:jc w:val="both"/>
        <w:rPr/>
      </w:pPr>
      <w:r>
        <w:rPr/>
      </w:r>
    </w:p>
    <w:p>
      <w:pPr>
        <w:pStyle w:val="Normal"/>
        <w:spacing w:before="0" w:after="0"/>
        <w:rPr>
          <w:sz w:val="4"/>
          <w:szCs w:val="4"/>
        </w:rPr>
      </w:pPr>
      <w:r>
        <w:rPr>
          <w:sz w:val="4"/>
          <w:szCs w:val="4"/>
        </w:rPr>
      </w:r>
      <w:bookmarkStart w:id="1210" w:name="hangingindent126"/>
      <w:bookmarkStart w:id="1211" w:name="hangingindent126"/>
      <w:bookmarkEnd w:id="1211"/>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both"/>
              <w:rPr/>
            </w:pPr>
            <w:r>
              <w:rPr>
                <w:rStyle w:val="Emphasis"/>
                <w:rFonts w:ascii="Times New Roman" w:hAnsi="Times New Roman"/>
                <w:sz w:val="20"/>
              </w:rPr>
              <w:t>Puerto Rico Cinema Operations:</w:t>
            </w:r>
            <w:r>
              <w:rPr/>
              <w:t xml:space="preserve"> </w:t>
            </w:r>
            <w:r>
              <w:rPr>
                <w:rFonts w:ascii="Times New Roman" w:hAnsi="Times New Roman"/>
                <w:sz w:val="20"/>
              </w:rPr>
              <w:t>On June 8, 2005, we sold our assets and certain liabilities associated with our Puerto Rico cinema operations for $2.3 million resulting in a $1.6 million gain. Net losses of $1.8 million and $688,000 were included in the loss from discontinued operations for the years ending 2005 and 2004, respectively, relating to these operations. No material income tax provision arises from this transaction.</w:t>
            </w:r>
          </w:p>
        </w:tc>
      </w:tr>
    </w:tbl>
    <w:p>
      <w:pPr>
        <w:pStyle w:val="TextBody"/>
        <w:spacing w:lineRule="auto" w:line="300" w:before="0" w:after="0"/>
        <w:ind w:left="360" w:right="0" w:hanging="0"/>
        <w:jc w:val="both"/>
        <w:rPr/>
      </w:pPr>
      <w:r>
        <w:rPr/>
      </w:r>
    </w:p>
    <w:p>
      <w:pPr>
        <w:pStyle w:val="Normal"/>
        <w:spacing w:before="0" w:after="0"/>
        <w:rPr>
          <w:sz w:val="4"/>
          <w:szCs w:val="4"/>
        </w:rPr>
      </w:pPr>
      <w:r>
        <w:rPr>
          <w:sz w:val="4"/>
          <w:szCs w:val="4"/>
        </w:rPr>
      </w:r>
      <w:bookmarkStart w:id="1212" w:name="hangingindent127"/>
      <w:bookmarkStart w:id="1213" w:name="hangingindent127"/>
      <w:bookmarkEnd w:id="1213"/>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both"/>
              <w:rPr/>
            </w:pPr>
            <w:r>
              <w:rPr>
                <w:rStyle w:val="Emphasis"/>
                <w:rFonts w:ascii="Times New Roman" w:hAnsi="Times New Roman"/>
                <w:sz w:val="20"/>
              </w:rPr>
              <w:t xml:space="preserve">Glendale Building: </w:t>
            </w:r>
            <w:r>
              <w:rPr>
                <w:rFonts w:ascii="Times New Roman" w:hAnsi="Times New Roman"/>
                <w:sz w:val="20"/>
              </w:rPr>
              <w:t xml:space="preserve">On May 17, 2005, we sold our Glendale office building in Glendale, California for $10.3 million cash and $10.1 million of assumed debt resulting in a $12.0 million gain. All the cash proceeds from the sale were used in the purchase for $12.6 million of the Cinemas 1, 2 &amp; 3 fee interest and of the landlord’s interest in the ground lease, encumbering that land, as part of a tax-deferred exchange under Section 1031 of the Internal Revenue Code. </w:t>
            </w:r>
          </w:p>
        </w:tc>
      </w:tr>
    </w:tbl>
    <w:p>
      <w:pPr>
        <w:pStyle w:val="TextBody"/>
        <w:spacing w:lineRule="auto" w:line="300" w:before="0" w:after="0"/>
        <w:ind w:left="720" w:right="0" w:hanging="360"/>
        <w:jc w:val="both"/>
        <w:rPr/>
      </w:pPr>
      <w:r>
        <w:rPr/>
      </w:r>
    </w:p>
    <w:p>
      <w:pPr>
        <w:pStyle w:val="TextBody"/>
        <w:spacing w:lineRule="auto" w:line="300" w:before="0" w:after="0"/>
        <w:ind w:left="0" w:right="0" w:hanging="0"/>
        <w:jc w:val="both"/>
        <w:rPr>
          <w:rFonts w:ascii="Times New Roman" w:hAnsi="Times New Roman"/>
          <w:sz w:val="20"/>
          <w:u w:val="single"/>
        </w:rPr>
      </w:pPr>
      <w:r>
        <w:rPr>
          <w:rFonts w:ascii="Times New Roman" w:hAnsi="Times New Roman"/>
          <w:sz w:val="20"/>
          <w:u w:val="single"/>
        </w:rPr>
        <w:t>Critical Accounting Policies</w:t>
      </w:r>
    </w:p>
    <w:p>
      <w:pPr>
        <w:pStyle w:val="TextBody"/>
        <w:spacing w:lineRule="auto" w:line="300" w:before="0" w:after="0"/>
        <w:ind w:left="0" w:right="0" w:hanging="0"/>
        <w:jc w:val="both"/>
        <w:rPr/>
      </w:pPr>
      <w:r>
        <w:rPr/>
      </w:r>
    </w:p>
    <w:p>
      <w:pPr>
        <w:pStyle w:val="TextBody"/>
        <w:spacing w:lineRule="auto" w:line="300" w:before="0" w:after="0"/>
        <w:ind w:left="720" w:right="0" w:hanging="0"/>
        <w:jc w:val="both"/>
        <w:rPr>
          <w:rFonts w:ascii="Times New Roman" w:hAnsi="Times New Roman"/>
          <w:sz w:val="20"/>
        </w:rPr>
      </w:pPr>
      <w:bookmarkStart w:id="1214" w:name="TAB1434"/>
      <w:bookmarkEnd w:id="1214"/>
      <w:r>
        <w:rPr>
          <w:rFonts w:ascii="Times New Roman" w:hAnsi="Times New Roman"/>
          <w:sz w:val="20"/>
        </w:rPr>
        <w:t>The Securities and Exchange Commission defines critical accounting policies as those that are, in management’s view, most important to the portrayal of the company’s financial condition and results of operations and the most demanding in their calls on judgment. We believe our most critical accounting policies relate to:</w:t>
      </w:r>
    </w:p>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215" w:name="hangingindent128"/>
      <w:bookmarkStart w:id="1216" w:name="hangingindent128"/>
      <w:bookmarkEnd w:id="1216"/>
    </w:p>
    <w:tbl>
      <w:tblPr>
        <w:tblW w:w="5000" w:type="pct"/>
        <w:jc w:val="center"/>
        <w:tblInd w:w="0" w:type="dxa"/>
        <w:tblCellMar>
          <w:top w:w="0" w:type="dxa"/>
          <w:left w:w="0" w:type="dxa"/>
          <w:bottom w:w="0" w:type="dxa"/>
          <w:right w:w="0" w:type="dxa"/>
        </w:tblCellMar>
      </w:tblPr>
      <w:tblGrid>
        <w:gridCol w:w="98"/>
        <w:gridCol w:w="157"/>
        <w:gridCol w:w="9950"/>
      </w:tblGrid>
      <w:tr>
        <w:trPr/>
        <w:tc>
          <w:tcPr>
            <w:tcW w:w="98" w:type="dxa"/>
            <w:tcBorders/>
            <w:shd w:fill="auto" w:val="clear"/>
          </w:tcPr>
          <w:p>
            <w:pPr>
              <w:pStyle w:val="TableContents"/>
              <w:spacing w:before="0" w:after="283"/>
              <w:rPr/>
            </w:pPr>
            <w:r>
              <w:rPr/>
              <w:t> </w:t>
            </w:r>
          </w:p>
        </w:tc>
        <w:tc>
          <w:tcPr>
            <w:tcW w:w="157"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995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impairment of long-lived assets, including goodwill and intangible assets;</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217" w:name="hangingindent129"/>
      <w:bookmarkStart w:id="1218" w:name="hangingindent129"/>
      <w:bookmarkEnd w:id="1218"/>
    </w:p>
    <w:tbl>
      <w:tblPr>
        <w:tblW w:w="5000" w:type="pct"/>
        <w:jc w:val="center"/>
        <w:tblInd w:w="0" w:type="dxa"/>
        <w:tblCellMar>
          <w:top w:w="0" w:type="dxa"/>
          <w:left w:w="0" w:type="dxa"/>
          <w:bottom w:w="0" w:type="dxa"/>
          <w:right w:w="0" w:type="dxa"/>
        </w:tblCellMar>
      </w:tblPr>
      <w:tblGrid>
        <w:gridCol w:w="158"/>
        <w:gridCol w:w="252"/>
        <w:gridCol w:w="9795"/>
      </w:tblGrid>
      <w:tr>
        <w:trPr/>
        <w:tc>
          <w:tcPr>
            <w:tcW w:w="158" w:type="dxa"/>
            <w:tcBorders/>
            <w:shd w:fill="auto" w:val="clear"/>
          </w:tcPr>
          <w:p>
            <w:pPr>
              <w:pStyle w:val="TableContents"/>
              <w:spacing w:before="0" w:after="283"/>
              <w:rPr/>
            </w:pPr>
            <w:r>
              <w:rPr/>
              <w:t> </w:t>
            </w:r>
          </w:p>
        </w:tc>
        <w:tc>
          <w:tcPr>
            <w:tcW w:w="252"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979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tax valuation allowance and obligations; and</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219" w:name="hangingindent130"/>
      <w:bookmarkStart w:id="1220" w:name="hangingindent130"/>
      <w:bookmarkEnd w:id="1220"/>
    </w:p>
    <w:tbl>
      <w:tblPr>
        <w:tblW w:w="5000" w:type="pct"/>
        <w:jc w:val="center"/>
        <w:tblInd w:w="0" w:type="dxa"/>
        <w:tblCellMar>
          <w:top w:w="0" w:type="dxa"/>
          <w:left w:w="0" w:type="dxa"/>
          <w:bottom w:w="0" w:type="dxa"/>
          <w:right w:w="0" w:type="dxa"/>
        </w:tblCellMar>
      </w:tblPr>
      <w:tblGrid>
        <w:gridCol w:w="192"/>
        <w:gridCol w:w="306"/>
        <w:gridCol w:w="9707"/>
      </w:tblGrid>
      <w:tr>
        <w:trPr/>
        <w:tc>
          <w:tcPr>
            <w:tcW w:w="192" w:type="dxa"/>
            <w:tcBorders/>
            <w:shd w:fill="auto" w:val="clear"/>
          </w:tcPr>
          <w:p>
            <w:pPr>
              <w:pStyle w:val="TableContents"/>
              <w:spacing w:before="0" w:after="283"/>
              <w:rPr/>
            </w:pPr>
            <w:r>
              <w:rPr/>
              <w:t> </w:t>
            </w:r>
          </w:p>
        </w:tc>
        <w:tc>
          <w:tcPr>
            <w:tcW w:w="306"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970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legal and environmental obligations.</w:t>
            </w:r>
          </w:p>
        </w:tc>
      </w:tr>
    </w:tbl>
    <w:p>
      <w:pPr>
        <w:pStyle w:val="TextBody"/>
        <w:spacing w:lineRule="auto" w:line="300" w:before="0" w:after="0"/>
        <w:ind w:left="0" w:right="0" w:hanging="0"/>
        <w:jc w:val="both"/>
        <w:rPr/>
      </w:pPr>
      <w:r>
        <w:rPr/>
      </w:r>
    </w:p>
    <w:p>
      <w:pPr>
        <w:pStyle w:val="TextBody"/>
        <w:spacing w:lineRule="auto" w:line="300" w:before="0" w:after="0"/>
        <w:ind w:left="720" w:right="0" w:hanging="0"/>
        <w:jc w:val="both"/>
        <w:rPr>
          <w:rFonts w:ascii="Times New Roman" w:hAnsi="Times New Roman"/>
          <w:sz w:val="20"/>
        </w:rPr>
      </w:pPr>
      <w:bookmarkStart w:id="1221" w:name="TAB1435"/>
      <w:bookmarkEnd w:id="1221"/>
      <w:r>
        <w:rPr>
          <w:rFonts w:ascii="Times New Roman" w:hAnsi="Times New Roman"/>
          <w:sz w:val="20"/>
        </w:rPr>
        <w:t>We review long-lived assets, including goodwill and intangibles, for impairment as part of our annual budgeting process, in the fourth quarter, and whenever events or changes in circumstances indicate that the carrying amount of the asset may not be fully recoverable. We review internal management reports on a monthly basis as well as monitor current and potential future competition in film markets for indications of potential impairment. We evaluate our long-lived assets using historical and projected data of cash flow as our primary indicator of potential impairment and we take into consideration, the seasonality of our business. If the sum of the estimated future cash flows, undiscounted, were to be less than the carrying amount of the asset, then an impairment would be recognized for the amount by which the carrying value of the asset exceeds its estimated fair value based on a discounted cash flow calculation. Goodwill and intangible assets are evaluated on a reporting unit basis. The impairment evaluation is based on the present value of estimated future cash flows of the segment plus the expected terminal value. There are significant assumptions and estimates used in determining the future cash flows and terminal value. Accordingly, actual results could vary materially from such estimates. We had no impairment losses indicated or recorded for the year ended December 31, 2006.</w:t>
      </w:r>
    </w:p>
    <w:p>
      <w:pPr>
        <w:pStyle w:val="TextBody"/>
        <w:spacing w:lineRule="auto" w:line="300" w:before="0" w:after="0"/>
        <w:ind w:left="0" w:right="0" w:hanging="0"/>
        <w:jc w:val="both"/>
        <w:rPr/>
      </w:pPr>
      <w:r>
        <w:rPr/>
      </w:r>
    </w:p>
    <w:p>
      <w:pPr>
        <w:pStyle w:val="TextBody"/>
        <w:spacing w:lineRule="auto" w:line="300" w:before="0" w:after="0"/>
        <w:ind w:left="720" w:right="0" w:hanging="0"/>
        <w:jc w:val="both"/>
        <w:rPr>
          <w:rFonts w:ascii="Times New Roman" w:hAnsi="Times New Roman"/>
          <w:sz w:val="20"/>
        </w:rPr>
      </w:pPr>
      <w:bookmarkStart w:id="1222" w:name="TAB1436"/>
      <w:bookmarkEnd w:id="1222"/>
      <w:r>
        <w:rPr>
          <w:rFonts w:ascii="Times New Roman" w:hAnsi="Times New Roman"/>
          <w:sz w:val="20"/>
        </w:rPr>
        <w:t>We record our estimated future tax benefits and liabilities arising from the temporary differences between the tax bases of assets and liabilities and amounts reported in the accompanying consolidated balance sheets, as well as operating loss carry forwards. We estimate the recoverability of any tax assets recorded on the balance sheet and provide any necessary allowances as required. As of December 31, 2006, we had recorded approximately $56.2 million of deferred tax assets related to the temporary differences between the tax bases of assets and liabilities and amounts reported in the accompanying consolidated balance sheets, as well as operating loss carry forwards and tax credit carry forwards. These deferred tax assets were fully offset by a valuation allowance in the same amount, resulting in a net deferred tax asset of zero. The recoverability of deferred tax assets is dependent upon our ability to generate future taxable income. There is no assurance that sufficient future taxable income will be generated to benefit from our tax loss carry forwards and tax credit carry forwards.</w:t>
      </w:r>
    </w:p>
    <w:p>
      <w:pPr>
        <w:pStyle w:val="TextBody"/>
        <w:spacing w:lineRule="auto" w:line="300" w:before="0" w:after="0"/>
        <w:ind w:left="0" w:right="0" w:hanging="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 xml:space="preserve">Due to our historical involvement in the railroad industry under RDGE, we have a number of former employees of RDGE claiming monetary compensation for hearing loss, black lung and other asbestos related illness suffered as a result of their past employment with RDGE. With respect to the personal injury claims, our insurance carrier generally pays approximately 98% of the claims and we do not believe that we have a significant exposure.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223" w:name="PGBRK49"/>
      <w:bookmarkStart w:id="1224" w:name="PGBRK49"/>
      <w:bookmarkEnd w:id="122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25" w:name="FTR49"/>
      <w:bookmarkStart w:id="1226" w:name="FTR49"/>
      <w:bookmarkEnd w:id="122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27" w:name="GLFTR49"/>
      <w:bookmarkStart w:id="1228" w:name="GLFTR49"/>
      <w:bookmarkEnd w:id="12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1229" w:name="PN49"/>
      <w:bookmarkEnd w:id="1229"/>
      <w:r>
        <w:rPr>
          <w:rFonts w:ascii="Times New Roman" w:hAnsi="Times New Roman"/>
          <w:sz w:val="16"/>
        </w:rPr>
        <w:t>-49-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30" w:name="HDR49"/>
      <w:bookmarkStart w:id="1231" w:name="HDR49"/>
      <w:bookmarkEnd w:id="123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1232" w:name="GLHDR49"/>
        <w:bookmarkEnd w:id="1232"/>
        <w:r>
          <w:rPr>
            <w:rStyle w:val="Emphasis"/>
            <w:rFonts w:ascii="Times New Roman" w:hAnsi="Times New Roman"/>
            <w:color w:val="000000"/>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 xml:space="preserve">However, we can give no assurance that such reimbursement will continue. In addition, we have an environmental contamination dispute with the City of Philadelphia that has been on going for some time. We intend to defend vigorously our position, as we believe a complete disclosure about the property was made at the time we sold the property: however, no assurances can be given that we will prevail. </w:t>
      </w:r>
    </w:p>
    <w:p>
      <w:pPr>
        <w:pStyle w:val="TextBody"/>
        <w:spacing w:lineRule="auto" w:line="300" w:before="0" w:after="0"/>
        <w:ind w:left="0" w:right="0" w:firstLine="72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From time to time, we are involved with claims and lawsuits arising in the ordinary course of our business which may include contractual obligations; insurance claims; IRS claims; employment matters; and anti-trust issues, among other matters.</w:t>
      </w:r>
    </w:p>
    <w:p>
      <w:pPr>
        <w:pStyle w:val="TextBody"/>
        <w:spacing w:lineRule="auto" w:line="300" w:before="0" w:after="0"/>
        <w:ind w:left="720" w:right="0" w:hanging="0"/>
        <w:jc w:val="both"/>
        <w:rPr/>
      </w:pPr>
      <w:r>
        <w:rPr/>
        <w:t> </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pPr>
      <w:r>
        <w:rPr>
          <w:rStyle w:val="StrongEmphasis"/>
          <w:rFonts w:ascii="Times New Roman" w:hAnsi="Times New Roman"/>
          <w:sz w:val="20"/>
          <w:u w:val="single"/>
        </w:rPr>
        <w:t>Results of Operations</w:t>
      </w:r>
    </w:p>
    <w:p>
      <w:pPr>
        <w:pStyle w:val="TextBody"/>
        <w:spacing w:lineRule="auto" w:line="300" w:before="0" w:after="0"/>
        <w:ind w:left="0" w:right="0" w:hanging="0"/>
        <w:jc w:val="both"/>
        <w:rPr/>
      </w:pPr>
      <w:r>
        <w:rPr/>
      </w:r>
    </w:p>
    <w:p>
      <w:pPr>
        <w:pStyle w:val="TextBody"/>
        <w:spacing w:lineRule="auto" w:line="300" w:before="0" w:after="0"/>
        <w:ind w:left="720" w:right="0" w:hanging="0"/>
        <w:jc w:val="both"/>
        <w:rPr>
          <w:rFonts w:ascii="Times New Roman" w:hAnsi="Times New Roman"/>
          <w:sz w:val="20"/>
        </w:rPr>
      </w:pPr>
      <w:bookmarkStart w:id="1233" w:name="TAB1437"/>
      <w:bookmarkEnd w:id="1233"/>
      <w:r>
        <w:rPr>
          <w:rFonts w:ascii="Times New Roman" w:hAnsi="Times New Roman"/>
          <w:sz w:val="20"/>
        </w:rPr>
        <w:t xml:space="preserve">We currently operate two operating segments: Cinema and Real Estate. Our cinema segment includes the operations of our consolidated cinemas. Our real estate segment includes the operating results of our commercial real estate holdings, cinema real estate, live theater real estate and ETRCs. Effective the fourth quarter of 2006, we have changed the presentation of our segment reporting such that our intersegment revenues and expenses are reported separately from our segments’ operating activity. The effect of this change is to include intercompany rent revenues and rent expenses into their respective cinema and real estate business segments. The revenues and expenses for 2005 and 2004 have been adjusted to conform to the current year presentation. We believe that this presentation more accurately portrays how our operating decision makers’ view the operations, how they assess segment performance, and how they make decisions about allocating resources to the segments. </w:t>
      </w:r>
    </w:p>
    <w:p>
      <w:pPr>
        <w:pStyle w:val="TextBody"/>
        <w:spacing w:before="0" w:after="0"/>
        <w:rPr/>
      </w:pPr>
      <w:r>
        <w:rPr/>
        <w:t> </w:t>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 xml:space="preserve">The tables below summarize the results of operations for our principal business segments for the years ended December 31, 2006, 2005 and 2004 (dollars in thousands). </w:t>
      </w:r>
    </w:p>
    <w:p>
      <w:pPr>
        <w:pStyle w:val="TextBody"/>
        <w:spacing w:lineRule="auto" w:line="300" w:before="0" w:after="0"/>
        <w:ind w:left="0" w:right="0" w:firstLine="720"/>
        <w:jc w:val="both"/>
        <w:rPr/>
      </w:pPr>
      <w:r>
        <w:rPr/>
        <w:t> </w:t>
      </w:r>
    </w:p>
    <w:p>
      <w:pPr>
        <w:pStyle w:val="Normal"/>
        <w:spacing w:before="0" w:after="0"/>
        <w:ind w:left="0" w:right="0" w:firstLine="720"/>
        <w:rPr>
          <w:sz w:val="4"/>
          <w:szCs w:val="4"/>
        </w:rPr>
      </w:pPr>
      <w:r>
        <w:rPr>
          <w:sz w:val="4"/>
          <w:szCs w:val="4"/>
        </w:rPr>
      </w:r>
      <w:bookmarkStart w:id="1234" w:name="ftable6"/>
      <w:bookmarkStart w:id="1235" w:name="ftable6"/>
      <w:bookmarkEnd w:id="1235"/>
    </w:p>
    <w:tbl>
      <w:tblPr>
        <w:tblW w:w="5000" w:type="pct"/>
        <w:jc w:val="left"/>
        <w:tblInd w:w="0" w:type="dxa"/>
        <w:tblCellMar>
          <w:top w:w="0" w:type="dxa"/>
          <w:left w:w="0" w:type="dxa"/>
          <w:bottom w:w="28" w:type="dxa"/>
          <w:right w:w="0" w:type="dxa"/>
        </w:tblCellMar>
      </w:tblPr>
      <w:tblGrid>
        <w:gridCol w:w="4080"/>
        <w:gridCol w:w="187"/>
        <w:gridCol w:w="126"/>
        <w:gridCol w:w="1154"/>
        <w:gridCol w:w="194"/>
        <w:gridCol w:w="126"/>
        <w:gridCol w:w="1123"/>
        <w:gridCol w:w="187"/>
        <w:gridCol w:w="126"/>
        <w:gridCol w:w="1308"/>
        <w:gridCol w:w="193"/>
        <w:gridCol w:w="126"/>
        <w:gridCol w:w="1159"/>
        <w:gridCol w:w="116"/>
      </w:tblGrid>
      <w:tr>
        <w:trPr/>
        <w:tc>
          <w:tcPr>
            <w:tcW w:w="4080" w:type="dxa"/>
            <w:tcBorders>
              <w:bottom w:val="double" w:sz="2" w:space="0" w:color="000000"/>
            </w:tcBorders>
            <w:shd w:fill="auto" w:val="clear"/>
            <w:vAlign w:val="bottom"/>
          </w:tcPr>
          <w:p>
            <w:pPr>
              <w:pStyle w:val="TableContents"/>
              <w:spacing w:lineRule="auto" w:line="300" w:before="0" w:after="0"/>
              <w:ind w:left="0" w:right="0" w:hanging="0"/>
              <w:jc w:val="left"/>
              <w:rPr/>
            </w:pPr>
            <w:r>
              <w:rPr>
                <w:rStyle w:val="StrongEmphasis"/>
                <w:rFonts w:ascii="Times New Roman" w:hAnsi="Times New Roman"/>
                <w:sz w:val="20"/>
              </w:rPr>
              <w:t>Year Ended December 31, 2006</w:t>
            </w:r>
          </w:p>
        </w:tc>
        <w:tc>
          <w:tcPr>
            <w:tcW w:w="187" w:type="dxa"/>
            <w:tcBorders>
              <w:bottom w:val="single" w:sz="4" w:space="0" w:color="FFFFFF"/>
            </w:tcBorders>
            <w:shd w:fill="auto" w:val="clear"/>
            <w:vAlign w:val="center"/>
          </w:tcPr>
          <w:p>
            <w:pPr>
              <w:pStyle w:val="TableContents"/>
              <w:spacing w:before="0" w:after="283"/>
              <w:rPr/>
            </w:pPr>
            <w:r>
              <w:rPr/>
              <w:t> </w:t>
            </w:r>
          </w:p>
        </w:tc>
        <w:tc>
          <w:tcPr>
            <w:tcW w:w="1280"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Cinema</w:t>
            </w:r>
          </w:p>
        </w:tc>
        <w:tc>
          <w:tcPr>
            <w:tcW w:w="194" w:type="dxa"/>
            <w:tcBorders>
              <w:bottom w:val="single" w:sz="4" w:space="0" w:color="FFFFFF"/>
            </w:tcBorders>
            <w:shd w:fill="auto" w:val="clear"/>
            <w:vAlign w:val="bottom"/>
          </w:tcPr>
          <w:p>
            <w:pPr>
              <w:pStyle w:val="TableContents"/>
              <w:spacing w:before="0" w:after="283"/>
              <w:jc w:val="left"/>
              <w:rPr/>
            </w:pPr>
            <w:r>
              <w:rPr/>
              <w:t> </w:t>
            </w:r>
          </w:p>
        </w:tc>
        <w:tc>
          <w:tcPr>
            <w:tcW w:w="1249"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Real Estate</w:t>
            </w:r>
          </w:p>
        </w:tc>
        <w:tc>
          <w:tcPr>
            <w:tcW w:w="187" w:type="dxa"/>
            <w:tcBorders>
              <w:bottom w:val="single" w:sz="4" w:space="0" w:color="FFFFFF"/>
            </w:tcBorders>
            <w:shd w:fill="auto" w:val="clear"/>
            <w:vAlign w:val="bottom"/>
          </w:tcPr>
          <w:p>
            <w:pPr>
              <w:pStyle w:val="TableContents"/>
              <w:spacing w:before="0" w:after="283"/>
              <w:jc w:val="left"/>
              <w:rPr/>
            </w:pPr>
            <w:r>
              <w:rPr/>
              <w:t> </w:t>
            </w:r>
          </w:p>
        </w:tc>
        <w:tc>
          <w:tcPr>
            <w:tcW w:w="1434"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 xml:space="preserve">Intersegment </w:t>
            </w:r>
          </w:p>
          <w:p>
            <w:pPr>
              <w:pStyle w:val="TableContents"/>
              <w:spacing w:lineRule="auto" w:line="300" w:before="0" w:after="0"/>
              <w:ind w:left="0" w:right="0" w:hanging="0"/>
              <w:jc w:val="center"/>
              <w:rPr/>
            </w:pPr>
            <w:r>
              <w:rPr>
                <w:rStyle w:val="StrongEmphasis"/>
                <w:rFonts w:ascii="Times New Roman" w:hAnsi="Times New Roman"/>
                <w:sz w:val="20"/>
              </w:rPr>
              <w:t>Eliminations</w:t>
            </w:r>
          </w:p>
        </w:tc>
        <w:tc>
          <w:tcPr>
            <w:tcW w:w="193" w:type="dxa"/>
            <w:tcBorders>
              <w:bottom w:val="single" w:sz="4" w:space="0" w:color="FFFFFF"/>
            </w:tcBorders>
            <w:shd w:fill="auto" w:val="clear"/>
            <w:vAlign w:val="bottom"/>
          </w:tcPr>
          <w:p>
            <w:pPr>
              <w:pStyle w:val="TableContents"/>
              <w:spacing w:before="0" w:after="283"/>
              <w:jc w:val="left"/>
              <w:rPr/>
            </w:pPr>
            <w:r>
              <w:rPr/>
              <w:t> </w:t>
            </w:r>
          </w:p>
        </w:tc>
        <w:tc>
          <w:tcPr>
            <w:tcW w:w="1285"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Total</w:t>
            </w:r>
          </w:p>
        </w:tc>
        <w:tc>
          <w:tcPr>
            <w:tcW w:w="116" w:type="dxa"/>
            <w:tcBorders>
              <w:bottom w:val="single" w:sz="4" w:space="0" w:color="FFFFFF"/>
            </w:tcBorders>
            <w:shd w:fill="auto" w:val="clear"/>
            <w:vAlign w:val="bottom"/>
          </w:tcPr>
          <w:p>
            <w:pPr>
              <w:pStyle w:val="TableContents"/>
              <w:spacing w:before="0" w:after="283"/>
              <w:jc w:val="left"/>
              <w:rPr/>
            </w:pPr>
            <w:r>
              <w:rPr/>
              <w:t> </w:t>
            </w:r>
          </w:p>
        </w:tc>
      </w:tr>
      <w:tr>
        <w:trPr/>
        <w:tc>
          <w:tcPr>
            <w:tcW w:w="4080"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Revenue</w:t>
            </w:r>
          </w:p>
        </w:tc>
        <w:tc>
          <w:tcPr>
            <w:tcW w:w="187" w:type="dxa"/>
            <w:tcBorders/>
            <w:shd w:fill="CCEEFF" w:val="clear"/>
            <w:tcMar>
              <w:bottom w:w="0" w:type="dxa"/>
            </w:tcMar>
            <w:vAlign w:val="center"/>
          </w:tcPr>
          <w:p>
            <w:pPr>
              <w:pStyle w:val="TableContents"/>
              <w:spacing w:before="0" w:after="283"/>
              <w:rPr/>
            </w:pPr>
            <w:r>
              <w:rPr/>
              <w:t> </w:t>
            </w:r>
          </w:p>
        </w:tc>
        <w:tc>
          <w:tcPr>
            <w:tcW w:w="126"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bookmarkStart w:id="1236" w:name="TAB27"/>
            <w:bookmarkEnd w:id="1236"/>
          </w:p>
        </w:tc>
        <w:tc>
          <w:tcPr>
            <w:tcW w:w="1154"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237" w:name="TAB28"/>
            <w:bookmarkEnd w:id="1237"/>
            <w:r>
              <w:rPr>
                <w:rFonts w:ascii="Times New Roman" w:hAnsi="Times New Roman"/>
                <w:sz w:val="20"/>
              </w:rPr>
              <w:t>94,048</w:t>
            </w:r>
          </w:p>
        </w:tc>
        <w:tc>
          <w:tcPr>
            <w:tcW w:w="194" w:type="dxa"/>
            <w:tcBorders/>
            <w:shd w:fill="CCEEFF" w:val="clear"/>
            <w:tcMar>
              <w:bottom w:w="0" w:type="dxa"/>
            </w:tcMar>
            <w:vAlign w:val="bottom"/>
          </w:tcPr>
          <w:p>
            <w:pPr>
              <w:pStyle w:val="TableContents"/>
              <w:spacing w:before="0" w:after="283"/>
              <w:jc w:val="left"/>
              <w:rPr/>
            </w:pPr>
            <w:r>
              <w:rPr/>
              <w:t> </w:t>
            </w:r>
          </w:p>
        </w:tc>
        <w:tc>
          <w:tcPr>
            <w:tcW w:w="126"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bookmarkStart w:id="1238" w:name="TAB29"/>
            <w:bookmarkEnd w:id="1238"/>
          </w:p>
        </w:tc>
        <w:tc>
          <w:tcPr>
            <w:tcW w:w="1123"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239" w:name="TAB210"/>
            <w:bookmarkEnd w:id="1239"/>
            <w:r>
              <w:rPr>
                <w:rFonts w:ascii="Times New Roman" w:hAnsi="Times New Roman"/>
                <w:sz w:val="20"/>
              </w:rPr>
              <w:t>17,285</w:t>
            </w:r>
          </w:p>
        </w:tc>
        <w:tc>
          <w:tcPr>
            <w:tcW w:w="187" w:type="dxa"/>
            <w:tcBorders/>
            <w:shd w:fill="CCEEFF" w:val="clear"/>
            <w:tcMar>
              <w:bottom w:w="0" w:type="dxa"/>
            </w:tcMar>
            <w:vAlign w:val="bottom"/>
          </w:tcPr>
          <w:p>
            <w:pPr>
              <w:pStyle w:val="TableContents"/>
              <w:spacing w:before="0" w:after="283"/>
              <w:jc w:val="left"/>
              <w:rPr/>
            </w:pPr>
            <w:r>
              <w:rPr/>
              <w:t> </w:t>
            </w:r>
          </w:p>
        </w:tc>
        <w:tc>
          <w:tcPr>
            <w:tcW w:w="126"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bookmarkStart w:id="1240" w:name="TAB211"/>
            <w:bookmarkEnd w:id="1240"/>
          </w:p>
        </w:tc>
        <w:tc>
          <w:tcPr>
            <w:tcW w:w="1308"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241" w:name="TAB212"/>
            <w:bookmarkEnd w:id="1241"/>
            <w:r>
              <w:rPr>
                <w:rFonts w:ascii="Times New Roman" w:hAnsi="Times New Roman"/>
                <w:sz w:val="20"/>
              </w:rPr>
              <w:t>(5,208</w:t>
            </w:r>
          </w:p>
        </w:tc>
        <w:tc>
          <w:tcPr>
            <w:tcW w:w="193"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1242" w:name="TAB213"/>
            <w:bookmarkEnd w:id="1242"/>
            <w:r>
              <w:rPr>
                <w:rFonts w:ascii="Times New Roman" w:hAnsi="Times New Roman"/>
                <w:sz w:val="20"/>
              </w:rPr>
              <w:t>)</w:t>
            </w:r>
          </w:p>
        </w:tc>
        <w:tc>
          <w:tcPr>
            <w:tcW w:w="126"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bookmarkStart w:id="1243" w:name="TAB214"/>
            <w:bookmarkEnd w:id="1243"/>
          </w:p>
        </w:tc>
        <w:tc>
          <w:tcPr>
            <w:tcW w:w="1159"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244" w:name="TAB215"/>
            <w:bookmarkEnd w:id="1244"/>
            <w:r>
              <w:rPr>
                <w:rFonts w:ascii="Times New Roman" w:hAnsi="Times New Roman"/>
                <w:sz w:val="20"/>
              </w:rPr>
              <w:t>106,125</w:t>
            </w:r>
          </w:p>
        </w:tc>
        <w:tc>
          <w:tcPr>
            <w:tcW w:w="116" w:type="dxa"/>
            <w:tcBorders/>
            <w:shd w:fill="CCEEFF" w:val="clear"/>
            <w:tcMar>
              <w:bottom w:w="0" w:type="dxa"/>
            </w:tcMar>
            <w:vAlign w:val="bottom"/>
          </w:tcPr>
          <w:p>
            <w:pPr>
              <w:pStyle w:val="TableContents"/>
              <w:spacing w:before="0" w:after="283"/>
              <w:jc w:val="left"/>
              <w:rPr/>
            </w:pPr>
            <w:r>
              <w:rPr/>
              <w:t> </w:t>
            </w:r>
          </w:p>
        </w:tc>
      </w:tr>
      <w:tr>
        <w:trPr/>
        <w:tc>
          <w:tcPr>
            <w:tcW w:w="4080"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Operating expense</w:t>
            </w:r>
          </w:p>
        </w:tc>
        <w:tc>
          <w:tcPr>
            <w:tcW w:w="187" w:type="dxa"/>
            <w:tcBorders/>
            <w:shd w:fill="FFFFFF" w:val="clear"/>
            <w:tcMar>
              <w:bottom w:w="0" w:type="dxa"/>
            </w:tcMar>
            <w:vAlign w:val="center"/>
          </w:tcPr>
          <w:p>
            <w:pPr>
              <w:pStyle w:val="TableContents"/>
              <w:spacing w:before="0" w:after="283"/>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154"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75,350</w:t>
            </w:r>
          </w:p>
        </w:tc>
        <w:tc>
          <w:tcPr>
            <w:tcW w:w="194" w:type="dxa"/>
            <w:tcBorders/>
            <w:shd w:fill="FFFFFF" w:val="clear"/>
            <w:tcMar>
              <w:bottom w:w="0" w:type="dxa"/>
            </w:tcMar>
            <w:vAlign w:val="bottom"/>
          </w:tcPr>
          <w:p>
            <w:pPr>
              <w:pStyle w:val="TableContents"/>
              <w:spacing w:before="0" w:after="283"/>
              <w:jc w:val="left"/>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123"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7,365</w:t>
            </w:r>
          </w:p>
        </w:tc>
        <w:tc>
          <w:tcPr>
            <w:tcW w:w="187" w:type="dxa"/>
            <w:tcBorders/>
            <w:shd w:fill="FFFFFF" w:val="clear"/>
            <w:tcMar>
              <w:bottom w:w="0" w:type="dxa"/>
            </w:tcMar>
            <w:vAlign w:val="bottom"/>
          </w:tcPr>
          <w:p>
            <w:pPr>
              <w:pStyle w:val="TableContents"/>
              <w:spacing w:before="0" w:after="283"/>
              <w:jc w:val="left"/>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308"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(5,208</w:t>
            </w:r>
          </w:p>
        </w:tc>
        <w:tc>
          <w:tcPr>
            <w:tcW w:w="193"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26" w:type="dxa"/>
            <w:tcBorders/>
            <w:shd w:fill="FFFFFF" w:val="clear"/>
            <w:tcMar>
              <w:bottom w:w="0" w:type="dxa"/>
            </w:tcMar>
            <w:vAlign w:val="bottom"/>
          </w:tcPr>
          <w:p>
            <w:pPr>
              <w:pStyle w:val="TableContents"/>
              <w:spacing w:before="0" w:after="283"/>
              <w:jc w:val="left"/>
              <w:rPr/>
            </w:pPr>
            <w:r>
              <w:rPr/>
              <w:t> </w:t>
            </w:r>
          </w:p>
        </w:tc>
        <w:tc>
          <w:tcPr>
            <w:tcW w:w="1159"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77,507</w:t>
            </w:r>
          </w:p>
        </w:tc>
        <w:tc>
          <w:tcPr>
            <w:tcW w:w="116" w:type="dxa"/>
            <w:tcBorders/>
            <w:shd w:fill="FFFFFF" w:val="clear"/>
            <w:tcMar>
              <w:bottom w:w="0" w:type="dxa"/>
            </w:tcMar>
            <w:vAlign w:val="bottom"/>
          </w:tcPr>
          <w:p>
            <w:pPr>
              <w:pStyle w:val="TableContents"/>
              <w:spacing w:before="0" w:after="283"/>
              <w:jc w:val="left"/>
              <w:rPr/>
            </w:pPr>
            <w:r>
              <w:rPr/>
              <w:t> </w:t>
            </w:r>
          </w:p>
        </w:tc>
      </w:tr>
      <w:tr>
        <w:trPr/>
        <w:tc>
          <w:tcPr>
            <w:tcW w:w="4080"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Depreciation &amp; amortization</w:t>
            </w:r>
          </w:p>
        </w:tc>
        <w:tc>
          <w:tcPr>
            <w:tcW w:w="187" w:type="dxa"/>
            <w:tcBorders/>
            <w:shd w:fill="CCEEFF" w:val="clear"/>
            <w:tcMar>
              <w:bottom w:w="0" w:type="dxa"/>
            </w:tcMar>
            <w:vAlign w:val="center"/>
          </w:tcPr>
          <w:p>
            <w:pPr>
              <w:pStyle w:val="TableContents"/>
              <w:spacing w:before="0" w:after="283"/>
              <w:rPr/>
            </w:pPr>
            <w:r>
              <w:rPr/>
              <w:t> </w:t>
            </w:r>
          </w:p>
        </w:tc>
        <w:tc>
          <w:tcPr>
            <w:tcW w:w="126" w:type="dxa"/>
            <w:tcBorders/>
            <w:shd w:fill="CCEEFF" w:val="clear"/>
            <w:tcMar>
              <w:bottom w:w="0" w:type="dxa"/>
            </w:tcMar>
            <w:vAlign w:val="bottom"/>
          </w:tcPr>
          <w:p>
            <w:pPr>
              <w:pStyle w:val="TableContents"/>
              <w:spacing w:before="0" w:after="283"/>
              <w:jc w:val="left"/>
              <w:rPr/>
            </w:pPr>
            <w:r>
              <w:rPr/>
              <w:t> </w:t>
            </w:r>
          </w:p>
        </w:tc>
        <w:tc>
          <w:tcPr>
            <w:tcW w:w="1154"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8,648</w:t>
            </w:r>
          </w:p>
        </w:tc>
        <w:tc>
          <w:tcPr>
            <w:tcW w:w="194" w:type="dxa"/>
            <w:tcBorders/>
            <w:shd w:fill="CCEEFF" w:val="clear"/>
            <w:tcMar>
              <w:bottom w:w="0" w:type="dxa"/>
            </w:tcMar>
            <w:vAlign w:val="bottom"/>
          </w:tcPr>
          <w:p>
            <w:pPr>
              <w:pStyle w:val="TableContents"/>
              <w:spacing w:before="0" w:after="283"/>
              <w:jc w:val="left"/>
              <w:rPr/>
            </w:pPr>
            <w:r>
              <w:rPr/>
              <w:t> </w:t>
            </w:r>
          </w:p>
        </w:tc>
        <w:tc>
          <w:tcPr>
            <w:tcW w:w="126" w:type="dxa"/>
            <w:tcBorders/>
            <w:shd w:fill="CCEEFF" w:val="clear"/>
            <w:tcMar>
              <w:bottom w:w="0" w:type="dxa"/>
            </w:tcMar>
            <w:vAlign w:val="bottom"/>
          </w:tcPr>
          <w:p>
            <w:pPr>
              <w:pStyle w:val="TableContents"/>
              <w:spacing w:before="0" w:after="283"/>
              <w:jc w:val="left"/>
              <w:rPr/>
            </w:pPr>
            <w:r>
              <w:rPr/>
              <w:t> </w:t>
            </w:r>
          </w:p>
        </w:tc>
        <w:tc>
          <w:tcPr>
            <w:tcW w:w="1123"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4,080</w:t>
            </w:r>
          </w:p>
        </w:tc>
        <w:tc>
          <w:tcPr>
            <w:tcW w:w="187" w:type="dxa"/>
            <w:tcBorders/>
            <w:shd w:fill="CCEEFF" w:val="clear"/>
            <w:tcMar>
              <w:bottom w:w="0" w:type="dxa"/>
            </w:tcMar>
            <w:vAlign w:val="bottom"/>
          </w:tcPr>
          <w:p>
            <w:pPr>
              <w:pStyle w:val="TableContents"/>
              <w:spacing w:before="0" w:after="283"/>
              <w:jc w:val="left"/>
              <w:rPr/>
            </w:pPr>
            <w:r>
              <w:rPr/>
              <w:t> </w:t>
            </w:r>
          </w:p>
        </w:tc>
        <w:tc>
          <w:tcPr>
            <w:tcW w:w="126" w:type="dxa"/>
            <w:tcBorders/>
            <w:shd w:fill="CCEEFF" w:val="clear"/>
            <w:tcMar>
              <w:bottom w:w="0" w:type="dxa"/>
            </w:tcMar>
            <w:vAlign w:val="bottom"/>
          </w:tcPr>
          <w:p>
            <w:pPr>
              <w:pStyle w:val="TableContents"/>
              <w:spacing w:before="0" w:after="283"/>
              <w:jc w:val="left"/>
              <w:rPr/>
            </w:pPr>
            <w:r>
              <w:rPr/>
              <w:t> </w:t>
            </w:r>
          </w:p>
        </w:tc>
        <w:tc>
          <w:tcPr>
            <w:tcW w:w="1308"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193" w:type="dxa"/>
            <w:tcBorders/>
            <w:shd w:fill="CCEEFF" w:val="clear"/>
            <w:tcMar>
              <w:bottom w:w="0" w:type="dxa"/>
            </w:tcMar>
            <w:vAlign w:val="bottom"/>
          </w:tcPr>
          <w:p>
            <w:pPr>
              <w:pStyle w:val="TableContents"/>
              <w:spacing w:before="0" w:after="283"/>
              <w:jc w:val="left"/>
              <w:rPr/>
            </w:pPr>
            <w:r>
              <w:rPr/>
              <w:t> </w:t>
            </w:r>
          </w:p>
        </w:tc>
        <w:tc>
          <w:tcPr>
            <w:tcW w:w="126" w:type="dxa"/>
            <w:tcBorders/>
            <w:shd w:fill="CCEEFF" w:val="clear"/>
            <w:tcMar>
              <w:bottom w:w="0" w:type="dxa"/>
            </w:tcMar>
            <w:vAlign w:val="bottom"/>
          </w:tcPr>
          <w:p>
            <w:pPr>
              <w:pStyle w:val="TableContents"/>
              <w:spacing w:before="0" w:after="283"/>
              <w:jc w:val="left"/>
              <w:rPr/>
            </w:pPr>
            <w:r>
              <w:rPr/>
              <w:t> </w:t>
            </w:r>
          </w:p>
        </w:tc>
        <w:tc>
          <w:tcPr>
            <w:tcW w:w="1159"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12,728</w:t>
            </w:r>
          </w:p>
        </w:tc>
        <w:tc>
          <w:tcPr>
            <w:tcW w:w="116" w:type="dxa"/>
            <w:tcBorders/>
            <w:shd w:fill="CCEEFF" w:val="clear"/>
            <w:tcMar>
              <w:bottom w:w="0" w:type="dxa"/>
            </w:tcMar>
            <w:vAlign w:val="bottom"/>
          </w:tcPr>
          <w:p>
            <w:pPr>
              <w:pStyle w:val="TableContents"/>
              <w:spacing w:before="0" w:after="283"/>
              <w:jc w:val="left"/>
              <w:rPr/>
            </w:pPr>
            <w:r>
              <w:rPr/>
              <w:t> </w:t>
            </w:r>
          </w:p>
        </w:tc>
      </w:tr>
      <w:tr>
        <w:trPr/>
        <w:tc>
          <w:tcPr>
            <w:tcW w:w="4080" w:type="dxa"/>
            <w:tcBorders>
              <w:bottom w:val="sing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General &amp; administrative expense</w:t>
            </w:r>
          </w:p>
        </w:tc>
        <w:tc>
          <w:tcPr>
            <w:tcW w:w="187" w:type="dxa"/>
            <w:tcBorders>
              <w:bottom w:val="single" w:sz="2" w:space="0" w:color="FFFFFF"/>
            </w:tcBorders>
            <w:shd w:fill="FFFFFF" w:val="clear"/>
            <w:vAlign w:val="center"/>
          </w:tcPr>
          <w:p>
            <w:pPr>
              <w:pStyle w:val="TableContents"/>
              <w:spacing w:before="0" w:after="283"/>
              <w:rPr/>
            </w:pPr>
            <w:r>
              <w:rPr/>
              <w:t> </w:t>
            </w:r>
          </w:p>
        </w:tc>
        <w:tc>
          <w:tcPr>
            <w:tcW w:w="126" w:type="dxa"/>
            <w:tcBorders>
              <w:bottom w:val="single" w:sz="2" w:space="0" w:color="000000"/>
            </w:tcBorders>
            <w:shd w:fill="FFFFFF" w:val="clear"/>
            <w:vAlign w:val="bottom"/>
          </w:tcPr>
          <w:p>
            <w:pPr>
              <w:pStyle w:val="TableContents"/>
              <w:spacing w:before="0" w:after="283"/>
              <w:jc w:val="left"/>
              <w:rPr/>
            </w:pPr>
            <w:r>
              <w:rPr/>
              <w:t> </w:t>
            </w:r>
          </w:p>
        </w:tc>
        <w:tc>
          <w:tcPr>
            <w:tcW w:w="1154"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3,658</w:t>
            </w:r>
          </w:p>
        </w:tc>
        <w:tc>
          <w:tcPr>
            <w:tcW w:w="194" w:type="dxa"/>
            <w:tcBorders>
              <w:bottom w:val="single" w:sz="2" w:space="0" w:color="FFFFFF"/>
            </w:tcBorders>
            <w:shd w:fill="FFFFFF" w:val="clear"/>
            <w:vAlign w:val="bottom"/>
          </w:tcPr>
          <w:p>
            <w:pPr>
              <w:pStyle w:val="TableContents"/>
              <w:spacing w:before="0" w:after="283"/>
              <w:jc w:val="left"/>
              <w:rPr/>
            </w:pPr>
            <w:r>
              <w:rPr/>
              <w:t> </w:t>
            </w:r>
          </w:p>
        </w:tc>
        <w:tc>
          <w:tcPr>
            <w:tcW w:w="126" w:type="dxa"/>
            <w:tcBorders>
              <w:bottom w:val="single" w:sz="2" w:space="0" w:color="000000"/>
            </w:tcBorders>
            <w:shd w:fill="FFFFFF" w:val="clear"/>
            <w:vAlign w:val="bottom"/>
          </w:tcPr>
          <w:p>
            <w:pPr>
              <w:pStyle w:val="TableContents"/>
              <w:spacing w:before="0" w:after="283"/>
              <w:jc w:val="left"/>
              <w:rPr/>
            </w:pPr>
            <w:r>
              <w:rPr/>
              <w:t> </w:t>
            </w:r>
          </w:p>
        </w:tc>
        <w:tc>
          <w:tcPr>
            <w:tcW w:w="1123"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782</w:t>
            </w:r>
          </w:p>
        </w:tc>
        <w:tc>
          <w:tcPr>
            <w:tcW w:w="187" w:type="dxa"/>
            <w:tcBorders>
              <w:bottom w:val="single" w:sz="2" w:space="0" w:color="FFFFFF"/>
            </w:tcBorders>
            <w:shd w:fill="FFFFFF" w:val="clear"/>
            <w:vAlign w:val="bottom"/>
          </w:tcPr>
          <w:p>
            <w:pPr>
              <w:pStyle w:val="TableContents"/>
              <w:spacing w:before="0" w:after="283"/>
              <w:jc w:val="left"/>
              <w:rPr/>
            </w:pPr>
            <w:r>
              <w:rPr/>
              <w:t> </w:t>
            </w:r>
          </w:p>
        </w:tc>
        <w:tc>
          <w:tcPr>
            <w:tcW w:w="126" w:type="dxa"/>
            <w:tcBorders>
              <w:bottom w:val="single" w:sz="2" w:space="0" w:color="000000"/>
            </w:tcBorders>
            <w:shd w:fill="FFFFFF" w:val="clear"/>
            <w:vAlign w:val="bottom"/>
          </w:tcPr>
          <w:p>
            <w:pPr>
              <w:pStyle w:val="TableContents"/>
              <w:spacing w:before="0" w:after="283"/>
              <w:jc w:val="left"/>
              <w:rPr/>
            </w:pPr>
            <w:r>
              <w:rPr/>
              <w:t> </w:t>
            </w:r>
          </w:p>
        </w:tc>
        <w:tc>
          <w:tcPr>
            <w:tcW w:w="1308"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193" w:type="dxa"/>
            <w:tcBorders>
              <w:bottom w:val="single" w:sz="2" w:space="0" w:color="FFFFFF"/>
            </w:tcBorders>
            <w:shd w:fill="FFFFFF" w:val="clear"/>
            <w:vAlign w:val="bottom"/>
          </w:tcPr>
          <w:p>
            <w:pPr>
              <w:pStyle w:val="TableContents"/>
              <w:spacing w:before="0" w:after="283"/>
              <w:jc w:val="left"/>
              <w:rPr/>
            </w:pPr>
            <w:r>
              <w:rPr/>
              <w:t> </w:t>
            </w:r>
          </w:p>
        </w:tc>
        <w:tc>
          <w:tcPr>
            <w:tcW w:w="126" w:type="dxa"/>
            <w:tcBorders>
              <w:bottom w:val="single" w:sz="2" w:space="0" w:color="000000"/>
            </w:tcBorders>
            <w:shd w:fill="FFFFFF" w:val="clear"/>
            <w:vAlign w:val="bottom"/>
          </w:tcPr>
          <w:p>
            <w:pPr>
              <w:pStyle w:val="TableContents"/>
              <w:spacing w:before="0" w:after="283"/>
              <w:jc w:val="left"/>
              <w:rPr/>
            </w:pPr>
            <w:r>
              <w:rPr/>
              <w:t> </w:t>
            </w:r>
          </w:p>
        </w:tc>
        <w:tc>
          <w:tcPr>
            <w:tcW w:w="1159"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4,440</w:t>
            </w:r>
          </w:p>
        </w:tc>
        <w:tc>
          <w:tcPr>
            <w:tcW w:w="116" w:type="dxa"/>
            <w:tcBorders>
              <w:bottom w:val="single" w:sz="2" w:space="0" w:color="FFFFFF"/>
            </w:tcBorders>
            <w:shd w:fill="FFFFFF" w:val="clear"/>
            <w:vAlign w:val="bottom"/>
          </w:tcPr>
          <w:p>
            <w:pPr>
              <w:pStyle w:val="TableContents"/>
              <w:spacing w:before="0" w:after="283"/>
              <w:jc w:val="left"/>
              <w:rPr/>
            </w:pPr>
            <w:r>
              <w:rPr/>
              <w:t> </w:t>
            </w:r>
          </w:p>
        </w:tc>
      </w:tr>
      <w:tr>
        <w:trPr/>
        <w:tc>
          <w:tcPr>
            <w:tcW w:w="4080" w:type="dxa"/>
            <w:tcBorders>
              <w:bottom w:val="doub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Segment operating income</w:t>
            </w:r>
          </w:p>
        </w:tc>
        <w:tc>
          <w:tcPr>
            <w:tcW w:w="187" w:type="dxa"/>
            <w:tcBorders>
              <w:bottom w:val="single" w:sz="4" w:space="0" w:color="CCEEFF"/>
            </w:tcBorders>
            <w:shd w:fill="CCEEFF" w:val="clear"/>
            <w:vAlign w:val="center"/>
          </w:tcPr>
          <w:p>
            <w:pPr>
              <w:pStyle w:val="TableContents"/>
              <w:spacing w:before="0" w:after="283"/>
              <w:rPr/>
            </w:pPr>
            <w:r>
              <w:rPr/>
              <w:t> </w:t>
            </w:r>
          </w:p>
        </w:tc>
        <w:tc>
          <w:tcPr>
            <w:tcW w:w="126" w:type="dxa"/>
            <w:tcBorders>
              <w:bottom w:val="doub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bookmarkStart w:id="1245" w:name="TAB216"/>
            <w:bookmarkEnd w:id="1245"/>
          </w:p>
        </w:tc>
        <w:tc>
          <w:tcPr>
            <w:tcW w:w="1154" w:type="dxa"/>
            <w:tcBorders>
              <w:bottom w:val="doub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1246" w:name="TAB217"/>
            <w:bookmarkEnd w:id="1246"/>
            <w:r>
              <w:rPr>
                <w:rFonts w:ascii="Times New Roman" w:hAnsi="Times New Roman"/>
                <w:sz w:val="20"/>
              </w:rPr>
              <w:t>6,392</w:t>
            </w:r>
          </w:p>
        </w:tc>
        <w:tc>
          <w:tcPr>
            <w:tcW w:w="194" w:type="dxa"/>
            <w:tcBorders>
              <w:bottom w:val="single" w:sz="4" w:space="0" w:color="CCEEFF"/>
            </w:tcBorders>
            <w:shd w:fill="CCEEFF" w:val="clear"/>
            <w:vAlign w:val="bottom"/>
          </w:tcPr>
          <w:p>
            <w:pPr>
              <w:pStyle w:val="TableContents"/>
              <w:spacing w:before="0" w:after="283"/>
              <w:jc w:val="left"/>
              <w:rPr/>
            </w:pPr>
            <w:r>
              <w:rPr/>
              <w:t> </w:t>
            </w:r>
          </w:p>
        </w:tc>
        <w:tc>
          <w:tcPr>
            <w:tcW w:w="126" w:type="dxa"/>
            <w:tcBorders>
              <w:bottom w:val="doub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bookmarkStart w:id="1247" w:name="TAB218"/>
            <w:bookmarkEnd w:id="1247"/>
          </w:p>
        </w:tc>
        <w:tc>
          <w:tcPr>
            <w:tcW w:w="1123" w:type="dxa"/>
            <w:tcBorders>
              <w:bottom w:val="doub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1248" w:name="TAB219"/>
            <w:bookmarkEnd w:id="1248"/>
            <w:r>
              <w:rPr>
                <w:rFonts w:ascii="Times New Roman" w:hAnsi="Times New Roman"/>
                <w:sz w:val="20"/>
              </w:rPr>
              <w:t>5,058</w:t>
            </w:r>
          </w:p>
        </w:tc>
        <w:tc>
          <w:tcPr>
            <w:tcW w:w="187" w:type="dxa"/>
            <w:tcBorders>
              <w:bottom w:val="single" w:sz="4" w:space="0" w:color="CCEEFF"/>
            </w:tcBorders>
            <w:shd w:fill="CCEEFF" w:val="clear"/>
            <w:vAlign w:val="bottom"/>
          </w:tcPr>
          <w:p>
            <w:pPr>
              <w:pStyle w:val="TableContents"/>
              <w:spacing w:before="0" w:after="283"/>
              <w:jc w:val="left"/>
              <w:rPr/>
            </w:pPr>
            <w:r>
              <w:rPr/>
              <w:t> </w:t>
            </w:r>
          </w:p>
        </w:tc>
        <w:tc>
          <w:tcPr>
            <w:tcW w:w="126" w:type="dxa"/>
            <w:tcBorders>
              <w:bottom w:val="doub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bookmarkStart w:id="1249" w:name="TAB220"/>
            <w:bookmarkEnd w:id="1249"/>
          </w:p>
        </w:tc>
        <w:tc>
          <w:tcPr>
            <w:tcW w:w="1308" w:type="dxa"/>
            <w:tcBorders>
              <w:bottom w:val="doub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1250" w:name="TAB221"/>
            <w:bookmarkEnd w:id="1250"/>
            <w:r>
              <w:rPr>
                <w:rFonts w:ascii="Times New Roman" w:hAnsi="Times New Roman"/>
                <w:sz w:val="20"/>
              </w:rPr>
              <w:t>--</w:t>
            </w:r>
          </w:p>
        </w:tc>
        <w:tc>
          <w:tcPr>
            <w:tcW w:w="193" w:type="dxa"/>
            <w:tcBorders>
              <w:bottom w:val="single" w:sz="4" w:space="0" w:color="CCEEFF"/>
            </w:tcBorders>
            <w:shd w:fill="CCEEFF" w:val="clear"/>
            <w:vAlign w:val="bottom"/>
          </w:tcPr>
          <w:p>
            <w:pPr>
              <w:pStyle w:val="TableContents"/>
              <w:spacing w:before="0" w:after="283"/>
              <w:jc w:val="left"/>
              <w:rPr/>
            </w:pPr>
            <w:r>
              <w:rPr/>
              <w:t> </w:t>
            </w:r>
          </w:p>
        </w:tc>
        <w:tc>
          <w:tcPr>
            <w:tcW w:w="126" w:type="dxa"/>
            <w:tcBorders>
              <w:bottom w:val="doub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bookmarkStart w:id="1251" w:name="TAB222"/>
            <w:bookmarkEnd w:id="1251"/>
          </w:p>
        </w:tc>
        <w:tc>
          <w:tcPr>
            <w:tcW w:w="1159" w:type="dxa"/>
            <w:tcBorders>
              <w:bottom w:val="doub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1252" w:name="TAB223"/>
            <w:bookmarkEnd w:id="1252"/>
            <w:r>
              <w:rPr>
                <w:rFonts w:ascii="Times New Roman" w:hAnsi="Times New Roman"/>
                <w:sz w:val="20"/>
              </w:rPr>
              <w:t>11,450</w:t>
            </w:r>
          </w:p>
        </w:tc>
        <w:tc>
          <w:tcPr>
            <w:tcW w:w="116" w:type="dxa"/>
            <w:tcBorders>
              <w:bottom w:val="single" w:sz="4" w:space="0" w:color="CCEEFF"/>
            </w:tcBorders>
            <w:shd w:fill="CCEEFF" w:val="clear"/>
            <w:vAlign w:val="bottom"/>
          </w:tcPr>
          <w:p>
            <w:pPr>
              <w:pStyle w:val="TableContents"/>
              <w:spacing w:before="0" w:after="283"/>
              <w:jc w:val="left"/>
              <w:rPr/>
            </w:pPr>
            <w:r>
              <w:rPr/>
              <w:t> </w:t>
            </w:r>
          </w:p>
        </w:tc>
      </w:tr>
      <w:tr>
        <w:trPr/>
        <w:tc>
          <w:tcPr>
            <w:tcW w:w="4080" w:type="dxa"/>
            <w:tcBorders>
              <w:bottom w:val="double" w:sz="2" w:space="0" w:color="000000"/>
            </w:tcBorders>
            <w:shd w:fill="FFFFFF" w:val="clear"/>
            <w:vAlign w:val="bottom"/>
          </w:tcPr>
          <w:p>
            <w:pPr>
              <w:pStyle w:val="TableContents"/>
              <w:spacing w:lineRule="auto" w:line="300" w:before="0" w:after="0"/>
              <w:ind w:left="0" w:right="0" w:hanging="0"/>
              <w:jc w:val="left"/>
              <w:rPr/>
            </w:pPr>
            <w:r>
              <w:rPr/>
              <w:t> </w:t>
            </w:r>
          </w:p>
          <w:p>
            <w:pPr>
              <w:pStyle w:val="TableContents"/>
              <w:spacing w:lineRule="auto" w:line="300" w:before="0" w:after="0"/>
              <w:ind w:left="0" w:right="0" w:hanging="0"/>
              <w:jc w:val="left"/>
              <w:rPr/>
            </w:pPr>
            <w:r>
              <w:rPr>
                <w:rStyle w:val="StrongEmphasis"/>
                <w:rFonts w:ascii="Times New Roman" w:hAnsi="Times New Roman"/>
                <w:sz w:val="20"/>
              </w:rPr>
              <w:t>Year Ended December 31, 2005</w:t>
            </w:r>
          </w:p>
        </w:tc>
        <w:tc>
          <w:tcPr>
            <w:tcW w:w="187" w:type="dxa"/>
            <w:tcBorders>
              <w:bottom w:val="single" w:sz="4" w:space="0" w:color="FFFFFF"/>
            </w:tcBorders>
            <w:shd w:fill="FFFFFF" w:val="clear"/>
            <w:vAlign w:val="center"/>
          </w:tcPr>
          <w:p>
            <w:pPr>
              <w:pStyle w:val="TableContents"/>
              <w:spacing w:before="0" w:after="283"/>
              <w:rPr/>
            </w:pPr>
            <w:r>
              <w:rPr/>
              <w:t> </w:t>
            </w:r>
          </w:p>
        </w:tc>
        <w:tc>
          <w:tcPr>
            <w:tcW w:w="126" w:type="dxa"/>
            <w:tcBorders>
              <w:bottom w:val="double" w:sz="2" w:space="0" w:color="000000"/>
            </w:tcBorders>
            <w:shd w:fill="FFFFFF" w:val="clear"/>
            <w:vAlign w:val="bottom"/>
          </w:tcPr>
          <w:p>
            <w:pPr>
              <w:pStyle w:val="TableContents"/>
              <w:spacing w:before="0" w:after="283"/>
              <w:jc w:val="left"/>
              <w:rPr/>
            </w:pPr>
            <w:r>
              <w:rPr/>
              <w:t> </w:t>
            </w:r>
          </w:p>
        </w:tc>
        <w:tc>
          <w:tcPr>
            <w:tcW w:w="1154" w:type="dxa"/>
            <w:tcBorders>
              <w:bottom w:val="double" w:sz="2" w:space="0" w:color="000000"/>
            </w:tcBorders>
            <w:shd w:fill="FFFFFF" w:val="clear"/>
            <w:vAlign w:val="bottom"/>
          </w:tcPr>
          <w:p>
            <w:pPr>
              <w:pStyle w:val="TableContents"/>
              <w:spacing w:lineRule="auto" w:line="300" w:before="0" w:after="0"/>
              <w:ind w:left="0" w:right="0" w:hanging="0"/>
              <w:jc w:val="center"/>
              <w:rPr/>
            </w:pPr>
            <w:r>
              <w:rPr>
                <w:rStyle w:val="StrongEmphasis"/>
                <w:rFonts w:ascii="Times New Roman" w:hAnsi="Times New Roman"/>
                <w:sz w:val="20"/>
              </w:rPr>
              <w:t>Cinema</w:t>
            </w:r>
          </w:p>
        </w:tc>
        <w:tc>
          <w:tcPr>
            <w:tcW w:w="194" w:type="dxa"/>
            <w:tcBorders>
              <w:bottom w:val="single" w:sz="4" w:space="0" w:color="FFFFFF"/>
            </w:tcBorders>
            <w:shd w:fill="FFFFFF" w:val="clear"/>
            <w:vAlign w:val="bottom"/>
          </w:tcPr>
          <w:p>
            <w:pPr>
              <w:pStyle w:val="TableContents"/>
              <w:spacing w:before="0" w:after="283"/>
              <w:jc w:val="left"/>
              <w:rPr/>
            </w:pPr>
            <w:r>
              <w:rPr/>
              <w:t> </w:t>
            </w:r>
          </w:p>
        </w:tc>
        <w:tc>
          <w:tcPr>
            <w:tcW w:w="126" w:type="dxa"/>
            <w:tcBorders>
              <w:bottom w:val="double" w:sz="2" w:space="0" w:color="000000"/>
            </w:tcBorders>
            <w:shd w:fill="FFFFFF" w:val="clear"/>
            <w:vAlign w:val="bottom"/>
          </w:tcPr>
          <w:p>
            <w:pPr>
              <w:pStyle w:val="TableContents"/>
              <w:spacing w:before="0" w:after="283"/>
              <w:jc w:val="left"/>
              <w:rPr/>
            </w:pPr>
            <w:r>
              <w:rPr/>
              <w:t> </w:t>
            </w:r>
          </w:p>
        </w:tc>
        <w:tc>
          <w:tcPr>
            <w:tcW w:w="1123" w:type="dxa"/>
            <w:tcBorders>
              <w:bottom w:val="double" w:sz="2" w:space="0" w:color="000000"/>
            </w:tcBorders>
            <w:shd w:fill="FFFFFF" w:val="clear"/>
            <w:vAlign w:val="bottom"/>
          </w:tcPr>
          <w:p>
            <w:pPr>
              <w:pStyle w:val="TableContents"/>
              <w:spacing w:lineRule="auto" w:line="300" w:before="0" w:after="0"/>
              <w:ind w:left="0" w:right="0" w:hanging="0"/>
              <w:jc w:val="center"/>
              <w:rPr/>
            </w:pPr>
            <w:r>
              <w:rPr>
                <w:rStyle w:val="StrongEmphasis"/>
                <w:rFonts w:ascii="Times New Roman" w:hAnsi="Times New Roman"/>
                <w:sz w:val="20"/>
              </w:rPr>
              <w:t>Real Estate</w:t>
            </w:r>
          </w:p>
        </w:tc>
        <w:tc>
          <w:tcPr>
            <w:tcW w:w="187" w:type="dxa"/>
            <w:tcBorders>
              <w:bottom w:val="single" w:sz="4" w:space="0" w:color="FFFFFF"/>
            </w:tcBorders>
            <w:shd w:fill="FFFFFF" w:val="clear"/>
            <w:vAlign w:val="bottom"/>
          </w:tcPr>
          <w:p>
            <w:pPr>
              <w:pStyle w:val="TableContents"/>
              <w:spacing w:before="0" w:after="283"/>
              <w:jc w:val="left"/>
              <w:rPr/>
            </w:pPr>
            <w:r>
              <w:rPr/>
              <w:t> </w:t>
            </w:r>
          </w:p>
        </w:tc>
        <w:tc>
          <w:tcPr>
            <w:tcW w:w="126" w:type="dxa"/>
            <w:tcBorders>
              <w:bottom w:val="double" w:sz="2" w:space="0" w:color="000000"/>
            </w:tcBorders>
            <w:shd w:fill="FFFFFF" w:val="clear"/>
            <w:vAlign w:val="bottom"/>
          </w:tcPr>
          <w:p>
            <w:pPr>
              <w:pStyle w:val="TableContents"/>
              <w:spacing w:before="0" w:after="283"/>
              <w:jc w:val="left"/>
              <w:rPr/>
            </w:pPr>
            <w:r>
              <w:rPr/>
              <w:t> </w:t>
            </w:r>
          </w:p>
        </w:tc>
        <w:tc>
          <w:tcPr>
            <w:tcW w:w="1308" w:type="dxa"/>
            <w:tcBorders>
              <w:bottom w:val="double" w:sz="2" w:space="0" w:color="000000"/>
            </w:tcBorders>
            <w:shd w:fill="FFFFFF" w:val="clear"/>
            <w:vAlign w:val="bottom"/>
          </w:tcPr>
          <w:p>
            <w:pPr>
              <w:pStyle w:val="TableContents"/>
              <w:spacing w:lineRule="auto" w:line="300" w:before="0" w:after="0"/>
              <w:ind w:left="0" w:right="0" w:hanging="0"/>
              <w:jc w:val="center"/>
              <w:rPr/>
            </w:pPr>
            <w:r>
              <w:rPr>
                <w:rStyle w:val="StrongEmphasis"/>
                <w:rFonts w:ascii="Times New Roman" w:hAnsi="Times New Roman"/>
                <w:sz w:val="20"/>
              </w:rPr>
              <w:t>Intersegment Eliminations</w:t>
            </w:r>
          </w:p>
        </w:tc>
        <w:tc>
          <w:tcPr>
            <w:tcW w:w="193" w:type="dxa"/>
            <w:tcBorders>
              <w:bottom w:val="single" w:sz="4" w:space="0" w:color="FFFFFF"/>
            </w:tcBorders>
            <w:shd w:fill="FFFFFF" w:val="clear"/>
            <w:vAlign w:val="bottom"/>
          </w:tcPr>
          <w:p>
            <w:pPr>
              <w:pStyle w:val="TableContents"/>
              <w:spacing w:before="0" w:after="283"/>
              <w:jc w:val="left"/>
              <w:rPr/>
            </w:pPr>
            <w:r>
              <w:rPr/>
              <w:t> </w:t>
            </w:r>
          </w:p>
        </w:tc>
        <w:tc>
          <w:tcPr>
            <w:tcW w:w="126" w:type="dxa"/>
            <w:tcBorders>
              <w:bottom w:val="double" w:sz="2" w:space="0" w:color="000000"/>
            </w:tcBorders>
            <w:shd w:fill="FFFFFF" w:val="clear"/>
            <w:vAlign w:val="bottom"/>
          </w:tcPr>
          <w:p>
            <w:pPr>
              <w:pStyle w:val="TableContents"/>
              <w:spacing w:before="0" w:after="283"/>
              <w:jc w:val="left"/>
              <w:rPr/>
            </w:pPr>
            <w:r>
              <w:rPr/>
              <w:t> </w:t>
            </w:r>
          </w:p>
        </w:tc>
        <w:tc>
          <w:tcPr>
            <w:tcW w:w="1159" w:type="dxa"/>
            <w:tcBorders>
              <w:bottom w:val="double" w:sz="2" w:space="0" w:color="000000"/>
            </w:tcBorders>
            <w:shd w:fill="FFFFFF" w:val="clear"/>
            <w:vAlign w:val="bottom"/>
          </w:tcPr>
          <w:p>
            <w:pPr>
              <w:pStyle w:val="TableContents"/>
              <w:spacing w:lineRule="auto" w:line="300" w:before="0" w:after="0"/>
              <w:ind w:left="0" w:right="0" w:hanging="0"/>
              <w:jc w:val="center"/>
              <w:rPr/>
            </w:pPr>
            <w:r>
              <w:rPr>
                <w:rStyle w:val="StrongEmphasis"/>
                <w:rFonts w:ascii="Times New Roman" w:hAnsi="Times New Roman"/>
                <w:sz w:val="20"/>
              </w:rPr>
              <w:t>Total</w:t>
            </w:r>
          </w:p>
        </w:tc>
        <w:tc>
          <w:tcPr>
            <w:tcW w:w="116" w:type="dxa"/>
            <w:tcBorders>
              <w:bottom w:val="single" w:sz="4" w:space="0" w:color="FFFFFF"/>
            </w:tcBorders>
            <w:shd w:fill="FFFFFF" w:val="clear"/>
            <w:vAlign w:val="bottom"/>
          </w:tcPr>
          <w:p>
            <w:pPr>
              <w:pStyle w:val="TableContents"/>
              <w:spacing w:before="0" w:after="283"/>
              <w:jc w:val="left"/>
              <w:rPr/>
            </w:pPr>
            <w:r>
              <w:rPr/>
              <w:t> </w:t>
            </w:r>
          </w:p>
        </w:tc>
      </w:tr>
      <w:tr>
        <w:trPr/>
        <w:tc>
          <w:tcPr>
            <w:tcW w:w="4080" w:type="dxa"/>
            <w:tcBorders/>
            <w:shd w:fill="CCEEFF" w:val="clear"/>
            <w:tcMar>
              <w:bottom w:w="0" w:type="dxa"/>
            </w:tcMar>
            <w:vAlign w:val="bottom"/>
          </w:tcPr>
          <w:p>
            <w:pPr>
              <w:pStyle w:val="TableContents"/>
              <w:spacing w:lineRule="auto" w:line="300" w:before="0" w:after="0"/>
              <w:ind w:left="0" w:right="0" w:hanging="0"/>
              <w:jc w:val="left"/>
              <w:rPr/>
            </w:pPr>
            <w:r>
              <w:rPr>
                <w:rFonts w:ascii="Times New Roman" w:hAnsi="Times New Roman"/>
                <w:sz w:val="20"/>
              </w:rPr>
              <w:t>Revenue</w:t>
            </w:r>
            <w:r>
              <w:rPr>
                <w:rFonts w:ascii="Times New Roman" w:hAnsi="Times New Roman"/>
                <w:position w:val="7"/>
                <w:sz w:val="16"/>
                <w:sz w:val="20"/>
              </w:rPr>
              <w:t>13</w:t>
            </w:r>
            <w:r>
              <w:rPr/>
              <w:t> </w:t>
            </w:r>
          </w:p>
        </w:tc>
        <w:tc>
          <w:tcPr>
            <w:tcW w:w="187" w:type="dxa"/>
            <w:tcBorders/>
            <w:shd w:fill="CCEEFF" w:val="clear"/>
            <w:tcMar>
              <w:bottom w:w="0" w:type="dxa"/>
            </w:tcMar>
            <w:vAlign w:val="center"/>
          </w:tcPr>
          <w:p>
            <w:pPr>
              <w:pStyle w:val="TableContents"/>
              <w:spacing w:before="0" w:after="283"/>
              <w:rPr/>
            </w:pPr>
            <w:r>
              <w:rPr/>
              <w:t> </w:t>
            </w:r>
          </w:p>
        </w:tc>
        <w:tc>
          <w:tcPr>
            <w:tcW w:w="126"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bookmarkStart w:id="1253" w:name="TAB224"/>
            <w:bookmarkEnd w:id="1253"/>
          </w:p>
        </w:tc>
        <w:tc>
          <w:tcPr>
            <w:tcW w:w="1154"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254" w:name="TAB225"/>
            <w:bookmarkEnd w:id="1254"/>
            <w:r>
              <w:rPr>
                <w:rFonts w:ascii="Times New Roman" w:hAnsi="Times New Roman"/>
                <w:sz w:val="20"/>
              </w:rPr>
              <w:t>86,760</w:t>
            </w:r>
          </w:p>
        </w:tc>
        <w:tc>
          <w:tcPr>
            <w:tcW w:w="194" w:type="dxa"/>
            <w:tcBorders/>
            <w:shd w:fill="CCEEFF" w:val="clear"/>
            <w:tcMar>
              <w:bottom w:w="0" w:type="dxa"/>
            </w:tcMar>
            <w:vAlign w:val="bottom"/>
          </w:tcPr>
          <w:p>
            <w:pPr>
              <w:pStyle w:val="TableContents"/>
              <w:spacing w:before="0" w:after="283"/>
              <w:jc w:val="left"/>
              <w:rPr/>
            </w:pPr>
            <w:r>
              <w:rPr/>
              <w:t> </w:t>
            </w:r>
          </w:p>
        </w:tc>
        <w:tc>
          <w:tcPr>
            <w:tcW w:w="126"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bookmarkStart w:id="1255" w:name="TAB226"/>
            <w:bookmarkEnd w:id="1255"/>
          </w:p>
        </w:tc>
        <w:tc>
          <w:tcPr>
            <w:tcW w:w="1123"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256" w:name="TAB227"/>
            <w:bookmarkEnd w:id="1256"/>
            <w:r>
              <w:rPr>
                <w:rFonts w:ascii="Times New Roman" w:hAnsi="Times New Roman"/>
                <w:sz w:val="20"/>
              </w:rPr>
              <w:t>16,523</w:t>
            </w:r>
          </w:p>
        </w:tc>
        <w:tc>
          <w:tcPr>
            <w:tcW w:w="187" w:type="dxa"/>
            <w:tcBorders/>
            <w:shd w:fill="CCEEFF" w:val="clear"/>
            <w:tcMar>
              <w:bottom w:w="0" w:type="dxa"/>
            </w:tcMar>
            <w:vAlign w:val="bottom"/>
          </w:tcPr>
          <w:p>
            <w:pPr>
              <w:pStyle w:val="TableContents"/>
              <w:spacing w:before="0" w:after="283"/>
              <w:jc w:val="left"/>
              <w:rPr/>
            </w:pPr>
            <w:r>
              <w:rPr/>
              <w:t> </w:t>
            </w:r>
          </w:p>
        </w:tc>
        <w:tc>
          <w:tcPr>
            <w:tcW w:w="126"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bookmarkStart w:id="1257" w:name="TAB228"/>
            <w:bookmarkEnd w:id="1257"/>
          </w:p>
        </w:tc>
        <w:tc>
          <w:tcPr>
            <w:tcW w:w="1308"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258" w:name="TAB229"/>
            <w:bookmarkEnd w:id="1258"/>
            <w:r>
              <w:rPr>
                <w:rFonts w:ascii="Times New Roman" w:hAnsi="Times New Roman"/>
                <w:sz w:val="20"/>
              </w:rPr>
              <w:t>(5,178</w:t>
            </w:r>
          </w:p>
        </w:tc>
        <w:tc>
          <w:tcPr>
            <w:tcW w:w="193"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1259" w:name="TAB230"/>
            <w:bookmarkEnd w:id="1259"/>
            <w:r>
              <w:rPr>
                <w:rFonts w:ascii="Times New Roman" w:hAnsi="Times New Roman"/>
                <w:sz w:val="20"/>
              </w:rPr>
              <w:t>)</w:t>
            </w:r>
          </w:p>
        </w:tc>
        <w:tc>
          <w:tcPr>
            <w:tcW w:w="126"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bookmarkStart w:id="1260" w:name="TAB231"/>
            <w:bookmarkEnd w:id="1260"/>
          </w:p>
        </w:tc>
        <w:tc>
          <w:tcPr>
            <w:tcW w:w="1159"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261" w:name="TAB232"/>
            <w:bookmarkEnd w:id="1261"/>
            <w:r>
              <w:rPr>
                <w:rFonts w:ascii="Times New Roman" w:hAnsi="Times New Roman"/>
                <w:sz w:val="20"/>
              </w:rPr>
              <w:t>98,105</w:t>
            </w:r>
          </w:p>
        </w:tc>
        <w:tc>
          <w:tcPr>
            <w:tcW w:w="116" w:type="dxa"/>
            <w:tcBorders/>
            <w:shd w:fill="CCEEFF" w:val="clear"/>
            <w:tcMar>
              <w:bottom w:w="0" w:type="dxa"/>
            </w:tcMar>
            <w:vAlign w:val="bottom"/>
          </w:tcPr>
          <w:p>
            <w:pPr>
              <w:pStyle w:val="TableContents"/>
              <w:spacing w:before="0" w:after="283"/>
              <w:jc w:val="left"/>
              <w:rPr/>
            </w:pPr>
            <w:r>
              <w:rPr/>
              <w:t> </w:t>
            </w:r>
          </w:p>
        </w:tc>
      </w:tr>
      <w:tr>
        <w:trPr/>
        <w:tc>
          <w:tcPr>
            <w:tcW w:w="4080" w:type="dxa"/>
            <w:tcBorders/>
            <w:shd w:fill="FFFFFF" w:val="clear"/>
            <w:tcMar>
              <w:bottom w:w="0" w:type="dxa"/>
            </w:tcMar>
            <w:vAlign w:val="bottom"/>
          </w:tcPr>
          <w:p>
            <w:pPr>
              <w:pStyle w:val="TableContents"/>
              <w:spacing w:lineRule="auto" w:line="300" w:before="0" w:after="0"/>
              <w:ind w:left="0" w:right="0" w:hanging="0"/>
              <w:jc w:val="left"/>
              <w:rPr/>
            </w:pPr>
            <w:r>
              <w:rPr>
                <w:rFonts w:ascii="Times New Roman" w:hAnsi="Times New Roman"/>
                <w:sz w:val="20"/>
              </w:rPr>
              <w:t>Operating expense</w:t>
            </w:r>
            <w:r>
              <w:rPr>
                <w:rFonts w:ascii="Times New Roman" w:hAnsi="Times New Roman"/>
                <w:position w:val="7"/>
                <w:sz w:val="16"/>
                <w:sz w:val="20"/>
              </w:rPr>
              <w:t>13</w:t>
            </w:r>
          </w:p>
        </w:tc>
        <w:tc>
          <w:tcPr>
            <w:tcW w:w="187" w:type="dxa"/>
            <w:tcBorders/>
            <w:shd w:fill="FFFFFF" w:val="clear"/>
            <w:tcMar>
              <w:bottom w:w="0" w:type="dxa"/>
            </w:tcMar>
            <w:vAlign w:val="center"/>
          </w:tcPr>
          <w:p>
            <w:pPr>
              <w:pStyle w:val="TableContents"/>
              <w:spacing w:before="0" w:after="283"/>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154"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72,665</w:t>
            </w:r>
          </w:p>
        </w:tc>
        <w:tc>
          <w:tcPr>
            <w:tcW w:w="194" w:type="dxa"/>
            <w:tcBorders/>
            <w:shd w:fill="FFFFFF" w:val="clear"/>
            <w:tcMar>
              <w:bottom w:w="0" w:type="dxa"/>
            </w:tcMar>
            <w:vAlign w:val="bottom"/>
          </w:tcPr>
          <w:p>
            <w:pPr>
              <w:pStyle w:val="TableContents"/>
              <w:spacing w:before="0" w:after="283"/>
              <w:jc w:val="left"/>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123"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7,359</w:t>
            </w:r>
          </w:p>
        </w:tc>
        <w:tc>
          <w:tcPr>
            <w:tcW w:w="187" w:type="dxa"/>
            <w:tcBorders/>
            <w:shd w:fill="FFFFFF" w:val="clear"/>
            <w:tcMar>
              <w:bottom w:w="0" w:type="dxa"/>
            </w:tcMar>
            <w:vAlign w:val="bottom"/>
          </w:tcPr>
          <w:p>
            <w:pPr>
              <w:pStyle w:val="TableContents"/>
              <w:spacing w:before="0" w:after="283"/>
              <w:jc w:val="left"/>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308"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(5,178</w:t>
            </w:r>
          </w:p>
        </w:tc>
        <w:tc>
          <w:tcPr>
            <w:tcW w:w="193"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26" w:type="dxa"/>
            <w:tcBorders/>
            <w:shd w:fill="FFFFFF" w:val="clear"/>
            <w:tcMar>
              <w:bottom w:w="0" w:type="dxa"/>
            </w:tcMar>
            <w:vAlign w:val="bottom"/>
          </w:tcPr>
          <w:p>
            <w:pPr>
              <w:pStyle w:val="TableContents"/>
              <w:spacing w:before="0" w:after="283"/>
              <w:jc w:val="left"/>
              <w:rPr/>
            </w:pPr>
            <w:r>
              <w:rPr/>
              <w:t> </w:t>
            </w:r>
          </w:p>
        </w:tc>
        <w:tc>
          <w:tcPr>
            <w:tcW w:w="1159"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74,846</w:t>
            </w:r>
          </w:p>
        </w:tc>
        <w:tc>
          <w:tcPr>
            <w:tcW w:w="116" w:type="dxa"/>
            <w:tcBorders/>
            <w:shd w:fill="FFFFFF" w:val="clear"/>
            <w:tcMar>
              <w:bottom w:w="0" w:type="dxa"/>
            </w:tcMar>
            <w:vAlign w:val="bottom"/>
          </w:tcPr>
          <w:p>
            <w:pPr>
              <w:pStyle w:val="TableContents"/>
              <w:spacing w:before="0" w:after="283"/>
              <w:jc w:val="left"/>
              <w:rPr/>
            </w:pPr>
            <w:r>
              <w:rPr/>
              <w:t> </w:t>
            </w:r>
          </w:p>
        </w:tc>
      </w:tr>
      <w:tr>
        <w:trPr/>
        <w:tc>
          <w:tcPr>
            <w:tcW w:w="4080"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Depreciation &amp; amortization</w:t>
            </w:r>
          </w:p>
        </w:tc>
        <w:tc>
          <w:tcPr>
            <w:tcW w:w="187" w:type="dxa"/>
            <w:tcBorders/>
            <w:shd w:fill="CCEEFF" w:val="clear"/>
            <w:tcMar>
              <w:bottom w:w="0" w:type="dxa"/>
            </w:tcMar>
            <w:vAlign w:val="center"/>
          </w:tcPr>
          <w:p>
            <w:pPr>
              <w:pStyle w:val="TableContents"/>
              <w:spacing w:before="0" w:after="283"/>
              <w:rPr/>
            </w:pPr>
            <w:r>
              <w:rPr/>
              <w:t> </w:t>
            </w:r>
          </w:p>
        </w:tc>
        <w:tc>
          <w:tcPr>
            <w:tcW w:w="126" w:type="dxa"/>
            <w:tcBorders/>
            <w:shd w:fill="CCEEFF" w:val="clear"/>
            <w:tcMar>
              <w:bottom w:w="0" w:type="dxa"/>
            </w:tcMar>
            <w:vAlign w:val="bottom"/>
          </w:tcPr>
          <w:p>
            <w:pPr>
              <w:pStyle w:val="TableContents"/>
              <w:spacing w:before="0" w:after="283"/>
              <w:jc w:val="left"/>
              <w:rPr/>
            </w:pPr>
            <w:r>
              <w:rPr/>
              <w:t> </w:t>
            </w:r>
          </w:p>
        </w:tc>
        <w:tc>
          <w:tcPr>
            <w:tcW w:w="1154"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8,323</w:t>
            </w:r>
          </w:p>
        </w:tc>
        <w:tc>
          <w:tcPr>
            <w:tcW w:w="194" w:type="dxa"/>
            <w:tcBorders/>
            <w:shd w:fill="CCEEFF" w:val="clear"/>
            <w:tcMar>
              <w:bottom w:w="0" w:type="dxa"/>
            </w:tcMar>
            <w:vAlign w:val="bottom"/>
          </w:tcPr>
          <w:p>
            <w:pPr>
              <w:pStyle w:val="TableContents"/>
              <w:spacing w:before="0" w:after="283"/>
              <w:jc w:val="left"/>
              <w:rPr/>
            </w:pPr>
            <w:r>
              <w:rPr/>
              <w:t> </w:t>
            </w:r>
          </w:p>
        </w:tc>
        <w:tc>
          <w:tcPr>
            <w:tcW w:w="126" w:type="dxa"/>
            <w:tcBorders/>
            <w:shd w:fill="CCEEFF" w:val="clear"/>
            <w:tcMar>
              <w:bottom w:w="0" w:type="dxa"/>
            </w:tcMar>
            <w:vAlign w:val="bottom"/>
          </w:tcPr>
          <w:p>
            <w:pPr>
              <w:pStyle w:val="TableContents"/>
              <w:spacing w:before="0" w:after="283"/>
              <w:jc w:val="left"/>
              <w:rPr/>
            </w:pPr>
            <w:r>
              <w:rPr/>
              <w:t> </w:t>
            </w:r>
          </w:p>
        </w:tc>
        <w:tc>
          <w:tcPr>
            <w:tcW w:w="1123"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3,674</w:t>
            </w:r>
          </w:p>
        </w:tc>
        <w:tc>
          <w:tcPr>
            <w:tcW w:w="187" w:type="dxa"/>
            <w:tcBorders/>
            <w:shd w:fill="CCEEFF" w:val="clear"/>
            <w:tcMar>
              <w:bottom w:w="0" w:type="dxa"/>
            </w:tcMar>
            <w:vAlign w:val="bottom"/>
          </w:tcPr>
          <w:p>
            <w:pPr>
              <w:pStyle w:val="TableContents"/>
              <w:spacing w:before="0" w:after="283"/>
              <w:jc w:val="left"/>
              <w:rPr/>
            </w:pPr>
            <w:r>
              <w:rPr/>
              <w:t> </w:t>
            </w:r>
          </w:p>
        </w:tc>
        <w:tc>
          <w:tcPr>
            <w:tcW w:w="126" w:type="dxa"/>
            <w:tcBorders/>
            <w:shd w:fill="CCEEFF" w:val="clear"/>
            <w:tcMar>
              <w:bottom w:w="0" w:type="dxa"/>
            </w:tcMar>
            <w:vAlign w:val="bottom"/>
          </w:tcPr>
          <w:p>
            <w:pPr>
              <w:pStyle w:val="TableContents"/>
              <w:spacing w:before="0" w:after="283"/>
              <w:jc w:val="left"/>
              <w:rPr/>
            </w:pPr>
            <w:r>
              <w:rPr/>
              <w:t> </w:t>
            </w:r>
          </w:p>
        </w:tc>
        <w:tc>
          <w:tcPr>
            <w:tcW w:w="1308"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193" w:type="dxa"/>
            <w:tcBorders/>
            <w:shd w:fill="CCEEFF" w:val="clear"/>
            <w:tcMar>
              <w:bottom w:w="0" w:type="dxa"/>
            </w:tcMar>
            <w:vAlign w:val="bottom"/>
          </w:tcPr>
          <w:p>
            <w:pPr>
              <w:pStyle w:val="TableContents"/>
              <w:spacing w:before="0" w:after="283"/>
              <w:jc w:val="left"/>
              <w:rPr/>
            </w:pPr>
            <w:r>
              <w:rPr/>
              <w:t> </w:t>
            </w:r>
          </w:p>
        </w:tc>
        <w:tc>
          <w:tcPr>
            <w:tcW w:w="126" w:type="dxa"/>
            <w:tcBorders/>
            <w:shd w:fill="CCEEFF" w:val="clear"/>
            <w:tcMar>
              <w:bottom w:w="0" w:type="dxa"/>
            </w:tcMar>
            <w:vAlign w:val="bottom"/>
          </w:tcPr>
          <w:p>
            <w:pPr>
              <w:pStyle w:val="TableContents"/>
              <w:spacing w:before="0" w:after="283"/>
              <w:jc w:val="left"/>
              <w:rPr/>
            </w:pPr>
            <w:r>
              <w:rPr/>
              <w:t> </w:t>
            </w:r>
          </w:p>
        </w:tc>
        <w:tc>
          <w:tcPr>
            <w:tcW w:w="1159"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11,997</w:t>
            </w:r>
          </w:p>
        </w:tc>
        <w:tc>
          <w:tcPr>
            <w:tcW w:w="116" w:type="dxa"/>
            <w:tcBorders/>
            <w:shd w:fill="CCEEFF" w:val="clear"/>
            <w:tcMar>
              <w:bottom w:w="0" w:type="dxa"/>
            </w:tcMar>
            <w:vAlign w:val="bottom"/>
          </w:tcPr>
          <w:p>
            <w:pPr>
              <w:pStyle w:val="TableContents"/>
              <w:spacing w:before="0" w:after="283"/>
              <w:jc w:val="left"/>
              <w:rPr/>
            </w:pPr>
            <w:r>
              <w:rPr/>
              <w:t> </w:t>
            </w:r>
          </w:p>
        </w:tc>
      </w:tr>
      <w:tr>
        <w:trPr/>
        <w:tc>
          <w:tcPr>
            <w:tcW w:w="4080" w:type="dxa"/>
            <w:tcBorders>
              <w:bottom w:val="sing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General &amp; administrative expense</w:t>
            </w:r>
          </w:p>
        </w:tc>
        <w:tc>
          <w:tcPr>
            <w:tcW w:w="187" w:type="dxa"/>
            <w:tcBorders>
              <w:bottom w:val="single" w:sz="2" w:space="0" w:color="FFFFFF"/>
            </w:tcBorders>
            <w:shd w:fill="FFFFFF" w:val="clear"/>
            <w:vAlign w:val="center"/>
          </w:tcPr>
          <w:p>
            <w:pPr>
              <w:pStyle w:val="TableContents"/>
              <w:spacing w:before="0" w:after="283"/>
              <w:rPr/>
            </w:pPr>
            <w:r>
              <w:rPr/>
              <w:t> </w:t>
            </w:r>
          </w:p>
        </w:tc>
        <w:tc>
          <w:tcPr>
            <w:tcW w:w="126" w:type="dxa"/>
            <w:tcBorders>
              <w:bottom w:val="single" w:sz="2" w:space="0" w:color="000000"/>
            </w:tcBorders>
            <w:shd w:fill="FFFFFF" w:val="clear"/>
            <w:vAlign w:val="bottom"/>
          </w:tcPr>
          <w:p>
            <w:pPr>
              <w:pStyle w:val="TableContents"/>
              <w:spacing w:before="0" w:after="283"/>
              <w:jc w:val="left"/>
              <w:rPr/>
            </w:pPr>
            <w:r>
              <w:rPr/>
              <w:t> </w:t>
            </w:r>
          </w:p>
        </w:tc>
        <w:tc>
          <w:tcPr>
            <w:tcW w:w="1154"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6,802</w:t>
            </w:r>
          </w:p>
        </w:tc>
        <w:tc>
          <w:tcPr>
            <w:tcW w:w="194" w:type="dxa"/>
            <w:tcBorders>
              <w:bottom w:val="single" w:sz="2" w:space="0" w:color="FFFFFF"/>
            </w:tcBorders>
            <w:shd w:fill="FFFFFF" w:val="clear"/>
            <w:vAlign w:val="bottom"/>
          </w:tcPr>
          <w:p>
            <w:pPr>
              <w:pStyle w:val="TableContents"/>
              <w:spacing w:before="0" w:after="283"/>
              <w:jc w:val="left"/>
              <w:rPr/>
            </w:pPr>
            <w:r>
              <w:rPr/>
              <w:t> </w:t>
            </w:r>
          </w:p>
        </w:tc>
        <w:tc>
          <w:tcPr>
            <w:tcW w:w="126" w:type="dxa"/>
            <w:tcBorders>
              <w:bottom w:val="single" w:sz="2" w:space="0" w:color="000000"/>
            </w:tcBorders>
            <w:shd w:fill="FFFFFF" w:val="clear"/>
            <w:vAlign w:val="bottom"/>
          </w:tcPr>
          <w:p>
            <w:pPr>
              <w:pStyle w:val="TableContents"/>
              <w:spacing w:before="0" w:after="283"/>
              <w:jc w:val="left"/>
              <w:rPr/>
            </w:pPr>
            <w:r>
              <w:rPr/>
              <w:t> </w:t>
            </w:r>
          </w:p>
        </w:tc>
        <w:tc>
          <w:tcPr>
            <w:tcW w:w="1123"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328</w:t>
            </w:r>
          </w:p>
        </w:tc>
        <w:tc>
          <w:tcPr>
            <w:tcW w:w="187" w:type="dxa"/>
            <w:tcBorders>
              <w:bottom w:val="single" w:sz="2" w:space="0" w:color="FFFFFF"/>
            </w:tcBorders>
            <w:shd w:fill="FFFFFF" w:val="clear"/>
            <w:vAlign w:val="bottom"/>
          </w:tcPr>
          <w:p>
            <w:pPr>
              <w:pStyle w:val="TableContents"/>
              <w:spacing w:before="0" w:after="283"/>
              <w:jc w:val="left"/>
              <w:rPr/>
            </w:pPr>
            <w:r>
              <w:rPr/>
              <w:t> </w:t>
            </w:r>
          </w:p>
        </w:tc>
        <w:tc>
          <w:tcPr>
            <w:tcW w:w="126" w:type="dxa"/>
            <w:tcBorders>
              <w:bottom w:val="single" w:sz="2" w:space="0" w:color="000000"/>
            </w:tcBorders>
            <w:shd w:fill="FFFFFF" w:val="clear"/>
            <w:vAlign w:val="bottom"/>
          </w:tcPr>
          <w:p>
            <w:pPr>
              <w:pStyle w:val="TableContents"/>
              <w:spacing w:before="0" w:after="283"/>
              <w:jc w:val="left"/>
              <w:rPr/>
            </w:pPr>
            <w:r>
              <w:rPr/>
              <w:t> </w:t>
            </w:r>
          </w:p>
        </w:tc>
        <w:tc>
          <w:tcPr>
            <w:tcW w:w="1308"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193" w:type="dxa"/>
            <w:tcBorders>
              <w:bottom w:val="single" w:sz="2" w:space="0" w:color="FFFFFF"/>
            </w:tcBorders>
            <w:shd w:fill="FFFFFF" w:val="clear"/>
            <w:vAlign w:val="bottom"/>
          </w:tcPr>
          <w:p>
            <w:pPr>
              <w:pStyle w:val="TableContents"/>
              <w:spacing w:before="0" w:after="283"/>
              <w:jc w:val="left"/>
              <w:rPr/>
            </w:pPr>
            <w:r>
              <w:rPr/>
              <w:t> </w:t>
            </w:r>
          </w:p>
        </w:tc>
        <w:tc>
          <w:tcPr>
            <w:tcW w:w="126" w:type="dxa"/>
            <w:tcBorders>
              <w:bottom w:val="single" w:sz="2" w:space="0" w:color="000000"/>
            </w:tcBorders>
            <w:shd w:fill="FFFFFF" w:val="clear"/>
            <w:vAlign w:val="bottom"/>
          </w:tcPr>
          <w:p>
            <w:pPr>
              <w:pStyle w:val="TableContents"/>
              <w:spacing w:before="0" w:after="283"/>
              <w:jc w:val="left"/>
              <w:rPr/>
            </w:pPr>
            <w:r>
              <w:rPr/>
              <w:t> </w:t>
            </w:r>
          </w:p>
        </w:tc>
        <w:tc>
          <w:tcPr>
            <w:tcW w:w="1159"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7,130</w:t>
            </w:r>
          </w:p>
        </w:tc>
        <w:tc>
          <w:tcPr>
            <w:tcW w:w="116" w:type="dxa"/>
            <w:tcBorders>
              <w:bottom w:val="single" w:sz="2" w:space="0" w:color="FFFFFF"/>
            </w:tcBorders>
            <w:shd w:fill="FFFFFF" w:val="clear"/>
            <w:vAlign w:val="bottom"/>
          </w:tcPr>
          <w:p>
            <w:pPr>
              <w:pStyle w:val="TableContents"/>
              <w:spacing w:before="0" w:after="283"/>
              <w:jc w:val="left"/>
              <w:rPr/>
            </w:pPr>
            <w:r>
              <w:rPr/>
              <w:t> </w:t>
            </w:r>
          </w:p>
        </w:tc>
      </w:tr>
      <w:tr>
        <w:trPr/>
        <w:tc>
          <w:tcPr>
            <w:tcW w:w="4080" w:type="dxa"/>
            <w:tcBorders>
              <w:bottom w:val="doub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Segment operating income (loss)</w:t>
            </w:r>
          </w:p>
        </w:tc>
        <w:tc>
          <w:tcPr>
            <w:tcW w:w="187" w:type="dxa"/>
            <w:tcBorders>
              <w:bottom w:val="single" w:sz="4" w:space="0" w:color="CCEEFF"/>
            </w:tcBorders>
            <w:shd w:fill="CCEEFF" w:val="clear"/>
            <w:vAlign w:val="center"/>
          </w:tcPr>
          <w:p>
            <w:pPr>
              <w:pStyle w:val="TableContents"/>
              <w:spacing w:before="0" w:after="283"/>
              <w:rPr/>
            </w:pPr>
            <w:r>
              <w:rPr/>
              <w:t> </w:t>
            </w:r>
          </w:p>
        </w:tc>
        <w:tc>
          <w:tcPr>
            <w:tcW w:w="126" w:type="dxa"/>
            <w:tcBorders>
              <w:bottom w:val="doub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bookmarkStart w:id="1262" w:name="TAB233"/>
            <w:bookmarkEnd w:id="1262"/>
          </w:p>
        </w:tc>
        <w:tc>
          <w:tcPr>
            <w:tcW w:w="1154" w:type="dxa"/>
            <w:tcBorders>
              <w:bottom w:val="doub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1263" w:name="TAB234"/>
            <w:bookmarkEnd w:id="1263"/>
            <w:r>
              <w:rPr>
                <w:rFonts w:ascii="Times New Roman" w:hAnsi="Times New Roman"/>
                <w:sz w:val="20"/>
              </w:rPr>
              <w:t>(1,030</w:t>
            </w:r>
          </w:p>
        </w:tc>
        <w:tc>
          <w:tcPr>
            <w:tcW w:w="194" w:type="dxa"/>
            <w:tcBorders>
              <w:bottom w:val="single" w:sz="4" w:space="0" w:color="CCEEFF"/>
            </w:tcBorders>
            <w:shd w:fill="CCEEFF" w:val="clear"/>
            <w:vAlign w:val="bottom"/>
          </w:tcPr>
          <w:p>
            <w:pPr>
              <w:pStyle w:val="TableContents"/>
              <w:spacing w:lineRule="auto" w:line="300" w:before="0" w:after="0"/>
              <w:ind w:left="0" w:right="0" w:hanging="0"/>
              <w:jc w:val="left"/>
              <w:rPr>
                <w:rFonts w:ascii="Times New Roman" w:hAnsi="Times New Roman"/>
                <w:sz w:val="20"/>
              </w:rPr>
            </w:pPr>
            <w:bookmarkStart w:id="1264" w:name="TAB235"/>
            <w:bookmarkEnd w:id="1264"/>
            <w:r>
              <w:rPr>
                <w:rFonts w:ascii="Times New Roman" w:hAnsi="Times New Roman"/>
                <w:sz w:val="20"/>
              </w:rPr>
              <w:t>)</w:t>
            </w:r>
          </w:p>
        </w:tc>
        <w:tc>
          <w:tcPr>
            <w:tcW w:w="126" w:type="dxa"/>
            <w:tcBorders>
              <w:bottom w:val="doub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bookmarkStart w:id="1265" w:name="TAB236"/>
            <w:bookmarkEnd w:id="1265"/>
          </w:p>
        </w:tc>
        <w:tc>
          <w:tcPr>
            <w:tcW w:w="1123" w:type="dxa"/>
            <w:tcBorders>
              <w:bottom w:val="doub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1266" w:name="TAB237"/>
            <w:bookmarkEnd w:id="1266"/>
            <w:r>
              <w:rPr>
                <w:rFonts w:ascii="Times New Roman" w:hAnsi="Times New Roman"/>
                <w:sz w:val="20"/>
              </w:rPr>
              <w:t>5,162</w:t>
            </w:r>
          </w:p>
        </w:tc>
        <w:tc>
          <w:tcPr>
            <w:tcW w:w="187" w:type="dxa"/>
            <w:tcBorders>
              <w:bottom w:val="single" w:sz="4" w:space="0" w:color="CCEEFF"/>
            </w:tcBorders>
            <w:shd w:fill="CCEEFF" w:val="clear"/>
            <w:vAlign w:val="bottom"/>
          </w:tcPr>
          <w:p>
            <w:pPr>
              <w:pStyle w:val="TableContents"/>
              <w:spacing w:before="0" w:after="283"/>
              <w:jc w:val="left"/>
              <w:rPr/>
            </w:pPr>
            <w:r>
              <w:rPr/>
              <w:t> </w:t>
            </w:r>
          </w:p>
        </w:tc>
        <w:tc>
          <w:tcPr>
            <w:tcW w:w="126" w:type="dxa"/>
            <w:tcBorders>
              <w:bottom w:val="doub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bookmarkStart w:id="1267" w:name="TAB238"/>
            <w:bookmarkEnd w:id="1267"/>
          </w:p>
        </w:tc>
        <w:tc>
          <w:tcPr>
            <w:tcW w:w="1308" w:type="dxa"/>
            <w:tcBorders>
              <w:bottom w:val="doub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1268" w:name="TAB239"/>
            <w:bookmarkEnd w:id="1268"/>
            <w:r>
              <w:rPr>
                <w:rFonts w:ascii="Times New Roman" w:hAnsi="Times New Roman"/>
                <w:sz w:val="20"/>
              </w:rPr>
              <w:t>--</w:t>
            </w:r>
          </w:p>
        </w:tc>
        <w:tc>
          <w:tcPr>
            <w:tcW w:w="193" w:type="dxa"/>
            <w:tcBorders>
              <w:bottom w:val="single" w:sz="4" w:space="0" w:color="CCEEFF"/>
            </w:tcBorders>
            <w:shd w:fill="CCEEFF" w:val="clear"/>
            <w:vAlign w:val="bottom"/>
          </w:tcPr>
          <w:p>
            <w:pPr>
              <w:pStyle w:val="TableContents"/>
              <w:spacing w:before="0" w:after="283"/>
              <w:jc w:val="left"/>
              <w:rPr/>
            </w:pPr>
            <w:r>
              <w:rPr/>
              <w:t> </w:t>
            </w:r>
          </w:p>
        </w:tc>
        <w:tc>
          <w:tcPr>
            <w:tcW w:w="126" w:type="dxa"/>
            <w:tcBorders>
              <w:bottom w:val="doub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bookmarkStart w:id="1269" w:name="TAB240"/>
            <w:bookmarkEnd w:id="1269"/>
          </w:p>
        </w:tc>
        <w:tc>
          <w:tcPr>
            <w:tcW w:w="1159" w:type="dxa"/>
            <w:tcBorders>
              <w:bottom w:val="doub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1270" w:name="TAB241"/>
            <w:bookmarkEnd w:id="1270"/>
            <w:r>
              <w:rPr>
                <w:rFonts w:ascii="Times New Roman" w:hAnsi="Times New Roman"/>
                <w:sz w:val="20"/>
              </w:rPr>
              <w:t>4,132</w:t>
            </w:r>
          </w:p>
        </w:tc>
        <w:tc>
          <w:tcPr>
            <w:tcW w:w="116" w:type="dxa"/>
            <w:tcBorders>
              <w:bottom w:val="single" w:sz="4" w:space="0" w:color="CCEEFF"/>
            </w:tcBorders>
            <w:shd w:fill="CCEEFF" w:val="clear"/>
            <w:vAlign w:val="bottom"/>
          </w:tcPr>
          <w:p>
            <w:pPr>
              <w:pStyle w:val="TableContents"/>
              <w:spacing w:before="0" w:after="283"/>
              <w:jc w:val="left"/>
              <w:rPr/>
            </w:pPr>
            <w:r>
              <w:rPr/>
              <w:t> </w:t>
            </w:r>
          </w:p>
        </w:tc>
      </w:tr>
      <w:tr>
        <w:trPr/>
        <w:tc>
          <w:tcPr>
            <w:tcW w:w="4080" w:type="dxa"/>
            <w:tcBorders>
              <w:bottom w:val="double" w:sz="2" w:space="0" w:color="000000"/>
            </w:tcBorders>
            <w:shd w:fill="FFFFFF" w:val="clear"/>
            <w:vAlign w:val="bottom"/>
          </w:tcPr>
          <w:p>
            <w:pPr>
              <w:pStyle w:val="TableContents"/>
              <w:spacing w:lineRule="auto" w:line="300" w:before="0" w:after="0"/>
              <w:ind w:left="0" w:right="0" w:hanging="0"/>
              <w:jc w:val="left"/>
              <w:rPr/>
            </w:pPr>
            <w:r>
              <w:rPr>
                <w:rStyle w:val="StrongEmphasis"/>
                <w:rFonts w:ascii="Times New Roman" w:hAnsi="Times New Roman"/>
                <w:sz w:val="20"/>
              </w:rPr>
              <w:t>Year Ended December 31, 2004</w:t>
            </w:r>
          </w:p>
        </w:tc>
        <w:tc>
          <w:tcPr>
            <w:tcW w:w="187" w:type="dxa"/>
            <w:tcBorders>
              <w:bottom w:val="single" w:sz="4" w:space="0" w:color="FFFFFF"/>
            </w:tcBorders>
            <w:shd w:fill="FFFFFF" w:val="clear"/>
            <w:vAlign w:val="center"/>
          </w:tcPr>
          <w:p>
            <w:pPr>
              <w:pStyle w:val="TableContents"/>
              <w:spacing w:before="0" w:after="283"/>
              <w:rPr/>
            </w:pPr>
            <w:r>
              <w:rPr/>
              <w:t> </w:t>
            </w:r>
          </w:p>
        </w:tc>
        <w:tc>
          <w:tcPr>
            <w:tcW w:w="126" w:type="dxa"/>
            <w:tcBorders>
              <w:bottom w:val="double" w:sz="2" w:space="0" w:color="000000"/>
            </w:tcBorders>
            <w:shd w:fill="FFFFFF" w:val="clear"/>
            <w:vAlign w:val="bottom"/>
          </w:tcPr>
          <w:p>
            <w:pPr>
              <w:pStyle w:val="TableContents"/>
              <w:spacing w:before="0" w:after="283"/>
              <w:jc w:val="left"/>
              <w:rPr/>
            </w:pPr>
            <w:r>
              <w:rPr/>
              <w:t> </w:t>
            </w:r>
          </w:p>
        </w:tc>
        <w:tc>
          <w:tcPr>
            <w:tcW w:w="1154" w:type="dxa"/>
            <w:tcBorders>
              <w:bottom w:val="double" w:sz="2" w:space="0" w:color="000000"/>
            </w:tcBorders>
            <w:shd w:fill="FFFFFF" w:val="clear"/>
            <w:vAlign w:val="bottom"/>
          </w:tcPr>
          <w:p>
            <w:pPr>
              <w:pStyle w:val="TableContents"/>
              <w:spacing w:lineRule="auto" w:line="300" w:before="0" w:after="0"/>
              <w:ind w:left="0" w:right="0" w:hanging="0"/>
              <w:jc w:val="center"/>
              <w:rPr/>
            </w:pPr>
            <w:r>
              <w:rPr>
                <w:rStyle w:val="StrongEmphasis"/>
                <w:rFonts w:ascii="Times New Roman" w:hAnsi="Times New Roman"/>
                <w:sz w:val="20"/>
              </w:rPr>
              <w:t>Cinema</w:t>
            </w:r>
          </w:p>
        </w:tc>
        <w:tc>
          <w:tcPr>
            <w:tcW w:w="194" w:type="dxa"/>
            <w:tcBorders>
              <w:bottom w:val="single" w:sz="4" w:space="0" w:color="FFFFFF"/>
            </w:tcBorders>
            <w:shd w:fill="FFFFFF" w:val="clear"/>
            <w:vAlign w:val="bottom"/>
          </w:tcPr>
          <w:p>
            <w:pPr>
              <w:pStyle w:val="TableContents"/>
              <w:spacing w:before="0" w:after="283"/>
              <w:jc w:val="left"/>
              <w:rPr/>
            </w:pPr>
            <w:r>
              <w:rPr/>
              <w:t> </w:t>
            </w:r>
          </w:p>
        </w:tc>
        <w:tc>
          <w:tcPr>
            <w:tcW w:w="126" w:type="dxa"/>
            <w:tcBorders>
              <w:bottom w:val="double" w:sz="2" w:space="0" w:color="000000"/>
            </w:tcBorders>
            <w:shd w:fill="FFFFFF" w:val="clear"/>
            <w:vAlign w:val="bottom"/>
          </w:tcPr>
          <w:p>
            <w:pPr>
              <w:pStyle w:val="TableContents"/>
              <w:spacing w:before="0" w:after="283"/>
              <w:jc w:val="left"/>
              <w:rPr/>
            </w:pPr>
            <w:r>
              <w:rPr/>
              <w:t> </w:t>
            </w:r>
          </w:p>
        </w:tc>
        <w:tc>
          <w:tcPr>
            <w:tcW w:w="1123" w:type="dxa"/>
            <w:tcBorders>
              <w:bottom w:val="double" w:sz="2" w:space="0" w:color="000000"/>
            </w:tcBorders>
            <w:shd w:fill="FFFFFF" w:val="clear"/>
            <w:vAlign w:val="bottom"/>
          </w:tcPr>
          <w:p>
            <w:pPr>
              <w:pStyle w:val="TableContents"/>
              <w:spacing w:lineRule="auto" w:line="300" w:before="0" w:after="0"/>
              <w:ind w:left="0" w:right="0" w:hanging="0"/>
              <w:jc w:val="center"/>
              <w:rPr/>
            </w:pPr>
            <w:r>
              <w:rPr>
                <w:rStyle w:val="StrongEmphasis"/>
                <w:rFonts w:ascii="Times New Roman" w:hAnsi="Times New Roman"/>
                <w:sz w:val="20"/>
              </w:rPr>
              <w:t>Real Estate</w:t>
            </w:r>
          </w:p>
        </w:tc>
        <w:tc>
          <w:tcPr>
            <w:tcW w:w="187" w:type="dxa"/>
            <w:tcBorders>
              <w:bottom w:val="single" w:sz="4" w:space="0" w:color="FFFFFF"/>
            </w:tcBorders>
            <w:shd w:fill="FFFFFF" w:val="clear"/>
            <w:vAlign w:val="bottom"/>
          </w:tcPr>
          <w:p>
            <w:pPr>
              <w:pStyle w:val="TableContents"/>
              <w:spacing w:before="0" w:after="283"/>
              <w:jc w:val="left"/>
              <w:rPr/>
            </w:pPr>
            <w:r>
              <w:rPr/>
              <w:t> </w:t>
            </w:r>
          </w:p>
        </w:tc>
        <w:tc>
          <w:tcPr>
            <w:tcW w:w="126" w:type="dxa"/>
            <w:tcBorders>
              <w:bottom w:val="double" w:sz="2" w:space="0" w:color="000000"/>
            </w:tcBorders>
            <w:shd w:fill="FFFFFF" w:val="clear"/>
            <w:vAlign w:val="bottom"/>
          </w:tcPr>
          <w:p>
            <w:pPr>
              <w:pStyle w:val="TableContents"/>
              <w:spacing w:before="0" w:after="283"/>
              <w:jc w:val="left"/>
              <w:rPr/>
            </w:pPr>
            <w:r>
              <w:rPr/>
              <w:t> </w:t>
            </w:r>
          </w:p>
        </w:tc>
        <w:tc>
          <w:tcPr>
            <w:tcW w:w="1308" w:type="dxa"/>
            <w:tcBorders>
              <w:bottom w:val="double" w:sz="2" w:space="0" w:color="000000"/>
            </w:tcBorders>
            <w:shd w:fill="FFFFFF" w:val="clear"/>
            <w:vAlign w:val="bottom"/>
          </w:tcPr>
          <w:p>
            <w:pPr>
              <w:pStyle w:val="TableContents"/>
              <w:spacing w:lineRule="auto" w:line="300" w:before="0" w:after="0"/>
              <w:ind w:left="0" w:right="0" w:hanging="0"/>
              <w:jc w:val="center"/>
              <w:rPr/>
            </w:pPr>
            <w:r>
              <w:rPr>
                <w:rStyle w:val="StrongEmphasis"/>
                <w:rFonts w:ascii="Times New Roman" w:hAnsi="Times New Roman"/>
                <w:sz w:val="20"/>
              </w:rPr>
              <w:t>Intersegment Eliminations</w:t>
            </w:r>
          </w:p>
        </w:tc>
        <w:tc>
          <w:tcPr>
            <w:tcW w:w="193" w:type="dxa"/>
            <w:tcBorders>
              <w:bottom w:val="single" w:sz="4" w:space="0" w:color="FFFFFF"/>
            </w:tcBorders>
            <w:shd w:fill="FFFFFF" w:val="clear"/>
            <w:vAlign w:val="bottom"/>
          </w:tcPr>
          <w:p>
            <w:pPr>
              <w:pStyle w:val="TableContents"/>
              <w:spacing w:before="0" w:after="283"/>
              <w:jc w:val="left"/>
              <w:rPr/>
            </w:pPr>
            <w:r>
              <w:rPr/>
              <w:t> </w:t>
            </w:r>
          </w:p>
        </w:tc>
        <w:tc>
          <w:tcPr>
            <w:tcW w:w="126" w:type="dxa"/>
            <w:tcBorders>
              <w:bottom w:val="double" w:sz="2" w:space="0" w:color="000000"/>
            </w:tcBorders>
            <w:shd w:fill="FFFFFF" w:val="clear"/>
            <w:vAlign w:val="bottom"/>
          </w:tcPr>
          <w:p>
            <w:pPr>
              <w:pStyle w:val="TableContents"/>
              <w:spacing w:before="0" w:after="283"/>
              <w:jc w:val="left"/>
              <w:rPr/>
            </w:pPr>
            <w:r>
              <w:rPr/>
              <w:t> </w:t>
            </w:r>
          </w:p>
        </w:tc>
        <w:tc>
          <w:tcPr>
            <w:tcW w:w="1159" w:type="dxa"/>
            <w:tcBorders>
              <w:bottom w:val="double" w:sz="2" w:space="0" w:color="000000"/>
            </w:tcBorders>
            <w:shd w:fill="FFFFFF" w:val="clear"/>
            <w:vAlign w:val="bottom"/>
          </w:tcPr>
          <w:p>
            <w:pPr>
              <w:pStyle w:val="TableContents"/>
              <w:spacing w:lineRule="auto" w:line="300" w:before="0" w:after="0"/>
              <w:ind w:left="0" w:right="0" w:hanging="0"/>
              <w:jc w:val="center"/>
              <w:rPr/>
            </w:pPr>
            <w:r>
              <w:rPr>
                <w:rStyle w:val="StrongEmphasis"/>
                <w:rFonts w:ascii="Times New Roman" w:hAnsi="Times New Roman"/>
                <w:sz w:val="20"/>
              </w:rPr>
              <w:t>Total</w:t>
            </w:r>
          </w:p>
        </w:tc>
        <w:tc>
          <w:tcPr>
            <w:tcW w:w="116" w:type="dxa"/>
            <w:tcBorders>
              <w:bottom w:val="single" w:sz="4" w:space="0" w:color="FFFFFF"/>
            </w:tcBorders>
            <w:shd w:fill="FFFFFF" w:val="clear"/>
            <w:vAlign w:val="bottom"/>
          </w:tcPr>
          <w:p>
            <w:pPr>
              <w:pStyle w:val="TableContents"/>
              <w:spacing w:before="0" w:after="283"/>
              <w:jc w:val="left"/>
              <w:rPr/>
            </w:pPr>
            <w:r>
              <w:rPr/>
              <w:t> </w:t>
            </w:r>
          </w:p>
        </w:tc>
      </w:tr>
      <w:tr>
        <w:trPr/>
        <w:tc>
          <w:tcPr>
            <w:tcW w:w="4080" w:type="dxa"/>
            <w:tcBorders/>
            <w:shd w:fill="CCEEFF" w:val="clear"/>
            <w:tcMar>
              <w:bottom w:w="0" w:type="dxa"/>
            </w:tcMar>
            <w:vAlign w:val="bottom"/>
          </w:tcPr>
          <w:p>
            <w:pPr>
              <w:pStyle w:val="TableContents"/>
              <w:spacing w:lineRule="auto" w:line="300" w:before="0" w:after="0"/>
              <w:ind w:left="0" w:right="0" w:hanging="0"/>
              <w:jc w:val="left"/>
              <w:rPr/>
            </w:pPr>
            <w:r>
              <w:rPr>
                <w:rFonts w:ascii="Times New Roman" w:hAnsi="Times New Roman"/>
                <w:sz w:val="20"/>
              </w:rPr>
              <w:t>Revenue</w:t>
            </w:r>
            <w:r>
              <w:rPr>
                <w:rFonts w:ascii="Times New Roman" w:hAnsi="Times New Roman"/>
                <w:position w:val="7"/>
                <w:sz w:val="16"/>
                <w:sz w:val="20"/>
              </w:rPr>
              <w:t>13</w:t>
            </w:r>
          </w:p>
        </w:tc>
        <w:tc>
          <w:tcPr>
            <w:tcW w:w="187" w:type="dxa"/>
            <w:tcBorders/>
            <w:shd w:fill="CCEEFF" w:val="clear"/>
            <w:tcMar>
              <w:bottom w:w="0" w:type="dxa"/>
            </w:tcMar>
            <w:vAlign w:val="center"/>
          </w:tcPr>
          <w:p>
            <w:pPr>
              <w:pStyle w:val="TableContents"/>
              <w:spacing w:before="0" w:after="283"/>
              <w:rPr/>
            </w:pPr>
            <w:r>
              <w:rPr/>
              <w:t> </w:t>
            </w:r>
          </w:p>
        </w:tc>
        <w:tc>
          <w:tcPr>
            <w:tcW w:w="126"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bookmarkStart w:id="1271" w:name="TAB242"/>
            <w:bookmarkEnd w:id="1271"/>
          </w:p>
        </w:tc>
        <w:tc>
          <w:tcPr>
            <w:tcW w:w="1154"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272" w:name="TAB243"/>
            <w:bookmarkEnd w:id="1272"/>
            <w:r>
              <w:rPr>
                <w:rFonts w:ascii="Times New Roman" w:hAnsi="Times New Roman"/>
                <w:sz w:val="20"/>
              </w:rPr>
              <w:t>74,324</w:t>
            </w:r>
          </w:p>
        </w:tc>
        <w:tc>
          <w:tcPr>
            <w:tcW w:w="194" w:type="dxa"/>
            <w:tcBorders/>
            <w:shd w:fill="CCEEFF" w:val="clear"/>
            <w:tcMar>
              <w:bottom w:w="0" w:type="dxa"/>
            </w:tcMar>
            <w:vAlign w:val="bottom"/>
          </w:tcPr>
          <w:p>
            <w:pPr>
              <w:pStyle w:val="TableContents"/>
              <w:spacing w:before="0" w:after="283"/>
              <w:jc w:val="left"/>
              <w:rPr/>
            </w:pPr>
            <w:r>
              <w:rPr/>
              <w:t> </w:t>
            </w:r>
          </w:p>
        </w:tc>
        <w:tc>
          <w:tcPr>
            <w:tcW w:w="126"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bookmarkStart w:id="1273" w:name="TAB244"/>
            <w:bookmarkEnd w:id="1273"/>
          </w:p>
        </w:tc>
        <w:tc>
          <w:tcPr>
            <w:tcW w:w="1123"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274" w:name="TAB245"/>
            <w:bookmarkEnd w:id="1274"/>
            <w:r>
              <w:rPr>
                <w:rFonts w:ascii="Times New Roman" w:hAnsi="Times New Roman"/>
                <w:sz w:val="20"/>
              </w:rPr>
              <w:t>14,990</w:t>
            </w:r>
          </w:p>
        </w:tc>
        <w:tc>
          <w:tcPr>
            <w:tcW w:w="187" w:type="dxa"/>
            <w:tcBorders/>
            <w:shd w:fill="CCEEFF" w:val="clear"/>
            <w:tcMar>
              <w:bottom w:w="0" w:type="dxa"/>
            </w:tcMar>
            <w:vAlign w:val="bottom"/>
          </w:tcPr>
          <w:p>
            <w:pPr>
              <w:pStyle w:val="TableContents"/>
              <w:spacing w:before="0" w:after="283"/>
              <w:jc w:val="left"/>
              <w:rPr/>
            </w:pPr>
            <w:r>
              <w:rPr/>
              <w:t> </w:t>
            </w:r>
          </w:p>
        </w:tc>
        <w:tc>
          <w:tcPr>
            <w:tcW w:w="126"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bookmarkStart w:id="1275" w:name="TAB246"/>
            <w:bookmarkEnd w:id="1275"/>
          </w:p>
        </w:tc>
        <w:tc>
          <w:tcPr>
            <w:tcW w:w="1308"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276" w:name="TAB247"/>
            <w:bookmarkEnd w:id="1276"/>
            <w:r>
              <w:rPr>
                <w:rFonts w:ascii="Times New Roman" w:hAnsi="Times New Roman"/>
                <w:sz w:val="20"/>
              </w:rPr>
              <w:t>(5,225</w:t>
            </w:r>
          </w:p>
        </w:tc>
        <w:tc>
          <w:tcPr>
            <w:tcW w:w="193"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1277" w:name="TAB248"/>
            <w:bookmarkEnd w:id="1277"/>
            <w:r>
              <w:rPr>
                <w:rFonts w:ascii="Times New Roman" w:hAnsi="Times New Roman"/>
                <w:sz w:val="20"/>
              </w:rPr>
              <w:t>)</w:t>
            </w:r>
          </w:p>
        </w:tc>
        <w:tc>
          <w:tcPr>
            <w:tcW w:w="126"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159"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84,089</w:t>
            </w:r>
          </w:p>
        </w:tc>
        <w:tc>
          <w:tcPr>
            <w:tcW w:w="116" w:type="dxa"/>
            <w:tcBorders/>
            <w:shd w:fill="CCEEFF" w:val="clear"/>
            <w:tcMar>
              <w:bottom w:w="0" w:type="dxa"/>
            </w:tcMar>
            <w:vAlign w:val="bottom"/>
          </w:tcPr>
          <w:p>
            <w:pPr>
              <w:pStyle w:val="TableContents"/>
              <w:spacing w:before="0" w:after="283"/>
              <w:jc w:val="left"/>
              <w:rPr/>
            </w:pPr>
            <w:r>
              <w:rPr/>
              <w:t> </w:t>
            </w:r>
          </w:p>
        </w:tc>
      </w:tr>
      <w:tr>
        <w:trPr/>
        <w:tc>
          <w:tcPr>
            <w:tcW w:w="4080" w:type="dxa"/>
            <w:tcBorders/>
            <w:shd w:fill="FFFFFF" w:val="clear"/>
            <w:tcMar>
              <w:bottom w:w="0" w:type="dxa"/>
            </w:tcMar>
            <w:vAlign w:val="bottom"/>
          </w:tcPr>
          <w:p>
            <w:pPr>
              <w:pStyle w:val="TableContents"/>
              <w:spacing w:lineRule="auto" w:line="300" w:before="0" w:after="0"/>
              <w:ind w:left="0" w:right="0" w:hanging="0"/>
              <w:jc w:val="left"/>
              <w:rPr/>
            </w:pPr>
            <w:r>
              <w:rPr>
                <w:rFonts w:ascii="Times New Roman" w:hAnsi="Times New Roman"/>
                <w:sz w:val="20"/>
              </w:rPr>
              <w:t>Operating expense</w:t>
            </w:r>
            <w:r>
              <w:rPr>
                <w:rFonts w:ascii="Times New Roman" w:hAnsi="Times New Roman"/>
                <w:position w:val="7"/>
                <w:sz w:val="16"/>
                <w:sz w:val="20"/>
              </w:rPr>
              <w:t>13</w:t>
            </w:r>
          </w:p>
        </w:tc>
        <w:tc>
          <w:tcPr>
            <w:tcW w:w="187" w:type="dxa"/>
            <w:tcBorders/>
            <w:shd w:fill="FFFFFF" w:val="clear"/>
            <w:tcMar>
              <w:bottom w:w="0" w:type="dxa"/>
            </w:tcMar>
            <w:vAlign w:val="center"/>
          </w:tcPr>
          <w:p>
            <w:pPr>
              <w:pStyle w:val="TableContents"/>
              <w:spacing w:before="0" w:after="283"/>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154"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62,041</w:t>
            </w:r>
          </w:p>
        </w:tc>
        <w:tc>
          <w:tcPr>
            <w:tcW w:w="194" w:type="dxa"/>
            <w:tcBorders/>
            <w:shd w:fill="FFFFFF" w:val="clear"/>
            <w:tcMar>
              <w:bottom w:w="0" w:type="dxa"/>
            </w:tcMar>
            <w:vAlign w:val="bottom"/>
          </w:tcPr>
          <w:p>
            <w:pPr>
              <w:pStyle w:val="TableContents"/>
              <w:spacing w:before="0" w:after="283"/>
              <w:jc w:val="left"/>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123"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6,948</w:t>
            </w:r>
          </w:p>
        </w:tc>
        <w:tc>
          <w:tcPr>
            <w:tcW w:w="187" w:type="dxa"/>
            <w:tcBorders/>
            <w:shd w:fill="FFFFFF" w:val="clear"/>
            <w:tcMar>
              <w:bottom w:w="0" w:type="dxa"/>
            </w:tcMar>
            <w:vAlign w:val="bottom"/>
          </w:tcPr>
          <w:p>
            <w:pPr>
              <w:pStyle w:val="TableContents"/>
              <w:spacing w:before="0" w:after="283"/>
              <w:jc w:val="left"/>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308"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(5,225</w:t>
            </w:r>
          </w:p>
        </w:tc>
        <w:tc>
          <w:tcPr>
            <w:tcW w:w="193"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26" w:type="dxa"/>
            <w:tcBorders/>
            <w:shd w:fill="FFFFFF" w:val="clear"/>
            <w:tcMar>
              <w:bottom w:w="0" w:type="dxa"/>
            </w:tcMar>
            <w:vAlign w:val="bottom"/>
          </w:tcPr>
          <w:p>
            <w:pPr>
              <w:pStyle w:val="TableContents"/>
              <w:spacing w:before="0" w:after="283"/>
              <w:jc w:val="left"/>
              <w:rPr/>
            </w:pPr>
            <w:r>
              <w:rPr/>
              <w:t> </w:t>
            </w:r>
          </w:p>
        </w:tc>
        <w:tc>
          <w:tcPr>
            <w:tcW w:w="1159"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63,764</w:t>
            </w:r>
          </w:p>
        </w:tc>
        <w:tc>
          <w:tcPr>
            <w:tcW w:w="116" w:type="dxa"/>
            <w:tcBorders/>
            <w:shd w:fill="FFFFFF" w:val="clear"/>
            <w:tcMar>
              <w:bottom w:w="0" w:type="dxa"/>
            </w:tcMar>
            <w:vAlign w:val="bottom"/>
          </w:tcPr>
          <w:p>
            <w:pPr>
              <w:pStyle w:val="TableContents"/>
              <w:spacing w:before="0" w:after="283"/>
              <w:jc w:val="left"/>
              <w:rPr/>
            </w:pPr>
            <w:r>
              <w:rPr/>
              <w:t> </w:t>
            </w:r>
          </w:p>
        </w:tc>
      </w:tr>
      <w:tr>
        <w:trPr/>
        <w:tc>
          <w:tcPr>
            <w:tcW w:w="4080"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Depreciation &amp; amortization</w:t>
            </w:r>
          </w:p>
        </w:tc>
        <w:tc>
          <w:tcPr>
            <w:tcW w:w="187" w:type="dxa"/>
            <w:tcBorders/>
            <w:shd w:fill="CCEEFF" w:val="clear"/>
            <w:tcMar>
              <w:bottom w:w="0" w:type="dxa"/>
            </w:tcMar>
            <w:vAlign w:val="center"/>
          </w:tcPr>
          <w:p>
            <w:pPr>
              <w:pStyle w:val="TableContents"/>
              <w:spacing w:before="0" w:after="283"/>
              <w:rPr/>
            </w:pPr>
            <w:r>
              <w:rPr/>
              <w:t> </w:t>
            </w:r>
          </w:p>
        </w:tc>
        <w:tc>
          <w:tcPr>
            <w:tcW w:w="126" w:type="dxa"/>
            <w:tcBorders/>
            <w:shd w:fill="CCEEFF" w:val="clear"/>
            <w:tcMar>
              <w:bottom w:w="0" w:type="dxa"/>
            </w:tcMar>
            <w:vAlign w:val="bottom"/>
          </w:tcPr>
          <w:p>
            <w:pPr>
              <w:pStyle w:val="TableContents"/>
              <w:spacing w:before="0" w:after="283"/>
              <w:jc w:val="left"/>
              <w:rPr/>
            </w:pPr>
            <w:r>
              <w:rPr/>
              <w:t> </w:t>
            </w:r>
          </w:p>
        </w:tc>
        <w:tc>
          <w:tcPr>
            <w:tcW w:w="1154"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8,093</w:t>
            </w:r>
          </w:p>
        </w:tc>
        <w:tc>
          <w:tcPr>
            <w:tcW w:w="194" w:type="dxa"/>
            <w:tcBorders/>
            <w:shd w:fill="CCEEFF" w:val="clear"/>
            <w:tcMar>
              <w:bottom w:w="0" w:type="dxa"/>
            </w:tcMar>
            <w:vAlign w:val="bottom"/>
          </w:tcPr>
          <w:p>
            <w:pPr>
              <w:pStyle w:val="TableContents"/>
              <w:spacing w:before="0" w:after="283"/>
              <w:jc w:val="left"/>
              <w:rPr/>
            </w:pPr>
            <w:r>
              <w:rPr/>
              <w:t> </w:t>
            </w:r>
          </w:p>
        </w:tc>
        <w:tc>
          <w:tcPr>
            <w:tcW w:w="126" w:type="dxa"/>
            <w:tcBorders/>
            <w:shd w:fill="CCEEFF" w:val="clear"/>
            <w:tcMar>
              <w:bottom w:w="0" w:type="dxa"/>
            </w:tcMar>
            <w:vAlign w:val="bottom"/>
          </w:tcPr>
          <w:p>
            <w:pPr>
              <w:pStyle w:val="TableContents"/>
              <w:spacing w:before="0" w:after="283"/>
              <w:jc w:val="left"/>
              <w:rPr/>
            </w:pPr>
            <w:r>
              <w:rPr/>
              <w:t> </w:t>
            </w:r>
          </w:p>
        </w:tc>
        <w:tc>
          <w:tcPr>
            <w:tcW w:w="1123"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3,630</w:t>
            </w:r>
          </w:p>
        </w:tc>
        <w:tc>
          <w:tcPr>
            <w:tcW w:w="187" w:type="dxa"/>
            <w:tcBorders/>
            <w:shd w:fill="CCEEFF" w:val="clear"/>
            <w:tcMar>
              <w:bottom w:w="0" w:type="dxa"/>
            </w:tcMar>
            <w:vAlign w:val="bottom"/>
          </w:tcPr>
          <w:p>
            <w:pPr>
              <w:pStyle w:val="TableContents"/>
              <w:spacing w:before="0" w:after="283"/>
              <w:jc w:val="left"/>
              <w:rPr/>
            </w:pPr>
            <w:r>
              <w:rPr/>
              <w:t> </w:t>
            </w:r>
          </w:p>
        </w:tc>
        <w:tc>
          <w:tcPr>
            <w:tcW w:w="126" w:type="dxa"/>
            <w:tcBorders/>
            <w:shd w:fill="CCEEFF" w:val="clear"/>
            <w:tcMar>
              <w:bottom w:w="0" w:type="dxa"/>
            </w:tcMar>
            <w:vAlign w:val="bottom"/>
          </w:tcPr>
          <w:p>
            <w:pPr>
              <w:pStyle w:val="TableContents"/>
              <w:spacing w:before="0" w:after="283"/>
              <w:jc w:val="left"/>
              <w:rPr/>
            </w:pPr>
            <w:r>
              <w:rPr/>
              <w:t> </w:t>
            </w:r>
          </w:p>
        </w:tc>
        <w:tc>
          <w:tcPr>
            <w:tcW w:w="1308"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193" w:type="dxa"/>
            <w:tcBorders/>
            <w:shd w:fill="CCEEFF" w:val="clear"/>
            <w:tcMar>
              <w:bottom w:w="0" w:type="dxa"/>
            </w:tcMar>
            <w:vAlign w:val="bottom"/>
          </w:tcPr>
          <w:p>
            <w:pPr>
              <w:pStyle w:val="TableContents"/>
              <w:spacing w:before="0" w:after="283"/>
              <w:jc w:val="left"/>
              <w:rPr/>
            </w:pPr>
            <w:r>
              <w:rPr/>
              <w:t> </w:t>
            </w:r>
          </w:p>
        </w:tc>
        <w:tc>
          <w:tcPr>
            <w:tcW w:w="126" w:type="dxa"/>
            <w:tcBorders/>
            <w:shd w:fill="CCEEFF" w:val="clear"/>
            <w:tcMar>
              <w:bottom w:w="0" w:type="dxa"/>
            </w:tcMar>
            <w:vAlign w:val="bottom"/>
          </w:tcPr>
          <w:p>
            <w:pPr>
              <w:pStyle w:val="TableContents"/>
              <w:spacing w:before="0" w:after="283"/>
              <w:jc w:val="left"/>
              <w:rPr/>
            </w:pPr>
            <w:r>
              <w:rPr/>
              <w:t> </w:t>
            </w:r>
          </w:p>
        </w:tc>
        <w:tc>
          <w:tcPr>
            <w:tcW w:w="1159"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11,723</w:t>
            </w:r>
          </w:p>
        </w:tc>
        <w:tc>
          <w:tcPr>
            <w:tcW w:w="116" w:type="dxa"/>
            <w:tcBorders/>
            <w:shd w:fill="CCEEFF" w:val="clear"/>
            <w:tcMar>
              <w:bottom w:w="0" w:type="dxa"/>
            </w:tcMar>
            <w:vAlign w:val="bottom"/>
          </w:tcPr>
          <w:p>
            <w:pPr>
              <w:pStyle w:val="TableContents"/>
              <w:spacing w:before="0" w:after="283"/>
              <w:jc w:val="left"/>
              <w:rPr/>
            </w:pPr>
            <w:r>
              <w:rPr/>
              <w:t> </w:t>
            </w:r>
          </w:p>
        </w:tc>
      </w:tr>
      <w:tr>
        <w:trPr/>
        <w:tc>
          <w:tcPr>
            <w:tcW w:w="4080" w:type="dxa"/>
            <w:tcBorders>
              <w:bottom w:val="sing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General &amp; administrative expense</w:t>
            </w:r>
          </w:p>
        </w:tc>
        <w:tc>
          <w:tcPr>
            <w:tcW w:w="187" w:type="dxa"/>
            <w:tcBorders>
              <w:bottom w:val="single" w:sz="2" w:space="0" w:color="FFFFFF"/>
            </w:tcBorders>
            <w:shd w:fill="FFFFFF" w:val="clear"/>
            <w:vAlign w:val="center"/>
          </w:tcPr>
          <w:p>
            <w:pPr>
              <w:pStyle w:val="TableContents"/>
              <w:spacing w:before="0" w:after="283"/>
              <w:rPr/>
            </w:pPr>
            <w:r>
              <w:rPr/>
              <w:t> </w:t>
            </w:r>
          </w:p>
        </w:tc>
        <w:tc>
          <w:tcPr>
            <w:tcW w:w="126" w:type="dxa"/>
            <w:tcBorders>
              <w:bottom w:val="single" w:sz="2" w:space="0" w:color="000000"/>
            </w:tcBorders>
            <w:shd w:fill="FFFFFF" w:val="clear"/>
            <w:vAlign w:val="bottom"/>
          </w:tcPr>
          <w:p>
            <w:pPr>
              <w:pStyle w:val="TableContents"/>
              <w:spacing w:before="0" w:after="283"/>
              <w:jc w:val="left"/>
              <w:rPr/>
            </w:pPr>
            <w:r>
              <w:rPr/>
              <w:t> </w:t>
            </w:r>
          </w:p>
        </w:tc>
        <w:tc>
          <w:tcPr>
            <w:tcW w:w="1154"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5,868</w:t>
            </w:r>
          </w:p>
        </w:tc>
        <w:tc>
          <w:tcPr>
            <w:tcW w:w="194" w:type="dxa"/>
            <w:tcBorders>
              <w:bottom w:val="single" w:sz="2" w:space="0" w:color="FFFFFF"/>
            </w:tcBorders>
            <w:shd w:fill="FFFFFF" w:val="clear"/>
            <w:vAlign w:val="bottom"/>
          </w:tcPr>
          <w:p>
            <w:pPr>
              <w:pStyle w:val="TableContents"/>
              <w:spacing w:before="0" w:after="283"/>
              <w:jc w:val="left"/>
              <w:rPr/>
            </w:pPr>
            <w:r>
              <w:rPr/>
              <w:t> </w:t>
            </w:r>
          </w:p>
        </w:tc>
        <w:tc>
          <w:tcPr>
            <w:tcW w:w="126" w:type="dxa"/>
            <w:tcBorders>
              <w:bottom w:val="single" w:sz="2" w:space="0" w:color="000000"/>
            </w:tcBorders>
            <w:shd w:fill="FFFFFF" w:val="clear"/>
            <w:vAlign w:val="bottom"/>
          </w:tcPr>
          <w:p>
            <w:pPr>
              <w:pStyle w:val="TableContents"/>
              <w:spacing w:before="0" w:after="283"/>
              <w:jc w:val="left"/>
              <w:rPr/>
            </w:pPr>
            <w:r>
              <w:rPr/>
              <w:t> </w:t>
            </w:r>
          </w:p>
        </w:tc>
        <w:tc>
          <w:tcPr>
            <w:tcW w:w="1123"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489</w:t>
            </w:r>
          </w:p>
        </w:tc>
        <w:tc>
          <w:tcPr>
            <w:tcW w:w="187" w:type="dxa"/>
            <w:tcBorders>
              <w:bottom w:val="single" w:sz="2" w:space="0" w:color="FFFFFF"/>
            </w:tcBorders>
            <w:shd w:fill="FFFFFF" w:val="clear"/>
            <w:vAlign w:val="bottom"/>
          </w:tcPr>
          <w:p>
            <w:pPr>
              <w:pStyle w:val="TableContents"/>
              <w:spacing w:before="0" w:after="283"/>
              <w:jc w:val="left"/>
              <w:rPr/>
            </w:pPr>
            <w:r>
              <w:rPr/>
              <w:t> </w:t>
            </w:r>
          </w:p>
        </w:tc>
        <w:tc>
          <w:tcPr>
            <w:tcW w:w="126" w:type="dxa"/>
            <w:tcBorders>
              <w:bottom w:val="single" w:sz="2" w:space="0" w:color="000000"/>
            </w:tcBorders>
            <w:shd w:fill="FFFFFF" w:val="clear"/>
            <w:vAlign w:val="bottom"/>
          </w:tcPr>
          <w:p>
            <w:pPr>
              <w:pStyle w:val="TableContents"/>
              <w:spacing w:before="0" w:after="283"/>
              <w:jc w:val="left"/>
              <w:rPr/>
            </w:pPr>
            <w:r>
              <w:rPr/>
              <w:t> </w:t>
            </w:r>
          </w:p>
        </w:tc>
        <w:tc>
          <w:tcPr>
            <w:tcW w:w="1308"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193" w:type="dxa"/>
            <w:tcBorders>
              <w:bottom w:val="single" w:sz="2" w:space="0" w:color="FFFFFF"/>
            </w:tcBorders>
            <w:shd w:fill="FFFFFF" w:val="clear"/>
            <w:vAlign w:val="bottom"/>
          </w:tcPr>
          <w:p>
            <w:pPr>
              <w:pStyle w:val="TableContents"/>
              <w:spacing w:before="0" w:after="283"/>
              <w:jc w:val="left"/>
              <w:rPr/>
            </w:pPr>
            <w:r>
              <w:rPr/>
              <w:t> </w:t>
            </w:r>
          </w:p>
        </w:tc>
        <w:tc>
          <w:tcPr>
            <w:tcW w:w="126" w:type="dxa"/>
            <w:tcBorders>
              <w:bottom w:val="single" w:sz="2" w:space="0" w:color="000000"/>
            </w:tcBorders>
            <w:shd w:fill="FFFFFF" w:val="clear"/>
            <w:vAlign w:val="bottom"/>
          </w:tcPr>
          <w:p>
            <w:pPr>
              <w:pStyle w:val="TableContents"/>
              <w:spacing w:before="0" w:after="283"/>
              <w:jc w:val="left"/>
              <w:rPr/>
            </w:pPr>
            <w:r>
              <w:rPr/>
              <w:t> </w:t>
            </w:r>
          </w:p>
        </w:tc>
        <w:tc>
          <w:tcPr>
            <w:tcW w:w="1159"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6,357</w:t>
            </w:r>
          </w:p>
        </w:tc>
        <w:tc>
          <w:tcPr>
            <w:tcW w:w="116" w:type="dxa"/>
            <w:tcBorders>
              <w:bottom w:val="single" w:sz="2" w:space="0" w:color="FFFFFF"/>
            </w:tcBorders>
            <w:shd w:fill="FFFFFF" w:val="clear"/>
            <w:vAlign w:val="bottom"/>
          </w:tcPr>
          <w:p>
            <w:pPr>
              <w:pStyle w:val="TableContents"/>
              <w:spacing w:before="0" w:after="283"/>
              <w:jc w:val="left"/>
              <w:rPr/>
            </w:pPr>
            <w:r>
              <w:rPr/>
              <w:t> </w:t>
            </w:r>
          </w:p>
        </w:tc>
      </w:tr>
      <w:tr>
        <w:trPr/>
        <w:tc>
          <w:tcPr>
            <w:tcW w:w="4080" w:type="dxa"/>
            <w:tcBorders>
              <w:bottom w:val="doub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Segment operating income (loss)</w:t>
            </w:r>
          </w:p>
        </w:tc>
        <w:tc>
          <w:tcPr>
            <w:tcW w:w="187" w:type="dxa"/>
            <w:tcBorders>
              <w:bottom w:val="single" w:sz="4" w:space="0" w:color="CCEEFF"/>
            </w:tcBorders>
            <w:shd w:fill="CCEEFF" w:val="clear"/>
            <w:vAlign w:val="center"/>
          </w:tcPr>
          <w:p>
            <w:pPr>
              <w:pStyle w:val="TableContents"/>
              <w:spacing w:before="0" w:after="283"/>
              <w:rPr/>
            </w:pPr>
            <w:r>
              <w:rPr/>
              <w:t> </w:t>
            </w:r>
          </w:p>
        </w:tc>
        <w:tc>
          <w:tcPr>
            <w:tcW w:w="126" w:type="dxa"/>
            <w:tcBorders>
              <w:bottom w:val="doub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bookmarkStart w:id="1278" w:name="TAB249"/>
            <w:bookmarkEnd w:id="1278"/>
          </w:p>
        </w:tc>
        <w:tc>
          <w:tcPr>
            <w:tcW w:w="1154" w:type="dxa"/>
            <w:tcBorders>
              <w:bottom w:val="doub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1279" w:name="TAB250"/>
            <w:bookmarkEnd w:id="1279"/>
            <w:r>
              <w:rPr>
                <w:rFonts w:ascii="Times New Roman" w:hAnsi="Times New Roman"/>
                <w:sz w:val="20"/>
              </w:rPr>
              <w:t>(1,678</w:t>
            </w:r>
          </w:p>
        </w:tc>
        <w:tc>
          <w:tcPr>
            <w:tcW w:w="194" w:type="dxa"/>
            <w:tcBorders>
              <w:bottom w:val="single" w:sz="4" w:space="0" w:color="CCEEFF"/>
            </w:tcBorders>
            <w:shd w:fill="CCEEFF" w:val="clear"/>
            <w:vAlign w:val="bottom"/>
          </w:tcPr>
          <w:p>
            <w:pPr>
              <w:pStyle w:val="TableContents"/>
              <w:spacing w:lineRule="auto" w:line="300" w:before="0" w:after="0"/>
              <w:ind w:left="0" w:right="0" w:hanging="0"/>
              <w:jc w:val="left"/>
              <w:rPr>
                <w:rFonts w:ascii="Times New Roman" w:hAnsi="Times New Roman"/>
                <w:sz w:val="20"/>
              </w:rPr>
            </w:pPr>
            <w:bookmarkStart w:id="1280" w:name="TAB251"/>
            <w:bookmarkEnd w:id="1280"/>
            <w:r>
              <w:rPr>
                <w:rFonts w:ascii="Times New Roman" w:hAnsi="Times New Roman"/>
                <w:sz w:val="20"/>
              </w:rPr>
              <w:t>)</w:t>
            </w:r>
          </w:p>
        </w:tc>
        <w:tc>
          <w:tcPr>
            <w:tcW w:w="126" w:type="dxa"/>
            <w:tcBorders>
              <w:bottom w:val="doub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bookmarkStart w:id="1281" w:name="TAB252"/>
            <w:bookmarkEnd w:id="1281"/>
          </w:p>
        </w:tc>
        <w:tc>
          <w:tcPr>
            <w:tcW w:w="1123" w:type="dxa"/>
            <w:tcBorders>
              <w:bottom w:val="doub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1282" w:name="TAB253"/>
            <w:bookmarkEnd w:id="1282"/>
            <w:r>
              <w:rPr>
                <w:rFonts w:ascii="Times New Roman" w:hAnsi="Times New Roman"/>
                <w:sz w:val="20"/>
              </w:rPr>
              <w:t>3,923</w:t>
            </w:r>
          </w:p>
        </w:tc>
        <w:tc>
          <w:tcPr>
            <w:tcW w:w="187" w:type="dxa"/>
            <w:tcBorders>
              <w:bottom w:val="single" w:sz="4" w:space="0" w:color="CCEEFF"/>
            </w:tcBorders>
            <w:shd w:fill="CCEEFF" w:val="clear"/>
            <w:vAlign w:val="bottom"/>
          </w:tcPr>
          <w:p>
            <w:pPr>
              <w:pStyle w:val="TableContents"/>
              <w:spacing w:before="0" w:after="283"/>
              <w:jc w:val="left"/>
              <w:rPr/>
            </w:pPr>
            <w:r>
              <w:rPr/>
              <w:t> </w:t>
            </w:r>
          </w:p>
        </w:tc>
        <w:tc>
          <w:tcPr>
            <w:tcW w:w="126" w:type="dxa"/>
            <w:tcBorders>
              <w:bottom w:val="doub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bookmarkStart w:id="1283" w:name="TAB254"/>
            <w:bookmarkEnd w:id="1283"/>
          </w:p>
        </w:tc>
        <w:tc>
          <w:tcPr>
            <w:tcW w:w="1308" w:type="dxa"/>
            <w:tcBorders>
              <w:bottom w:val="doub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1284" w:name="TAB255"/>
            <w:bookmarkEnd w:id="1284"/>
            <w:r>
              <w:rPr>
                <w:rFonts w:ascii="Times New Roman" w:hAnsi="Times New Roman"/>
                <w:sz w:val="20"/>
              </w:rPr>
              <w:t>--</w:t>
            </w:r>
          </w:p>
        </w:tc>
        <w:tc>
          <w:tcPr>
            <w:tcW w:w="193" w:type="dxa"/>
            <w:tcBorders>
              <w:bottom w:val="single" w:sz="4" w:space="0" w:color="CCEEFF"/>
            </w:tcBorders>
            <w:shd w:fill="CCEEFF" w:val="clear"/>
            <w:vAlign w:val="bottom"/>
          </w:tcPr>
          <w:p>
            <w:pPr>
              <w:pStyle w:val="TableContents"/>
              <w:spacing w:before="0" w:after="283"/>
              <w:jc w:val="left"/>
              <w:rPr/>
            </w:pPr>
            <w:r>
              <w:rPr/>
              <w:t> </w:t>
            </w:r>
          </w:p>
        </w:tc>
        <w:tc>
          <w:tcPr>
            <w:tcW w:w="126" w:type="dxa"/>
            <w:tcBorders>
              <w:bottom w:val="doub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159" w:type="dxa"/>
            <w:tcBorders>
              <w:bottom w:val="doub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2,245</w:t>
            </w:r>
          </w:p>
        </w:tc>
        <w:tc>
          <w:tcPr>
            <w:tcW w:w="116" w:type="dxa"/>
            <w:tcBorders>
              <w:bottom w:val="single" w:sz="4" w:space="0" w:color="CCEEFF"/>
            </w:tcBorders>
            <w:shd w:fill="CCEEFF" w:val="clear"/>
            <w:vAlign w:val="bottom"/>
          </w:tcPr>
          <w:p>
            <w:pPr>
              <w:pStyle w:val="TableContents"/>
              <w:spacing w:before="0" w:after="283"/>
              <w:jc w:val="left"/>
              <w:rPr/>
            </w:pPr>
            <w:r>
              <w:rPr/>
              <w:t> </w:t>
            </w:r>
          </w:p>
        </w:tc>
      </w:tr>
      <w:tr>
        <w:trPr/>
        <w:tc>
          <w:tcPr>
            <w:tcW w:w="4080" w:type="dxa"/>
            <w:tcBorders/>
            <w:shd w:fill="FFFFFF" w:val="clear"/>
            <w:tcMar>
              <w:bottom w:w="0" w:type="dxa"/>
            </w:tcMar>
            <w:vAlign w:val="bottom"/>
          </w:tcPr>
          <w:p>
            <w:pPr>
              <w:pStyle w:val="TableContents"/>
              <w:spacing w:before="0" w:after="283"/>
              <w:jc w:val="left"/>
              <w:rPr/>
            </w:pPr>
            <w:r>
              <w:rPr/>
              <w:t> </w:t>
            </w:r>
          </w:p>
        </w:tc>
        <w:tc>
          <w:tcPr>
            <w:tcW w:w="187" w:type="dxa"/>
            <w:tcBorders/>
            <w:shd w:fill="FFFFFF" w:val="clear"/>
            <w:tcMar>
              <w:bottom w:w="0" w:type="dxa"/>
            </w:tcMar>
            <w:vAlign w:val="center"/>
          </w:tcPr>
          <w:p>
            <w:pPr>
              <w:pStyle w:val="TableContents"/>
              <w:spacing w:before="0" w:after="283"/>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154" w:type="dxa"/>
            <w:tcBorders/>
            <w:shd w:fill="FFFFFF" w:val="clear"/>
            <w:tcMar>
              <w:bottom w:w="0" w:type="dxa"/>
            </w:tcMar>
            <w:vAlign w:val="bottom"/>
          </w:tcPr>
          <w:p>
            <w:pPr>
              <w:pStyle w:val="TableContents"/>
              <w:spacing w:before="0" w:after="283"/>
              <w:jc w:val="right"/>
              <w:rPr/>
            </w:pPr>
            <w:r>
              <w:rPr/>
              <w:t> </w:t>
            </w:r>
          </w:p>
        </w:tc>
        <w:tc>
          <w:tcPr>
            <w:tcW w:w="194" w:type="dxa"/>
            <w:tcBorders/>
            <w:shd w:fill="FFFFFF" w:val="clear"/>
            <w:tcMar>
              <w:bottom w:w="0" w:type="dxa"/>
            </w:tcMar>
            <w:vAlign w:val="bottom"/>
          </w:tcPr>
          <w:p>
            <w:pPr>
              <w:pStyle w:val="TableContents"/>
              <w:spacing w:before="0" w:after="283"/>
              <w:jc w:val="left"/>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123" w:type="dxa"/>
            <w:tcBorders/>
            <w:shd w:fill="FFFFFF" w:val="clear"/>
            <w:tcMar>
              <w:bottom w:w="0" w:type="dxa"/>
            </w:tcMar>
            <w:vAlign w:val="bottom"/>
          </w:tcPr>
          <w:p>
            <w:pPr>
              <w:pStyle w:val="TableContents"/>
              <w:spacing w:before="0" w:after="283"/>
              <w:jc w:val="right"/>
              <w:rPr/>
            </w:pPr>
            <w:r>
              <w:rPr/>
              <w:t> </w:t>
            </w:r>
          </w:p>
        </w:tc>
        <w:tc>
          <w:tcPr>
            <w:tcW w:w="187" w:type="dxa"/>
            <w:tcBorders/>
            <w:shd w:fill="FFFFFF" w:val="clear"/>
            <w:tcMar>
              <w:bottom w:w="0" w:type="dxa"/>
            </w:tcMar>
            <w:vAlign w:val="bottom"/>
          </w:tcPr>
          <w:p>
            <w:pPr>
              <w:pStyle w:val="TableContents"/>
              <w:spacing w:before="0" w:after="283"/>
              <w:jc w:val="left"/>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308" w:type="dxa"/>
            <w:tcBorders/>
            <w:shd w:fill="FFFFFF" w:val="clear"/>
            <w:tcMar>
              <w:bottom w:w="0" w:type="dxa"/>
            </w:tcMar>
            <w:vAlign w:val="bottom"/>
          </w:tcPr>
          <w:p>
            <w:pPr>
              <w:pStyle w:val="TableContents"/>
              <w:spacing w:before="0" w:after="283"/>
              <w:jc w:val="right"/>
              <w:rPr/>
            </w:pPr>
            <w:r>
              <w:rPr/>
              <w:t> </w:t>
            </w:r>
          </w:p>
        </w:tc>
        <w:tc>
          <w:tcPr>
            <w:tcW w:w="193" w:type="dxa"/>
            <w:tcBorders/>
            <w:shd w:fill="FFFFFF" w:val="clear"/>
            <w:tcMar>
              <w:bottom w:w="0" w:type="dxa"/>
            </w:tcMar>
            <w:vAlign w:val="bottom"/>
          </w:tcPr>
          <w:p>
            <w:pPr>
              <w:pStyle w:val="TableContents"/>
              <w:spacing w:before="0" w:after="283"/>
              <w:jc w:val="left"/>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159" w:type="dxa"/>
            <w:tcBorders/>
            <w:shd w:fill="FFFFFF" w:val="clear"/>
            <w:tcMar>
              <w:bottom w:w="0" w:type="dxa"/>
            </w:tcMar>
            <w:vAlign w:val="bottom"/>
          </w:tcPr>
          <w:p>
            <w:pPr>
              <w:pStyle w:val="TableContents"/>
              <w:spacing w:before="0" w:after="283"/>
              <w:jc w:val="right"/>
              <w:rPr/>
            </w:pPr>
            <w:r>
              <w:rPr/>
              <w:t> </w:t>
            </w:r>
          </w:p>
        </w:tc>
        <w:tc>
          <w:tcPr>
            <w:tcW w:w="116" w:type="dxa"/>
            <w:tcBorders/>
            <w:shd w:fill="FFFFFF" w:val="clear"/>
            <w:tcMar>
              <w:bottom w:w="0" w:type="dxa"/>
            </w:tcMar>
            <w:vAlign w:val="bottom"/>
          </w:tcPr>
          <w:p>
            <w:pPr>
              <w:pStyle w:val="TableContents"/>
              <w:spacing w:before="0" w:after="283"/>
              <w:jc w:val="left"/>
              <w:rPr/>
            </w:pPr>
            <w:r>
              <w:rPr/>
              <w:t> </w:t>
            </w:r>
          </w:p>
        </w:tc>
      </w:tr>
    </w:tbl>
    <w:p>
      <w:pPr>
        <w:pStyle w:val="TextBody"/>
        <w:spacing w:lineRule="auto" w:line="300" w:before="0" w:after="0"/>
        <w:ind w:left="0" w:right="0" w:hanging="0"/>
        <w:jc w:val="left"/>
        <w:rPr/>
      </w:pPr>
      <w:r>
        <w:rPr>
          <w:rFonts w:ascii="Times New Roman" w:hAnsi="Times New Roman"/>
          <w:position w:val="7"/>
          <w:sz w:val="16"/>
          <w:sz w:val="20"/>
        </w:rPr>
        <w:t>13</w:t>
      </w:r>
      <w:r>
        <w:rPr/>
        <w:t xml:space="preserve"> </w:t>
      </w:r>
      <w:r>
        <w:rPr>
          <w:rFonts w:ascii="Times New Roman" w:hAnsi="Times New Roman"/>
          <w:sz w:val="20"/>
        </w:rPr>
        <w:t>2005 and 2004 real estate revenues and cinema operating expenses have been adjusted from the amounts previously reported. See Note 2 and Note 21 to the 2006 Consolidated Financial Statements.</w:t>
      </w:r>
    </w:p>
    <w:p>
      <w:pPr>
        <w:pStyle w:val="TextBody"/>
        <w:spacing w:lineRule="auto" w:line="300" w:before="0" w:after="0"/>
        <w:ind w:left="0" w:right="0" w:firstLine="72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285" w:name="PGBRK50"/>
      <w:bookmarkStart w:id="1286" w:name="PGBRK50"/>
      <w:bookmarkEnd w:id="128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87" w:name="FTR50"/>
      <w:bookmarkStart w:id="1288" w:name="FTR50"/>
      <w:bookmarkEnd w:id="128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89" w:name="GLFTR50"/>
      <w:bookmarkStart w:id="1290" w:name="GLFTR50"/>
      <w:bookmarkEnd w:id="129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1291" w:name="PN50"/>
      <w:bookmarkEnd w:id="1291"/>
      <w:r>
        <w:rPr>
          <w:rFonts w:ascii="Times New Roman" w:hAnsi="Times New Roman"/>
          <w:sz w:val="16"/>
        </w:rPr>
        <w:t>-50-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92" w:name="HDR50"/>
      <w:bookmarkStart w:id="1293" w:name="HDR50"/>
      <w:bookmarkEnd w:id="129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1294" w:name="GLHDR50"/>
        <w:bookmarkEnd w:id="1294"/>
        <w:r>
          <w:rPr>
            <w:rStyle w:val="Emphasis"/>
            <w:rFonts w:ascii="Times New Roman" w:hAnsi="Times New Roman"/>
            <w:color w:val="000000"/>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pStyle w:val="Normal"/>
        <w:spacing w:before="0" w:after="0"/>
        <w:rPr>
          <w:sz w:val="4"/>
          <w:szCs w:val="4"/>
        </w:rPr>
      </w:pPr>
      <w:r>
        <w:rPr>
          <w:sz w:val="4"/>
          <w:szCs w:val="4"/>
        </w:rPr>
      </w:r>
      <w:bookmarkStart w:id="1295" w:name="ftable7"/>
      <w:bookmarkStart w:id="1296" w:name="ftable7"/>
      <w:bookmarkEnd w:id="1296"/>
    </w:p>
    <w:tbl>
      <w:tblPr>
        <w:tblW w:w="5000" w:type="pct"/>
        <w:jc w:val="left"/>
        <w:tblInd w:w="0" w:type="dxa"/>
        <w:tblCellMar>
          <w:top w:w="0" w:type="dxa"/>
          <w:left w:w="0" w:type="dxa"/>
          <w:bottom w:w="28" w:type="dxa"/>
          <w:right w:w="0" w:type="dxa"/>
        </w:tblCellMar>
      </w:tblPr>
      <w:tblGrid>
        <w:gridCol w:w="5585"/>
        <w:gridCol w:w="199"/>
        <w:gridCol w:w="126"/>
        <w:gridCol w:w="1174"/>
        <w:gridCol w:w="205"/>
        <w:gridCol w:w="126"/>
        <w:gridCol w:w="1174"/>
        <w:gridCol w:w="205"/>
        <w:gridCol w:w="126"/>
        <w:gridCol w:w="1161"/>
        <w:gridCol w:w="124"/>
      </w:tblGrid>
      <w:tr>
        <w:trPr/>
        <w:tc>
          <w:tcPr>
            <w:tcW w:w="5585" w:type="dxa"/>
            <w:tcBorders>
              <w:bottom w:val="double" w:sz="2" w:space="0" w:color="000000"/>
            </w:tcBorders>
            <w:shd w:fill="auto" w:val="clear"/>
            <w:vAlign w:val="bottom"/>
          </w:tcPr>
          <w:p>
            <w:pPr>
              <w:pStyle w:val="TableContents"/>
              <w:spacing w:lineRule="auto" w:line="300" w:before="0" w:after="0"/>
              <w:ind w:left="0" w:right="0" w:hanging="0"/>
              <w:jc w:val="left"/>
              <w:rPr/>
            </w:pPr>
            <w:r>
              <w:rPr>
                <w:rStyle w:val="StrongEmphasis"/>
                <w:rFonts w:ascii="Times New Roman" w:hAnsi="Times New Roman"/>
                <w:sz w:val="20"/>
              </w:rPr>
              <w:t>Reconciliation to net income:</w:t>
            </w:r>
          </w:p>
        </w:tc>
        <w:tc>
          <w:tcPr>
            <w:tcW w:w="199" w:type="dxa"/>
            <w:tcBorders>
              <w:bottom w:val="single" w:sz="4" w:space="0" w:color="FFFFFF"/>
            </w:tcBorders>
            <w:shd w:fill="auto" w:val="clear"/>
            <w:vAlign w:val="center"/>
          </w:tcPr>
          <w:p>
            <w:pPr>
              <w:pStyle w:val="TableContents"/>
              <w:spacing w:before="0" w:after="283"/>
              <w:rPr/>
            </w:pPr>
            <w:r>
              <w:rPr/>
              <w:t> </w:t>
            </w:r>
          </w:p>
        </w:tc>
        <w:tc>
          <w:tcPr>
            <w:tcW w:w="1300"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2006</w:t>
            </w:r>
          </w:p>
        </w:tc>
        <w:tc>
          <w:tcPr>
            <w:tcW w:w="205" w:type="dxa"/>
            <w:tcBorders>
              <w:bottom w:val="single" w:sz="4" w:space="0" w:color="FFFFFF"/>
            </w:tcBorders>
            <w:shd w:fill="auto" w:val="clear"/>
            <w:vAlign w:val="bottom"/>
          </w:tcPr>
          <w:p>
            <w:pPr>
              <w:pStyle w:val="TableContents"/>
              <w:spacing w:before="0" w:after="283"/>
              <w:jc w:val="left"/>
              <w:rPr/>
            </w:pPr>
            <w:r>
              <w:rPr/>
              <w:t> </w:t>
            </w:r>
          </w:p>
        </w:tc>
        <w:tc>
          <w:tcPr>
            <w:tcW w:w="1300"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2005</w:t>
            </w:r>
          </w:p>
        </w:tc>
        <w:tc>
          <w:tcPr>
            <w:tcW w:w="205" w:type="dxa"/>
            <w:tcBorders>
              <w:bottom w:val="single" w:sz="4" w:space="0" w:color="FFFFFF"/>
            </w:tcBorders>
            <w:shd w:fill="auto" w:val="clear"/>
            <w:vAlign w:val="bottom"/>
          </w:tcPr>
          <w:p>
            <w:pPr>
              <w:pStyle w:val="TableContents"/>
              <w:spacing w:before="0" w:after="283"/>
              <w:jc w:val="left"/>
              <w:rPr/>
            </w:pPr>
            <w:r>
              <w:rPr/>
              <w:t> </w:t>
            </w:r>
          </w:p>
        </w:tc>
        <w:tc>
          <w:tcPr>
            <w:tcW w:w="1287"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2004</w:t>
            </w:r>
          </w:p>
        </w:tc>
        <w:tc>
          <w:tcPr>
            <w:tcW w:w="124" w:type="dxa"/>
            <w:tcBorders>
              <w:bottom w:val="single" w:sz="4" w:space="0" w:color="FFFFFF"/>
            </w:tcBorders>
            <w:shd w:fill="auto" w:val="clear"/>
            <w:vAlign w:val="bottom"/>
          </w:tcPr>
          <w:p>
            <w:pPr>
              <w:pStyle w:val="TableContents"/>
              <w:spacing w:before="0" w:after="283"/>
              <w:jc w:val="left"/>
              <w:rPr/>
            </w:pPr>
            <w:r>
              <w:rPr/>
              <w:t> </w:t>
            </w:r>
          </w:p>
        </w:tc>
      </w:tr>
      <w:tr>
        <w:trPr/>
        <w:tc>
          <w:tcPr>
            <w:tcW w:w="5585"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Total segment operating income</w:t>
            </w:r>
          </w:p>
        </w:tc>
        <w:tc>
          <w:tcPr>
            <w:tcW w:w="199" w:type="dxa"/>
            <w:tcBorders/>
            <w:shd w:fill="CCEEFF" w:val="clear"/>
            <w:tcMar>
              <w:bottom w:w="0" w:type="dxa"/>
            </w:tcMar>
            <w:vAlign w:val="center"/>
          </w:tcPr>
          <w:p>
            <w:pPr>
              <w:pStyle w:val="TableContents"/>
              <w:spacing w:before="0" w:after="283"/>
              <w:rPr/>
            </w:pPr>
            <w:r>
              <w:rPr/>
              <w:t> </w:t>
            </w:r>
          </w:p>
        </w:tc>
        <w:tc>
          <w:tcPr>
            <w:tcW w:w="126"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bookmarkStart w:id="1297" w:name="TAB256"/>
            <w:bookmarkEnd w:id="1297"/>
          </w:p>
        </w:tc>
        <w:tc>
          <w:tcPr>
            <w:tcW w:w="1174"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298" w:name="TAB257"/>
            <w:bookmarkEnd w:id="1298"/>
            <w:r>
              <w:rPr>
                <w:rFonts w:ascii="Times New Roman" w:hAnsi="Times New Roman"/>
                <w:sz w:val="20"/>
              </w:rPr>
              <w:t>11,450</w:t>
            </w:r>
          </w:p>
        </w:tc>
        <w:tc>
          <w:tcPr>
            <w:tcW w:w="205" w:type="dxa"/>
            <w:tcBorders/>
            <w:shd w:fill="CCEEFF" w:val="clear"/>
            <w:tcMar>
              <w:bottom w:w="0" w:type="dxa"/>
            </w:tcMar>
            <w:vAlign w:val="bottom"/>
          </w:tcPr>
          <w:p>
            <w:pPr>
              <w:pStyle w:val="TableContents"/>
              <w:spacing w:before="0" w:after="283"/>
              <w:jc w:val="left"/>
              <w:rPr/>
            </w:pPr>
            <w:r>
              <w:rPr/>
              <w:t> </w:t>
            </w:r>
          </w:p>
        </w:tc>
        <w:tc>
          <w:tcPr>
            <w:tcW w:w="126"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bookmarkStart w:id="1299" w:name="TAB258"/>
            <w:bookmarkEnd w:id="1299"/>
          </w:p>
        </w:tc>
        <w:tc>
          <w:tcPr>
            <w:tcW w:w="1174"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300" w:name="TAB259"/>
            <w:bookmarkEnd w:id="1300"/>
            <w:r>
              <w:rPr>
                <w:rFonts w:ascii="Times New Roman" w:hAnsi="Times New Roman"/>
                <w:sz w:val="20"/>
              </w:rPr>
              <w:t>4,132</w:t>
            </w:r>
          </w:p>
        </w:tc>
        <w:tc>
          <w:tcPr>
            <w:tcW w:w="205" w:type="dxa"/>
            <w:tcBorders/>
            <w:shd w:fill="CCEEFF" w:val="clear"/>
            <w:tcMar>
              <w:bottom w:w="0" w:type="dxa"/>
            </w:tcMar>
            <w:vAlign w:val="bottom"/>
          </w:tcPr>
          <w:p>
            <w:pPr>
              <w:pStyle w:val="TableContents"/>
              <w:spacing w:before="0" w:after="283"/>
              <w:jc w:val="left"/>
              <w:rPr/>
            </w:pPr>
            <w:r>
              <w:rPr/>
              <w:t> </w:t>
            </w:r>
          </w:p>
        </w:tc>
        <w:tc>
          <w:tcPr>
            <w:tcW w:w="126"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bookmarkStart w:id="1301" w:name="TAB260"/>
            <w:bookmarkEnd w:id="1301"/>
          </w:p>
        </w:tc>
        <w:tc>
          <w:tcPr>
            <w:tcW w:w="1161"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302" w:name="TAB261"/>
            <w:bookmarkEnd w:id="1302"/>
            <w:r>
              <w:rPr>
                <w:rFonts w:ascii="Times New Roman" w:hAnsi="Times New Roman"/>
                <w:sz w:val="20"/>
              </w:rPr>
              <w:t>2,245</w:t>
            </w:r>
          </w:p>
        </w:tc>
        <w:tc>
          <w:tcPr>
            <w:tcW w:w="124" w:type="dxa"/>
            <w:tcBorders/>
            <w:shd w:fill="CCEEFF" w:val="clear"/>
            <w:tcMar>
              <w:bottom w:w="0" w:type="dxa"/>
            </w:tcMar>
            <w:vAlign w:val="bottom"/>
          </w:tcPr>
          <w:p>
            <w:pPr>
              <w:pStyle w:val="TableContents"/>
              <w:spacing w:before="0" w:after="283"/>
              <w:jc w:val="left"/>
              <w:rPr/>
            </w:pPr>
            <w:r>
              <w:rPr/>
              <w:t> </w:t>
            </w:r>
          </w:p>
        </w:tc>
      </w:tr>
      <w:tr>
        <w:trPr/>
        <w:tc>
          <w:tcPr>
            <w:tcW w:w="5585" w:type="dxa"/>
            <w:tcBorders/>
            <w:shd w:fill="FFFFFF" w:val="clear"/>
            <w:tcMar>
              <w:bottom w:w="0" w:type="dxa"/>
            </w:tcMar>
            <w:vAlign w:val="bottom"/>
          </w:tcPr>
          <w:p>
            <w:pPr>
              <w:pStyle w:val="TableContents"/>
              <w:spacing w:lineRule="auto" w:line="300" w:before="0" w:after="0"/>
              <w:ind w:left="180" w:right="0" w:hanging="0"/>
              <w:jc w:val="left"/>
              <w:rPr>
                <w:rFonts w:ascii="Times New Roman" w:hAnsi="Times New Roman"/>
                <w:sz w:val="20"/>
              </w:rPr>
            </w:pPr>
            <w:bookmarkStart w:id="1303" w:name="TAB1438"/>
            <w:bookmarkEnd w:id="1303"/>
            <w:r>
              <w:rPr>
                <w:rFonts w:ascii="Times New Roman" w:hAnsi="Times New Roman"/>
                <w:sz w:val="20"/>
              </w:rPr>
              <w:t>Non-segment:</w:t>
            </w:r>
          </w:p>
        </w:tc>
        <w:tc>
          <w:tcPr>
            <w:tcW w:w="199" w:type="dxa"/>
            <w:tcBorders/>
            <w:shd w:fill="FFFFFF" w:val="clear"/>
            <w:tcMar>
              <w:bottom w:w="0" w:type="dxa"/>
            </w:tcMar>
            <w:vAlign w:val="center"/>
          </w:tcPr>
          <w:p>
            <w:pPr>
              <w:pStyle w:val="TableContents"/>
              <w:spacing w:before="0" w:after="283"/>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174" w:type="dxa"/>
            <w:tcBorders/>
            <w:shd w:fill="FFFFFF" w:val="clear"/>
            <w:tcMar>
              <w:bottom w:w="0" w:type="dxa"/>
            </w:tcMar>
            <w:vAlign w:val="bottom"/>
          </w:tcPr>
          <w:p>
            <w:pPr>
              <w:pStyle w:val="TableContents"/>
              <w:spacing w:before="0" w:after="283"/>
              <w:jc w:val="right"/>
              <w:rPr/>
            </w:pPr>
            <w:r>
              <w:rPr/>
              <w:t> </w:t>
            </w:r>
          </w:p>
        </w:tc>
        <w:tc>
          <w:tcPr>
            <w:tcW w:w="205" w:type="dxa"/>
            <w:tcBorders/>
            <w:shd w:fill="FFFFFF" w:val="clear"/>
            <w:tcMar>
              <w:bottom w:w="0" w:type="dxa"/>
            </w:tcMar>
            <w:vAlign w:val="bottom"/>
          </w:tcPr>
          <w:p>
            <w:pPr>
              <w:pStyle w:val="TableContents"/>
              <w:spacing w:before="0" w:after="283"/>
              <w:jc w:val="left"/>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174" w:type="dxa"/>
            <w:tcBorders/>
            <w:shd w:fill="FFFFFF" w:val="clear"/>
            <w:tcMar>
              <w:bottom w:w="0" w:type="dxa"/>
            </w:tcMar>
            <w:vAlign w:val="bottom"/>
          </w:tcPr>
          <w:p>
            <w:pPr>
              <w:pStyle w:val="TableContents"/>
              <w:spacing w:before="0" w:after="283"/>
              <w:jc w:val="right"/>
              <w:rPr/>
            </w:pPr>
            <w:r>
              <w:rPr/>
              <w:t> </w:t>
            </w:r>
          </w:p>
        </w:tc>
        <w:tc>
          <w:tcPr>
            <w:tcW w:w="205" w:type="dxa"/>
            <w:tcBorders/>
            <w:shd w:fill="FFFFFF" w:val="clear"/>
            <w:tcMar>
              <w:bottom w:w="0" w:type="dxa"/>
            </w:tcMar>
            <w:vAlign w:val="bottom"/>
          </w:tcPr>
          <w:p>
            <w:pPr>
              <w:pStyle w:val="TableContents"/>
              <w:spacing w:before="0" w:after="283"/>
              <w:jc w:val="left"/>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161" w:type="dxa"/>
            <w:tcBorders/>
            <w:shd w:fill="FFFFFF" w:val="clear"/>
            <w:tcMar>
              <w:bottom w:w="0" w:type="dxa"/>
            </w:tcMar>
            <w:vAlign w:val="bottom"/>
          </w:tcPr>
          <w:p>
            <w:pPr>
              <w:pStyle w:val="TableContents"/>
              <w:spacing w:before="0" w:after="283"/>
              <w:jc w:val="right"/>
              <w:rPr/>
            </w:pPr>
            <w:r>
              <w:rPr/>
              <w:t> </w:t>
            </w:r>
          </w:p>
        </w:tc>
        <w:tc>
          <w:tcPr>
            <w:tcW w:w="124" w:type="dxa"/>
            <w:tcBorders/>
            <w:shd w:fill="FFFFFF" w:val="clear"/>
            <w:tcMar>
              <w:bottom w:w="0" w:type="dxa"/>
            </w:tcMar>
            <w:vAlign w:val="bottom"/>
          </w:tcPr>
          <w:p>
            <w:pPr>
              <w:pStyle w:val="TableContents"/>
              <w:spacing w:before="0" w:after="283"/>
              <w:jc w:val="left"/>
              <w:rPr/>
            </w:pPr>
            <w:r>
              <w:rPr/>
              <w:t> </w:t>
            </w:r>
          </w:p>
        </w:tc>
      </w:tr>
      <w:tr>
        <w:trPr/>
        <w:tc>
          <w:tcPr>
            <w:tcW w:w="5585" w:type="dxa"/>
            <w:tcBorders/>
            <w:shd w:fill="CCEEFF" w:val="clear"/>
            <w:tcMar>
              <w:bottom w:w="0" w:type="dxa"/>
            </w:tcMar>
            <w:vAlign w:val="bottom"/>
          </w:tcPr>
          <w:p>
            <w:pPr>
              <w:pStyle w:val="TableContents"/>
              <w:spacing w:lineRule="auto" w:line="300" w:before="0" w:after="0"/>
              <w:ind w:left="360" w:right="0" w:hanging="0"/>
              <w:jc w:val="left"/>
              <w:rPr>
                <w:rFonts w:ascii="Times New Roman" w:hAnsi="Times New Roman"/>
                <w:sz w:val="20"/>
              </w:rPr>
            </w:pPr>
            <w:bookmarkStart w:id="1304" w:name="TAB1439"/>
            <w:bookmarkStart w:id="1305" w:name="TAB1440"/>
            <w:bookmarkEnd w:id="1304"/>
            <w:bookmarkEnd w:id="1305"/>
            <w:r>
              <w:rPr>
                <w:rFonts w:ascii="Times New Roman" w:hAnsi="Times New Roman"/>
                <w:sz w:val="20"/>
              </w:rPr>
              <w:t>Depreciation and amortization expense</w:t>
            </w:r>
          </w:p>
        </w:tc>
        <w:tc>
          <w:tcPr>
            <w:tcW w:w="199" w:type="dxa"/>
            <w:tcBorders/>
            <w:shd w:fill="CCEEFF" w:val="clear"/>
            <w:tcMar>
              <w:bottom w:w="0" w:type="dxa"/>
            </w:tcMar>
            <w:vAlign w:val="center"/>
          </w:tcPr>
          <w:p>
            <w:pPr>
              <w:pStyle w:val="TableContents"/>
              <w:spacing w:before="0" w:after="283"/>
              <w:rPr/>
            </w:pPr>
            <w:r>
              <w:rPr/>
              <w:t> </w:t>
            </w:r>
          </w:p>
        </w:tc>
        <w:tc>
          <w:tcPr>
            <w:tcW w:w="126" w:type="dxa"/>
            <w:tcBorders/>
            <w:shd w:fill="CCEEFF" w:val="clear"/>
            <w:tcMar>
              <w:bottom w:w="0" w:type="dxa"/>
            </w:tcMar>
            <w:vAlign w:val="bottom"/>
          </w:tcPr>
          <w:p>
            <w:pPr>
              <w:pStyle w:val="TableContents"/>
              <w:spacing w:before="0" w:after="283"/>
              <w:jc w:val="left"/>
              <w:rPr/>
            </w:pPr>
            <w:r>
              <w:rPr/>
              <w:t> </w:t>
            </w:r>
          </w:p>
        </w:tc>
        <w:tc>
          <w:tcPr>
            <w:tcW w:w="1174"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484</w:t>
            </w:r>
          </w:p>
        </w:tc>
        <w:tc>
          <w:tcPr>
            <w:tcW w:w="205" w:type="dxa"/>
            <w:tcBorders/>
            <w:shd w:fill="CCEEFF" w:val="clear"/>
            <w:tcMar>
              <w:bottom w:w="0" w:type="dxa"/>
            </w:tcMar>
            <w:vAlign w:val="bottom"/>
          </w:tcPr>
          <w:p>
            <w:pPr>
              <w:pStyle w:val="TableContents"/>
              <w:spacing w:before="0" w:after="283"/>
              <w:jc w:val="left"/>
              <w:rPr/>
            </w:pPr>
            <w:r>
              <w:rPr/>
              <w:t> </w:t>
            </w:r>
          </w:p>
        </w:tc>
        <w:tc>
          <w:tcPr>
            <w:tcW w:w="126" w:type="dxa"/>
            <w:tcBorders/>
            <w:shd w:fill="CCEEFF" w:val="clear"/>
            <w:tcMar>
              <w:bottom w:w="0" w:type="dxa"/>
            </w:tcMar>
            <w:vAlign w:val="bottom"/>
          </w:tcPr>
          <w:p>
            <w:pPr>
              <w:pStyle w:val="TableContents"/>
              <w:spacing w:before="0" w:after="283"/>
              <w:jc w:val="left"/>
              <w:rPr/>
            </w:pPr>
            <w:r>
              <w:rPr/>
              <w:t> </w:t>
            </w:r>
          </w:p>
        </w:tc>
        <w:tc>
          <w:tcPr>
            <w:tcW w:w="1174"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387</w:t>
            </w:r>
          </w:p>
        </w:tc>
        <w:tc>
          <w:tcPr>
            <w:tcW w:w="205" w:type="dxa"/>
            <w:tcBorders/>
            <w:shd w:fill="CCEEFF" w:val="clear"/>
            <w:tcMar>
              <w:bottom w:w="0" w:type="dxa"/>
            </w:tcMar>
            <w:vAlign w:val="bottom"/>
          </w:tcPr>
          <w:p>
            <w:pPr>
              <w:pStyle w:val="TableContents"/>
              <w:spacing w:before="0" w:after="283"/>
              <w:jc w:val="left"/>
              <w:rPr/>
            </w:pPr>
            <w:r>
              <w:rPr/>
              <w:t> </w:t>
            </w:r>
          </w:p>
        </w:tc>
        <w:tc>
          <w:tcPr>
            <w:tcW w:w="126" w:type="dxa"/>
            <w:tcBorders/>
            <w:shd w:fill="CCEEFF" w:val="clear"/>
            <w:tcMar>
              <w:bottom w:w="0" w:type="dxa"/>
            </w:tcMar>
            <w:vAlign w:val="bottom"/>
          </w:tcPr>
          <w:p>
            <w:pPr>
              <w:pStyle w:val="TableContents"/>
              <w:spacing w:before="0" w:after="283"/>
              <w:jc w:val="left"/>
              <w:rPr/>
            </w:pPr>
            <w:r>
              <w:rPr/>
              <w:t> </w:t>
            </w:r>
          </w:p>
        </w:tc>
        <w:tc>
          <w:tcPr>
            <w:tcW w:w="1161"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100</w:t>
            </w:r>
          </w:p>
        </w:tc>
        <w:tc>
          <w:tcPr>
            <w:tcW w:w="124" w:type="dxa"/>
            <w:tcBorders/>
            <w:shd w:fill="CCEEFF" w:val="clear"/>
            <w:tcMar>
              <w:bottom w:w="0" w:type="dxa"/>
            </w:tcMar>
            <w:vAlign w:val="bottom"/>
          </w:tcPr>
          <w:p>
            <w:pPr>
              <w:pStyle w:val="TableContents"/>
              <w:spacing w:before="0" w:after="283"/>
              <w:jc w:val="left"/>
              <w:rPr/>
            </w:pPr>
            <w:r>
              <w:rPr/>
              <w:t> </w:t>
            </w:r>
          </w:p>
        </w:tc>
      </w:tr>
      <w:tr>
        <w:trPr/>
        <w:tc>
          <w:tcPr>
            <w:tcW w:w="5585" w:type="dxa"/>
            <w:tcBorders>
              <w:bottom w:val="single" w:sz="2" w:space="0" w:color="000000"/>
            </w:tcBorders>
            <w:shd w:fill="FFFFFF" w:val="clear"/>
            <w:vAlign w:val="bottom"/>
          </w:tcPr>
          <w:p>
            <w:pPr>
              <w:pStyle w:val="TableContents"/>
              <w:spacing w:lineRule="auto" w:line="300" w:before="0" w:after="0"/>
              <w:ind w:left="360" w:right="0" w:hanging="0"/>
              <w:jc w:val="left"/>
              <w:rPr>
                <w:rFonts w:ascii="Times New Roman" w:hAnsi="Times New Roman"/>
                <w:sz w:val="20"/>
              </w:rPr>
            </w:pPr>
            <w:bookmarkStart w:id="1306" w:name="TAB1441"/>
            <w:bookmarkStart w:id="1307" w:name="TAB1442"/>
            <w:bookmarkEnd w:id="1306"/>
            <w:bookmarkEnd w:id="1307"/>
            <w:r>
              <w:rPr>
                <w:rFonts w:ascii="Times New Roman" w:hAnsi="Times New Roman"/>
                <w:sz w:val="20"/>
              </w:rPr>
              <w:t>General and administrative expense</w:t>
            </w:r>
          </w:p>
        </w:tc>
        <w:tc>
          <w:tcPr>
            <w:tcW w:w="199" w:type="dxa"/>
            <w:tcBorders>
              <w:bottom w:val="single" w:sz="2" w:space="0" w:color="FFFFFF"/>
            </w:tcBorders>
            <w:shd w:fill="FFFFFF" w:val="clear"/>
            <w:vAlign w:val="center"/>
          </w:tcPr>
          <w:p>
            <w:pPr>
              <w:pStyle w:val="TableContents"/>
              <w:spacing w:before="0" w:after="283"/>
              <w:rPr/>
            </w:pPr>
            <w:r>
              <w:rPr/>
              <w:t> </w:t>
            </w:r>
          </w:p>
        </w:tc>
        <w:tc>
          <w:tcPr>
            <w:tcW w:w="126" w:type="dxa"/>
            <w:tcBorders>
              <w:bottom w:val="single" w:sz="2" w:space="0" w:color="000000"/>
            </w:tcBorders>
            <w:shd w:fill="FFFFFF" w:val="clear"/>
            <w:vAlign w:val="bottom"/>
          </w:tcPr>
          <w:p>
            <w:pPr>
              <w:pStyle w:val="TableContents"/>
              <w:spacing w:before="0" w:after="283"/>
              <w:jc w:val="left"/>
              <w:rPr/>
            </w:pPr>
            <w:r>
              <w:rPr/>
              <w:t> </w:t>
            </w:r>
          </w:p>
        </w:tc>
        <w:tc>
          <w:tcPr>
            <w:tcW w:w="1174"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8,551</w:t>
            </w:r>
          </w:p>
        </w:tc>
        <w:tc>
          <w:tcPr>
            <w:tcW w:w="205" w:type="dxa"/>
            <w:tcBorders>
              <w:bottom w:val="single" w:sz="2" w:space="0" w:color="FFFFFF"/>
            </w:tcBorders>
            <w:shd w:fill="FFFFFF" w:val="clear"/>
            <w:vAlign w:val="bottom"/>
          </w:tcPr>
          <w:p>
            <w:pPr>
              <w:pStyle w:val="TableContents"/>
              <w:spacing w:before="0" w:after="283"/>
              <w:jc w:val="left"/>
              <w:rPr/>
            </w:pPr>
            <w:r>
              <w:rPr/>
              <w:t> </w:t>
            </w:r>
          </w:p>
        </w:tc>
        <w:tc>
          <w:tcPr>
            <w:tcW w:w="126" w:type="dxa"/>
            <w:tcBorders>
              <w:bottom w:val="single" w:sz="2" w:space="0" w:color="000000"/>
            </w:tcBorders>
            <w:shd w:fill="FFFFFF" w:val="clear"/>
            <w:vAlign w:val="bottom"/>
          </w:tcPr>
          <w:p>
            <w:pPr>
              <w:pStyle w:val="TableContents"/>
              <w:spacing w:before="0" w:after="283"/>
              <w:jc w:val="left"/>
              <w:rPr/>
            </w:pPr>
            <w:r>
              <w:rPr/>
              <w:t> </w:t>
            </w:r>
          </w:p>
        </w:tc>
        <w:tc>
          <w:tcPr>
            <w:tcW w:w="1174"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10,117</w:t>
            </w:r>
          </w:p>
        </w:tc>
        <w:tc>
          <w:tcPr>
            <w:tcW w:w="205" w:type="dxa"/>
            <w:tcBorders>
              <w:bottom w:val="single" w:sz="2" w:space="0" w:color="FFFFFF"/>
            </w:tcBorders>
            <w:shd w:fill="FFFFFF" w:val="clear"/>
            <w:vAlign w:val="bottom"/>
          </w:tcPr>
          <w:p>
            <w:pPr>
              <w:pStyle w:val="TableContents"/>
              <w:spacing w:before="0" w:after="283"/>
              <w:jc w:val="left"/>
              <w:rPr/>
            </w:pPr>
            <w:r>
              <w:rPr/>
              <w:t> </w:t>
            </w:r>
          </w:p>
        </w:tc>
        <w:tc>
          <w:tcPr>
            <w:tcW w:w="126" w:type="dxa"/>
            <w:tcBorders>
              <w:bottom w:val="single" w:sz="2" w:space="0" w:color="000000"/>
            </w:tcBorders>
            <w:shd w:fill="FFFFFF" w:val="clear"/>
            <w:vAlign w:val="bottom"/>
          </w:tcPr>
          <w:p>
            <w:pPr>
              <w:pStyle w:val="TableContents"/>
              <w:spacing w:before="0" w:after="283"/>
              <w:jc w:val="left"/>
              <w:rPr/>
            </w:pPr>
            <w:r>
              <w:rPr/>
              <w:t> </w:t>
            </w:r>
          </w:p>
        </w:tc>
        <w:tc>
          <w:tcPr>
            <w:tcW w:w="1161"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8,467</w:t>
            </w:r>
          </w:p>
        </w:tc>
        <w:tc>
          <w:tcPr>
            <w:tcW w:w="124" w:type="dxa"/>
            <w:tcBorders>
              <w:bottom w:val="single" w:sz="2" w:space="0" w:color="FFFFFF"/>
            </w:tcBorders>
            <w:shd w:fill="FFFFFF" w:val="clear"/>
            <w:vAlign w:val="bottom"/>
          </w:tcPr>
          <w:p>
            <w:pPr>
              <w:pStyle w:val="TableContents"/>
              <w:spacing w:before="0" w:after="283"/>
              <w:jc w:val="left"/>
              <w:rPr/>
            </w:pPr>
            <w:r>
              <w:rPr/>
              <w:t> </w:t>
            </w:r>
          </w:p>
        </w:tc>
      </w:tr>
      <w:tr>
        <w:trPr/>
        <w:tc>
          <w:tcPr>
            <w:tcW w:w="5585"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Operating income (loss)</w:t>
            </w:r>
          </w:p>
        </w:tc>
        <w:tc>
          <w:tcPr>
            <w:tcW w:w="199" w:type="dxa"/>
            <w:tcBorders/>
            <w:shd w:fill="CCEEFF" w:val="clear"/>
            <w:tcMar>
              <w:bottom w:w="0" w:type="dxa"/>
            </w:tcMar>
            <w:vAlign w:val="center"/>
          </w:tcPr>
          <w:p>
            <w:pPr>
              <w:pStyle w:val="TableContents"/>
              <w:spacing w:before="0" w:after="283"/>
              <w:rPr/>
            </w:pPr>
            <w:r>
              <w:rPr/>
              <w:t> </w:t>
            </w:r>
          </w:p>
        </w:tc>
        <w:tc>
          <w:tcPr>
            <w:tcW w:w="126" w:type="dxa"/>
            <w:tcBorders/>
            <w:shd w:fill="CCEEFF" w:val="clear"/>
            <w:tcMar>
              <w:bottom w:w="0" w:type="dxa"/>
            </w:tcMar>
            <w:vAlign w:val="bottom"/>
          </w:tcPr>
          <w:p>
            <w:pPr>
              <w:pStyle w:val="TableContents"/>
              <w:spacing w:before="0" w:after="283"/>
              <w:jc w:val="left"/>
              <w:rPr/>
            </w:pPr>
            <w:r>
              <w:rPr/>
              <w:t> </w:t>
            </w:r>
          </w:p>
        </w:tc>
        <w:tc>
          <w:tcPr>
            <w:tcW w:w="1174"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2,415</w:t>
            </w:r>
          </w:p>
        </w:tc>
        <w:tc>
          <w:tcPr>
            <w:tcW w:w="205" w:type="dxa"/>
            <w:tcBorders/>
            <w:shd w:fill="CCEEFF" w:val="clear"/>
            <w:tcMar>
              <w:bottom w:w="0" w:type="dxa"/>
            </w:tcMar>
            <w:vAlign w:val="bottom"/>
          </w:tcPr>
          <w:p>
            <w:pPr>
              <w:pStyle w:val="TableContents"/>
              <w:spacing w:before="0" w:after="283"/>
              <w:jc w:val="left"/>
              <w:rPr/>
            </w:pPr>
            <w:r>
              <w:rPr/>
              <w:t> </w:t>
            </w:r>
          </w:p>
        </w:tc>
        <w:tc>
          <w:tcPr>
            <w:tcW w:w="126" w:type="dxa"/>
            <w:tcBorders/>
            <w:shd w:fill="CCEEFF" w:val="clear"/>
            <w:tcMar>
              <w:bottom w:w="0" w:type="dxa"/>
            </w:tcMar>
            <w:vAlign w:val="bottom"/>
          </w:tcPr>
          <w:p>
            <w:pPr>
              <w:pStyle w:val="TableContents"/>
              <w:spacing w:before="0" w:after="283"/>
              <w:jc w:val="left"/>
              <w:rPr/>
            </w:pPr>
            <w:r>
              <w:rPr/>
              <w:t> </w:t>
            </w:r>
          </w:p>
        </w:tc>
        <w:tc>
          <w:tcPr>
            <w:tcW w:w="1174"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(6,372</w:t>
            </w:r>
          </w:p>
        </w:tc>
        <w:tc>
          <w:tcPr>
            <w:tcW w:w="205"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26" w:type="dxa"/>
            <w:tcBorders/>
            <w:shd w:fill="CCEEFF" w:val="clear"/>
            <w:tcMar>
              <w:bottom w:w="0" w:type="dxa"/>
            </w:tcMar>
            <w:vAlign w:val="bottom"/>
          </w:tcPr>
          <w:p>
            <w:pPr>
              <w:pStyle w:val="TableContents"/>
              <w:spacing w:before="0" w:after="283"/>
              <w:jc w:val="left"/>
              <w:rPr/>
            </w:pPr>
            <w:r>
              <w:rPr/>
              <w:t> </w:t>
            </w:r>
          </w:p>
        </w:tc>
        <w:tc>
          <w:tcPr>
            <w:tcW w:w="1161"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(6,322</w:t>
            </w:r>
          </w:p>
        </w:tc>
        <w:tc>
          <w:tcPr>
            <w:tcW w:w="124"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r>
      <w:tr>
        <w:trPr/>
        <w:tc>
          <w:tcPr>
            <w:tcW w:w="5585" w:type="dxa"/>
            <w:tcBorders/>
            <w:shd w:fill="FFFFFF" w:val="clear"/>
            <w:tcMar>
              <w:bottom w:w="0" w:type="dxa"/>
            </w:tcMar>
            <w:vAlign w:val="bottom"/>
          </w:tcPr>
          <w:p>
            <w:pPr>
              <w:pStyle w:val="TableContents"/>
              <w:spacing w:lineRule="auto" w:line="300" w:before="0" w:after="0"/>
              <w:ind w:left="180" w:right="0" w:hanging="0"/>
              <w:jc w:val="left"/>
              <w:rPr>
                <w:rFonts w:ascii="Times New Roman" w:hAnsi="Times New Roman"/>
                <w:sz w:val="20"/>
              </w:rPr>
            </w:pPr>
            <w:bookmarkStart w:id="1308" w:name="TAB1443"/>
            <w:bookmarkEnd w:id="1308"/>
            <w:r>
              <w:rPr>
                <w:rFonts w:ascii="Times New Roman" w:hAnsi="Times New Roman"/>
                <w:sz w:val="20"/>
              </w:rPr>
              <w:t>Interest expense, net</w:t>
            </w:r>
          </w:p>
        </w:tc>
        <w:tc>
          <w:tcPr>
            <w:tcW w:w="199" w:type="dxa"/>
            <w:tcBorders/>
            <w:shd w:fill="FFFFFF" w:val="clear"/>
            <w:tcMar>
              <w:bottom w:w="0" w:type="dxa"/>
            </w:tcMar>
            <w:vAlign w:val="center"/>
          </w:tcPr>
          <w:p>
            <w:pPr>
              <w:pStyle w:val="TableContents"/>
              <w:spacing w:before="0" w:after="283"/>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174"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(6,608</w:t>
            </w:r>
          </w:p>
        </w:tc>
        <w:tc>
          <w:tcPr>
            <w:tcW w:w="205"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26" w:type="dxa"/>
            <w:tcBorders/>
            <w:shd w:fill="FFFFFF" w:val="clear"/>
            <w:tcMar>
              <w:bottom w:w="0" w:type="dxa"/>
            </w:tcMar>
            <w:vAlign w:val="bottom"/>
          </w:tcPr>
          <w:p>
            <w:pPr>
              <w:pStyle w:val="TableContents"/>
              <w:spacing w:before="0" w:after="283"/>
              <w:jc w:val="left"/>
              <w:rPr/>
            </w:pPr>
            <w:r>
              <w:rPr/>
              <w:t> </w:t>
            </w:r>
          </w:p>
        </w:tc>
        <w:tc>
          <w:tcPr>
            <w:tcW w:w="1174"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(4,473</w:t>
            </w:r>
          </w:p>
        </w:tc>
        <w:tc>
          <w:tcPr>
            <w:tcW w:w="205"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26" w:type="dxa"/>
            <w:tcBorders/>
            <w:shd w:fill="FFFFFF" w:val="clear"/>
            <w:tcMar>
              <w:bottom w:w="0" w:type="dxa"/>
            </w:tcMar>
            <w:vAlign w:val="bottom"/>
          </w:tcPr>
          <w:p>
            <w:pPr>
              <w:pStyle w:val="TableContents"/>
              <w:spacing w:before="0" w:after="283"/>
              <w:jc w:val="left"/>
              <w:rPr/>
            </w:pPr>
            <w:r>
              <w:rPr/>
              <w:t> </w:t>
            </w:r>
          </w:p>
        </w:tc>
        <w:tc>
          <w:tcPr>
            <w:tcW w:w="1161"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(3,078</w:t>
            </w:r>
          </w:p>
        </w:tc>
        <w:tc>
          <w:tcPr>
            <w:tcW w:w="124"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r>
      <w:tr>
        <w:trPr/>
        <w:tc>
          <w:tcPr>
            <w:tcW w:w="5585" w:type="dxa"/>
            <w:tcBorders/>
            <w:shd w:fill="CCEEFF" w:val="clear"/>
            <w:tcMar>
              <w:bottom w:w="0" w:type="dxa"/>
            </w:tcMar>
            <w:vAlign w:val="bottom"/>
          </w:tcPr>
          <w:p>
            <w:pPr>
              <w:pStyle w:val="TableContents"/>
              <w:spacing w:lineRule="auto" w:line="300" w:before="0" w:after="0"/>
              <w:ind w:left="180" w:right="0" w:hanging="0"/>
              <w:jc w:val="left"/>
              <w:rPr>
                <w:rFonts w:ascii="Times New Roman" w:hAnsi="Times New Roman"/>
                <w:sz w:val="20"/>
              </w:rPr>
            </w:pPr>
            <w:bookmarkStart w:id="1309" w:name="TAB1444"/>
            <w:bookmarkEnd w:id="1309"/>
            <w:r>
              <w:rPr>
                <w:rFonts w:ascii="Times New Roman" w:hAnsi="Times New Roman"/>
                <w:sz w:val="20"/>
              </w:rPr>
              <w:t>Other income (expense)</w:t>
            </w:r>
          </w:p>
        </w:tc>
        <w:tc>
          <w:tcPr>
            <w:tcW w:w="199" w:type="dxa"/>
            <w:tcBorders/>
            <w:shd w:fill="CCEEFF" w:val="clear"/>
            <w:tcMar>
              <w:bottom w:w="0" w:type="dxa"/>
            </w:tcMar>
            <w:vAlign w:val="center"/>
          </w:tcPr>
          <w:p>
            <w:pPr>
              <w:pStyle w:val="TableContents"/>
              <w:spacing w:before="0" w:after="283"/>
              <w:rPr/>
            </w:pPr>
            <w:r>
              <w:rPr/>
              <w:t> </w:t>
            </w:r>
          </w:p>
        </w:tc>
        <w:tc>
          <w:tcPr>
            <w:tcW w:w="126" w:type="dxa"/>
            <w:tcBorders/>
            <w:shd w:fill="CCEEFF" w:val="clear"/>
            <w:tcMar>
              <w:bottom w:w="0" w:type="dxa"/>
            </w:tcMar>
            <w:vAlign w:val="bottom"/>
          </w:tcPr>
          <w:p>
            <w:pPr>
              <w:pStyle w:val="TableContents"/>
              <w:spacing w:before="0" w:after="283"/>
              <w:jc w:val="left"/>
              <w:rPr/>
            </w:pPr>
            <w:r>
              <w:rPr/>
              <w:t> </w:t>
            </w:r>
          </w:p>
        </w:tc>
        <w:tc>
          <w:tcPr>
            <w:tcW w:w="1174"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(1,998</w:t>
            </w:r>
          </w:p>
        </w:tc>
        <w:tc>
          <w:tcPr>
            <w:tcW w:w="205"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26" w:type="dxa"/>
            <w:tcBorders/>
            <w:shd w:fill="CCEEFF" w:val="clear"/>
            <w:tcMar>
              <w:bottom w:w="0" w:type="dxa"/>
            </w:tcMar>
            <w:vAlign w:val="bottom"/>
          </w:tcPr>
          <w:p>
            <w:pPr>
              <w:pStyle w:val="TableContents"/>
              <w:spacing w:before="0" w:after="283"/>
              <w:jc w:val="left"/>
              <w:rPr/>
            </w:pPr>
            <w:r>
              <w:rPr/>
              <w:t> </w:t>
            </w:r>
          </w:p>
        </w:tc>
        <w:tc>
          <w:tcPr>
            <w:tcW w:w="1174"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19</w:t>
            </w:r>
          </w:p>
        </w:tc>
        <w:tc>
          <w:tcPr>
            <w:tcW w:w="205" w:type="dxa"/>
            <w:tcBorders/>
            <w:shd w:fill="CCEEFF" w:val="clear"/>
            <w:tcMar>
              <w:bottom w:w="0" w:type="dxa"/>
            </w:tcMar>
            <w:vAlign w:val="bottom"/>
          </w:tcPr>
          <w:p>
            <w:pPr>
              <w:pStyle w:val="TableContents"/>
              <w:spacing w:before="0" w:after="283"/>
              <w:jc w:val="left"/>
              <w:rPr/>
            </w:pPr>
            <w:r>
              <w:rPr/>
              <w:t> </w:t>
            </w:r>
          </w:p>
        </w:tc>
        <w:tc>
          <w:tcPr>
            <w:tcW w:w="126" w:type="dxa"/>
            <w:tcBorders/>
            <w:shd w:fill="CCEEFF" w:val="clear"/>
            <w:tcMar>
              <w:bottom w:w="0" w:type="dxa"/>
            </w:tcMar>
            <w:vAlign w:val="bottom"/>
          </w:tcPr>
          <w:p>
            <w:pPr>
              <w:pStyle w:val="TableContents"/>
              <w:spacing w:before="0" w:after="283"/>
              <w:jc w:val="left"/>
              <w:rPr/>
            </w:pPr>
            <w:r>
              <w:rPr/>
              <w:t> </w:t>
            </w:r>
          </w:p>
        </w:tc>
        <w:tc>
          <w:tcPr>
            <w:tcW w:w="1161"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884</w:t>
            </w:r>
          </w:p>
        </w:tc>
        <w:tc>
          <w:tcPr>
            <w:tcW w:w="124" w:type="dxa"/>
            <w:tcBorders/>
            <w:shd w:fill="CCEEFF" w:val="clear"/>
            <w:tcMar>
              <w:bottom w:w="0" w:type="dxa"/>
            </w:tcMar>
            <w:vAlign w:val="bottom"/>
          </w:tcPr>
          <w:p>
            <w:pPr>
              <w:pStyle w:val="TableContents"/>
              <w:spacing w:before="0" w:after="283"/>
              <w:jc w:val="left"/>
              <w:rPr/>
            </w:pPr>
            <w:r>
              <w:rPr/>
              <w:t> </w:t>
            </w:r>
          </w:p>
        </w:tc>
      </w:tr>
      <w:tr>
        <w:trPr/>
        <w:tc>
          <w:tcPr>
            <w:tcW w:w="5585" w:type="dxa"/>
            <w:tcBorders/>
            <w:shd w:fill="FFFFFF" w:val="clear"/>
            <w:tcMar>
              <w:bottom w:w="0" w:type="dxa"/>
            </w:tcMar>
            <w:vAlign w:val="bottom"/>
          </w:tcPr>
          <w:p>
            <w:pPr>
              <w:pStyle w:val="TableContents"/>
              <w:spacing w:lineRule="auto" w:line="300" w:before="0" w:after="0"/>
              <w:ind w:left="180" w:right="0" w:hanging="0"/>
              <w:jc w:val="left"/>
              <w:rPr>
                <w:rFonts w:ascii="Times New Roman" w:hAnsi="Times New Roman"/>
                <w:sz w:val="20"/>
              </w:rPr>
            </w:pPr>
            <w:bookmarkStart w:id="1310" w:name="TAB1445"/>
            <w:bookmarkEnd w:id="1310"/>
            <w:r>
              <w:rPr>
                <w:rFonts w:ascii="Times New Roman" w:hAnsi="Times New Roman"/>
                <w:sz w:val="20"/>
              </w:rPr>
              <w:t>Minority interest</w:t>
            </w:r>
          </w:p>
        </w:tc>
        <w:tc>
          <w:tcPr>
            <w:tcW w:w="199" w:type="dxa"/>
            <w:tcBorders/>
            <w:shd w:fill="FFFFFF" w:val="clear"/>
            <w:tcMar>
              <w:bottom w:w="0" w:type="dxa"/>
            </w:tcMar>
            <w:vAlign w:val="center"/>
          </w:tcPr>
          <w:p>
            <w:pPr>
              <w:pStyle w:val="TableContents"/>
              <w:spacing w:before="0" w:after="283"/>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174"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(672</w:t>
            </w:r>
          </w:p>
        </w:tc>
        <w:tc>
          <w:tcPr>
            <w:tcW w:w="205"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26" w:type="dxa"/>
            <w:tcBorders/>
            <w:shd w:fill="FFFFFF" w:val="clear"/>
            <w:tcMar>
              <w:bottom w:w="0" w:type="dxa"/>
            </w:tcMar>
            <w:vAlign w:val="bottom"/>
          </w:tcPr>
          <w:p>
            <w:pPr>
              <w:pStyle w:val="TableContents"/>
              <w:spacing w:before="0" w:after="283"/>
              <w:jc w:val="left"/>
              <w:rPr/>
            </w:pPr>
            <w:r>
              <w:rPr/>
              <w:t> </w:t>
            </w:r>
          </w:p>
        </w:tc>
        <w:tc>
          <w:tcPr>
            <w:tcW w:w="1174"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(579</w:t>
            </w:r>
          </w:p>
        </w:tc>
        <w:tc>
          <w:tcPr>
            <w:tcW w:w="205"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26" w:type="dxa"/>
            <w:tcBorders/>
            <w:shd w:fill="FFFFFF" w:val="clear"/>
            <w:tcMar>
              <w:bottom w:w="0" w:type="dxa"/>
            </w:tcMar>
            <w:vAlign w:val="bottom"/>
          </w:tcPr>
          <w:p>
            <w:pPr>
              <w:pStyle w:val="TableContents"/>
              <w:spacing w:before="0" w:after="283"/>
              <w:jc w:val="left"/>
              <w:rPr/>
            </w:pPr>
            <w:r>
              <w:rPr/>
              <w:t> </w:t>
            </w:r>
          </w:p>
        </w:tc>
        <w:tc>
          <w:tcPr>
            <w:tcW w:w="1161"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(112</w:t>
            </w:r>
          </w:p>
        </w:tc>
        <w:tc>
          <w:tcPr>
            <w:tcW w:w="124"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r>
      <w:tr>
        <w:trPr/>
        <w:tc>
          <w:tcPr>
            <w:tcW w:w="5585" w:type="dxa"/>
            <w:tcBorders/>
            <w:shd w:fill="CCEEFF" w:val="clear"/>
            <w:tcMar>
              <w:bottom w:w="0" w:type="dxa"/>
            </w:tcMar>
            <w:vAlign w:val="bottom"/>
          </w:tcPr>
          <w:p>
            <w:pPr>
              <w:pStyle w:val="TableContents"/>
              <w:spacing w:lineRule="auto" w:line="300" w:before="0" w:after="0"/>
              <w:ind w:left="180" w:right="0" w:hanging="0"/>
              <w:jc w:val="left"/>
              <w:rPr/>
            </w:pPr>
            <w:bookmarkStart w:id="1311" w:name="TAB1446"/>
            <w:bookmarkEnd w:id="1311"/>
            <w:r>
              <w:rPr>
                <w:rFonts w:ascii="Times New Roman" w:hAnsi="Times New Roman"/>
                <w:sz w:val="20"/>
              </w:rPr>
              <w:t>Gain on disposal of discontinued operations</w:t>
            </w:r>
            <w:r>
              <w:rPr>
                <w:rFonts w:ascii="Times New Roman" w:hAnsi="Times New Roman"/>
                <w:position w:val="7"/>
                <w:sz w:val="16"/>
                <w:sz w:val="20"/>
              </w:rPr>
              <w:t>14</w:t>
            </w:r>
            <w:r>
              <w:rPr/>
              <w:t> </w:t>
            </w:r>
          </w:p>
        </w:tc>
        <w:tc>
          <w:tcPr>
            <w:tcW w:w="199" w:type="dxa"/>
            <w:tcBorders/>
            <w:shd w:fill="CCEEFF" w:val="clear"/>
            <w:tcMar>
              <w:bottom w:w="0" w:type="dxa"/>
            </w:tcMar>
            <w:vAlign w:val="center"/>
          </w:tcPr>
          <w:p>
            <w:pPr>
              <w:pStyle w:val="TableContents"/>
              <w:spacing w:before="0" w:after="283"/>
              <w:rPr/>
            </w:pPr>
            <w:r>
              <w:rPr/>
              <w:t> </w:t>
            </w:r>
          </w:p>
        </w:tc>
        <w:tc>
          <w:tcPr>
            <w:tcW w:w="126" w:type="dxa"/>
            <w:tcBorders/>
            <w:shd w:fill="CCEEFF" w:val="clear"/>
            <w:tcMar>
              <w:bottom w:w="0" w:type="dxa"/>
            </w:tcMar>
            <w:vAlign w:val="bottom"/>
          </w:tcPr>
          <w:p>
            <w:pPr>
              <w:pStyle w:val="TableContents"/>
              <w:spacing w:before="0" w:after="283"/>
              <w:jc w:val="left"/>
              <w:rPr/>
            </w:pPr>
            <w:r>
              <w:rPr/>
              <w:t> </w:t>
            </w:r>
          </w:p>
        </w:tc>
        <w:tc>
          <w:tcPr>
            <w:tcW w:w="1174"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205" w:type="dxa"/>
            <w:tcBorders/>
            <w:shd w:fill="CCEEFF" w:val="clear"/>
            <w:tcMar>
              <w:bottom w:w="0" w:type="dxa"/>
            </w:tcMar>
            <w:vAlign w:val="bottom"/>
          </w:tcPr>
          <w:p>
            <w:pPr>
              <w:pStyle w:val="TableContents"/>
              <w:spacing w:before="0" w:after="283"/>
              <w:jc w:val="left"/>
              <w:rPr/>
            </w:pPr>
            <w:r>
              <w:rPr/>
              <w:t> </w:t>
            </w:r>
          </w:p>
        </w:tc>
        <w:tc>
          <w:tcPr>
            <w:tcW w:w="126" w:type="dxa"/>
            <w:tcBorders/>
            <w:shd w:fill="CCEEFF" w:val="clear"/>
            <w:tcMar>
              <w:bottom w:w="0" w:type="dxa"/>
            </w:tcMar>
            <w:vAlign w:val="bottom"/>
          </w:tcPr>
          <w:p>
            <w:pPr>
              <w:pStyle w:val="TableContents"/>
              <w:spacing w:before="0" w:after="283"/>
              <w:jc w:val="left"/>
              <w:rPr/>
            </w:pPr>
            <w:r>
              <w:rPr/>
              <w:t> </w:t>
            </w:r>
          </w:p>
        </w:tc>
        <w:tc>
          <w:tcPr>
            <w:tcW w:w="1174"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13,610</w:t>
            </w:r>
          </w:p>
        </w:tc>
        <w:tc>
          <w:tcPr>
            <w:tcW w:w="205" w:type="dxa"/>
            <w:tcBorders/>
            <w:shd w:fill="CCEEFF" w:val="clear"/>
            <w:tcMar>
              <w:bottom w:w="0" w:type="dxa"/>
            </w:tcMar>
            <w:vAlign w:val="bottom"/>
          </w:tcPr>
          <w:p>
            <w:pPr>
              <w:pStyle w:val="TableContents"/>
              <w:spacing w:before="0" w:after="283"/>
              <w:jc w:val="left"/>
              <w:rPr/>
            </w:pPr>
            <w:r>
              <w:rPr/>
              <w:t> </w:t>
            </w:r>
          </w:p>
        </w:tc>
        <w:tc>
          <w:tcPr>
            <w:tcW w:w="126" w:type="dxa"/>
            <w:tcBorders/>
            <w:shd w:fill="CCEEFF" w:val="clear"/>
            <w:tcMar>
              <w:bottom w:w="0" w:type="dxa"/>
            </w:tcMar>
            <w:vAlign w:val="bottom"/>
          </w:tcPr>
          <w:p>
            <w:pPr>
              <w:pStyle w:val="TableContents"/>
              <w:spacing w:before="0" w:after="283"/>
              <w:jc w:val="left"/>
              <w:rPr/>
            </w:pPr>
            <w:r>
              <w:rPr/>
              <w:t> </w:t>
            </w:r>
          </w:p>
        </w:tc>
        <w:tc>
          <w:tcPr>
            <w:tcW w:w="1161"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124" w:type="dxa"/>
            <w:tcBorders/>
            <w:shd w:fill="CCEEFF" w:val="clear"/>
            <w:tcMar>
              <w:bottom w:w="0" w:type="dxa"/>
            </w:tcMar>
            <w:vAlign w:val="bottom"/>
          </w:tcPr>
          <w:p>
            <w:pPr>
              <w:pStyle w:val="TableContents"/>
              <w:spacing w:before="0" w:after="283"/>
              <w:jc w:val="left"/>
              <w:rPr/>
            </w:pPr>
            <w:r>
              <w:rPr/>
              <w:t> </w:t>
            </w:r>
          </w:p>
        </w:tc>
      </w:tr>
      <w:tr>
        <w:trPr/>
        <w:tc>
          <w:tcPr>
            <w:tcW w:w="5585" w:type="dxa"/>
            <w:tcBorders/>
            <w:shd w:fill="FFFFFF" w:val="clear"/>
            <w:tcMar>
              <w:bottom w:w="0" w:type="dxa"/>
            </w:tcMar>
            <w:vAlign w:val="bottom"/>
          </w:tcPr>
          <w:p>
            <w:pPr>
              <w:pStyle w:val="TableContents"/>
              <w:spacing w:lineRule="auto" w:line="300" w:before="0" w:after="0"/>
              <w:ind w:left="180" w:right="0" w:hanging="0"/>
              <w:jc w:val="left"/>
              <w:rPr>
                <w:rFonts w:ascii="Times New Roman" w:hAnsi="Times New Roman"/>
                <w:sz w:val="20"/>
              </w:rPr>
            </w:pPr>
            <w:bookmarkStart w:id="1312" w:name="TAB1447"/>
            <w:bookmarkEnd w:id="1312"/>
            <w:r>
              <w:rPr>
                <w:rFonts w:ascii="Times New Roman" w:hAnsi="Times New Roman"/>
                <w:sz w:val="20"/>
              </w:rPr>
              <w:t>Income (loss) from discontinued operations</w:t>
            </w:r>
          </w:p>
        </w:tc>
        <w:tc>
          <w:tcPr>
            <w:tcW w:w="199" w:type="dxa"/>
            <w:tcBorders/>
            <w:shd w:fill="FFFFFF" w:val="clear"/>
            <w:tcMar>
              <w:bottom w:w="0" w:type="dxa"/>
            </w:tcMar>
            <w:vAlign w:val="center"/>
          </w:tcPr>
          <w:p>
            <w:pPr>
              <w:pStyle w:val="TableContents"/>
              <w:spacing w:before="0" w:after="283"/>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174"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205" w:type="dxa"/>
            <w:tcBorders/>
            <w:shd w:fill="FFFFFF" w:val="clear"/>
            <w:tcMar>
              <w:bottom w:w="0" w:type="dxa"/>
            </w:tcMar>
            <w:vAlign w:val="bottom"/>
          </w:tcPr>
          <w:p>
            <w:pPr>
              <w:pStyle w:val="TableContents"/>
              <w:spacing w:before="0" w:after="283"/>
              <w:jc w:val="left"/>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174"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(1,379</w:t>
            </w:r>
          </w:p>
        </w:tc>
        <w:tc>
          <w:tcPr>
            <w:tcW w:w="205"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26" w:type="dxa"/>
            <w:tcBorders/>
            <w:shd w:fill="FFFFFF" w:val="clear"/>
            <w:tcMar>
              <w:bottom w:w="0" w:type="dxa"/>
            </w:tcMar>
            <w:vAlign w:val="bottom"/>
          </w:tcPr>
          <w:p>
            <w:pPr>
              <w:pStyle w:val="TableContents"/>
              <w:spacing w:before="0" w:after="283"/>
              <w:jc w:val="left"/>
              <w:rPr/>
            </w:pPr>
            <w:r>
              <w:rPr/>
              <w:t> </w:t>
            </w:r>
          </w:p>
        </w:tc>
        <w:tc>
          <w:tcPr>
            <w:tcW w:w="1161"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(469</w:t>
            </w:r>
          </w:p>
        </w:tc>
        <w:tc>
          <w:tcPr>
            <w:tcW w:w="124"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r>
      <w:tr>
        <w:trPr/>
        <w:tc>
          <w:tcPr>
            <w:tcW w:w="5585" w:type="dxa"/>
            <w:tcBorders/>
            <w:shd w:fill="CCEEFF" w:val="clear"/>
            <w:tcMar>
              <w:bottom w:w="0" w:type="dxa"/>
            </w:tcMar>
            <w:vAlign w:val="bottom"/>
          </w:tcPr>
          <w:p>
            <w:pPr>
              <w:pStyle w:val="TableContents"/>
              <w:spacing w:lineRule="auto" w:line="300" w:before="0" w:after="0"/>
              <w:ind w:left="180" w:right="0" w:hanging="0"/>
              <w:jc w:val="left"/>
              <w:rPr>
                <w:rFonts w:ascii="Times New Roman" w:hAnsi="Times New Roman"/>
                <w:sz w:val="20"/>
              </w:rPr>
            </w:pPr>
            <w:bookmarkStart w:id="1313" w:name="TAB1448"/>
            <w:bookmarkEnd w:id="1313"/>
            <w:r>
              <w:rPr>
                <w:rFonts w:ascii="Times New Roman" w:hAnsi="Times New Roman"/>
                <w:sz w:val="20"/>
              </w:rPr>
              <w:t>Income tax expense</w:t>
            </w:r>
          </w:p>
        </w:tc>
        <w:tc>
          <w:tcPr>
            <w:tcW w:w="199" w:type="dxa"/>
            <w:tcBorders/>
            <w:shd w:fill="CCEEFF" w:val="clear"/>
            <w:tcMar>
              <w:bottom w:w="0" w:type="dxa"/>
            </w:tcMar>
            <w:vAlign w:val="center"/>
          </w:tcPr>
          <w:p>
            <w:pPr>
              <w:pStyle w:val="TableContents"/>
              <w:spacing w:before="0" w:after="283"/>
              <w:rPr/>
            </w:pPr>
            <w:r>
              <w:rPr/>
              <w:t> </w:t>
            </w:r>
          </w:p>
        </w:tc>
        <w:tc>
          <w:tcPr>
            <w:tcW w:w="126" w:type="dxa"/>
            <w:tcBorders/>
            <w:shd w:fill="CCEEFF" w:val="clear"/>
            <w:tcMar>
              <w:bottom w:w="0" w:type="dxa"/>
            </w:tcMar>
            <w:vAlign w:val="bottom"/>
          </w:tcPr>
          <w:p>
            <w:pPr>
              <w:pStyle w:val="TableContents"/>
              <w:spacing w:before="0" w:after="283"/>
              <w:jc w:val="left"/>
              <w:rPr/>
            </w:pPr>
            <w:r>
              <w:rPr/>
              <w:t> </w:t>
            </w:r>
          </w:p>
        </w:tc>
        <w:tc>
          <w:tcPr>
            <w:tcW w:w="1174"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(2,270</w:t>
            </w:r>
          </w:p>
        </w:tc>
        <w:tc>
          <w:tcPr>
            <w:tcW w:w="205"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26" w:type="dxa"/>
            <w:tcBorders/>
            <w:shd w:fill="CCEEFF" w:val="clear"/>
            <w:tcMar>
              <w:bottom w:w="0" w:type="dxa"/>
            </w:tcMar>
            <w:vAlign w:val="bottom"/>
          </w:tcPr>
          <w:p>
            <w:pPr>
              <w:pStyle w:val="TableContents"/>
              <w:spacing w:before="0" w:after="283"/>
              <w:jc w:val="left"/>
              <w:rPr/>
            </w:pPr>
            <w:r>
              <w:rPr/>
              <w:t> </w:t>
            </w:r>
          </w:p>
        </w:tc>
        <w:tc>
          <w:tcPr>
            <w:tcW w:w="1174"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(1,209</w:t>
            </w:r>
          </w:p>
        </w:tc>
        <w:tc>
          <w:tcPr>
            <w:tcW w:w="205"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26" w:type="dxa"/>
            <w:tcBorders/>
            <w:shd w:fill="CCEEFF" w:val="clear"/>
            <w:tcMar>
              <w:bottom w:w="0" w:type="dxa"/>
            </w:tcMar>
            <w:vAlign w:val="bottom"/>
          </w:tcPr>
          <w:p>
            <w:pPr>
              <w:pStyle w:val="TableContents"/>
              <w:spacing w:before="0" w:after="283"/>
              <w:jc w:val="left"/>
              <w:rPr/>
            </w:pPr>
            <w:r>
              <w:rPr/>
              <w:t> </w:t>
            </w:r>
          </w:p>
        </w:tc>
        <w:tc>
          <w:tcPr>
            <w:tcW w:w="1161"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(1,046</w:t>
            </w:r>
          </w:p>
        </w:tc>
        <w:tc>
          <w:tcPr>
            <w:tcW w:w="124"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r>
      <w:tr>
        <w:trPr/>
        <w:tc>
          <w:tcPr>
            <w:tcW w:w="5585" w:type="dxa"/>
            <w:tcBorders/>
            <w:shd w:fill="FFFFFF" w:val="clear"/>
            <w:tcMar>
              <w:bottom w:w="0" w:type="dxa"/>
            </w:tcMar>
            <w:vAlign w:val="bottom"/>
          </w:tcPr>
          <w:p>
            <w:pPr>
              <w:pStyle w:val="TableContents"/>
              <w:spacing w:lineRule="auto" w:line="300" w:before="0" w:after="0"/>
              <w:ind w:left="360" w:right="0" w:hanging="180"/>
              <w:jc w:val="left"/>
              <w:rPr>
                <w:rFonts w:ascii="Times New Roman" w:hAnsi="Times New Roman"/>
                <w:sz w:val="20"/>
              </w:rPr>
            </w:pPr>
            <w:bookmarkStart w:id="1314" w:name="TAB1449"/>
            <w:bookmarkEnd w:id="1314"/>
            <w:r>
              <w:rPr>
                <w:rFonts w:ascii="Times New Roman" w:hAnsi="Times New Roman"/>
                <w:sz w:val="20"/>
              </w:rPr>
              <w:t>Equity earnings of unconsolidated joint ventures and entities</w:t>
            </w:r>
          </w:p>
        </w:tc>
        <w:tc>
          <w:tcPr>
            <w:tcW w:w="199" w:type="dxa"/>
            <w:tcBorders/>
            <w:shd w:fill="FFFFFF" w:val="clear"/>
            <w:tcMar>
              <w:bottom w:w="0" w:type="dxa"/>
            </w:tcMar>
            <w:vAlign w:val="center"/>
          </w:tcPr>
          <w:p>
            <w:pPr>
              <w:pStyle w:val="TableContents"/>
              <w:spacing w:before="0" w:after="283"/>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174"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9,547</w:t>
            </w:r>
          </w:p>
        </w:tc>
        <w:tc>
          <w:tcPr>
            <w:tcW w:w="205" w:type="dxa"/>
            <w:tcBorders/>
            <w:shd w:fill="FFFFFF" w:val="clear"/>
            <w:tcMar>
              <w:bottom w:w="0" w:type="dxa"/>
            </w:tcMar>
            <w:vAlign w:val="bottom"/>
          </w:tcPr>
          <w:p>
            <w:pPr>
              <w:pStyle w:val="TableContents"/>
              <w:spacing w:before="0" w:after="283"/>
              <w:jc w:val="left"/>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174"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1,372</w:t>
            </w:r>
          </w:p>
        </w:tc>
        <w:tc>
          <w:tcPr>
            <w:tcW w:w="205" w:type="dxa"/>
            <w:tcBorders/>
            <w:shd w:fill="FFFFFF" w:val="clear"/>
            <w:tcMar>
              <w:bottom w:w="0" w:type="dxa"/>
            </w:tcMar>
            <w:vAlign w:val="bottom"/>
          </w:tcPr>
          <w:p>
            <w:pPr>
              <w:pStyle w:val="TableContents"/>
              <w:spacing w:before="0" w:after="283"/>
              <w:jc w:val="left"/>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161"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1,680</w:t>
            </w:r>
          </w:p>
        </w:tc>
        <w:tc>
          <w:tcPr>
            <w:tcW w:w="124" w:type="dxa"/>
            <w:tcBorders/>
            <w:shd w:fill="FFFFFF" w:val="clear"/>
            <w:tcMar>
              <w:bottom w:w="0" w:type="dxa"/>
            </w:tcMar>
            <w:vAlign w:val="bottom"/>
          </w:tcPr>
          <w:p>
            <w:pPr>
              <w:pStyle w:val="TableContents"/>
              <w:spacing w:before="0" w:after="283"/>
              <w:jc w:val="left"/>
              <w:rPr/>
            </w:pPr>
            <w:r>
              <w:rPr/>
              <w:t> </w:t>
            </w:r>
          </w:p>
        </w:tc>
      </w:tr>
      <w:tr>
        <w:trPr/>
        <w:tc>
          <w:tcPr>
            <w:tcW w:w="5585" w:type="dxa"/>
            <w:tcBorders>
              <w:bottom w:val="single" w:sz="2" w:space="0" w:color="000000"/>
            </w:tcBorders>
            <w:shd w:fill="CCEEFF" w:val="clear"/>
            <w:vAlign w:val="bottom"/>
          </w:tcPr>
          <w:p>
            <w:pPr>
              <w:pStyle w:val="TableContents"/>
              <w:spacing w:lineRule="auto" w:line="300" w:before="0" w:after="0"/>
              <w:ind w:left="180" w:right="0" w:hanging="0"/>
              <w:jc w:val="left"/>
              <w:rPr>
                <w:rFonts w:ascii="Times New Roman" w:hAnsi="Times New Roman"/>
                <w:sz w:val="20"/>
              </w:rPr>
            </w:pPr>
            <w:bookmarkStart w:id="1315" w:name="TAB1450"/>
            <w:bookmarkEnd w:id="1315"/>
            <w:r>
              <w:rPr>
                <w:rFonts w:ascii="Times New Roman" w:hAnsi="Times New Roman"/>
                <w:sz w:val="20"/>
              </w:rPr>
              <w:t>Gain on sale of unconsolidated joint venture</w:t>
            </w:r>
          </w:p>
        </w:tc>
        <w:tc>
          <w:tcPr>
            <w:tcW w:w="199" w:type="dxa"/>
            <w:tcBorders>
              <w:bottom w:val="single" w:sz="2" w:space="0" w:color="CCEEFF"/>
            </w:tcBorders>
            <w:shd w:fill="CCEEFF" w:val="clear"/>
            <w:vAlign w:val="center"/>
          </w:tcPr>
          <w:p>
            <w:pPr>
              <w:pStyle w:val="TableContents"/>
              <w:spacing w:before="0" w:after="283"/>
              <w:rPr/>
            </w:pPr>
            <w:r>
              <w:rPr/>
              <w:t> </w:t>
            </w:r>
          </w:p>
        </w:tc>
        <w:tc>
          <w:tcPr>
            <w:tcW w:w="126" w:type="dxa"/>
            <w:tcBorders>
              <w:bottom w:val="single" w:sz="2" w:space="0" w:color="000000"/>
            </w:tcBorders>
            <w:shd w:fill="CCEEFF" w:val="clear"/>
            <w:vAlign w:val="bottom"/>
          </w:tcPr>
          <w:p>
            <w:pPr>
              <w:pStyle w:val="TableContents"/>
              <w:spacing w:before="0" w:after="283"/>
              <w:jc w:val="left"/>
              <w:rPr/>
            </w:pPr>
            <w:r>
              <w:rPr/>
              <w:t> </w:t>
            </w:r>
          </w:p>
        </w:tc>
        <w:tc>
          <w:tcPr>
            <w:tcW w:w="1174"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3,442</w:t>
            </w:r>
          </w:p>
        </w:tc>
        <w:tc>
          <w:tcPr>
            <w:tcW w:w="205" w:type="dxa"/>
            <w:tcBorders>
              <w:bottom w:val="single" w:sz="2" w:space="0" w:color="CCEEFF"/>
            </w:tcBorders>
            <w:shd w:fill="CCEEFF" w:val="clear"/>
            <w:vAlign w:val="bottom"/>
          </w:tcPr>
          <w:p>
            <w:pPr>
              <w:pStyle w:val="TableContents"/>
              <w:spacing w:before="0" w:after="283"/>
              <w:jc w:val="left"/>
              <w:rPr/>
            </w:pPr>
            <w:r>
              <w:rPr/>
              <w:t> </w:t>
            </w:r>
          </w:p>
        </w:tc>
        <w:tc>
          <w:tcPr>
            <w:tcW w:w="126" w:type="dxa"/>
            <w:tcBorders>
              <w:bottom w:val="single" w:sz="2" w:space="0" w:color="000000"/>
            </w:tcBorders>
            <w:shd w:fill="CCEEFF" w:val="clear"/>
            <w:vAlign w:val="bottom"/>
          </w:tcPr>
          <w:p>
            <w:pPr>
              <w:pStyle w:val="TableContents"/>
              <w:spacing w:before="0" w:after="283"/>
              <w:jc w:val="left"/>
              <w:rPr/>
            </w:pPr>
            <w:r>
              <w:rPr/>
              <w:t> </w:t>
            </w:r>
          </w:p>
        </w:tc>
        <w:tc>
          <w:tcPr>
            <w:tcW w:w="1174"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205" w:type="dxa"/>
            <w:tcBorders>
              <w:bottom w:val="single" w:sz="2" w:space="0" w:color="CCEEFF"/>
            </w:tcBorders>
            <w:shd w:fill="CCEEFF" w:val="clear"/>
            <w:vAlign w:val="bottom"/>
          </w:tcPr>
          <w:p>
            <w:pPr>
              <w:pStyle w:val="TableContents"/>
              <w:spacing w:before="0" w:after="283"/>
              <w:jc w:val="left"/>
              <w:rPr/>
            </w:pPr>
            <w:r>
              <w:rPr/>
              <w:t> </w:t>
            </w:r>
          </w:p>
        </w:tc>
        <w:tc>
          <w:tcPr>
            <w:tcW w:w="126" w:type="dxa"/>
            <w:tcBorders>
              <w:bottom w:val="single" w:sz="2" w:space="0" w:color="000000"/>
            </w:tcBorders>
            <w:shd w:fill="CCEEFF" w:val="clear"/>
            <w:vAlign w:val="bottom"/>
          </w:tcPr>
          <w:p>
            <w:pPr>
              <w:pStyle w:val="TableContents"/>
              <w:spacing w:before="0" w:after="283"/>
              <w:jc w:val="left"/>
              <w:rPr/>
            </w:pPr>
            <w:r>
              <w:rPr/>
              <w:t> </w:t>
            </w:r>
          </w:p>
        </w:tc>
        <w:tc>
          <w:tcPr>
            <w:tcW w:w="1161"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124" w:type="dxa"/>
            <w:tcBorders>
              <w:bottom w:val="single" w:sz="2" w:space="0" w:color="CCEEFF"/>
            </w:tcBorders>
            <w:shd w:fill="CCEEFF" w:val="clear"/>
            <w:vAlign w:val="bottom"/>
          </w:tcPr>
          <w:p>
            <w:pPr>
              <w:pStyle w:val="TableContents"/>
              <w:spacing w:before="0" w:after="283"/>
              <w:jc w:val="left"/>
              <w:rPr/>
            </w:pPr>
            <w:r>
              <w:rPr/>
              <w:t> </w:t>
            </w:r>
          </w:p>
        </w:tc>
      </w:tr>
      <w:tr>
        <w:trPr/>
        <w:tc>
          <w:tcPr>
            <w:tcW w:w="5585" w:type="dxa"/>
            <w:tcBorders>
              <w:bottom w:val="doub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Net income (loss)</w:t>
            </w:r>
          </w:p>
        </w:tc>
        <w:tc>
          <w:tcPr>
            <w:tcW w:w="199" w:type="dxa"/>
            <w:tcBorders>
              <w:bottom w:val="single" w:sz="4" w:space="0" w:color="FFFFFF"/>
            </w:tcBorders>
            <w:shd w:fill="FFFFFF" w:val="clear"/>
            <w:vAlign w:val="center"/>
          </w:tcPr>
          <w:p>
            <w:pPr>
              <w:pStyle w:val="TableContents"/>
              <w:spacing w:before="0" w:after="283"/>
              <w:rPr/>
            </w:pPr>
            <w:r>
              <w:rPr/>
              <w:t> </w:t>
            </w:r>
          </w:p>
        </w:tc>
        <w:tc>
          <w:tcPr>
            <w:tcW w:w="126" w:type="dxa"/>
            <w:tcBorders>
              <w:bottom w:val="doub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bookmarkStart w:id="1316" w:name="TAB262"/>
            <w:bookmarkEnd w:id="1316"/>
          </w:p>
        </w:tc>
        <w:tc>
          <w:tcPr>
            <w:tcW w:w="1174"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1317" w:name="TAB263"/>
            <w:bookmarkEnd w:id="1317"/>
            <w:r>
              <w:rPr>
                <w:rFonts w:ascii="Times New Roman" w:hAnsi="Times New Roman"/>
                <w:sz w:val="20"/>
              </w:rPr>
              <w:t>3,856</w:t>
            </w:r>
          </w:p>
        </w:tc>
        <w:tc>
          <w:tcPr>
            <w:tcW w:w="205" w:type="dxa"/>
            <w:tcBorders>
              <w:bottom w:val="single" w:sz="4" w:space="0" w:color="FFFFFF"/>
            </w:tcBorders>
            <w:shd w:fill="FFFFFF" w:val="clear"/>
            <w:vAlign w:val="bottom"/>
          </w:tcPr>
          <w:p>
            <w:pPr>
              <w:pStyle w:val="TableContents"/>
              <w:spacing w:before="0" w:after="283"/>
              <w:jc w:val="left"/>
              <w:rPr/>
            </w:pPr>
            <w:r>
              <w:rPr/>
              <w:t> </w:t>
            </w:r>
          </w:p>
        </w:tc>
        <w:tc>
          <w:tcPr>
            <w:tcW w:w="126" w:type="dxa"/>
            <w:tcBorders>
              <w:bottom w:val="doub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bookmarkStart w:id="1318" w:name="TAB264"/>
            <w:bookmarkEnd w:id="1318"/>
          </w:p>
        </w:tc>
        <w:tc>
          <w:tcPr>
            <w:tcW w:w="1174"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1319" w:name="TAB265"/>
            <w:bookmarkEnd w:id="1319"/>
            <w:r>
              <w:rPr>
                <w:rFonts w:ascii="Times New Roman" w:hAnsi="Times New Roman"/>
                <w:sz w:val="20"/>
              </w:rPr>
              <w:t>989</w:t>
            </w:r>
          </w:p>
        </w:tc>
        <w:tc>
          <w:tcPr>
            <w:tcW w:w="205" w:type="dxa"/>
            <w:tcBorders>
              <w:bottom w:val="single" w:sz="4" w:space="0" w:color="FFFFFF"/>
            </w:tcBorders>
            <w:shd w:fill="FFFFFF" w:val="clear"/>
            <w:vAlign w:val="bottom"/>
          </w:tcPr>
          <w:p>
            <w:pPr>
              <w:pStyle w:val="TableContents"/>
              <w:spacing w:before="0" w:after="283"/>
              <w:jc w:val="left"/>
              <w:rPr/>
            </w:pPr>
            <w:r>
              <w:rPr/>
              <w:t> </w:t>
            </w:r>
          </w:p>
        </w:tc>
        <w:tc>
          <w:tcPr>
            <w:tcW w:w="126" w:type="dxa"/>
            <w:tcBorders>
              <w:bottom w:val="doub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bookmarkStart w:id="1320" w:name="TAB266"/>
            <w:bookmarkEnd w:id="1320"/>
          </w:p>
        </w:tc>
        <w:tc>
          <w:tcPr>
            <w:tcW w:w="1161"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1321" w:name="TAB267"/>
            <w:bookmarkEnd w:id="1321"/>
            <w:r>
              <w:rPr>
                <w:rFonts w:ascii="Times New Roman" w:hAnsi="Times New Roman"/>
                <w:sz w:val="20"/>
              </w:rPr>
              <w:t>(8,463</w:t>
            </w:r>
          </w:p>
        </w:tc>
        <w:tc>
          <w:tcPr>
            <w:tcW w:w="124" w:type="dxa"/>
            <w:tcBorders>
              <w:bottom w:val="single" w:sz="4" w:space="0" w:color="FFFFFF"/>
            </w:tcBorders>
            <w:shd w:fill="FFFFFF" w:val="clear"/>
            <w:vAlign w:val="bottom"/>
          </w:tcPr>
          <w:p>
            <w:pPr>
              <w:pStyle w:val="TableContents"/>
              <w:spacing w:lineRule="auto" w:line="300" w:before="0" w:after="0"/>
              <w:ind w:left="0" w:right="0" w:hanging="0"/>
              <w:jc w:val="left"/>
              <w:rPr>
                <w:rFonts w:ascii="Times New Roman" w:hAnsi="Times New Roman"/>
                <w:sz w:val="20"/>
              </w:rPr>
            </w:pPr>
            <w:bookmarkStart w:id="1322" w:name="TAB268"/>
            <w:bookmarkEnd w:id="1322"/>
            <w:r>
              <w:rPr>
                <w:rFonts w:ascii="Times New Roman" w:hAnsi="Times New Roman"/>
                <w:sz w:val="20"/>
              </w:rPr>
              <w:t>)</w:t>
            </w:r>
          </w:p>
        </w:tc>
      </w:tr>
    </w:tbl>
    <w:p>
      <w:pPr>
        <w:pStyle w:val="TextBody"/>
        <w:spacing w:lineRule="auto" w:line="300" w:before="0" w:after="0"/>
        <w:ind w:left="0" w:right="0" w:hanging="0"/>
        <w:jc w:val="both"/>
        <w:rPr/>
      </w:pPr>
      <w:r>
        <w:rPr/>
        <w:t> </w:t>
      </w:r>
    </w:p>
    <w:p>
      <w:pPr>
        <w:pStyle w:val="TextBody"/>
        <w:spacing w:lineRule="auto" w:line="300" w:before="0" w:after="0"/>
        <w:ind w:left="0" w:right="0" w:hanging="0"/>
        <w:jc w:val="both"/>
        <w:rPr/>
      </w:pPr>
      <w:r>
        <w:rPr>
          <w:rFonts w:ascii="Times New Roman" w:hAnsi="Times New Roman"/>
          <w:position w:val="7"/>
          <w:sz w:val="16"/>
          <w:sz w:val="20"/>
        </w:rPr>
        <w:t>14</w:t>
      </w:r>
      <w:r>
        <w:rPr/>
        <w:t xml:space="preserve">  </w:t>
      </w:r>
      <w:r>
        <w:rPr>
          <w:rFonts w:ascii="Times New Roman" w:hAnsi="Times New Roman"/>
          <w:sz w:val="20"/>
        </w:rPr>
        <w:t>Comprised of $12.0 million from the sale of our Glendale office building and $1.6 million from the sale of our Puerto Rico cinema operations.</w:t>
      </w:r>
    </w:p>
    <w:p>
      <w:pPr>
        <w:pStyle w:val="TextBody"/>
        <w:spacing w:lineRule="auto" w:line="300" w:before="0" w:after="0"/>
        <w:ind w:left="0" w:right="0" w:hanging="0"/>
        <w:jc w:val="left"/>
        <w:rPr/>
      </w:pPr>
      <w:r>
        <w:rPr/>
        <w:t> </w:t>
      </w:r>
    </w:p>
    <w:p>
      <w:pPr>
        <w:pStyle w:val="TextBody"/>
        <w:spacing w:lineRule="auto" w:line="300" w:before="0" w:after="0"/>
        <w:ind w:left="0" w:right="0" w:hanging="0"/>
        <w:jc w:val="left"/>
        <w:rPr>
          <w:rFonts w:ascii="Times New Roman" w:hAnsi="Times New Roman"/>
          <w:sz w:val="20"/>
          <w:u w:val="single"/>
        </w:rPr>
      </w:pPr>
      <w:r>
        <w:rPr>
          <w:rFonts w:ascii="Times New Roman" w:hAnsi="Times New Roman"/>
          <w:sz w:val="20"/>
          <w:u w:val="single"/>
        </w:rPr>
        <w:t>Cinema Segment</w:t>
      </w:r>
    </w:p>
    <w:p>
      <w:pPr>
        <w:pStyle w:val="TextBody"/>
        <w:spacing w:lineRule="auto" w:line="300" w:before="0" w:after="0"/>
        <w:ind w:left="0" w:right="0" w:hanging="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 xml:space="preserve">Effective the fourth quarter of 2006, we have changed the presentation of our segment reporting such that our intersegment revenues and expenses are reported separately from our segments’ operating activity. The effect of this change is to include intercompany rent revenues and rent expenses into their respective cinema and real estate business segments. The revenues and expenses for 2005 and 2004 have been adjusted to conform to the current year presentation. </w:t>
      </w:r>
    </w:p>
    <w:p>
      <w:pPr>
        <w:pStyle w:val="TextBody"/>
        <w:spacing w:lineRule="auto" w:line="300" w:before="0" w:after="0"/>
        <w:ind w:left="0" w:right="0" w:firstLine="72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The following tables and discussion which follows detail our operating results for our 2006, 2005 and 2004 cinema segment, adjusted to reflect the discontinuation, in June 2005, of our Puerto Rico cinema operations, respectively (dollars in thousands):</w:t>
      </w:r>
    </w:p>
    <w:p>
      <w:pPr>
        <w:pStyle w:val="TextBody"/>
        <w:spacing w:lineRule="auto" w:line="300" w:before="0" w:after="0"/>
        <w:ind w:left="0" w:right="0" w:firstLine="720"/>
        <w:jc w:val="both"/>
        <w:rPr/>
      </w:pPr>
      <w:r>
        <w:rPr/>
        <w:t> </w:t>
      </w:r>
    </w:p>
    <w:p>
      <w:pPr>
        <w:pStyle w:val="Normal"/>
        <w:spacing w:before="0" w:after="0"/>
        <w:ind w:left="0" w:right="0" w:hanging="0"/>
        <w:rPr>
          <w:sz w:val="4"/>
          <w:szCs w:val="4"/>
        </w:rPr>
      </w:pPr>
      <w:r>
        <w:rPr>
          <w:sz w:val="4"/>
          <w:szCs w:val="4"/>
        </w:rPr>
      </w:r>
      <w:bookmarkStart w:id="1323" w:name="ftable8"/>
      <w:bookmarkStart w:id="1324" w:name="ftable8"/>
      <w:bookmarkEnd w:id="1324"/>
    </w:p>
    <w:tbl>
      <w:tblPr>
        <w:tblW w:w="5000" w:type="pct"/>
        <w:jc w:val="left"/>
        <w:tblInd w:w="0" w:type="dxa"/>
        <w:tblCellMar>
          <w:top w:w="0" w:type="dxa"/>
          <w:left w:w="0" w:type="dxa"/>
          <w:bottom w:w="28" w:type="dxa"/>
          <w:right w:w="0" w:type="dxa"/>
        </w:tblCellMar>
      </w:tblPr>
      <w:tblGrid>
        <w:gridCol w:w="4115"/>
        <w:gridCol w:w="188"/>
        <w:gridCol w:w="136"/>
        <w:gridCol w:w="1155"/>
        <w:gridCol w:w="188"/>
        <w:gridCol w:w="144"/>
        <w:gridCol w:w="1192"/>
        <w:gridCol w:w="188"/>
        <w:gridCol w:w="137"/>
        <w:gridCol w:w="1159"/>
        <w:gridCol w:w="188"/>
        <w:gridCol w:w="136"/>
        <w:gridCol w:w="1155"/>
        <w:gridCol w:w="124"/>
      </w:tblGrid>
      <w:tr>
        <w:trPr/>
        <w:tc>
          <w:tcPr>
            <w:tcW w:w="4115" w:type="dxa"/>
            <w:tcBorders>
              <w:bottom w:val="double" w:sz="2" w:space="0" w:color="000000"/>
            </w:tcBorders>
            <w:shd w:fill="auto" w:val="clear"/>
            <w:vAlign w:val="bottom"/>
          </w:tcPr>
          <w:p>
            <w:pPr>
              <w:pStyle w:val="TableContents"/>
              <w:spacing w:lineRule="auto" w:line="300" w:before="0" w:after="0"/>
              <w:ind w:left="0" w:right="0" w:hanging="0"/>
              <w:jc w:val="left"/>
              <w:rPr/>
            </w:pPr>
            <w:r>
              <w:rPr>
                <w:rStyle w:val="StrongEmphasis"/>
                <w:rFonts w:ascii="Times New Roman" w:hAnsi="Times New Roman"/>
                <w:sz w:val="20"/>
              </w:rPr>
              <w:t>Year Ended December 31, 2006</w:t>
            </w:r>
          </w:p>
        </w:tc>
        <w:tc>
          <w:tcPr>
            <w:tcW w:w="188" w:type="dxa"/>
            <w:tcBorders>
              <w:bottom w:val="single" w:sz="4" w:space="0" w:color="FFFFFF"/>
            </w:tcBorders>
            <w:shd w:fill="auto" w:val="clear"/>
            <w:vAlign w:val="center"/>
          </w:tcPr>
          <w:p>
            <w:pPr>
              <w:pStyle w:val="TableContents"/>
              <w:spacing w:before="0" w:after="283"/>
              <w:rPr/>
            </w:pPr>
            <w:r>
              <w:rPr/>
              <w:t> </w:t>
            </w:r>
          </w:p>
        </w:tc>
        <w:tc>
          <w:tcPr>
            <w:tcW w:w="1291"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United States</w:t>
            </w:r>
          </w:p>
        </w:tc>
        <w:tc>
          <w:tcPr>
            <w:tcW w:w="188" w:type="dxa"/>
            <w:tcBorders>
              <w:bottom w:val="single" w:sz="4" w:space="0" w:color="FFFFFF"/>
            </w:tcBorders>
            <w:shd w:fill="auto" w:val="clear"/>
            <w:vAlign w:val="bottom"/>
          </w:tcPr>
          <w:p>
            <w:pPr>
              <w:pStyle w:val="TableContents"/>
              <w:spacing w:before="0" w:after="283"/>
              <w:jc w:val="left"/>
              <w:rPr/>
            </w:pPr>
            <w:r>
              <w:rPr/>
              <w:t> </w:t>
            </w:r>
          </w:p>
        </w:tc>
        <w:tc>
          <w:tcPr>
            <w:tcW w:w="1336"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Australia</w:t>
            </w:r>
          </w:p>
        </w:tc>
        <w:tc>
          <w:tcPr>
            <w:tcW w:w="188" w:type="dxa"/>
            <w:tcBorders>
              <w:bottom w:val="single" w:sz="4" w:space="0" w:color="FFFFFF"/>
            </w:tcBorders>
            <w:shd w:fill="auto" w:val="clear"/>
            <w:vAlign w:val="bottom"/>
          </w:tcPr>
          <w:p>
            <w:pPr>
              <w:pStyle w:val="TableContents"/>
              <w:spacing w:before="0" w:after="283"/>
              <w:jc w:val="left"/>
              <w:rPr/>
            </w:pPr>
            <w:r>
              <w:rPr/>
              <w:t> </w:t>
            </w:r>
          </w:p>
        </w:tc>
        <w:tc>
          <w:tcPr>
            <w:tcW w:w="1296"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New Zealand</w:t>
            </w:r>
          </w:p>
        </w:tc>
        <w:tc>
          <w:tcPr>
            <w:tcW w:w="188" w:type="dxa"/>
            <w:tcBorders>
              <w:bottom w:val="single" w:sz="4" w:space="0" w:color="FFFFFF"/>
            </w:tcBorders>
            <w:shd w:fill="auto" w:val="clear"/>
            <w:vAlign w:val="bottom"/>
          </w:tcPr>
          <w:p>
            <w:pPr>
              <w:pStyle w:val="TableContents"/>
              <w:spacing w:before="0" w:after="283"/>
              <w:jc w:val="left"/>
              <w:rPr/>
            </w:pPr>
            <w:r>
              <w:rPr/>
              <w:t> </w:t>
            </w:r>
          </w:p>
        </w:tc>
        <w:tc>
          <w:tcPr>
            <w:tcW w:w="1291"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Total</w:t>
            </w:r>
          </w:p>
        </w:tc>
        <w:tc>
          <w:tcPr>
            <w:tcW w:w="124" w:type="dxa"/>
            <w:tcBorders>
              <w:bottom w:val="single" w:sz="4" w:space="0" w:color="FFFFFF"/>
            </w:tcBorders>
            <w:shd w:fill="auto" w:val="clear"/>
            <w:vAlign w:val="bottom"/>
          </w:tcPr>
          <w:p>
            <w:pPr>
              <w:pStyle w:val="TableContents"/>
              <w:spacing w:before="0" w:after="283"/>
              <w:jc w:val="left"/>
              <w:rPr/>
            </w:pPr>
            <w:r>
              <w:rPr/>
              <w:t> </w:t>
            </w:r>
          </w:p>
        </w:tc>
      </w:tr>
      <w:tr>
        <w:trPr/>
        <w:tc>
          <w:tcPr>
            <w:tcW w:w="4115"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Admissions revenue</w:t>
            </w:r>
          </w:p>
        </w:tc>
        <w:tc>
          <w:tcPr>
            <w:tcW w:w="188" w:type="dxa"/>
            <w:tcBorders/>
            <w:shd w:fill="CCEEFF" w:val="clear"/>
            <w:tcMar>
              <w:bottom w:w="0" w:type="dxa"/>
            </w:tcMar>
            <w:vAlign w:val="center"/>
          </w:tcPr>
          <w:p>
            <w:pPr>
              <w:pStyle w:val="TableContents"/>
              <w:spacing w:before="0" w:after="283"/>
              <w:rPr/>
            </w:pPr>
            <w:r>
              <w:rPr/>
              <w:t> </w:t>
            </w:r>
          </w:p>
        </w:tc>
        <w:tc>
          <w:tcPr>
            <w:tcW w:w="136"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1325" w:name="TAB1451"/>
            <w:bookmarkEnd w:id="1325"/>
            <w:r>
              <w:rPr>
                <w:rFonts w:ascii="Times New Roman" w:hAnsi="Times New Roman"/>
                <w:sz w:val="20"/>
              </w:rPr>
              <w:t>$</w:t>
            </w:r>
          </w:p>
        </w:tc>
        <w:tc>
          <w:tcPr>
            <w:tcW w:w="1155"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326" w:name="TAB1452"/>
            <w:bookmarkEnd w:id="1326"/>
            <w:r>
              <w:rPr>
                <w:rFonts w:ascii="Times New Roman" w:hAnsi="Times New Roman"/>
                <w:sz w:val="20"/>
              </w:rPr>
              <w:t>18,891</w:t>
            </w:r>
          </w:p>
        </w:tc>
        <w:tc>
          <w:tcPr>
            <w:tcW w:w="188" w:type="dxa"/>
            <w:tcBorders/>
            <w:shd w:fill="CCEEFF" w:val="clear"/>
            <w:tcMar>
              <w:bottom w:w="0" w:type="dxa"/>
            </w:tcMar>
            <w:vAlign w:val="bottom"/>
          </w:tcPr>
          <w:p>
            <w:pPr>
              <w:pStyle w:val="TableContents"/>
              <w:spacing w:before="0" w:after="283"/>
              <w:jc w:val="left"/>
              <w:rPr/>
            </w:pPr>
            <w:r>
              <w:rPr/>
              <w:t> </w:t>
            </w:r>
          </w:p>
        </w:tc>
        <w:tc>
          <w:tcPr>
            <w:tcW w:w="144"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1327" w:name="TAB1453"/>
            <w:bookmarkEnd w:id="1327"/>
            <w:r>
              <w:rPr>
                <w:rFonts w:ascii="Times New Roman" w:hAnsi="Times New Roman"/>
                <w:sz w:val="20"/>
              </w:rPr>
              <w:t>$</w:t>
            </w:r>
          </w:p>
        </w:tc>
        <w:tc>
          <w:tcPr>
            <w:tcW w:w="1192"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328" w:name="TAB1454"/>
            <w:bookmarkEnd w:id="1328"/>
            <w:r>
              <w:rPr>
                <w:rFonts w:ascii="Times New Roman" w:hAnsi="Times New Roman"/>
                <w:sz w:val="20"/>
              </w:rPr>
              <w:t>36,564</w:t>
            </w:r>
          </w:p>
        </w:tc>
        <w:tc>
          <w:tcPr>
            <w:tcW w:w="188" w:type="dxa"/>
            <w:tcBorders/>
            <w:shd w:fill="CCEEFF" w:val="clear"/>
            <w:tcMar>
              <w:bottom w:w="0" w:type="dxa"/>
            </w:tcMar>
            <w:vAlign w:val="bottom"/>
          </w:tcPr>
          <w:p>
            <w:pPr>
              <w:pStyle w:val="TableContents"/>
              <w:spacing w:before="0" w:after="283"/>
              <w:jc w:val="left"/>
              <w:rPr/>
            </w:pPr>
            <w:r>
              <w:rPr/>
              <w:t> </w:t>
            </w:r>
          </w:p>
        </w:tc>
        <w:tc>
          <w:tcPr>
            <w:tcW w:w="137"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1329" w:name="TAB1455"/>
            <w:bookmarkEnd w:id="1329"/>
            <w:r>
              <w:rPr>
                <w:rFonts w:ascii="Times New Roman" w:hAnsi="Times New Roman"/>
                <w:sz w:val="20"/>
              </w:rPr>
              <w:t>$</w:t>
            </w:r>
          </w:p>
        </w:tc>
        <w:tc>
          <w:tcPr>
            <w:tcW w:w="1159"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330" w:name="TAB1456"/>
            <w:bookmarkEnd w:id="1330"/>
            <w:r>
              <w:rPr>
                <w:rFonts w:ascii="Times New Roman" w:hAnsi="Times New Roman"/>
                <w:sz w:val="20"/>
              </w:rPr>
              <w:t>13,109</w:t>
            </w:r>
          </w:p>
        </w:tc>
        <w:tc>
          <w:tcPr>
            <w:tcW w:w="188" w:type="dxa"/>
            <w:tcBorders/>
            <w:shd w:fill="CCEEFF" w:val="clear"/>
            <w:tcMar>
              <w:bottom w:w="0" w:type="dxa"/>
            </w:tcMar>
            <w:vAlign w:val="bottom"/>
          </w:tcPr>
          <w:p>
            <w:pPr>
              <w:pStyle w:val="TableContents"/>
              <w:spacing w:before="0" w:after="283"/>
              <w:jc w:val="left"/>
              <w:rPr/>
            </w:pPr>
            <w:r>
              <w:rPr/>
              <w:t> </w:t>
            </w:r>
          </w:p>
        </w:tc>
        <w:tc>
          <w:tcPr>
            <w:tcW w:w="136"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1331" w:name="TAB1457"/>
            <w:bookmarkEnd w:id="1331"/>
            <w:r>
              <w:rPr>
                <w:rFonts w:ascii="Times New Roman" w:hAnsi="Times New Roman"/>
                <w:sz w:val="20"/>
              </w:rPr>
              <w:t>$</w:t>
            </w:r>
          </w:p>
        </w:tc>
        <w:tc>
          <w:tcPr>
            <w:tcW w:w="1155"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332" w:name="TAB1458"/>
            <w:bookmarkEnd w:id="1332"/>
            <w:r>
              <w:rPr>
                <w:rFonts w:ascii="Times New Roman" w:hAnsi="Times New Roman"/>
                <w:sz w:val="20"/>
              </w:rPr>
              <w:t>68,564</w:t>
            </w:r>
          </w:p>
        </w:tc>
        <w:tc>
          <w:tcPr>
            <w:tcW w:w="124" w:type="dxa"/>
            <w:tcBorders/>
            <w:shd w:fill="CCEEFF" w:val="clear"/>
            <w:tcMar>
              <w:bottom w:w="0" w:type="dxa"/>
            </w:tcMar>
            <w:vAlign w:val="bottom"/>
          </w:tcPr>
          <w:p>
            <w:pPr>
              <w:pStyle w:val="TableContents"/>
              <w:spacing w:before="0" w:after="283"/>
              <w:jc w:val="left"/>
              <w:rPr/>
            </w:pPr>
            <w:r>
              <w:rPr/>
              <w:t> </w:t>
            </w:r>
          </w:p>
        </w:tc>
      </w:tr>
      <w:tr>
        <w:trPr/>
        <w:tc>
          <w:tcPr>
            <w:tcW w:w="4115"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Concessions revenue</w:t>
            </w:r>
          </w:p>
        </w:tc>
        <w:tc>
          <w:tcPr>
            <w:tcW w:w="188" w:type="dxa"/>
            <w:tcBorders/>
            <w:shd w:fill="FFFFFF" w:val="clear"/>
            <w:tcMar>
              <w:bottom w:w="0" w:type="dxa"/>
            </w:tcMar>
            <w:vAlign w:val="center"/>
          </w:tcPr>
          <w:p>
            <w:pPr>
              <w:pStyle w:val="TableContents"/>
              <w:spacing w:before="0" w:after="283"/>
              <w:rPr/>
            </w:pPr>
            <w:r>
              <w:rPr/>
              <w:t> </w:t>
            </w:r>
          </w:p>
        </w:tc>
        <w:tc>
          <w:tcPr>
            <w:tcW w:w="136" w:type="dxa"/>
            <w:tcBorders/>
            <w:shd w:fill="FFFFFF" w:val="clear"/>
            <w:tcMar>
              <w:bottom w:w="0" w:type="dxa"/>
            </w:tcMar>
            <w:vAlign w:val="bottom"/>
          </w:tcPr>
          <w:p>
            <w:pPr>
              <w:pStyle w:val="TableContents"/>
              <w:spacing w:before="0" w:after="283"/>
              <w:jc w:val="left"/>
              <w:rPr/>
            </w:pPr>
            <w:r>
              <w:rPr/>
              <w:t> </w:t>
            </w:r>
          </w:p>
        </w:tc>
        <w:tc>
          <w:tcPr>
            <w:tcW w:w="1155"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5,472</w:t>
            </w:r>
          </w:p>
        </w:tc>
        <w:tc>
          <w:tcPr>
            <w:tcW w:w="188" w:type="dxa"/>
            <w:tcBorders/>
            <w:shd w:fill="FFFFFF" w:val="clear"/>
            <w:tcMar>
              <w:bottom w:w="0" w:type="dxa"/>
            </w:tcMar>
            <w:vAlign w:val="bottom"/>
          </w:tcPr>
          <w:p>
            <w:pPr>
              <w:pStyle w:val="TableContents"/>
              <w:spacing w:before="0" w:after="283"/>
              <w:jc w:val="left"/>
              <w:rPr/>
            </w:pPr>
            <w:r>
              <w:rPr/>
              <w:t> </w:t>
            </w:r>
          </w:p>
        </w:tc>
        <w:tc>
          <w:tcPr>
            <w:tcW w:w="144" w:type="dxa"/>
            <w:tcBorders/>
            <w:shd w:fill="FFFFFF" w:val="clear"/>
            <w:tcMar>
              <w:bottom w:w="0" w:type="dxa"/>
            </w:tcMar>
            <w:vAlign w:val="bottom"/>
          </w:tcPr>
          <w:p>
            <w:pPr>
              <w:pStyle w:val="TableContents"/>
              <w:spacing w:before="0" w:after="283"/>
              <w:jc w:val="left"/>
              <w:rPr/>
            </w:pPr>
            <w:r>
              <w:rPr/>
              <w:t> </w:t>
            </w:r>
          </w:p>
        </w:tc>
        <w:tc>
          <w:tcPr>
            <w:tcW w:w="1192"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11,288</w:t>
            </w:r>
          </w:p>
        </w:tc>
        <w:tc>
          <w:tcPr>
            <w:tcW w:w="188" w:type="dxa"/>
            <w:tcBorders/>
            <w:shd w:fill="FFFFFF" w:val="clear"/>
            <w:tcMar>
              <w:bottom w:w="0" w:type="dxa"/>
            </w:tcMar>
            <w:vAlign w:val="bottom"/>
          </w:tcPr>
          <w:p>
            <w:pPr>
              <w:pStyle w:val="TableContents"/>
              <w:spacing w:before="0" w:after="283"/>
              <w:jc w:val="left"/>
              <w:rPr/>
            </w:pPr>
            <w:r>
              <w:rPr/>
              <w:t> </w:t>
            </w:r>
          </w:p>
        </w:tc>
        <w:tc>
          <w:tcPr>
            <w:tcW w:w="137" w:type="dxa"/>
            <w:tcBorders/>
            <w:shd w:fill="FFFFFF" w:val="clear"/>
            <w:tcMar>
              <w:bottom w:w="0" w:type="dxa"/>
            </w:tcMar>
            <w:vAlign w:val="bottom"/>
          </w:tcPr>
          <w:p>
            <w:pPr>
              <w:pStyle w:val="TableContents"/>
              <w:spacing w:before="0" w:after="283"/>
              <w:jc w:val="left"/>
              <w:rPr/>
            </w:pPr>
            <w:r>
              <w:rPr/>
              <w:t> </w:t>
            </w:r>
          </w:p>
        </w:tc>
        <w:tc>
          <w:tcPr>
            <w:tcW w:w="1159"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4,001</w:t>
            </w:r>
          </w:p>
        </w:tc>
        <w:tc>
          <w:tcPr>
            <w:tcW w:w="188" w:type="dxa"/>
            <w:tcBorders/>
            <w:shd w:fill="FFFFFF" w:val="clear"/>
            <w:tcMar>
              <w:bottom w:w="0" w:type="dxa"/>
            </w:tcMar>
            <w:vAlign w:val="bottom"/>
          </w:tcPr>
          <w:p>
            <w:pPr>
              <w:pStyle w:val="TableContents"/>
              <w:spacing w:before="0" w:after="283"/>
              <w:jc w:val="left"/>
              <w:rPr/>
            </w:pPr>
            <w:r>
              <w:rPr/>
              <w:t> </w:t>
            </w:r>
          </w:p>
        </w:tc>
        <w:tc>
          <w:tcPr>
            <w:tcW w:w="136" w:type="dxa"/>
            <w:tcBorders/>
            <w:shd w:fill="FFFFFF" w:val="clear"/>
            <w:tcMar>
              <w:bottom w:w="0" w:type="dxa"/>
            </w:tcMar>
            <w:vAlign w:val="bottom"/>
          </w:tcPr>
          <w:p>
            <w:pPr>
              <w:pStyle w:val="TableContents"/>
              <w:spacing w:before="0" w:after="283"/>
              <w:jc w:val="left"/>
              <w:rPr/>
            </w:pPr>
            <w:r>
              <w:rPr/>
              <w:t> </w:t>
            </w:r>
          </w:p>
        </w:tc>
        <w:tc>
          <w:tcPr>
            <w:tcW w:w="1155"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20,761</w:t>
            </w:r>
          </w:p>
        </w:tc>
        <w:tc>
          <w:tcPr>
            <w:tcW w:w="124" w:type="dxa"/>
            <w:tcBorders/>
            <w:shd w:fill="FFFFFF" w:val="clear"/>
            <w:tcMar>
              <w:bottom w:w="0" w:type="dxa"/>
            </w:tcMar>
            <w:vAlign w:val="bottom"/>
          </w:tcPr>
          <w:p>
            <w:pPr>
              <w:pStyle w:val="TableContents"/>
              <w:spacing w:before="0" w:after="283"/>
              <w:jc w:val="left"/>
              <w:rPr/>
            </w:pPr>
            <w:r>
              <w:rPr/>
              <w:t> </w:t>
            </w:r>
          </w:p>
        </w:tc>
      </w:tr>
      <w:tr>
        <w:trPr/>
        <w:tc>
          <w:tcPr>
            <w:tcW w:w="4115" w:type="dxa"/>
            <w:tcBorders>
              <w:bottom w:val="sing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Advertising and other revenues</w:t>
            </w:r>
          </w:p>
        </w:tc>
        <w:tc>
          <w:tcPr>
            <w:tcW w:w="188" w:type="dxa"/>
            <w:tcBorders>
              <w:bottom w:val="single" w:sz="2" w:space="0" w:color="CCEEFF"/>
            </w:tcBorders>
            <w:shd w:fill="CCEEFF" w:val="clear"/>
            <w:vAlign w:val="center"/>
          </w:tcPr>
          <w:p>
            <w:pPr>
              <w:pStyle w:val="TableContents"/>
              <w:spacing w:before="0" w:after="283"/>
              <w:rPr/>
            </w:pPr>
            <w:r>
              <w:rPr/>
              <w:t> </w:t>
            </w:r>
          </w:p>
        </w:tc>
        <w:tc>
          <w:tcPr>
            <w:tcW w:w="136" w:type="dxa"/>
            <w:tcBorders>
              <w:bottom w:val="single" w:sz="2" w:space="0" w:color="000000"/>
            </w:tcBorders>
            <w:shd w:fill="CCEEFF" w:val="clear"/>
            <w:vAlign w:val="bottom"/>
          </w:tcPr>
          <w:p>
            <w:pPr>
              <w:pStyle w:val="TableContents"/>
              <w:spacing w:before="0" w:after="283"/>
              <w:jc w:val="left"/>
              <w:rPr/>
            </w:pPr>
            <w:r>
              <w:rPr/>
              <w:t> </w:t>
            </w:r>
          </w:p>
        </w:tc>
        <w:tc>
          <w:tcPr>
            <w:tcW w:w="1155"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1,710</w:t>
            </w:r>
          </w:p>
        </w:tc>
        <w:tc>
          <w:tcPr>
            <w:tcW w:w="188" w:type="dxa"/>
            <w:tcBorders>
              <w:bottom w:val="single" w:sz="2" w:space="0" w:color="CCEEFF"/>
            </w:tcBorders>
            <w:shd w:fill="CCEEFF" w:val="clear"/>
            <w:vAlign w:val="bottom"/>
          </w:tcPr>
          <w:p>
            <w:pPr>
              <w:pStyle w:val="TableContents"/>
              <w:spacing w:before="0" w:after="283"/>
              <w:jc w:val="left"/>
              <w:rPr/>
            </w:pPr>
            <w:r>
              <w:rPr/>
              <w:t> </w:t>
            </w:r>
          </w:p>
        </w:tc>
        <w:tc>
          <w:tcPr>
            <w:tcW w:w="144" w:type="dxa"/>
            <w:tcBorders>
              <w:bottom w:val="single" w:sz="2" w:space="0" w:color="000000"/>
            </w:tcBorders>
            <w:shd w:fill="CCEEFF" w:val="clear"/>
            <w:vAlign w:val="bottom"/>
          </w:tcPr>
          <w:p>
            <w:pPr>
              <w:pStyle w:val="TableContents"/>
              <w:spacing w:before="0" w:after="283"/>
              <w:jc w:val="left"/>
              <w:rPr/>
            </w:pPr>
            <w:r>
              <w:rPr/>
              <w:t> </w:t>
            </w:r>
          </w:p>
        </w:tc>
        <w:tc>
          <w:tcPr>
            <w:tcW w:w="1192"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2,098</w:t>
            </w:r>
          </w:p>
        </w:tc>
        <w:tc>
          <w:tcPr>
            <w:tcW w:w="188" w:type="dxa"/>
            <w:tcBorders>
              <w:bottom w:val="single" w:sz="2" w:space="0" w:color="CCEEFF"/>
            </w:tcBorders>
            <w:shd w:fill="CCEEFF" w:val="clear"/>
            <w:vAlign w:val="bottom"/>
          </w:tcPr>
          <w:p>
            <w:pPr>
              <w:pStyle w:val="TableContents"/>
              <w:spacing w:before="0" w:after="283"/>
              <w:jc w:val="left"/>
              <w:rPr/>
            </w:pPr>
            <w:r>
              <w:rPr/>
              <w:t> </w:t>
            </w:r>
          </w:p>
        </w:tc>
        <w:tc>
          <w:tcPr>
            <w:tcW w:w="137" w:type="dxa"/>
            <w:tcBorders>
              <w:bottom w:val="single" w:sz="2" w:space="0" w:color="000000"/>
            </w:tcBorders>
            <w:shd w:fill="CCEEFF" w:val="clear"/>
            <w:vAlign w:val="bottom"/>
          </w:tcPr>
          <w:p>
            <w:pPr>
              <w:pStyle w:val="TableContents"/>
              <w:spacing w:before="0" w:after="283"/>
              <w:jc w:val="left"/>
              <w:rPr/>
            </w:pPr>
            <w:r>
              <w:rPr/>
              <w:t> </w:t>
            </w:r>
          </w:p>
        </w:tc>
        <w:tc>
          <w:tcPr>
            <w:tcW w:w="1159"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915</w:t>
            </w:r>
          </w:p>
        </w:tc>
        <w:tc>
          <w:tcPr>
            <w:tcW w:w="188" w:type="dxa"/>
            <w:tcBorders>
              <w:bottom w:val="single" w:sz="2" w:space="0" w:color="CCEEFF"/>
            </w:tcBorders>
            <w:shd w:fill="CCEEFF" w:val="clear"/>
            <w:vAlign w:val="bottom"/>
          </w:tcPr>
          <w:p>
            <w:pPr>
              <w:pStyle w:val="TableContents"/>
              <w:spacing w:before="0" w:after="283"/>
              <w:jc w:val="left"/>
              <w:rPr/>
            </w:pPr>
            <w:r>
              <w:rPr/>
              <w:t> </w:t>
            </w:r>
          </w:p>
        </w:tc>
        <w:tc>
          <w:tcPr>
            <w:tcW w:w="136" w:type="dxa"/>
            <w:tcBorders>
              <w:bottom w:val="single" w:sz="2" w:space="0" w:color="000000"/>
            </w:tcBorders>
            <w:shd w:fill="CCEEFF" w:val="clear"/>
            <w:vAlign w:val="bottom"/>
          </w:tcPr>
          <w:p>
            <w:pPr>
              <w:pStyle w:val="TableContents"/>
              <w:spacing w:before="0" w:after="283"/>
              <w:jc w:val="left"/>
              <w:rPr/>
            </w:pPr>
            <w:r>
              <w:rPr/>
              <w:t> </w:t>
            </w:r>
          </w:p>
        </w:tc>
        <w:tc>
          <w:tcPr>
            <w:tcW w:w="1155"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4,723</w:t>
            </w:r>
          </w:p>
        </w:tc>
        <w:tc>
          <w:tcPr>
            <w:tcW w:w="124" w:type="dxa"/>
            <w:tcBorders>
              <w:bottom w:val="single" w:sz="2" w:space="0" w:color="CCEEFF"/>
            </w:tcBorders>
            <w:shd w:fill="CCEEFF" w:val="clear"/>
            <w:vAlign w:val="bottom"/>
          </w:tcPr>
          <w:p>
            <w:pPr>
              <w:pStyle w:val="TableContents"/>
              <w:spacing w:before="0" w:after="283"/>
              <w:jc w:val="left"/>
              <w:rPr/>
            </w:pPr>
            <w:r>
              <w:rPr/>
              <w:t> </w:t>
            </w:r>
          </w:p>
        </w:tc>
      </w:tr>
      <w:tr>
        <w:trPr/>
        <w:tc>
          <w:tcPr>
            <w:tcW w:w="4115" w:type="dxa"/>
            <w:tcBorders/>
            <w:shd w:fill="FFFFFF" w:val="clear"/>
            <w:tcMar>
              <w:bottom w:w="0" w:type="dxa"/>
            </w:tcMar>
            <w:vAlign w:val="bottom"/>
          </w:tcPr>
          <w:p>
            <w:pPr>
              <w:pStyle w:val="TableContents"/>
              <w:spacing w:lineRule="auto" w:line="300" w:before="0" w:after="0"/>
              <w:ind w:left="0" w:right="0" w:hanging="0"/>
              <w:jc w:val="left"/>
              <w:rPr/>
            </w:pPr>
            <w:r>
              <w:rPr>
                <w:rFonts w:ascii="Times New Roman" w:hAnsi="Times New Roman"/>
                <w:sz w:val="20"/>
              </w:rPr>
              <w:t>Total revenues</w:t>
            </w:r>
            <w:bookmarkStart w:id="1333" w:name="TAB269"/>
            <w:bookmarkEnd w:id="1333"/>
            <w:r>
              <w:rPr>
                <w:color w:val="000000"/>
                <w:spacing w:val="540"/>
              </w:rPr>
              <w:t> </w:t>
            </w:r>
          </w:p>
        </w:tc>
        <w:tc>
          <w:tcPr>
            <w:tcW w:w="188" w:type="dxa"/>
            <w:tcBorders/>
            <w:shd w:fill="FFFFFF" w:val="clear"/>
            <w:tcMar>
              <w:bottom w:w="0" w:type="dxa"/>
            </w:tcMar>
            <w:vAlign w:val="center"/>
          </w:tcPr>
          <w:p>
            <w:pPr>
              <w:pStyle w:val="TableContents"/>
              <w:spacing w:before="0" w:after="283"/>
              <w:rPr/>
            </w:pPr>
            <w:r>
              <w:rPr/>
              <w:t> </w:t>
            </w:r>
          </w:p>
        </w:tc>
        <w:tc>
          <w:tcPr>
            <w:tcW w:w="136" w:type="dxa"/>
            <w:tcBorders/>
            <w:shd w:fill="FFFFFF" w:val="clear"/>
            <w:tcMar>
              <w:bottom w:w="0" w:type="dxa"/>
            </w:tcMar>
            <w:vAlign w:val="bottom"/>
          </w:tcPr>
          <w:p>
            <w:pPr>
              <w:pStyle w:val="TableContents"/>
              <w:spacing w:before="0" w:after="283"/>
              <w:jc w:val="left"/>
              <w:rPr/>
            </w:pPr>
            <w:r>
              <w:rPr/>
              <w:t> </w:t>
            </w:r>
          </w:p>
        </w:tc>
        <w:tc>
          <w:tcPr>
            <w:tcW w:w="1155"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334" w:name="TAB1459"/>
            <w:bookmarkEnd w:id="1334"/>
            <w:r>
              <w:rPr>
                <w:rFonts w:ascii="Times New Roman" w:hAnsi="Times New Roman"/>
                <w:sz w:val="20"/>
              </w:rPr>
              <w:t>26,073</w:t>
            </w:r>
          </w:p>
        </w:tc>
        <w:tc>
          <w:tcPr>
            <w:tcW w:w="188" w:type="dxa"/>
            <w:tcBorders/>
            <w:shd w:fill="FFFFFF" w:val="clear"/>
            <w:tcMar>
              <w:bottom w:w="0" w:type="dxa"/>
            </w:tcMar>
            <w:vAlign w:val="bottom"/>
          </w:tcPr>
          <w:p>
            <w:pPr>
              <w:pStyle w:val="TableContents"/>
              <w:spacing w:before="0" w:after="283"/>
              <w:jc w:val="left"/>
              <w:rPr/>
            </w:pPr>
            <w:r>
              <w:rPr/>
              <w:t> </w:t>
            </w:r>
          </w:p>
        </w:tc>
        <w:tc>
          <w:tcPr>
            <w:tcW w:w="144" w:type="dxa"/>
            <w:tcBorders/>
            <w:shd w:fill="FFFFFF" w:val="clear"/>
            <w:tcMar>
              <w:bottom w:w="0" w:type="dxa"/>
            </w:tcMar>
            <w:vAlign w:val="bottom"/>
          </w:tcPr>
          <w:p>
            <w:pPr>
              <w:pStyle w:val="TableContents"/>
              <w:spacing w:before="0" w:after="283"/>
              <w:jc w:val="left"/>
              <w:rPr/>
            </w:pPr>
            <w:r>
              <w:rPr/>
              <w:t> </w:t>
            </w:r>
          </w:p>
        </w:tc>
        <w:tc>
          <w:tcPr>
            <w:tcW w:w="1192"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335" w:name="TAB1460"/>
            <w:bookmarkEnd w:id="1335"/>
            <w:r>
              <w:rPr>
                <w:rFonts w:ascii="Times New Roman" w:hAnsi="Times New Roman"/>
                <w:sz w:val="20"/>
              </w:rPr>
              <w:t>49,950</w:t>
            </w:r>
          </w:p>
        </w:tc>
        <w:tc>
          <w:tcPr>
            <w:tcW w:w="188" w:type="dxa"/>
            <w:tcBorders/>
            <w:shd w:fill="FFFFFF" w:val="clear"/>
            <w:tcMar>
              <w:bottom w:w="0" w:type="dxa"/>
            </w:tcMar>
            <w:vAlign w:val="bottom"/>
          </w:tcPr>
          <w:p>
            <w:pPr>
              <w:pStyle w:val="TableContents"/>
              <w:spacing w:before="0" w:after="283"/>
              <w:jc w:val="left"/>
              <w:rPr/>
            </w:pPr>
            <w:r>
              <w:rPr/>
              <w:t> </w:t>
            </w:r>
          </w:p>
        </w:tc>
        <w:tc>
          <w:tcPr>
            <w:tcW w:w="137" w:type="dxa"/>
            <w:tcBorders/>
            <w:shd w:fill="FFFFFF" w:val="clear"/>
            <w:tcMar>
              <w:bottom w:w="0" w:type="dxa"/>
            </w:tcMar>
            <w:vAlign w:val="bottom"/>
          </w:tcPr>
          <w:p>
            <w:pPr>
              <w:pStyle w:val="TableContents"/>
              <w:spacing w:before="0" w:after="283"/>
              <w:jc w:val="left"/>
              <w:rPr/>
            </w:pPr>
            <w:r>
              <w:rPr/>
              <w:t> </w:t>
            </w:r>
          </w:p>
        </w:tc>
        <w:tc>
          <w:tcPr>
            <w:tcW w:w="1159"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336" w:name="TAB1461"/>
            <w:bookmarkEnd w:id="1336"/>
            <w:r>
              <w:rPr>
                <w:rFonts w:ascii="Times New Roman" w:hAnsi="Times New Roman"/>
                <w:sz w:val="20"/>
              </w:rPr>
              <w:t>18,025</w:t>
            </w:r>
          </w:p>
        </w:tc>
        <w:tc>
          <w:tcPr>
            <w:tcW w:w="188" w:type="dxa"/>
            <w:tcBorders/>
            <w:shd w:fill="FFFFFF" w:val="clear"/>
            <w:tcMar>
              <w:bottom w:w="0" w:type="dxa"/>
            </w:tcMar>
            <w:vAlign w:val="bottom"/>
          </w:tcPr>
          <w:p>
            <w:pPr>
              <w:pStyle w:val="TableContents"/>
              <w:spacing w:before="0" w:after="283"/>
              <w:jc w:val="left"/>
              <w:rPr/>
            </w:pPr>
            <w:r>
              <w:rPr/>
              <w:t> </w:t>
            </w:r>
          </w:p>
        </w:tc>
        <w:tc>
          <w:tcPr>
            <w:tcW w:w="136" w:type="dxa"/>
            <w:tcBorders/>
            <w:shd w:fill="FFFFFF" w:val="clear"/>
            <w:tcMar>
              <w:bottom w:w="0" w:type="dxa"/>
            </w:tcMar>
            <w:vAlign w:val="bottom"/>
          </w:tcPr>
          <w:p>
            <w:pPr>
              <w:pStyle w:val="TableContents"/>
              <w:spacing w:before="0" w:after="283"/>
              <w:jc w:val="left"/>
              <w:rPr/>
            </w:pPr>
            <w:r>
              <w:rPr/>
              <w:t> </w:t>
            </w:r>
          </w:p>
        </w:tc>
        <w:tc>
          <w:tcPr>
            <w:tcW w:w="1155"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337" w:name="TAB1462"/>
            <w:bookmarkEnd w:id="1337"/>
            <w:r>
              <w:rPr>
                <w:rFonts w:ascii="Times New Roman" w:hAnsi="Times New Roman"/>
                <w:sz w:val="20"/>
              </w:rPr>
              <w:t>94,048</w:t>
            </w:r>
          </w:p>
        </w:tc>
        <w:tc>
          <w:tcPr>
            <w:tcW w:w="124" w:type="dxa"/>
            <w:tcBorders/>
            <w:shd w:fill="FFFFFF" w:val="clear"/>
            <w:tcMar>
              <w:bottom w:w="0" w:type="dxa"/>
            </w:tcMar>
            <w:vAlign w:val="bottom"/>
          </w:tcPr>
          <w:p>
            <w:pPr>
              <w:pStyle w:val="TableContents"/>
              <w:spacing w:before="0" w:after="283"/>
              <w:jc w:val="left"/>
              <w:rPr/>
            </w:pPr>
            <w:r>
              <w:rPr/>
              <w:t> </w:t>
            </w:r>
          </w:p>
        </w:tc>
      </w:tr>
      <w:tr>
        <w:trPr/>
        <w:tc>
          <w:tcPr>
            <w:tcW w:w="4115" w:type="dxa"/>
            <w:tcBorders/>
            <w:shd w:fill="CCEEFF" w:val="clear"/>
            <w:tcMar>
              <w:bottom w:w="0" w:type="dxa"/>
            </w:tcMar>
            <w:vAlign w:val="bottom"/>
          </w:tcPr>
          <w:p>
            <w:pPr>
              <w:pStyle w:val="TableContents"/>
              <w:spacing w:before="0" w:after="283"/>
              <w:jc w:val="left"/>
              <w:rPr/>
            </w:pPr>
            <w:r>
              <w:rPr/>
              <w:t> </w:t>
            </w:r>
          </w:p>
        </w:tc>
        <w:tc>
          <w:tcPr>
            <w:tcW w:w="188" w:type="dxa"/>
            <w:tcBorders/>
            <w:shd w:fill="CCEEFF" w:val="clear"/>
            <w:tcMar>
              <w:bottom w:w="0" w:type="dxa"/>
            </w:tcMar>
            <w:vAlign w:val="center"/>
          </w:tcPr>
          <w:p>
            <w:pPr>
              <w:pStyle w:val="TableContents"/>
              <w:spacing w:before="0" w:after="283"/>
              <w:rPr/>
            </w:pPr>
            <w:r>
              <w:rPr/>
              <w:t> </w:t>
            </w:r>
          </w:p>
        </w:tc>
        <w:tc>
          <w:tcPr>
            <w:tcW w:w="136" w:type="dxa"/>
            <w:tcBorders/>
            <w:shd w:fill="CCEEFF" w:val="clear"/>
            <w:tcMar>
              <w:bottom w:w="0" w:type="dxa"/>
            </w:tcMar>
            <w:vAlign w:val="bottom"/>
          </w:tcPr>
          <w:p>
            <w:pPr>
              <w:pStyle w:val="TableContents"/>
              <w:spacing w:before="0" w:after="283"/>
              <w:jc w:val="left"/>
              <w:rPr/>
            </w:pPr>
            <w:r>
              <w:rPr/>
              <w:t> </w:t>
            </w:r>
          </w:p>
        </w:tc>
        <w:tc>
          <w:tcPr>
            <w:tcW w:w="1155" w:type="dxa"/>
            <w:tcBorders/>
            <w:shd w:fill="CCEEFF" w:val="clear"/>
            <w:tcMar>
              <w:bottom w:w="0" w:type="dxa"/>
            </w:tcMar>
            <w:vAlign w:val="bottom"/>
          </w:tcPr>
          <w:p>
            <w:pPr>
              <w:pStyle w:val="TableContents"/>
              <w:spacing w:before="0" w:after="283"/>
              <w:jc w:val="right"/>
              <w:rPr/>
            </w:pPr>
            <w:r>
              <w:rPr/>
              <w:t> </w:t>
            </w:r>
          </w:p>
        </w:tc>
        <w:tc>
          <w:tcPr>
            <w:tcW w:w="188" w:type="dxa"/>
            <w:tcBorders/>
            <w:shd w:fill="CCEEFF" w:val="clear"/>
            <w:tcMar>
              <w:bottom w:w="0" w:type="dxa"/>
            </w:tcMar>
            <w:vAlign w:val="bottom"/>
          </w:tcPr>
          <w:p>
            <w:pPr>
              <w:pStyle w:val="TableContents"/>
              <w:spacing w:before="0" w:after="283"/>
              <w:jc w:val="left"/>
              <w:rPr/>
            </w:pPr>
            <w:r>
              <w:rPr/>
              <w:t> </w:t>
            </w:r>
          </w:p>
        </w:tc>
        <w:tc>
          <w:tcPr>
            <w:tcW w:w="144" w:type="dxa"/>
            <w:tcBorders/>
            <w:shd w:fill="CCEEFF" w:val="clear"/>
            <w:tcMar>
              <w:bottom w:w="0" w:type="dxa"/>
            </w:tcMar>
            <w:vAlign w:val="bottom"/>
          </w:tcPr>
          <w:p>
            <w:pPr>
              <w:pStyle w:val="TableContents"/>
              <w:spacing w:before="0" w:after="283"/>
              <w:jc w:val="left"/>
              <w:rPr/>
            </w:pPr>
            <w:r>
              <w:rPr/>
              <w:t> </w:t>
            </w:r>
          </w:p>
        </w:tc>
        <w:tc>
          <w:tcPr>
            <w:tcW w:w="1192" w:type="dxa"/>
            <w:tcBorders/>
            <w:shd w:fill="CCEEFF" w:val="clear"/>
            <w:tcMar>
              <w:bottom w:w="0" w:type="dxa"/>
            </w:tcMar>
            <w:vAlign w:val="bottom"/>
          </w:tcPr>
          <w:p>
            <w:pPr>
              <w:pStyle w:val="TableContents"/>
              <w:spacing w:before="0" w:after="283"/>
              <w:jc w:val="right"/>
              <w:rPr/>
            </w:pPr>
            <w:r>
              <w:rPr/>
              <w:t> </w:t>
            </w:r>
          </w:p>
        </w:tc>
        <w:tc>
          <w:tcPr>
            <w:tcW w:w="188" w:type="dxa"/>
            <w:tcBorders/>
            <w:shd w:fill="CCEEFF" w:val="clear"/>
            <w:tcMar>
              <w:bottom w:w="0" w:type="dxa"/>
            </w:tcMar>
            <w:vAlign w:val="bottom"/>
          </w:tcPr>
          <w:p>
            <w:pPr>
              <w:pStyle w:val="TableContents"/>
              <w:spacing w:before="0" w:after="283"/>
              <w:jc w:val="left"/>
              <w:rPr/>
            </w:pPr>
            <w:r>
              <w:rPr/>
              <w:t> </w:t>
            </w:r>
          </w:p>
        </w:tc>
        <w:tc>
          <w:tcPr>
            <w:tcW w:w="137" w:type="dxa"/>
            <w:tcBorders/>
            <w:shd w:fill="CCEEFF" w:val="clear"/>
            <w:tcMar>
              <w:bottom w:w="0" w:type="dxa"/>
            </w:tcMar>
            <w:vAlign w:val="bottom"/>
          </w:tcPr>
          <w:p>
            <w:pPr>
              <w:pStyle w:val="TableContents"/>
              <w:spacing w:before="0" w:after="283"/>
              <w:jc w:val="left"/>
              <w:rPr/>
            </w:pPr>
            <w:r>
              <w:rPr/>
              <w:t> </w:t>
            </w:r>
          </w:p>
        </w:tc>
        <w:tc>
          <w:tcPr>
            <w:tcW w:w="1159" w:type="dxa"/>
            <w:tcBorders/>
            <w:shd w:fill="CCEEFF" w:val="clear"/>
            <w:tcMar>
              <w:bottom w:w="0" w:type="dxa"/>
            </w:tcMar>
            <w:vAlign w:val="bottom"/>
          </w:tcPr>
          <w:p>
            <w:pPr>
              <w:pStyle w:val="TableContents"/>
              <w:spacing w:before="0" w:after="283"/>
              <w:jc w:val="right"/>
              <w:rPr/>
            </w:pPr>
            <w:r>
              <w:rPr/>
              <w:t> </w:t>
            </w:r>
          </w:p>
        </w:tc>
        <w:tc>
          <w:tcPr>
            <w:tcW w:w="188" w:type="dxa"/>
            <w:tcBorders/>
            <w:shd w:fill="CCEEFF" w:val="clear"/>
            <w:tcMar>
              <w:bottom w:w="0" w:type="dxa"/>
            </w:tcMar>
            <w:vAlign w:val="bottom"/>
          </w:tcPr>
          <w:p>
            <w:pPr>
              <w:pStyle w:val="TableContents"/>
              <w:spacing w:before="0" w:after="283"/>
              <w:jc w:val="left"/>
              <w:rPr/>
            </w:pPr>
            <w:r>
              <w:rPr/>
              <w:t> </w:t>
            </w:r>
          </w:p>
        </w:tc>
        <w:tc>
          <w:tcPr>
            <w:tcW w:w="136" w:type="dxa"/>
            <w:tcBorders/>
            <w:shd w:fill="CCEEFF" w:val="clear"/>
            <w:tcMar>
              <w:bottom w:w="0" w:type="dxa"/>
            </w:tcMar>
            <w:vAlign w:val="bottom"/>
          </w:tcPr>
          <w:p>
            <w:pPr>
              <w:pStyle w:val="TableContents"/>
              <w:spacing w:before="0" w:after="283"/>
              <w:jc w:val="left"/>
              <w:rPr/>
            </w:pPr>
            <w:r>
              <w:rPr/>
              <w:t> </w:t>
            </w:r>
          </w:p>
        </w:tc>
        <w:tc>
          <w:tcPr>
            <w:tcW w:w="1155" w:type="dxa"/>
            <w:tcBorders/>
            <w:shd w:fill="CCEEFF" w:val="clear"/>
            <w:tcMar>
              <w:bottom w:w="0" w:type="dxa"/>
            </w:tcMar>
            <w:vAlign w:val="bottom"/>
          </w:tcPr>
          <w:p>
            <w:pPr>
              <w:pStyle w:val="TableContents"/>
              <w:spacing w:before="0" w:after="283"/>
              <w:jc w:val="right"/>
              <w:rPr/>
            </w:pPr>
            <w:r>
              <w:rPr/>
              <w:t> </w:t>
            </w:r>
          </w:p>
        </w:tc>
        <w:tc>
          <w:tcPr>
            <w:tcW w:w="124" w:type="dxa"/>
            <w:tcBorders/>
            <w:shd w:fill="CCEEFF" w:val="clear"/>
            <w:tcMar>
              <w:bottom w:w="0" w:type="dxa"/>
            </w:tcMar>
            <w:vAlign w:val="bottom"/>
          </w:tcPr>
          <w:p>
            <w:pPr>
              <w:pStyle w:val="TableContents"/>
              <w:spacing w:before="0" w:after="283"/>
              <w:jc w:val="left"/>
              <w:rPr/>
            </w:pPr>
            <w:r>
              <w:rPr/>
              <w:t> </w:t>
            </w:r>
          </w:p>
        </w:tc>
      </w:tr>
      <w:tr>
        <w:trPr/>
        <w:tc>
          <w:tcPr>
            <w:tcW w:w="4115"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Cinema costs</w:t>
            </w:r>
          </w:p>
        </w:tc>
        <w:tc>
          <w:tcPr>
            <w:tcW w:w="188" w:type="dxa"/>
            <w:tcBorders/>
            <w:shd w:fill="FFFFFF" w:val="clear"/>
            <w:tcMar>
              <w:bottom w:w="0" w:type="dxa"/>
            </w:tcMar>
            <w:vAlign w:val="center"/>
          </w:tcPr>
          <w:p>
            <w:pPr>
              <w:pStyle w:val="TableContents"/>
              <w:spacing w:before="0" w:after="283"/>
              <w:rPr/>
            </w:pPr>
            <w:r>
              <w:rPr/>
              <w:t> </w:t>
            </w:r>
          </w:p>
        </w:tc>
        <w:tc>
          <w:tcPr>
            <w:tcW w:w="136" w:type="dxa"/>
            <w:tcBorders/>
            <w:shd w:fill="FFFFFF" w:val="clear"/>
            <w:tcMar>
              <w:bottom w:w="0" w:type="dxa"/>
            </w:tcMar>
            <w:vAlign w:val="bottom"/>
          </w:tcPr>
          <w:p>
            <w:pPr>
              <w:pStyle w:val="TableContents"/>
              <w:spacing w:before="0" w:after="283"/>
              <w:jc w:val="left"/>
              <w:rPr/>
            </w:pPr>
            <w:r>
              <w:rPr/>
              <w:t> </w:t>
            </w:r>
          </w:p>
        </w:tc>
        <w:tc>
          <w:tcPr>
            <w:tcW w:w="1155"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338" w:name="TAB1463"/>
            <w:bookmarkEnd w:id="1338"/>
            <w:r>
              <w:rPr>
                <w:rFonts w:ascii="Times New Roman" w:hAnsi="Times New Roman"/>
                <w:sz w:val="20"/>
              </w:rPr>
              <w:t>18,176</w:t>
            </w:r>
          </w:p>
        </w:tc>
        <w:tc>
          <w:tcPr>
            <w:tcW w:w="188" w:type="dxa"/>
            <w:tcBorders/>
            <w:shd w:fill="FFFFFF" w:val="clear"/>
            <w:tcMar>
              <w:bottom w:w="0" w:type="dxa"/>
            </w:tcMar>
            <w:vAlign w:val="bottom"/>
          </w:tcPr>
          <w:p>
            <w:pPr>
              <w:pStyle w:val="TableContents"/>
              <w:spacing w:before="0" w:after="283"/>
              <w:jc w:val="left"/>
              <w:rPr/>
            </w:pPr>
            <w:r>
              <w:rPr/>
              <w:t> </w:t>
            </w:r>
          </w:p>
        </w:tc>
        <w:tc>
          <w:tcPr>
            <w:tcW w:w="144" w:type="dxa"/>
            <w:tcBorders/>
            <w:shd w:fill="FFFFFF" w:val="clear"/>
            <w:tcMar>
              <w:bottom w:w="0" w:type="dxa"/>
            </w:tcMar>
            <w:vAlign w:val="bottom"/>
          </w:tcPr>
          <w:p>
            <w:pPr>
              <w:pStyle w:val="TableContents"/>
              <w:spacing w:before="0" w:after="283"/>
              <w:jc w:val="left"/>
              <w:rPr/>
            </w:pPr>
            <w:r>
              <w:rPr/>
              <w:t> </w:t>
            </w:r>
          </w:p>
        </w:tc>
        <w:tc>
          <w:tcPr>
            <w:tcW w:w="1192"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339" w:name="TAB1464"/>
            <w:bookmarkEnd w:id="1339"/>
            <w:r>
              <w:rPr>
                <w:rFonts w:ascii="Times New Roman" w:hAnsi="Times New Roman"/>
                <w:sz w:val="20"/>
              </w:rPr>
              <w:t>38,743</w:t>
            </w:r>
          </w:p>
        </w:tc>
        <w:tc>
          <w:tcPr>
            <w:tcW w:w="188" w:type="dxa"/>
            <w:tcBorders/>
            <w:shd w:fill="FFFFFF" w:val="clear"/>
            <w:tcMar>
              <w:bottom w:w="0" w:type="dxa"/>
            </w:tcMar>
            <w:vAlign w:val="bottom"/>
          </w:tcPr>
          <w:p>
            <w:pPr>
              <w:pStyle w:val="TableContents"/>
              <w:spacing w:before="0" w:after="283"/>
              <w:jc w:val="left"/>
              <w:rPr/>
            </w:pPr>
            <w:r>
              <w:rPr/>
              <w:t> </w:t>
            </w:r>
          </w:p>
        </w:tc>
        <w:tc>
          <w:tcPr>
            <w:tcW w:w="137" w:type="dxa"/>
            <w:tcBorders/>
            <w:shd w:fill="FFFFFF" w:val="clear"/>
            <w:tcMar>
              <w:bottom w:w="0" w:type="dxa"/>
            </w:tcMar>
            <w:vAlign w:val="bottom"/>
          </w:tcPr>
          <w:p>
            <w:pPr>
              <w:pStyle w:val="TableContents"/>
              <w:spacing w:before="0" w:after="283"/>
              <w:jc w:val="left"/>
              <w:rPr/>
            </w:pPr>
            <w:r>
              <w:rPr/>
              <w:t> </w:t>
            </w:r>
          </w:p>
        </w:tc>
        <w:tc>
          <w:tcPr>
            <w:tcW w:w="1159"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340" w:name="TAB1465"/>
            <w:bookmarkEnd w:id="1340"/>
            <w:r>
              <w:rPr>
                <w:rFonts w:ascii="Times New Roman" w:hAnsi="Times New Roman"/>
                <w:sz w:val="20"/>
              </w:rPr>
              <w:t>13,763</w:t>
            </w:r>
          </w:p>
        </w:tc>
        <w:tc>
          <w:tcPr>
            <w:tcW w:w="188" w:type="dxa"/>
            <w:tcBorders/>
            <w:shd w:fill="FFFFFF" w:val="clear"/>
            <w:tcMar>
              <w:bottom w:w="0" w:type="dxa"/>
            </w:tcMar>
            <w:vAlign w:val="bottom"/>
          </w:tcPr>
          <w:p>
            <w:pPr>
              <w:pStyle w:val="TableContents"/>
              <w:spacing w:before="0" w:after="283"/>
              <w:jc w:val="left"/>
              <w:rPr/>
            </w:pPr>
            <w:r>
              <w:rPr/>
              <w:t> </w:t>
            </w:r>
          </w:p>
        </w:tc>
        <w:tc>
          <w:tcPr>
            <w:tcW w:w="136" w:type="dxa"/>
            <w:tcBorders/>
            <w:shd w:fill="FFFFFF" w:val="clear"/>
            <w:tcMar>
              <w:bottom w:w="0" w:type="dxa"/>
            </w:tcMar>
            <w:vAlign w:val="bottom"/>
          </w:tcPr>
          <w:p>
            <w:pPr>
              <w:pStyle w:val="TableContents"/>
              <w:spacing w:before="0" w:after="283"/>
              <w:jc w:val="left"/>
              <w:rPr/>
            </w:pPr>
            <w:r>
              <w:rPr/>
              <w:t> </w:t>
            </w:r>
          </w:p>
        </w:tc>
        <w:tc>
          <w:tcPr>
            <w:tcW w:w="1155"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341" w:name="TAB1466"/>
            <w:bookmarkEnd w:id="1341"/>
            <w:r>
              <w:rPr>
                <w:rFonts w:ascii="Times New Roman" w:hAnsi="Times New Roman"/>
                <w:sz w:val="20"/>
              </w:rPr>
              <w:t>70,682</w:t>
            </w:r>
          </w:p>
        </w:tc>
        <w:tc>
          <w:tcPr>
            <w:tcW w:w="124" w:type="dxa"/>
            <w:tcBorders/>
            <w:shd w:fill="FFFFFF" w:val="clear"/>
            <w:tcMar>
              <w:bottom w:w="0" w:type="dxa"/>
            </w:tcMar>
            <w:vAlign w:val="bottom"/>
          </w:tcPr>
          <w:p>
            <w:pPr>
              <w:pStyle w:val="TableContents"/>
              <w:spacing w:before="0" w:after="283"/>
              <w:jc w:val="left"/>
              <w:rPr/>
            </w:pPr>
            <w:r>
              <w:rPr/>
              <w:t> </w:t>
            </w:r>
          </w:p>
        </w:tc>
      </w:tr>
      <w:tr>
        <w:trPr/>
        <w:tc>
          <w:tcPr>
            <w:tcW w:w="4115" w:type="dxa"/>
            <w:tcBorders>
              <w:bottom w:val="sing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Concession costs</w:t>
            </w:r>
          </w:p>
        </w:tc>
        <w:tc>
          <w:tcPr>
            <w:tcW w:w="188" w:type="dxa"/>
            <w:tcBorders>
              <w:bottom w:val="single" w:sz="2" w:space="0" w:color="CCEEFF"/>
            </w:tcBorders>
            <w:shd w:fill="CCEEFF" w:val="clear"/>
            <w:vAlign w:val="center"/>
          </w:tcPr>
          <w:p>
            <w:pPr>
              <w:pStyle w:val="TableContents"/>
              <w:spacing w:before="0" w:after="283"/>
              <w:rPr/>
            </w:pPr>
            <w:r>
              <w:rPr/>
              <w:t> </w:t>
            </w:r>
          </w:p>
        </w:tc>
        <w:tc>
          <w:tcPr>
            <w:tcW w:w="136" w:type="dxa"/>
            <w:tcBorders>
              <w:bottom w:val="single" w:sz="2" w:space="0" w:color="000000"/>
            </w:tcBorders>
            <w:shd w:fill="CCEEFF" w:val="clear"/>
            <w:vAlign w:val="bottom"/>
          </w:tcPr>
          <w:p>
            <w:pPr>
              <w:pStyle w:val="TableContents"/>
              <w:spacing w:before="0" w:after="283"/>
              <w:jc w:val="left"/>
              <w:rPr/>
            </w:pPr>
            <w:r>
              <w:rPr/>
              <w:t> </w:t>
            </w:r>
          </w:p>
        </w:tc>
        <w:tc>
          <w:tcPr>
            <w:tcW w:w="1155"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1342" w:name="TAB1467"/>
            <w:bookmarkEnd w:id="1342"/>
            <w:r>
              <w:rPr>
                <w:rFonts w:ascii="Times New Roman" w:hAnsi="Times New Roman"/>
                <w:sz w:val="20"/>
              </w:rPr>
              <w:t>1,047</w:t>
            </w:r>
          </w:p>
        </w:tc>
        <w:tc>
          <w:tcPr>
            <w:tcW w:w="188" w:type="dxa"/>
            <w:tcBorders>
              <w:bottom w:val="single" w:sz="2" w:space="0" w:color="CCEEFF"/>
            </w:tcBorders>
            <w:shd w:fill="CCEEFF" w:val="clear"/>
            <w:vAlign w:val="bottom"/>
          </w:tcPr>
          <w:p>
            <w:pPr>
              <w:pStyle w:val="TableContents"/>
              <w:spacing w:before="0" w:after="283"/>
              <w:jc w:val="left"/>
              <w:rPr/>
            </w:pPr>
            <w:r>
              <w:rPr/>
              <w:t> </w:t>
            </w:r>
          </w:p>
        </w:tc>
        <w:tc>
          <w:tcPr>
            <w:tcW w:w="144" w:type="dxa"/>
            <w:tcBorders>
              <w:bottom w:val="single" w:sz="2" w:space="0" w:color="000000"/>
            </w:tcBorders>
            <w:shd w:fill="CCEEFF" w:val="clear"/>
            <w:vAlign w:val="bottom"/>
          </w:tcPr>
          <w:p>
            <w:pPr>
              <w:pStyle w:val="TableContents"/>
              <w:spacing w:before="0" w:after="283"/>
              <w:jc w:val="left"/>
              <w:rPr/>
            </w:pPr>
            <w:r>
              <w:rPr/>
              <w:t> </w:t>
            </w:r>
          </w:p>
        </w:tc>
        <w:tc>
          <w:tcPr>
            <w:tcW w:w="1192"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1343" w:name="TAB1468"/>
            <w:bookmarkEnd w:id="1343"/>
            <w:r>
              <w:rPr>
                <w:rFonts w:ascii="Times New Roman" w:hAnsi="Times New Roman"/>
                <w:sz w:val="20"/>
              </w:rPr>
              <w:t>2,584</w:t>
            </w:r>
          </w:p>
        </w:tc>
        <w:tc>
          <w:tcPr>
            <w:tcW w:w="188" w:type="dxa"/>
            <w:tcBorders>
              <w:bottom w:val="single" w:sz="2" w:space="0" w:color="CCEEFF"/>
            </w:tcBorders>
            <w:shd w:fill="CCEEFF" w:val="clear"/>
            <w:vAlign w:val="bottom"/>
          </w:tcPr>
          <w:p>
            <w:pPr>
              <w:pStyle w:val="TableContents"/>
              <w:spacing w:before="0" w:after="283"/>
              <w:jc w:val="left"/>
              <w:rPr/>
            </w:pPr>
            <w:r>
              <w:rPr/>
              <w:t> </w:t>
            </w:r>
          </w:p>
        </w:tc>
        <w:tc>
          <w:tcPr>
            <w:tcW w:w="137" w:type="dxa"/>
            <w:tcBorders>
              <w:bottom w:val="single" w:sz="2" w:space="0" w:color="000000"/>
            </w:tcBorders>
            <w:shd w:fill="CCEEFF" w:val="clear"/>
            <w:vAlign w:val="bottom"/>
          </w:tcPr>
          <w:p>
            <w:pPr>
              <w:pStyle w:val="TableContents"/>
              <w:spacing w:before="0" w:after="283"/>
              <w:jc w:val="left"/>
              <w:rPr/>
            </w:pPr>
            <w:r>
              <w:rPr/>
              <w:t> </w:t>
            </w:r>
          </w:p>
        </w:tc>
        <w:tc>
          <w:tcPr>
            <w:tcW w:w="1159"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1344" w:name="TAB1469"/>
            <w:bookmarkEnd w:id="1344"/>
            <w:r>
              <w:rPr>
                <w:rFonts w:ascii="Times New Roman" w:hAnsi="Times New Roman"/>
                <w:sz w:val="20"/>
              </w:rPr>
              <w:t>1,037</w:t>
            </w:r>
          </w:p>
        </w:tc>
        <w:tc>
          <w:tcPr>
            <w:tcW w:w="188" w:type="dxa"/>
            <w:tcBorders>
              <w:bottom w:val="single" w:sz="2" w:space="0" w:color="CCEEFF"/>
            </w:tcBorders>
            <w:shd w:fill="CCEEFF" w:val="clear"/>
            <w:vAlign w:val="bottom"/>
          </w:tcPr>
          <w:p>
            <w:pPr>
              <w:pStyle w:val="TableContents"/>
              <w:spacing w:before="0" w:after="283"/>
              <w:jc w:val="left"/>
              <w:rPr/>
            </w:pPr>
            <w:r>
              <w:rPr/>
              <w:t> </w:t>
            </w:r>
          </w:p>
        </w:tc>
        <w:tc>
          <w:tcPr>
            <w:tcW w:w="136" w:type="dxa"/>
            <w:tcBorders>
              <w:bottom w:val="single" w:sz="2" w:space="0" w:color="000000"/>
            </w:tcBorders>
            <w:shd w:fill="CCEEFF" w:val="clear"/>
            <w:vAlign w:val="bottom"/>
          </w:tcPr>
          <w:p>
            <w:pPr>
              <w:pStyle w:val="TableContents"/>
              <w:spacing w:before="0" w:after="283"/>
              <w:jc w:val="left"/>
              <w:rPr/>
            </w:pPr>
            <w:r>
              <w:rPr/>
              <w:t> </w:t>
            </w:r>
          </w:p>
        </w:tc>
        <w:tc>
          <w:tcPr>
            <w:tcW w:w="1155"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1345" w:name="TAB1470"/>
            <w:bookmarkEnd w:id="1345"/>
            <w:r>
              <w:rPr>
                <w:rFonts w:ascii="Times New Roman" w:hAnsi="Times New Roman"/>
                <w:sz w:val="20"/>
              </w:rPr>
              <w:t>4,668</w:t>
            </w:r>
          </w:p>
        </w:tc>
        <w:tc>
          <w:tcPr>
            <w:tcW w:w="124" w:type="dxa"/>
            <w:tcBorders>
              <w:bottom w:val="single" w:sz="2" w:space="0" w:color="CCEEFF"/>
            </w:tcBorders>
            <w:shd w:fill="CCEEFF" w:val="clear"/>
            <w:vAlign w:val="bottom"/>
          </w:tcPr>
          <w:p>
            <w:pPr>
              <w:pStyle w:val="TableContents"/>
              <w:spacing w:before="0" w:after="283"/>
              <w:jc w:val="left"/>
              <w:rPr/>
            </w:pPr>
            <w:r>
              <w:rPr/>
              <w:t> </w:t>
            </w:r>
          </w:p>
        </w:tc>
      </w:tr>
      <w:tr>
        <w:trPr/>
        <w:tc>
          <w:tcPr>
            <w:tcW w:w="4115"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Total operating expense</w:t>
            </w:r>
          </w:p>
        </w:tc>
        <w:tc>
          <w:tcPr>
            <w:tcW w:w="188" w:type="dxa"/>
            <w:tcBorders/>
            <w:shd w:fill="FFFFFF" w:val="clear"/>
            <w:tcMar>
              <w:bottom w:w="0" w:type="dxa"/>
            </w:tcMar>
            <w:vAlign w:val="center"/>
          </w:tcPr>
          <w:p>
            <w:pPr>
              <w:pStyle w:val="TableContents"/>
              <w:spacing w:before="0" w:after="283"/>
              <w:rPr/>
            </w:pPr>
            <w:r>
              <w:rPr/>
              <w:t> </w:t>
            </w:r>
          </w:p>
        </w:tc>
        <w:tc>
          <w:tcPr>
            <w:tcW w:w="136" w:type="dxa"/>
            <w:tcBorders/>
            <w:shd w:fill="FFFFFF" w:val="clear"/>
            <w:tcMar>
              <w:bottom w:w="0" w:type="dxa"/>
            </w:tcMar>
            <w:vAlign w:val="bottom"/>
          </w:tcPr>
          <w:p>
            <w:pPr>
              <w:pStyle w:val="TableContents"/>
              <w:spacing w:before="0" w:after="283"/>
              <w:jc w:val="left"/>
              <w:rPr/>
            </w:pPr>
            <w:r>
              <w:rPr/>
              <w:t> </w:t>
            </w:r>
          </w:p>
        </w:tc>
        <w:tc>
          <w:tcPr>
            <w:tcW w:w="1155"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346" w:name="TAB1471"/>
            <w:bookmarkEnd w:id="1346"/>
            <w:r>
              <w:rPr>
                <w:rFonts w:ascii="Times New Roman" w:hAnsi="Times New Roman"/>
                <w:sz w:val="20"/>
              </w:rPr>
              <w:t>19,223</w:t>
            </w:r>
          </w:p>
        </w:tc>
        <w:tc>
          <w:tcPr>
            <w:tcW w:w="188" w:type="dxa"/>
            <w:tcBorders/>
            <w:shd w:fill="FFFFFF" w:val="clear"/>
            <w:tcMar>
              <w:bottom w:w="0" w:type="dxa"/>
            </w:tcMar>
            <w:vAlign w:val="bottom"/>
          </w:tcPr>
          <w:p>
            <w:pPr>
              <w:pStyle w:val="TableContents"/>
              <w:spacing w:before="0" w:after="283"/>
              <w:jc w:val="left"/>
              <w:rPr/>
            </w:pPr>
            <w:r>
              <w:rPr/>
              <w:t> </w:t>
            </w:r>
          </w:p>
        </w:tc>
        <w:tc>
          <w:tcPr>
            <w:tcW w:w="144" w:type="dxa"/>
            <w:tcBorders/>
            <w:shd w:fill="FFFFFF" w:val="clear"/>
            <w:tcMar>
              <w:bottom w:w="0" w:type="dxa"/>
            </w:tcMar>
            <w:vAlign w:val="bottom"/>
          </w:tcPr>
          <w:p>
            <w:pPr>
              <w:pStyle w:val="TableContents"/>
              <w:spacing w:before="0" w:after="283"/>
              <w:jc w:val="left"/>
              <w:rPr/>
            </w:pPr>
            <w:r>
              <w:rPr/>
              <w:t> </w:t>
            </w:r>
          </w:p>
        </w:tc>
        <w:tc>
          <w:tcPr>
            <w:tcW w:w="1192"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347" w:name="TAB1472"/>
            <w:bookmarkEnd w:id="1347"/>
            <w:r>
              <w:rPr>
                <w:rFonts w:ascii="Times New Roman" w:hAnsi="Times New Roman"/>
                <w:sz w:val="20"/>
              </w:rPr>
              <w:t>41,327</w:t>
            </w:r>
          </w:p>
        </w:tc>
        <w:tc>
          <w:tcPr>
            <w:tcW w:w="188" w:type="dxa"/>
            <w:tcBorders/>
            <w:shd w:fill="FFFFFF" w:val="clear"/>
            <w:tcMar>
              <w:bottom w:w="0" w:type="dxa"/>
            </w:tcMar>
            <w:vAlign w:val="bottom"/>
          </w:tcPr>
          <w:p>
            <w:pPr>
              <w:pStyle w:val="TableContents"/>
              <w:spacing w:before="0" w:after="283"/>
              <w:jc w:val="left"/>
              <w:rPr/>
            </w:pPr>
            <w:r>
              <w:rPr/>
              <w:t> </w:t>
            </w:r>
          </w:p>
        </w:tc>
        <w:tc>
          <w:tcPr>
            <w:tcW w:w="137" w:type="dxa"/>
            <w:tcBorders/>
            <w:shd w:fill="FFFFFF" w:val="clear"/>
            <w:tcMar>
              <w:bottom w:w="0" w:type="dxa"/>
            </w:tcMar>
            <w:vAlign w:val="bottom"/>
          </w:tcPr>
          <w:p>
            <w:pPr>
              <w:pStyle w:val="TableContents"/>
              <w:spacing w:before="0" w:after="283"/>
              <w:jc w:val="left"/>
              <w:rPr/>
            </w:pPr>
            <w:r>
              <w:rPr/>
              <w:t> </w:t>
            </w:r>
          </w:p>
        </w:tc>
        <w:tc>
          <w:tcPr>
            <w:tcW w:w="1159"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348" w:name="TAB1473"/>
            <w:bookmarkEnd w:id="1348"/>
            <w:r>
              <w:rPr>
                <w:rFonts w:ascii="Times New Roman" w:hAnsi="Times New Roman"/>
                <w:sz w:val="20"/>
              </w:rPr>
              <w:t>14,800</w:t>
            </w:r>
          </w:p>
        </w:tc>
        <w:tc>
          <w:tcPr>
            <w:tcW w:w="188" w:type="dxa"/>
            <w:tcBorders/>
            <w:shd w:fill="FFFFFF" w:val="clear"/>
            <w:tcMar>
              <w:bottom w:w="0" w:type="dxa"/>
            </w:tcMar>
            <w:vAlign w:val="bottom"/>
          </w:tcPr>
          <w:p>
            <w:pPr>
              <w:pStyle w:val="TableContents"/>
              <w:spacing w:before="0" w:after="283"/>
              <w:jc w:val="left"/>
              <w:rPr/>
            </w:pPr>
            <w:r>
              <w:rPr/>
              <w:t> </w:t>
            </w:r>
          </w:p>
        </w:tc>
        <w:tc>
          <w:tcPr>
            <w:tcW w:w="136" w:type="dxa"/>
            <w:tcBorders/>
            <w:shd w:fill="FFFFFF" w:val="clear"/>
            <w:tcMar>
              <w:bottom w:w="0" w:type="dxa"/>
            </w:tcMar>
            <w:vAlign w:val="bottom"/>
          </w:tcPr>
          <w:p>
            <w:pPr>
              <w:pStyle w:val="TableContents"/>
              <w:spacing w:before="0" w:after="283"/>
              <w:jc w:val="left"/>
              <w:rPr/>
            </w:pPr>
            <w:r>
              <w:rPr/>
              <w:t> </w:t>
            </w:r>
          </w:p>
        </w:tc>
        <w:tc>
          <w:tcPr>
            <w:tcW w:w="1155"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349" w:name="TAB1474"/>
            <w:bookmarkEnd w:id="1349"/>
            <w:r>
              <w:rPr>
                <w:rFonts w:ascii="Times New Roman" w:hAnsi="Times New Roman"/>
                <w:sz w:val="20"/>
              </w:rPr>
              <w:t>75,350</w:t>
            </w:r>
          </w:p>
        </w:tc>
        <w:tc>
          <w:tcPr>
            <w:tcW w:w="124" w:type="dxa"/>
            <w:tcBorders/>
            <w:shd w:fill="FFFFFF" w:val="clear"/>
            <w:tcMar>
              <w:bottom w:w="0" w:type="dxa"/>
            </w:tcMar>
            <w:vAlign w:val="bottom"/>
          </w:tcPr>
          <w:p>
            <w:pPr>
              <w:pStyle w:val="TableContents"/>
              <w:spacing w:before="0" w:after="283"/>
              <w:jc w:val="left"/>
              <w:rPr/>
            </w:pPr>
            <w:r>
              <w:rPr/>
              <w:t> </w:t>
            </w:r>
          </w:p>
        </w:tc>
      </w:tr>
      <w:tr>
        <w:trPr/>
        <w:tc>
          <w:tcPr>
            <w:tcW w:w="4115" w:type="dxa"/>
            <w:tcBorders/>
            <w:shd w:fill="CCEEFF" w:val="clear"/>
            <w:tcMar>
              <w:bottom w:w="0" w:type="dxa"/>
            </w:tcMar>
            <w:vAlign w:val="bottom"/>
          </w:tcPr>
          <w:p>
            <w:pPr>
              <w:pStyle w:val="TableContents"/>
              <w:spacing w:before="0" w:after="283"/>
              <w:jc w:val="left"/>
              <w:rPr/>
            </w:pPr>
            <w:r>
              <w:rPr/>
              <w:t> </w:t>
            </w:r>
          </w:p>
        </w:tc>
        <w:tc>
          <w:tcPr>
            <w:tcW w:w="188" w:type="dxa"/>
            <w:tcBorders/>
            <w:shd w:fill="CCEEFF" w:val="clear"/>
            <w:tcMar>
              <w:bottom w:w="0" w:type="dxa"/>
            </w:tcMar>
            <w:vAlign w:val="center"/>
          </w:tcPr>
          <w:p>
            <w:pPr>
              <w:pStyle w:val="TableContents"/>
              <w:spacing w:before="0" w:after="283"/>
              <w:rPr/>
            </w:pPr>
            <w:r>
              <w:rPr/>
              <w:t> </w:t>
            </w:r>
          </w:p>
        </w:tc>
        <w:tc>
          <w:tcPr>
            <w:tcW w:w="136" w:type="dxa"/>
            <w:tcBorders/>
            <w:shd w:fill="CCEEFF" w:val="clear"/>
            <w:tcMar>
              <w:bottom w:w="0" w:type="dxa"/>
            </w:tcMar>
            <w:vAlign w:val="bottom"/>
          </w:tcPr>
          <w:p>
            <w:pPr>
              <w:pStyle w:val="TableContents"/>
              <w:spacing w:before="0" w:after="283"/>
              <w:jc w:val="left"/>
              <w:rPr/>
            </w:pPr>
            <w:r>
              <w:rPr/>
              <w:t> </w:t>
            </w:r>
          </w:p>
        </w:tc>
        <w:tc>
          <w:tcPr>
            <w:tcW w:w="1155" w:type="dxa"/>
            <w:tcBorders/>
            <w:shd w:fill="CCEEFF" w:val="clear"/>
            <w:tcMar>
              <w:bottom w:w="0" w:type="dxa"/>
            </w:tcMar>
            <w:vAlign w:val="bottom"/>
          </w:tcPr>
          <w:p>
            <w:pPr>
              <w:pStyle w:val="TableContents"/>
              <w:spacing w:before="0" w:after="283"/>
              <w:jc w:val="right"/>
              <w:rPr/>
            </w:pPr>
            <w:r>
              <w:rPr/>
              <w:t> </w:t>
            </w:r>
          </w:p>
        </w:tc>
        <w:tc>
          <w:tcPr>
            <w:tcW w:w="188" w:type="dxa"/>
            <w:tcBorders/>
            <w:shd w:fill="CCEEFF" w:val="clear"/>
            <w:tcMar>
              <w:bottom w:w="0" w:type="dxa"/>
            </w:tcMar>
            <w:vAlign w:val="bottom"/>
          </w:tcPr>
          <w:p>
            <w:pPr>
              <w:pStyle w:val="TableContents"/>
              <w:spacing w:before="0" w:after="283"/>
              <w:jc w:val="left"/>
              <w:rPr/>
            </w:pPr>
            <w:r>
              <w:rPr/>
              <w:t> </w:t>
            </w:r>
          </w:p>
        </w:tc>
        <w:tc>
          <w:tcPr>
            <w:tcW w:w="144" w:type="dxa"/>
            <w:tcBorders/>
            <w:shd w:fill="CCEEFF" w:val="clear"/>
            <w:tcMar>
              <w:bottom w:w="0" w:type="dxa"/>
            </w:tcMar>
            <w:vAlign w:val="bottom"/>
          </w:tcPr>
          <w:p>
            <w:pPr>
              <w:pStyle w:val="TableContents"/>
              <w:spacing w:before="0" w:after="283"/>
              <w:jc w:val="left"/>
              <w:rPr/>
            </w:pPr>
            <w:r>
              <w:rPr/>
              <w:t> </w:t>
            </w:r>
          </w:p>
        </w:tc>
        <w:tc>
          <w:tcPr>
            <w:tcW w:w="1192" w:type="dxa"/>
            <w:tcBorders/>
            <w:shd w:fill="CCEEFF" w:val="clear"/>
            <w:tcMar>
              <w:bottom w:w="0" w:type="dxa"/>
            </w:tcMar>
            <w:vAlign w:val="bottom"/>
          </w:tcPr>
          <w:p>
            <w:pPr>
              <w:pStyle w:val="TableContents"/>
              <w:spacing w:before="0" w:after="283"/>
              <w:jc w:val="right"/>
              <w:rPr/>
            </w:pPr>
            <w:r>
              <w:rPr/>
              <w:t> </w:t>
            </w:r>
          </w:p>
        </w:tc>
        <w:tc>
          <w:tcPr>
            <w:tcW w:w="188" w:type="dxa"/>
            <w:tcBorders/>
            <w:shd w:fill="CCEEFF" w:val="clear"/>
            <w:tcMar>
              <w:bottom w:w="0" w:type="dxa"/>
            </w:tcMar>
            <w:vAlign w:val="bottom"/>
          </w:tcPr>
          <w:p>
            <w:pPr>
              <w:pStyle w:val="TableContents"/>
              <w:spacing w:before="0" w:after="283"/>
              <w:jc w:val="left"/>
              <w:rPr/>
            </w:pPr>
            <w:r>
              <w:rPr/>
              <w:t> </w:t>
            </w:r>
          </w:p>
        </w:tc>
        <w:tc>
          <w:tcPr>
            <w:tcW w:w="137" w:type="dxa"/>
            <w:tcBorders/>
            <w:shd w:fill="CCEEFF" w:val="clear"/>
            <w:tcMar>
              <w:bottom w:w="0" w:type="dxa"/>
            </w:tcMar>
            <w:vAlign w:val="bottom"/>
          </w:tcPr>
          <w:p>
            <w:pPr>
              <w:pStyle w:val="TableContents"/>
              <w:spacing w:before="0" w:after="283"/>
              <w:jc w:val="left"/>
              <w:rPr/>
            </w:pPr>
            <w:r>
              <w:rPr/>
              <w:t> </w:t>
            </w:r>
          </w:p>
        </w:tc>
        <w:tc>
          <w:tcPr>
            <w:tcW w:w="1159" w:type="dxa"/>
            <w:tcBorders/>
            <w:shd w:fill="CCEEFF" w:val="clear"/>
            <w:tcMar>
              <w:bottom w:w="0" w:type="dxa"/>
            </w:tcMar>
            <w:vAlign w:val="bottom"/>
          </w:tcPr>
          <w:p>
            <w:pPr>
              <w:pStyle w:val="TableContents"/>
              <w:spacing w:before="0" w:after="283"/>
              <w:jc w:val="right"/>
              <w:rPr/>
            </w:pPr>
            <w:r>
              <w:rPr/>
              <w:t> </w:t>
            </w:r>
          </w:p>
        </w:tc>
        <w:tc>
          <w:tcPr>
            <w:tcW w:w="188" w:type="dxa"/>
            <w:tcBorders/>
            <w:shd w:fill="CCEEFF" w:val="clear"/>
            <w:tcMar>
              <w:bottom w:w="0" w:type="dxa"/>
            </w:tcMar>
            <w:vAlign w:val="bottom"/>
          </w:tcPr>
          <w:p>
            <w:pPr>
              <w:pStyle w:val="TableContents"/>
              <w:spacing w:before="0" w:after="283"/>
              <w:jc w:val="left"/>
              <w:rPr/>
            </w:pPr>
            <w:r>
              <w:rPr/>
              <w:t> </w:t>
            </w:r>
          </w:p>
        </w:tc>
        <w:tc>
          <w:tcPr>
            <w:tcW w:w="136" w:type="dxa"/>
            <w:tcBorders/>
            <w:shd w:fill="CCEEFF" w:val="clear"/>
            <w:tcMar>
              <w:bottom w:w="0" w:type="dxa"/>
            </w:tcMar>
            <w:vAlign w:val="bottom"/>
          </w:tcPr>
          <w:p>
            <w:pPr>
              <w:pStyle w:val="TableContents"/>
              <w:spacing w:before="0" w:after="283"/>
              <w:jc w:val="left"/>
              <w:rPr/>
            </w:pPr>
            <w:r>
              <w:rPr/>
              <w:t> </w:t>
            </w:r>
          </w:p>
        </w:tc>
        <w:tc>
          <w:tcPr>
            <w:tcW w:w="1155" w:type="dxa"/>
            <w:tcBorders/>
            <w:shd w:fill="CCEEFF" w:val="clear"/>
            <w:tcMar>
              <w:bottom w:w="0" w:type="dxa"/>
            </w:tcMar>
            <w:vAlign w:val="bottom"/>
          </w:tcPr>
          <w:p>
            <w:pPr>
              <w:pStyle w:val="TableContents"/>
              <w:spacing w:before="0" w:after="283"/>
              <w:jc w:val="right"/>
              <w:rPr/>
            </w:pPr>
            <w:r>
              <w:rPr/>
              <w:t> </w:t>
            </w:r>
          </w:p>
        </w:tc>
        <w:tc>
          <w:tcPr>
            <w:tcW w:w="124" w:type="dxa"/>
            <w:tcBorders/>
            <w:shd w:fill="CCEEFF" w:val="clear"/>
            <w:tcMar>
              <w:bottom w:w="0" w:type="dxa"/>
            </w:tcMar>
            <w:vAlign w:val="bottom"/>
          </w:tcPr>
          <w:p>
            <w:pPr>
              <w:pStyle w:val="TableContents"/>
              <w:spacing w:before="0" w:after="283"/>
              <w:jc w:val="left"/>
              <w:rPr/>
            </w:pPr>
            <w:r>
              <w:rPr/>
              <w:t> </w:t>
            </w:r>
          </w:p>
        </w:tc>
      </w:tr>
      <w:tr>
        <w:trPr/>
        <w:tc>
          <w:tcPr>
            <w:tcW w:w="4115"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Depreciation and amortization</w:t>
            </w:r>
          </w:p>
        </w:tc>
        <w:tc>
          <w:tcPr>
            <w:tcW w:w="188" w:type="dxa"/>
            <w:tcBorders/>
            <w:shd w:fill="FFFFFF" w:val="clear"/>
            <w:tcMar>
              <w:bottom w:w="0" w:type="dxa"/>
            </w:tcMar>
            <w:vAlign w:val="center"/>
          </w:tcPr>
          <w:p>
            <w:pPr>
              <w:pStyle w:val="TableContents"/>
              <w:spacing w:before="0" w:after="283"/>
              <w:rPr/>
            </w:pPr>
            <w:r>
              <w:rPr/>
              <w:t> </w:t>
            </w:r>
          </w:p>
        </w:tc>
        <w:tc>
          <w:tcPr>
            <w:tcW w:w="136" w:type="dxa"/>
            <w:tcBorders/>
            <w:shd w:fill="FFFFFF" w:val="clear"/>
            <w:tcMar>
              <w:bottom w:w="0" w:type="dxa"/>
            </w:tcMar>
            <w:vAlign w:val="bottom"/>
          </w:tcPr>
          <w:p>
            <w:pPr>
              <w:pStyle w:val="TableContents"/>
              <w:spacing w:before="0" w:after="283"/>
              <w:jc w:val="left"/>
              <w:rPr/>
            </w:pPr>
            <w:r>
              <w:rPr/>
              <w:t> </w:t>
            </w:r>
          </w:p>
        </w:tc>
        <w:tc>
          <w:tcPr>
            <w:tcW w:w="1155"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350" w:name="TAB1475"/>
            <w:bookmarkEnd w:id="1350"/>
            <w:r>
              <w:rPr>
                <w:rFonts w:ascii="Times New Roman" w:hAnsi="Times New Roman"/>
                <w:sz w:val="20"/>
              </w:rPr>
              <w:t>1,890</w:t>
            </w:r>
          </w:p>
        </w:tc>
        <w:tc>
          <w:tcPr>
            <w:tcW w:w="188" w:type="dxa"/>
            <w:tcBorders/>
            <w:shd w:fill="FFFFFF" w:val="clear"/>
            <w:tcMar>
              <w:bottom w:w="0" w:type="dxa"/>
            </w:tcMar>
            <w:vAlign w:val="bottom"/>
          </w:tcPr>
          <w:p>
            <w:pPr>
              <w:pStyle w:val="TableContents"/>
              <w:spacing w:before="0" w:after="283"/>
              <w:jc w:val="left"/>
              <w:rPr/>
            </w:pPr>
            <w:r>
              <w:rPr/>
              <w:t> </w:t>
            </w:r>
          </w:p>
        </w:tc>
        <w:tc>
          <w:tcPr>
            <w:tcW w:w="144" w:type="dxa"/>
            <w:tcBorders/>
            <w:shd w:fill="FFFFFF" w:val="clear"/>
            <w:tcMar>
              <w:bottom w:w="0" w:type="dxa"/>
            </w:tcMar>
            <w:vAlign w:val="bottom"/>
          </w:tcPr>
          <w:p>
            <w:pPr>
              <w:pStyle w:val="TableContents"/>
              <w:spacing w:before="0" w:after="283"/>
              <w:jc w:val="left"/>
              <w:rPr/>
            </w:pPr>
            <w:r>
              <w:rPr/>
              <w:t> </w:t>
            </w:r>
          </w:p>
        </w:tc>
        <w:tc>
          <w:tcPr>
            <w:tcW w:w="1192"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351" w:name="TAB1476"/>
            <w:bookmarkEnd w:id="1351"/>
            <w:r>
              <w:rPr>
                <w:rFonts w:ascii="Times New Roman" w:hAnsi="Times New Roman"/>
                <w:sz w:val="20"/>
              </w:rPr>
              <w:t>5,445</w:t>
            </w:r>
          </w:p>
        </w:tc>
        <w:tc>
          <w:tcPr>
            <w:tcW w:w="188" w:type="dxa"/>
            <w:tcBorders/>
            <w:shd w:fill="FFFFFF" w:val="clear"/>
            <w:tcMar>
              <w:bottom w:w="0" w:type="dxa"/>
            </w:tcMar>
            <w:vAlign w:val="bottom"/>
          </w:tcPr>
          <w:p>
            <w:pPr>
              <w:pStyle w:val="TableContents"/>
              <w:spacing w:before="0" w:after="283"/>
              <w:jc w:val="left"/>
              <w:rPr/>
            </w:pPr>
            <w:r>
              <w:rPr/>
              <w:t> </w:t>
            </w:r>
          </w:p>
        </w:tc>
        <w:tc>
          <w:tcPr>
            <w:tcW w:w="137" w:type="dxa"/>
            <w:tcBorders/>
            <w:shd w:fill="FFFFFF" w:val="clear"/>
            <w:tcMar>
              <w:bottom w:w="0" w:type="dxa"/>
            </w:tcMar>
            <w:vAlign w:val="bottom"/>
          </w:tcPr>
          <w:p>
            <w:pPr>
              <w:pStyle w:val="TableContents"/>
              <w:spacing w:before="0" w:after="283"/>
              <w:jc w:val="left"/>
              <w:rPr/>
            </w:pPr>
            <w:r>
              <w:rPr/>
              <w:t> </w:t>
            </w:r>
          </w:p>
        </w:tc>
        <w:tc>
          <w:tcPr>
            <w:tcW w:w="1159"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352" w:name="TAB1477"/>
            <w:bookmarkEnd w:id="1352"/>
            <w:r>
              <w:rPr>
                <w:rFonts w:ascii="Times New Roman" w:hAnsi="Times New Roman"/>
                <w:sz w:val="20"/>
              </w:rPr>
              <w:t>1,313</w:t>
            </w:r>
          </w:p>
        </w:tc>
        <w:tc>
          <w:tcPr>
            <w:tcW w:w="188" w:type="dxa"/>
            <w:tcBorders/>
            <w:shd w:fill="FFFFFF" w:val="clear"/>
            <w:tcMar>
              <w:bottom w:w="0" w:type="dxa"/>
            </w:tcMar>
            <w:vAlign w:val="bottom"/>
          </w:tcPr>
          <w:p>
            <w:pPr>
              <w:pStyle w:val="TableContents"/>
              <w:spacing w:before="0" w:after="283"/>
              <w:jc w:val="left"/>
              <w:rPr/>
            </w:pPr>
            <w:r>
              <w:rPr/>
              <w:t> </w:t>
            </w:r>
          </w:p>
        </w:tc>
        <w:tc>
          <w:tcPr>
            <w:tcW w:w="136" w:type="dxa"/>
            <w:tcBorders/>
            <w:shd w:fill="FFFFFF" w:val="clear"/>
            <w:tcMar>
              <w:bottom w:w="0" w:type="dxa"/>
            </w:tcMar>
            <w:vAlign w:val="bottom"/>
          </w:tcPr>
          <w:p>
            <w:pPr>
              <w:pStyle w:val="TableContents"/>
              <w:spacing w:before="0" w:after="283"/>
              <w:jc w:val="left"/>
              <w:rPr/>
            </w:pPr>
            <w:r>
              <w:rPr/>
              <w:t> </w:t>
            </w:r>
          </w:p>
        </w:tc>
        <w:tc>
          <w:tcPr>
            <w:tcW w:w="1155"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353" w:name="TAB1478"/>
            <w:bookmarkEnd w:id="1353"/>
            <w:r>
              <w:rPr>
                <w:rFonts w:ascii="Times New Roman" w:hAnsi="Times New Roman"/>
                <w:sz w:val="20"/>
              </w:rPr>
              <w:t>8,648</w:t>
            </w:r>
          </w:p>
        </w:tc>
        <w:tc>
          <w:tcPr>
            <w:tcW w:w="124" w:type="dxa"/>
            <w:tcBorders/>
            <w:shd w:fill="FFFFFF" w:val="clear"/>
            <w:tcMar>
              <w:bottom w:w="0" w:type="dxa"/>
            </w:tcMar>
            <w:vAlign w:val="bottom"/>
          </w:tcPr>
          <w:p>
            <w:pPr>
              <w:pStyle w:val="TableContents"/>
              <w:spacing w:before="0" w:after="283"/>
              <w:jc w:val="left"/>
              <w:rPr/>
            </w:pPr>
            <w:r>
              <w:rPr/>
              <w:t> </w:t>
            </w:r>
          </w:p>
        </w:tc>
      </w:tr>
      <w:tr>
        <w:trPr/>
        <w:tc>
          <w:tcPr>
            <w:tcW w:w="4115" w:type="dxa"/>
            <w:tcBorders>
              <w:bottom w:val="sing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General &amp; administrative expense</w:t>
            </w:r>
          </w:p>
        </w:tc>
        <w:tc>
          <w:tcPr>
            <w:tcW w:w="188" w:type="dxa"/>
            <w:tcBorders>
              <w:bottom w:val="single" w:sz="2" w:space="0" w:color="CCEEFF"/>
            </w:tcBorders>
            <w:shd w:fill="CCEEFF" w:val="clear"/>
            <w:vAlign w:val="center"/>
          </w:tcPr>
          <w:p>
            <w:pPr>
              <w:pStyle w:val="TableContents"/>
              <w:spacing w:before="0" w:after="283"/>
              <w:rPr/>
            </w:pPr>
            <w:r>
              <w:rPr/>
              <w:t> </w:t>
            </w:r>
          </w:p>
        </w:tc>
        <w:tc>
          <w:tcPr>
            <w:tcW w:w="136" w:type="dxa"/>
            <w:tcBorders>
              <w:bottom w:val="single" w:sz="2" w:space="0" w:color="000000"/>
            </w:tcBorders>
            <w:shd w:fill="CCEEFF" w:val="clear"/>
            <w:vAlign w:val="bottom"/>
          </w:tcPr>
          <w:p>
            <w:pPr>
              <w:pStyle w:val="TableContents"/>
              <w:spacing w:before="0" w:after="283"/>
              <w:jc w:val="left"/>
              <w:rPr/>
            </w:pPr>
            <w:r>
              <w:rPr/>
              <w:t> </w:t>
            </w:r>
          </w:p>
        </w:tc>
        <w:tc>
          <w:tcPr>
            <w:tcW w:w="1155"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1354" w:name="TAB1479"/>
            <w:bookmarkEnd w:id="1354"/>
            <w:r>
              <w:rPr>
                <w:rFonts w:ascii="Times New Roman" w:hAnsi="Times New Roman"/>
                <w:sz w:val="20"/>
              </w:rPr>
              <w:t>2,614</w:t>
            </w:r>
          </w:p>
        </w:tc>
        <w:tc>
          <w:tcPr>
            <w:tcW w:w="188" w:type="dxa"/>
            <w:tcBorders>
              <w:bottom w:val="single" w:sz="2" w:space="0" w:color="CCEEFF"/>
            </w:tcBorders>
            <w:shd w:fill="CCEEFF" w:val="clear"/>
            <w:vAlign w:val="bottom"/>
          </w:tcPr>
          <w:p>
            <w:pPr>
              <w:pStyle w:val="TableContents"/>
              <w:spacing w:before="0" w:after="283"/>
              <w:jc w:val="left"/>
              <w:rPr/>
            </w:pPr>
            <w:r>
              <w:rPr/>
              <w:t> </w:t>
            </w:r>
          </w:p>
        </w:tc>
        <w:tc>
          <w:tcPr>
            <w:tcW w:w="144" w:type="dxa"/>
            <w:tcBorders>
              <w:bottom w:val="single" w:sz="2" w:space="0" w:color="000000"/>
            </w:tcBorders>
            <w:shd w:fill="CCEEFF" w:val="clear"/>
            <w:vAlign w:val="bottom"/>
          </w:tcPr>
          <w:p>
            <w:pPr>
              <w:pStyle w:val="TableContents"/>
              <w:spacing w:before="0" w:after="283"/>
              <w:jc w:val="left"/>
              <w:rPr/>
            </w:pPr>
            <w:r>
              <w:rPr/>
              <w:t> </w:t>
            </w:r>
          </w:p>
        </w:tc>
        <w:tc>
          <w:tcPr>
            <w:tcW w:w="1192"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1355" w:name="TAB1480"/>
            <w:bookmarkEnd w:id="1355"/>
            <w:r>
              <w:rPr>
                <w:rFonts w:ascii="Times New Roman" w:hAnsi="Times New Roman"/>
                <w:sz w:val="20"/>
              </w:rPr>
              <w:t>1,027</w:t>
            </w:r>
          </w:p>
        </w:tc>
        <w:tc>
          <w:tcPr>
            <w:tcW w:w="188" w:type="dxa"/>
            <w:tcBorders>
              <w:bottom w:val="single" w:sz="2" w:space="0" w:color="CCEEFF"/>
            </w:tcBorders>
            <w:shd w:fill="CCEEFF" w:val="clear"/>
            <w:vAlign w:val="bottom"/>
          </w:tcPr>
          <w:p>
            <w:pPr>
              <w:pStyle w:val="TableContents"/>
              <w:spacing w:before="0" w:after="283"/>
              <w:jc w:val="left"/>
              <w:rPr/>
            </w:pPr>
            <w:r>
              <w:rPr/>
              <w:t> </w:t>
            </w:r>
          </w:p>
        </w:tc>
        <w:tc>
          <w:tcPr>
            <w:tcW w:w="137" w:type="dxa"/>
            <w:tcBorders>
              <w:bottom w:val="single" w:sz="2" w:space="0" w:color="000000"/>
            </w:tcBorders>
            <w:shd w:fill="CCEEFF" w:val="clear"/>
            <w:vAlign w:val="bottom"/>
          </w:tcPr>
          <w:p>
            <w:pPr>
              <w:pStyle w:val="TableContents"/>
              <w:spacing w:before="0" w:after="283"/>
              <w:jc w:val="left"/>
              <w:rPr/>
            </w:pPr>
            <w:r>
              <w:rPr/>
              <w:t> </w:t>
            </w:r>
          </w:p>
        </w:tc>
        <w:tc>
          <w:tcPr>
            <w:tcW w:w="1159"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1356" w:name="TAB1481"/>
            <w:bookmarkEnd w:id="1356"/>
            <w:r>
              <w:rPr>
                <w:rFonts w:ascii="Times New Roman" w:hAnsi="Times New Roman"/>
                <w:sz w:val="20"/>
              </w:rPr>
              <w:t>17</w:t>
            </w:r>
          </w:p>
        </w:tc>
        <w:tc>
          <w:tcPr>
            <w:tcW w:w="188" w:type="dxa"/>
            <w:tcBorders>
              <w:bottom w:val="single" w:sz="2" w:space="0" w:color="CCEEFF"/>
            </w:tcBorders>
            <w:shd w:fill="CCEEFF" w:val="clear"/>
            <w:vAlign w:val="bottom"/>
          </w:tcPr>
          <w:p>
            <w:pPr>
              <w:pStyle w:val="TableContents"/>
              <w:spacing w:before="0" w:after="283"/>
              <w:jc w:val="left"/>
              <w:rPr/>
            </w:pPr>
            <w:r>
              <w:rPr/>
              <w:t> </w:t>
            </w:r>
          </w:p>
        </w:tc>
        <w:tc>
          <w:tcPr>
            <w:tcW w:w="136" w:type="dxa"/>
            <w:tcBorders>
              <w:bottom w:val="single" w:sz="2" w:space="0" w:color="000000"/>
            </w:tcBorders>
            <w:shd w:fill="CCEEFF" w:val="clear"/>
            <w:vAlign w:val="bottom"/>
          </w:tcPr>
          <w:p>
            <w:pPr>
              <w:pStyle w:val="TableContents"/>
              <w:spacing w:before="0" w:after="283"/>
              <w:jc w:val="left"/>
              <w:rPr/>
            </w:pPr>
            <w:r>
              <w:rPr/>
              <w:t> </w:t>
            </w:r>
          </w:p>
        </w:tc>
        <w:tc>
          <w:tcPr>
            <w:tcW w:w="1155"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1357" w:name="TAB1482"/>
            <w:bookmarkEnd w:id="1357"/>
            <w:r>
              <w:rPr>
                <w:rFonts w:ascii="Times New Roman" w:hAnsi="Times New Roman"/>
                <w:sz w:val="20"/>
              </w:rPr>
              <w:t>3,658</w:t>
            </w:r>
          </w:p>
        </w:tc>
        <w:tc>
          <w:tcPr>
            <w:tcW w:w="124" w:type="dxa"/>
            <w:tcBorders>
              <w:bottom w:val="single" w:sz="2" w:space="0" w:color="CCEEFF"/>
            </w:tcBorders>
            <w:shd w:fill="CCEEFF" w:val="clear"/>
            <w:vAlign w:val="bottom"/>
          </w:tcPr>
          <w:p>
            <w:pPr>
              <w:pStyle w:val="TableContents"/>
              <w:spacing w:before="0" w:after="283"/>
              <w:jc w:val="left"/>
              <w:rPr/>
            </w:pPr>
            <w:r>
              <w:rPr/>
              <w:t> </w:t>
            </w:r>
          </w:p>
        </w:tc>
      </w:tr>
      <w:tr>
        <w:trPr/>
        <w:tc>
          <w:tcPr>
            <w:tcW w:w="4115" w:type="dxa"/>
            <w:tcBorders>
              <w:bottom w:val="doub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Segment operating income</w:t>
            </w:r>
          </w:p>
        </w:tc>
        <w:tc>
          <w:tcPr>
            <w:tcW w:w="188" w:type="dxa"/>
            <w:tcBorders>
              <w:bottom w:val="single" w:sz="4" w:space="0" w:color="FFFFFF"/>
            </w:tcBorders>
            <w:shd w:fill="FFFFFF" w:val="clear"/>
            <w:vAlign w:val="center"/>
          </w:tcPr>
          <w:p>
            <w:pPr>
              <w:pStyle w:val="TableContents"/>
              <w:spacing w:before="0" w:after="283"/>
              <w:rPr/>
            </w:pPr>
            <w:r>
              <w:rPr/>
              <w:t> </w:t>
            </w:r>
          </w:p>
        </w:tc>
        <w:tc>
          <w:tcPr>
            <w:tcW w:w="136" w:type="dxa"/>
            <w:tcBorders>
              <w:bottom w:val="doub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bookmarkStart w:id="1358" w:name="TAB1483"/>
            <w:bookmarkEnd w:id="1358"/>
            <w:r>
              <w:rPr>
                <w:rFonts w:ascii="Times New Roman" w:hAnsi="Times New Roman"/>
                <w:sz w:val="20"/>
              </w:rPr>
              <w:t>$</w:t>
            </w:r>
          </w:p>
        </w:tc>
        <w:tc>
          <w:tcPr>
            <w:tcW w:w="1155"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1359" w:name="TAB1484"/>
            <w:bookmarkEnd w:id="1359"/>
            <w:r>
              <w:rPr>
                <w:rFonts w:ascii="Times New Roman" w:hAnsi="Times New Roman"/>
                <w:sz w:val="20"/>
              </w:rPr>
              <w:t>2,346</w:t>
            </w:r>
          </w:p>
        </w:tc>
        <w:tc>
          <w:tcPr>
            <w:tcW w:w="188" w:type="dxa"/>
            <w:tcBorders>
              <w:bottom w:val="single" w:sz="4" w:space="0" w:color="FFFFFF"/>
            </w:tcBorders>
            <w:shd w:fill="FFFFFF" w:val="clear"/>
            <w:vAlign w:val="bottom"/>
          </w:tcPr>
          <w:p>
            <w:pPr>
              <w:pStyle w:val="TableContents"/>
              <w:spacing w:before="0" w:after="283"/>
              <w:jc w:val="left"/>
              <w:rPr/>
            </w:pPr>
            <w:r>
              <w:rPr/>
              <w:t> </w:t>
            </w:r>
          </w:p>
        </w:tc>
        <w:tc>
          <w:tcPr>
            <w:tcW w:w="144" w:type="dxa"/>
            <w:tcBorders>
              <w:bottom w:val="doub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bookmarkStart w:id="1360" w:name="TAB1485"/>
            <w:bookmarkEnd w:id="1360"/>
            <w:r>
              <w:rPr>
                <w:rFonts w:ascii="Times New Roman" w:hAnsi="Times New Roman"/>
                <w:sz w:val="20"/>
              </w:rPr>
              <w:t>$</w:t>
            </w:r>
          </w:p>
        </w:tc>
        <w:tc>
          <w:tcPr>
            <w:tcW w:w="1192"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1361" w:name="TAB1486"/>
            <w:bookmarkEnd w:id="1361"/>
            <w:r>
              <w:rPr>
                <w:rFonts w:ascii="Times New Roman" w:hAnsi="Times New Roman"/>
                <w:sz w:val="20"/>
              </w:rPr>
              <w:t>2,151</w:t>
            </w:r>
          </w:p>
        </w:tc>
        <w:tc>
          <w:tcPr>
            <w:tcW w:w="188" w:type="dxa"/>
            <w:tcBorders>
              <w:bottom w:val="single" w:sz="4" w:space="0" w:color="FFFFFF"/>
            </w:tcBorders>
            <w:shd w:fill="FFFFFF" w:val="clear"/>
            <w:vAlign w:val="bottom"/>
          </w:tcPr>
          <w:p>
            <w:pPr>
              <w:pStyle w:val="TableContents"/>
              <w:spacing w:before="0" w:after="283"/>
              <w:jc w:val="left"/>
              <w:rPr/>
            </w:pPr>
            <w:r>
              <w:rPr/>
              <w:t> </w:t>
            </w:r>
          </w:p>
        </w:tc>
        <w:tc>
          <w:tcPr>
            <w:tcW w:w="137" w:type="dxa"/>
            <w:tcBorders>
              <w:bottom w:val="doub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bookmarkStart w:id="1362" w:name="TAB1487"/>
            <w:bookmarkEnd w:id="1362"/>
            <w:r>
              <w:rPr>
                <w:rFonts w:ascii="Times New Roman" w:hAnsi="Times New Roman"/>
                <w:sz w:val="20"/>
              </w:rPr>
              <w:t>$</w:t>
            </w:r>
          </w:p>
        </w:tc>
        <w:tc>
          <w:tcPr>
            <w:tcW w:w="1159"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1363" w:name="TAB1488"/>
            <w:bookmarkEnd w:id="1363"/>
            <w:r>
              <w:rPr>
                <w:rFonts w:ascii="Times New Roman" w:hAnsi="Times New Roman"/>
                <w:sz w:val="20"/>
              </w:rPr>
              <w:t>1,895</w:t>
            </w:r>
          </w:p>
        </w:tc>
        <w:tc>
          <w:tcPr>
            <w:tcW w:w="188" w:type="dxa"/>
            <w:tcBorders>
              <w:bottom w:val="single" w:sz="4" w:space="0" w:color="FFFFFF"/>
            </w:tcBorders>
            <w:shd w:fill="FFFFFF" w:val="clear"/>
            <w:vAlign w:val="bottom"/>
          </w:tcPr>
          <w:p>
            <w:pPr>
              <w:pStyle w:val="TableContents"/>
              <w:spacing w:before="0" w:after="283"/>
              <w:jc w:val="left"/>
              <w:rPr/>
            </w:pPr>
            <w:r>
              <w:rPr/>
              <w:t> </w:t>
            </w:r>
          </w:p>
        </w:tc>
        <w:tc>
          <w:tcPr>
            <w:tcW w:w="136" w:type="dxa"/>
            <w:tcBorders>
              <w:bottom w:val="doub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bookmarkStart w:id="1364" w:name="TAB1489"/>
            <w:bookmarkEnd w:id="1364"/>
            <w:r>
              <w:rPr>
                <w:rFonts w:ascii="Times New Roman" w:hAnsi="Times New Roman"/>
                <w:sz w:val="20"/>
              </w:rPr>
              <w:t>$</w:t>
            </w:r>
          </w:p>
        </w:tc>
        <w:tc>
          <w:tcPr>
            <w:tcW w:w="1155"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1365" w:name="TAB1490"/>
            <w:bookmarkEnd w:id="1365"/>
            <w:r>
              <w:rPr>
                <w:rFonts w:ascii="Times New Roman" w:hAnsi="Times New Roman"/>
                <w:sz w:val="20"/>
              </w:rPr>
              <w:t>6,392</w:t>
            </w:r>
          </w:p>
        </w:tc>
        <w:tc>
          <w:tcPr>
            <w:tcW w:w="124" w:type="dxa"/>
            <w:tcBorders>
              <w:bottom w:val="single" w:sz="4" w:space="0" w:color="FFFFFF"/>
            </w:tcBorders>
            <w:shd w:fill="FFFFFF" w:val="clear"/>
            <w:vAlign w:val="bottom"/>
          </w:tcPr>
          <w:p>
            <w:pPr>
              <w:pStyle w:val="TableContents"/>
              <w:spacing w:before="0" w:after="283"/>
              <w:jc w:val="left"/>
              <w:rPr/>
            </w:pPr>
            <w:r>
              <w:rPr/>
              <w:t> </w:t>
            </w:r>
          </w:p>
        </w:tc>
      </w:tr>
    </w:tbl>
    <w:p>
      <w:pPr>
        <w:pStyle w:val="TextBody"/>
        <w:spacing w:lineRule="auto" w:line="300" w:before="0" w:after="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366" w:name="PGBRK51"/>
      <w:bookmarkStart w:id="1367" w:name="PGBRK51"/>
      <w:bookmarkEnd w:id="136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68" w:name="FTR51"/>
      <w:bookmarkStart w:id="1369" w:name="FTR51"/>
      <w:bookmarkEnd w:id="136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70" w:name="GLFTR51"/>
      <w:bookmarkStart w:id="1371" w:name="GLFTR51"/>
      <w:bookmarkEnd w:id="137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1372" w:name="PN51"/>
      <w:bookmarkEnd w:id="1372"/>
      <w:r>
        <w:rPr>
          <w:rFonts w:ascii="Times New Roman" w:hAnsi="Times New Roman"/>
          <w:sz w:val="16"/>
        </w:rPr>
        <w:t>-51-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73" w:name="HDR51"/>
      <w:bookmarkStart w:id="1374" w:name="HDR51"/>
      <w:bookmarkEnd w:id="137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1375" w:name="GLHDR51"/>
        <w:bookmarkEnd w:id="1375"/>
        <w:r>
          <w:rPr>
            <w:rStyle w:val="Emphasis"/>
            <w:rFonts w:ascii="Times New Roman" w:hAnsi="Times New Roman"/>
            <w:color w:val="000000"/>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pStyle w:val="Normal"/>
        <w:spacing w:before="0" w:after="0"/>
        <w:rPr>
          <w:sz w:val="4"/>
          <w:szCs w:val="4"/>
        </w:rPr>
      </w:pPr>
      <w:r>
        <w:rPr>
          <w:sz w:val="4"/>
          <w:szCs w:val="4"/>
        </w:rPr>
      </w:r>
      <w:bookmarkStart w:id="1376" w:name="ftable9"/>
      <w:bookmarkStart w:id="1377" w:name="ftable9"/>
      <w:bookmarkEnd w:id="1377"/>
    </w:p>
    <w:tbl>
      <w:tblPr>
        <w:tblW w:w="5000" w:type="pct"/>
        <w:jc w:val="left"/>
        <w:tblInd w:w="0" w:type="dxa"/>
        <w:tblCellMar>
          <w:top w:w="0" w:type="dxa"/>
          <w:left w:w="0" w:type="dxa"/>
          <w:bottom w:w="28" w:type="dxa"/>
          <w:right w:w="0" w:type="dxa"/>
        </w:tblCellMar>
      </w:tblPr>
      <w:tblGrid>
        <w:gridCol w:w="4154"/>
        <w:gridCol w:w="191"/>
        <w:gridCol w:w="125"/>
        <w:gridCol w:w="1134"/>
        <w:gridCol w:w="197"/>
        <w:gridCol w:w="125"/>
        <w:gridCol w:w="1204"/>
        <w:gridCol w:w="197"/>
        <w:gridCol w:w="125"/>
        <w:gridCol w:w="1176"/>
        <w:gridCol w:w="197"/>
        <w:gridCol w:w="125"/>
        <w:gridCol w:w="1134"/>
        <w:gridCol w:w="121"/>
      </w:tblGrid>
      <w:tr>
        <w:trPr/>
        <w:tc>
          <w:tcPr>
            <w:tcW w:w="4154" w:type="dxa"/>
            <w:tcBorders>
              <w:bottom w:val="double" w:sz="2" w:space="0" w:color="000000"/>
            </w:tcBorders>
            <w:shd w:fill="auto" w:val="clear"/>
            <w:vAlign w:val="bottom"/>
          </w:tcPr>
          <w:p>
            <w:pPr>
              <w:pStyle w:val="TableContents"/>
              <w:spacing w:lineRule="auto" w:line="300" w:before="0" w:after="0"/>
              <w:ind w:left="0" w:right="0" w:hanging="0"/>
              <w:jc w:val="left"/>
              <w:rPr/>
            </w:pPr>
            <w:r>
              <w:rPr>
                <w:rStyle w:val="StrongEmphasis"/>
                <w:rFonts w:ascii="Times New Roman" w:hAnsi="Times New Roman"/>
                <w:sz w:val="20"/>
              </w:rPr>
              <w:t>Year Ended December 31, 2005</w:t>
            </w:r>
          </w:p>
        </w:tc>
        <w:tc>
          <w:tcPr>
            <w:tcW w:w="191" w:type="dxa"/>
            <w:tcBorders>
              <w:bottom w:val="single" w:sz="4" w:space="0" w:color="FFFFFF"/>
            </w:tcBorders>
            <w:shd w:fill="auto" w:val="clear"/>
            <w:vAlign w:val="center"/>
          </w:tcPr>
          <w:p>
            <w:pPr>
              <w:pStyle w:val="TableContents"/>
              <w:spacing w:before="0" w:after="283"/>
              <w:rPr/>
            </w:pPr>
            <w:r>
              <w:rPr/>
              <w:t> </w:t>
            </w:r>
          </w:p>
        </w:tc>
        <w:tc>
          <w:tcPr>
            <w:tcW w:w="1259"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United States</w:t>
            </w:r>
          </w:p>
        </w:tc>
        <w:tc>
          <w:tcPr>
            <w:tcW w:w="197" w:type="dxa"/>
            <w:tcBorders>
              <w:bottom w:val="single" w:sz="4" w:space="0" w:color="FFFFFF"/>
            </w:tcBorders>
            <w:shd w:fill="auto" w:val="clear"/>
            <w:vAlign w:val="bottom"/>
          </w:tcPr>
          <w:p>
            <w:pPr>
              <w:pStyle w:val="TableContents"/>
              <w:spacing w:before="0" w:after="283"/>
              <w:jc w:val="left"/>
              <w:rPr/>
            </w:pPr>
            <w:r>
              <w:rPr/>
              <w:t> </w:t>
            </w:r>
          </w:p>
        </w:tc>
        <w:tc>
          <w:tcPr>
            <w:tcW w:w="1329"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Australia</w:t>
            </w:r>
          </w:p>
        </w:tc>
        <w:tc>
          <w:tcPr>
            <w:tcW w:w="197" w:type="dxa"/>
            <w:tcBorders>
              <w:bottom w:val="single" w:sz="4" w:space="0" w:color="FFFFFF"/>
            </w:tcBorders>
            <w:shd w:fill="auto" w:val="clear"/>
            <w:vAlign w:val="bottom"/>
          </w:tcPr>
          <w:p>
            <w:pPr>
              <w:pStyle w:val="TableContents"/>
              <w:spacing w:before="0" w:after="283"/>
              <w:jc w:val="left"/>
              <w:rPr/>
            </w:pPr>
            <w:r>
              <w:rPr/>
              <w:t> </w:t>
            </w:r>
          </w:p>
        </w:tc>
        <w:tc>
          <w:tcPr>
            <w:tcW w:w="1301"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New Zealand</w:t>
            </w:r>
          </w:p>
        </w:tc>
        <w:tc>
          <w:tcPr>
            <w:tcW w:w="197" w:type="dxa"/>
            <w:tcBorders>
              <w:bottom w:val="single" w:sz="4" w:space="0" w:color="FFFFFF"/>
            </w:tcBorders>
            <w:shd w:fill="auto" w:val="clear"/>
            <w:vAlign w:val="bottom"/>
          </w:tcPr>
          <w:p>
            <w:pPr>
              <w:pStyle w:val="TableContents"/>
              <w:spacing w:before="0" w:after="283"/>
              <w:jc w:val="left"/>
              <w:rPr/>
            </w:pPr>
            <w:r>
              <w:rPr/>
              <w:t> </w:t>
            </w:r>
          </w:p>
        </w:tc>
        <w:tc>
          <w:tcPr>
            <w:tcW w:w="1259"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Total</w:t>
            </w:r>
          </w:p>
        </w:tc>
        <w:tc>
          <w:tcPr>
            <w:tcW w:w="121" w:type="dxa"/>
            <w:tcBorders>
              <w:bottom w:val="single" w:sz="4" w:space="0" w:color="FFFFFF"/>
            </w:tcBorders>
            <w:shd w:fill="auto" w:val="clear"/>
            <w:vAlign w:val="bottom"/>
          </w:tcPr>
          <w:p>
            <w:pPr>
              <w:pStyle w:val="TableContents"/>
              <w:spacing w:before="0" w:after="283"/>
              <w:jc w:val="left"/>
              <w:rPr/>
            </w:pPr>
            <w:r>
              <w:rPr/>
              <w:t> </w:t>
            </w:r>
          </w:p>
        </w:tc>
      </w:tr>
      <w:tr>
        <w:trPr/>
        <w:tc>
          <w:tcPr>
            <w:tcW w:w="4154"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Admissions revenue</w:t>
            </w:r>
          </w:p>
        </w:tc>
        <w:tc>
          <w:tcPr>
            <w:tcW w:w="191" w:type="dxa"/>
            <w:tcBorders/>
            <w:shd w:fill="CCEEFF" w:val="clear"/>
            <w:tcMar>
              <w:bottom w:w="0" w:type="dxa"/>
            </w:tcMar>
            <w:vAlign w:val="center"/>
          </w:tcPr>
          <w:p>
            <w:pPr>
              <w:pStyle w:val="TableContents"/>
              <w:spacing w:before="0" w:after="283"/>
              <w:rPr/>
            </w:pPr>
            <w:r>
              <w:rPr/>
              <w:t> </w:t>
            </w:r>
          </w:p>
        </w:tc>
        <w:tc>
          <w:tcPr>
            <w:tcW w:w="125"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1378" w:name="TAB1491"/>
            <w:bookmarkEnd w:id="1378"/>
            <w:r>
              <w:rPr>
                <w:rFonts w:ascii="Times New Roman" w:hAnsi="Times New Roman"/>
                <w:sz w:val="20"/>
              </w:rPr>
              <w:t>$</w:t>
            </w:r>
          </w:p>
        </w:tc>
        <w:tc>
          <w:tcPr>
            <w:tcW w:w="1134"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379" w:name="TAB1492"/>
            <w:bookmarkEnd w:id="1379"/>
            <w:r>
              <w:rPr>
                <w:rFonts w:ascii="Times New Roman" w:hAnsi="Times New Roman"/>
                <w:sz w:val="20"/>
              </w:rPr>
              <w:t>17,802</w:t>
            </w:r>
          </w:p>
        </w:tc>
        <w:tc>
          <w:tcPr>
            <w:tcW w:w="197"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1380" w:name="TAB1493"/>
            <w:bookmarkEnd w:id="1380"/>
            <w:r>
              <w:rPr>
                <w:rFonts w:ascii="Times New Roman" w:hAnsi="Times New Roman"/>
                <w:sz w:val="20"/>
              </w:rPr>
              <w:t>$</w:t>
            </w:r>
          </w:p>
        </w:tc>
        <w:tc>
          <w:tcPr>
            <w:tcW w:w="1204"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381" w:name="TAB1494"/>
            <w:bookmarkEnd w:id="1381"/>
            <w:r>
              <w:rPr>
                <w:rFonts w:ascii="Times New Roman" w:hAnsi="Times New Roman"/>
                <w:sz w:val="20"/>
              </w:rPr>
              <w:t>33,142</w:t>
            </w:r>
          </w:p>
        </w:tc>
        <w:tc>
          <w:tcPr>
            <w:tcW w:w="197"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1382" w:name="TAB1495"/>
            <w:bookmarkEnd w:id="1382"/>
            <w:r>
              <w:rPr>
                <w:rFonts w:ascii="Times New Roman" w:hAnsi="Times New Roman"/>
                <w:sz w:val="20"/>
              </w:rPr>
              <w:t>$</w:t>
            </w:r>
          </w:p>
        </w:tc>
        <w:tc>
          <w:tcPr>
            <w:tcW w:w="1176"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383" w:name="TAB1496"/>
            <w:bookmarkEnd w:id="1383"/>
            <w:r>
              <w:rPr>
                <w:rFonts w:ascii="Times New Roman" w:hAnsi="Times New Roman"/>
                <w:sz w:val="20"/>
              </w:rPr>
              <w:t>11,926</w:t>
            </w:r>
          </w:p>
        </w:tc>
        <w:tc>
          <w:tcPr>
            <w:tcW w:w="197"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1384" w:name="TAB1497"/>
            <w:bookmarkEnd w:id="1384"/>
            <w:r>
              <w:rPr>
                <w:rFonts w:ascii="Times New Roman" w:hAnsi="Times New Roman"/>
                <w:sz w:val="20"/>
              </w:rPr>
              <w:t>$</w:t>
            </w:r>
          </w:p>
        </w:tc>
        <w:tc>
          <w:tcPr>
            <w:tcW w:w="1134"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385" w:name="TAB1498"/>
            <w:bookmarkEnd w:id="1385"/>
            <w:r>
              <w:rPr>
                <w:rFonts w:ascii="Times New Roman" w:hAnsi="Times New Roman"/>
                <w:sz w:val="20"/>
              </w:rPr>
              <w:t>62,870</w:t>
            </w:r>
          </w:p>
        </w:tc>
        <w:tc>
          <w:tcPr>
            <w:tcW w:w="121" w:type="dxa"/>
            <w:tcBorders/>
            <w:shd w:fill="CCEEFF" w:val="clear"/>
            <w:tcMar>
              <w:bottom w:w="0" w:type="dxa"/>
            </w:tcMar>
            <w:vAlign w:val="bottom"/>
          </w:tcPr>
          <w:p>
            <w:pPr>
              <w:pStyle w:val="TableContents"/>
              <w:spacing w:before="0" w:after="283"/>
              <w:jc w:val="left"/>
              <w:rPr/>
            </w:pPr>
            <w:r>
              <w:rPr/>
              <w:t> </w:t>
            </w:r>
          </w:p>
        </w:tc>
      </w:tr>
      <w:tr>
        <w:trPr/>
        <w:tc>
          <w:tcPr>
            <w:tcW w:w="4154"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Concessions revenue</w:t>
            </w:r>
          </w:p>
        </w:tc>
        <w:tc>
          <w:tcPr>
            <w:tcW w:w="191" w:type="dxa"/>
            <w:tcBorders/>
            <w:shd w:fill="FFFFFF" w:val="clear"/>
            <w:tcMar>
              <w:bottom w:w="0" w:type="dxa"/>
            </w:tcMar>
            <w:vAlign w:val="center"/>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34"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4,979</w:t>
            </w:r>
          </w:p>
        </w:tc>
        <w:tc>
          <w:tcPr>
            <w:tcW w:w="197"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204"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10,505</w:t>
            </w:r>
          </w:p>
        </w:tc>
        <w:tc>
          <w:tcPr>
            <w:tcW w:w="197"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76"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3,618</w:t>
            </w:r>
          </w:p>
        </w:tc>
        <w:tc>
          <w:tcPr>
            <w:tcW w:w="197"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34"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19,102</w:t>
            </w:r>
          </w:p>
        </w:tc>
        <w:tc>
          <w:tcPr>
            <w:tcW w:w="121" w:type="dxa"/>
            <w:tcBorders/>
            <w:shd w:fill="FFFFFF" w:val="clear"/>
            <w:tcMar>
              <w:bottom w:w="0" w:type="dxa"/>
            </w:tcMar>
            <w:vAlign w:val="bottom"/>
          </w:tcPr>
          <w:p>
            <w:pPr>
              <w:pStyle w:val="TableContents"/>
              <w:spacing w:before="0" w:after="283"/>
              <w:jc w:val="left"/>
              <w:rPr/>
            </w:pPr>
            <w:r>
              <w:rPr/>
              <w:t> </w:t>
            </w:r>
          </w:p>
        </w:tc>
      </w:tr>
      <w:tr>
        <w:trPr/>
        <w:tc>
          <w:tcPr>
            <w:tcW w:w="4154" w:type="dxa"/>
            <w:tcBorders>
              <w:bottom w:val="sing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Advertising and other revenues</w:t>
            </w:r>
          </w:p>
        </w:tc>
        <w:tc>
          <w:tcPr>
            <w:tcW w:w="191" w:type="dxa"/>
            <w:tcBorders>
              <w:bottom w:val="single" w:sz="2" w:space="0" w:color="CCEEFF"/>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vAlign w:val="bottom"/>
          </w:tcPr>
          <w:p>
            <w:pPr>
              <w:pStyle w:val="TableContents"/>
              <w:spacing w:before="0" w:after="283"/>
              <w:jc w:val="left"/>
              <w:rPr/>
            </w:pPr>
            <w:r>
              <w:rPr/>
              <w:t> </w:t>
            </w:r>
          </w:p>
        </w:tc>
        <w:tc>
          <w:tcPr>
            <w:tcW w:w="1134"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1,646</w:t>
            </w:r>
          </w:p>
        </w:tc>
        <w:tc>
          <w:tcPr>
            <w:tcW w:w="197" w:type="dxa"/>
            <w:tcBorders>
              <w:bottom w:val="single" w:sz="2" w:space="0" w:color="CCEEFF"/>
            </w:tcBorders>
            <w:shd w:fill="CCEEFF" w:val="clear"/>
            <w:vAlign w:val="bottom"/>
          </w:tcPr>
          <w:p>
            <w:pPr>
              <w:pStyle w:val="TableContents"/>
              <w:spacing w:before="0" w:after="283"/>
              <w:jc w:val="left"/>
              <w:rPr/>
            </w:pPr>
            <w:r>
              <w:rPr/>
              <w:t> </w:t>
            </w:r>
          </w:p>
        </w:tc>
        <w:tc>
          <w:tcPr>
            <w:tcW w:w="125" w:type="dxa"/>
            <w:tcBorders>
              <w:bottom w:val="single" w:sz="2" w:space="0" w:color="000000"/>
            </w:tcBorders>
            <w:shd w:fill="CCEEFF" w:val="clear"/>
            <w:vAlign w:val="bottom"/>
          </w:tcPr>
          <w:p>
            <w:pPr>
              <w:pStyle w:val="TableContents"/>
              <w:spacing w:before="0" w:after="283"/>
              <w:jc w:val="left"/>
              <w:rPr/>
            </w:pPr>
            <w:r>
              <w:rPr/>
              <w:t> </w:t>
            </w:r>
          </w:p>
        </w:tc>
        <w:tc>
          <w:tcPr>
            <w:tcW w:w="1204"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2,233</w:t>
            </w:r>
          </w:p>
        </w:tc>
        <w:tc>
          <w:tcPr>
            <w:tcW w:w="197" w:type="dxa"/>
            <w:tcBorders>
              <w:bottom w:val="single" w:sz="2" w:space="0" w:color="CCEEFF"/>
            </w:tcBorders>
            <w:shd w:fill="CCEEFF" w:val="clear"/>
            <w:vAlign w:val="bottom"/>
          </w:tcPr>
          <w:p>
            <w:pPr>
              <w:pStyle w:val="TableContents"/>
              <w:spacing w:before="0" w:after="283"/>
              <w:jc w:val="left"/>
              <w:rPr/>
            </w:pPr>
            <w:r>
              <w:rPr/>
              <w:t> </w:t>
            </w:r>
          </w:p>
        </w:tc>
        <w:tc>
          <w:tcPr>
            <w:tcW w:w="125" w:type="dxa"/>
            <w:tcBorders>
              <w:bottom w:val="single" w:sz="2" w:space="0" w:color="000000"/>
            </w:tcBorders>
            <w:shd w:fill="CCEEFF" w:val="clear"/>
            <w:vAlign w:val="bottom"/>
          </w:tcPr>
          <w:p>
            <w:pPr>
              <w:pStyle w:val="TableContents"/>
              <w:spacing w:before="0" w:after="283"/>
              <w:jc w:val="left"/>
              <w:rPr/>
            </w:pPr>
            <w:r>
              <w:rPr/>
              <w:t> </w:t>
            </w:r>
          </w:p>
        </w:tc>
        <w:tc>
          <w:tcPr>
            <w:tcW w:w="1176"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909</w:t>
            </w:r>
          </w:p>
        </w:tc>
        <w:tc>
          <w:tcPr>
            <w:tcW w:w="197" w:type="dxa"/>
            <w:tcBorders>
              <w:bottom w:val="single" w:sz="2" w:space="0" w:color="CCEEFF"/>
            </w:tcBorders>
            <w:shd w:fill="CCEEFF" w:val="clear"/>
            <w:vAlign w:val="bottom"/>
          </w:tcPr>
          <w:p>
            <w:pPr>
              <w:pStyle w:val="TableContents"/>
              <w:spacing w:before="0" w:after="283"/>
              <w:jc w:val="left"/>
              <w:rPr/>
            </w:pPr>
            <w:r>
              <w:rPr/>
              <w:t> </w:t>
            </w:r>
          </w:p>
        </w:tc>
        <w:tc>
          <w:tcPr>
            <w:tcW w:w="125" w:type="dxa"/>
            <w:tcBorders>
              <w:bottom w:val="single" w:sz="2" w:space="0" w:color="000000"/>
            </w:tcBorders>
            <w:shd w:fill="CCEEFF" w:val="clear"/>
            <w:vAlign w:val="bottom"/>
          </w:tcPr>
          <w:p>
            <w:pPr>
              <w:pStyle w:val="TableContents"/>
              <w:spacing w:before="0" w:after="283"/>
              <w:jc w:val="left"/>
              <w:rPr/>
            </w:pPr>
            <w:r>
              <w:rPr/>
              <w:t> </w:t>
            </w:r>
          </w:p>
        </w:tc>
        <w:tc>
          <w:tcPr>
            <w:tcW w:w="1134"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4,788</w:t>
            </w:r>
          </w:p>
        </w:tc>
        <w:tc>
          <w:tcPr>
            <w:tcW w:w="121" w:type="dxa"/>
            <w:tcBorders>
              <w:bottom w:val="single" w:sz="2" w:space="0" w:color="CCEEFF"/>
            </w:tcBorders>
            <w:shd w:fill="CCEEFF" w:val="clear"/>
            <w:vAlign w:val="bottom"/>
          </w:tcPr>
          <w:p>
            <w:pPr>
              <w:pStyle w:val="TableContents"/>
              <w:spacing w:before="0" w:after="283"/>
              <w:jc w:val="left"/>
              <w:rPr/>
            </w:pPr>
            <w:r>
              <w:rPr/>
              <w:t> </w:t>
            </w:r>
          </w:p>
        </w:tc>
      </w:tr>
      <w:tr>
        <w:trPr/>
        <w:tc>
          <w:tcPr>
            <w:tcW w:w="4154" w:type="dxa"/>
            <w:tcBorders/>
            <w:shd w:fill="FFFFFF" w:val="clear"/>
            <w:tcMar>
              <w:bottom w:w="0" w:type="dxa"/>
            </w:tcMar>
            <w:vAlign w:val="bottom"/>
          </w:tcPr>
          <w:p>
            <w:pPr>
              <w:pStyle w:val="TableContents"/>
              <w:spacing w:lineRule="auto" w:line="300" w:before="0" w:after="0"/>
              <w:ind w:left="0" w:right="0" w:hanging="0"/>
              <w:jc w:val="left"/>
              <w:rPr/>
            </w:pPr>
            <w:r>
              <w:rPr>
                <w:rFonts w:ascii="Times New Roman" w:hAnsi="Times New Roman"/>
                <w:sz w:val="20"/>
              </w:rPr>
              <w:t>Total revenues</w:t>
            </w:r>
            <w:bookmarkStart w:id="1386" w:name="TAB270"/>
            <w:bookmarkEnd w:id="1386"/>
            <w:r>
              <w:rPr>
                <w:color w:val="000000"/>
                <w:spacing w:val="540"/>
              </w:rPr>
              <w:t> </w:t>
            </w:r>
          </w:p>
        </w:tc>
        <w:tc>
          <w:tcPr>
            <w:tcW w:w="191" w:type="dxa"/>
            <w:tcBorders/>
            <w:shd w:fill="FFFFFF" w:val="clear"/>
            <w:tcMar>
              <w:bottom w:w="0" w:type="dxa"/>
            </w:tcMar>
            <w:vAlign w:val="center"/>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34"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387" w:name="TAB1499"/>
            <w:bookmarkEnd w:id="1387"/>
            <w:r>
              <w:rPr>
                <w:rFonts w:ascii="Times New Roman" w:hAnsi="Times New Roman"/>
                <w:sz w:val="20"/>
              </w:rPr>
              <w:t>24,427</w:t>
            </w:r>
          </w:p>
        </w:tc>
        <w:tc>
          <w:tcPr>
            <w:tcW w:w="197"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204"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388" w:name="TAB1500"/>
            <w:bookmarkEnd w:id="1388"/>
            <w:r>
              <w:rPr>
                <w:rFonts w:ascii="Times New Roman" w:hAnsi="Times New Roman"/>
                <w:sz w:val="20"/>
              </w:rPr>
              <w:t>45,880</w:t>
            </w:r>
          </w:p>
        </w:tc>
        <w:tc>
          <w:tcPr>
            <w:tcW w:w="197"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76"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389" w:name="TAB1501"/>
            <w:bookmarkEnd w:id="1389"/>
            <w:r>
              <w:rPr>
                <w:rFonts w:ascii="Times New Roman" w:hAnsi="Times New Roman"/>
                <w:sz w:val="20"/>
              </w:rPr>
              <w:t>16,453</w:t>
            </w:r>
          </w:p>
        </w:tc>
        <w:tc>
          <w:tcPr>
            <w:tcW w:w="197"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34"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390" w:name="TAB1502"/>
            <w:bookmarkEnd w:id="1390"/>
            <w:r>
              <w:rPr>
                <w:rFonts w:ascii="Times New Roman" w:hAnsi="Times New Roman"/>
                <w:sz w:val="20"/>
              </w:rPr>
              <w:t>86,760</w:t>
            </w:r>
          </w:p>
        </w:tc>
        <w:tc>
          <w:tcPr>
            <w:tcW w:w="121" w:type="dxa"/>
            <w:tcBorders/>
            <w:shd w:fill="FFFFFF" w:val="clear"/>
            <w:tcMar>
              <w:bottom w:w="0" w:type="dxa"/>
            </w:tcMar>
            <w:vAlign w:val="bottom"/>
          </w:tcPr>
          <w:p>
            <w:pPr>
              <w:pStyle w:val="TableContents"/>
              <w:spacing w:before="0" w:after="283"/>
              <w:jc w:val="left"/>
              <w:rPr/>
            </w:pPr>
            <w:r>
              <w:rPr/>
              <w:t> </w:t>
            </w:r>
          </w:p>
        </w:tc>
      </w:tr>
      <w:tr>
        <w:trPr/>
        <w:tc>
          <w:tcPr>
            <w:tcW w:w="4154" w:type="dxa"/>
            <w:tcBorders/>
            <w:shd w:fill="CCEEFF" w:val="clear"/>
            <w:tcMar>
              <w:bottom w:w="0" w:type="dxa"/>
            </w:tcMar>
            <w:vAlign w:val="bottom"/>
          </w:tcPr>
          <w:p>
            <w:pPr>
              <w:pStyle w:val="TableContents"/>
              <w:spacing w:before="0" w:after="283"/>
              <w:jc w:val="left"/>
              <w:rPr/>
            </w:pPr>
            <w:r>
              <w:rPr/>
              <w:t> </w:t>
            </w:r>
          </w:p>
        </w:tc>
        <w:tc>
          <w:tcPr>
            <w:tcW w:w="191" w:type="dxa"/>
            <w:tcBorders/>
            <w:shd w:fill="CCEEFF" w:val="clear"/>
            <w:tcMar>
              <w:bottom w:w="0" w:type="dxa"/>
            </w:tcMar>
            <w:vAlign w:val="center"/>
          </w:tcPr>
          <w:p>
            <w:pPr>
              <w:pStyle w:val="TableContents"/>
              <w:spacing w:before="0" w:after="283"/>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134" w:type="dxa"/>
            <w:tcBorders/>
            <w:shd w:fill="CCEEFF" w:val="clear"/>
            <w:tcMar>
              <w:bottom w:w="0" w:type="dxa"/>
            </w:tcMar>
            <w:vAlign w:val="bottom"/>
          </w:tcPr>
          <w:p>
            <w:pPr>
              <w:pStyle w:val="TableContents"/>
              <w:spacing w:before="0" w:after="283"/>
              <w:jc w:val="right"/>
              <w:rPr/>
            </w:pPr>
            <w:r>
              <w:rPr/>
              <w:t> </w:t>
            </w:r>
          </w:p>
        </w:tc>
        <w:tc>
          <w:tcPr>
            <w:tcW w:w="197"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204" w:type="dxa"/>
            <w:tcBorders/>
            <w:shd w:fill="CCEEFF" w:val="clear"/>
            <w:tcMar>
              <w:bottom w:w="0" w:type="dxa"/>
            </w:tcMar>
            <w:vAlign w:val="bottom"/>
          </w:tcPr>
          <w:p>
            <w:pPr>
              <w:pStyle w:val="TableContents"/>
              <w:spacing w:before="0" w:after="283"/>
              <w:jc w:val="right"/>
              <w:rPr/>
            </w:pPr>
            <w:r>
              <w:rPr/>
              <w:t> </w:t>
            </w:r>
          </w:p>
        </w:tc>
        <w:tc>
          <w:tcPr>
            <w:tcW w:w="197"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176" w:type="dxa"/>
            <w:tcBorders/>
            <w:shd w:fill="CCEEFF" w:val="clear"/>
            <w:tcMar>
              <w:bottom w:w="0" w:type="dxa"/>
            </w:tcMar>
            <w:vAlign w:val="bottom"/>
          </w:tcPr>
          <w:p>
            <w:pPr>
              <w:pStyle w:val="TableContents"/>
              <w:spacing w:before="0" w:after="283"/>
              <w:jc w:val="right"/>
              <w:rPr/>
            </w:pPr>
            <w:r>
              <w:rPr/>
              <w:t> </w:t>
            </w:r>
          </w:p>
        </w:tc>
        <w:tc>
          <w:tcPr>
            <w:tcW w:w="197"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134" w:type="dxa"/>
            <w:tcBorders/>
            <w:shd w:fill="CCEEFF" w:val="clear"/>
            <w:tcMar>
              <w:bottom w:w="0" w:type="dxa"/>
            </w:tcMar>
            <w:vAlign w:val="bottom"/>
          </w:tcPr>
          <w:p>
            <w:pPr>
              <w:pStyle w:val="TableContents"/>
              <w:spacing w:before="0" w:after="283"/>
              <w:jc w:val="right"/>
              <w:rPr/>
            </w:pPr>
            <w:r>
              <w:rPr/>
              <w:t> </w:t>
            </w:r>
          </w:p>
        </w:tc>
        <w:tc>
          <w:tcPr>
            <w:tcW w:w="121" w:type="dxa"/>
            <w:tcBorders/>
            <w:shd w:fill="CCEEFF" w:val="clear"/>
            <w:tcMar>
              <w:bottom w:w="0" w:type="dxa"/>
            </w:tcMar>
            <w:vAlign w:val="bottom"/>
          </w:tcPr>
          <w:p>
            <w:pPr>
              <w:pStyle w:val="TableContents"/>
              <w:spacing w:before="0" w:after="283"/>
              <w:jc w:val="left"/>
              <w:rPr/>
            </w:pPr>
            <w:r>
              <w:rPr/>
              <w:t> </w:t>
            </w:r>
          </w:p>
        </w:tc>
      </w:tr>
      <w:tr>
        <w:trPr/>
        <w:tc>
          <w:tcPr>
            <w:tcW w:w="4154" w:type="dxa"/>
            <w:tcBorders/>
            <w:shd w:fill="FFFFFF" w:val="clear"/>
            <w:tcMar>
              <w:bottom w:w="0" w:type="dxa"/>
            </w:tcMar>
            <w:vAlign w:val="bottom"/>
          </w:tcPr>
          <w:p>
            <w:pPr>
              <w:pStyle w:val="TableContents"/>
              <w:spacing w:lineRule="auto" w:line="300" w:before="0" w:after="0"/>
              <w:ind w:left="0" w:right="0" w:hanging="0"/>
              <w:jc w:val="left"/>
              <w:rPr/>
            </w:pPr>
            <w:r>
              <w:rPr>
                <w:rFonts w:ascii="Times New Roman" w:hAnsi="Times New Roman"/>
                <w:sz w:val="20"/>
              </w:rPr>
              <w:t>Cinema costs</w:t>
            </w:r>
            <w:r>
              <w:rPr>
                <w:rFonts w:ascii="Times New Roman" w:hAnsi="Times New Roman"/>
                <w:position w:val="7"/>
                <w:sz w:val="16"/>
                <w:sz w:val="20"/>
              </w:rPr>
              <w:t>15</w:t>
            </w:r>
            <w:r>
              <w:rPr/>
              <w:t> </w:t>
            </w:r>
          </w:p>
        </w:tc>
        <w:tc>
          <w:tcPr>
            <w:tcW w:w="191" w:type="dxa"/>
            <w:tcBorders/>
            <w:shd w:fill="FFFFFF" w:val="clear"/>
            <w:tcMar>
              <w:bottom w:w="0" w:type="dxa"/>
            </w:tcMar>
            <w:vAlign w:val="center"/>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34"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391" w:name="TAB1503"/>
            <w:bookmarkEnd w:id="1391"/>
            <w:r>
              <w:rPr>
                <w:rFonts w:ascii="Times New Roman" w:hAnsi="Times New Roman"/>
                <w:sz w:val="20"/>
              </w:rPr>
              <w:t>17,869</w:t>
            </w:r>
          </w:p>
        </w:tc>
        <w:tc>
          <w:tcPr>
            <w:tcW w:w="197"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204"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392" w:name="TAB1504"/>
            <w:bookmarkEnd w:id="1392"/>
            <w:r>
              <w:rPr>
                <w:rFonts w:ascii="Times New Roman" w:hAnsi="Times New Roman"/>
                <w:sz w:val="20"/>
              </w:rPr>
              <w:t>38,045</w:t>
            </w:r>
          </w:p>
        </w:tc>
        <w:tc>
          <w:tcPr>
            <w:tcW w:w="197"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76"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393" w:name="TAB1505"/>
            <w:bookmarkEnd w:id="1393"/>
            <w:r>
              <w:rPr>
                <w:rFonts w:ascii="Times New Roman" w:hAnsi="Times New Roman"/>
                <w:sz w:val="20"/>
              </w:rPr>
              <w:t>12,157</w:t>
            </w:r>
          </w:p>
        </w:tc>
        <w:tc>
          <w:tcPr>
            <w:tcW w:w="197"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34"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394" w:name="TAB1506"/>
            <w:bookmarkEnd w:id="1394"/>
            <w:r>
              <w:rPr>
                <w:rFonts w:ascii="Times New Roman" w:hAnsi="Times New Roman"/>
                <w:sz w:val="20"/>
              </w:rPr>
              <w:t>68,071</w:t>
            </w:r>
          </w:p>
        </w:tc>
        <w:tc>
          <w:tcPr>
            <w:tcW w:w="121" w:type="dxa"/>
            <w:tcBorders/>
            <w:shd w:fill="FFFFFF" w:val="clear"/>
            <w:tcMar>
              <w:bottom w:w="0" w:type="dxa"/>
            </w:tcMar>
            <w:vAlign w:val="bottom"/>
          </w:tcPr>
          <w:p>
            <w:pPr>
              <w:pStyle w:val="TableContents"/>
              <w:spacing w:before="0" w:after="283"/>
              <w:jc w:val="left"/>
              <w:rPr/>
            </w:pPr>
            <w:r>
              <w:rPr/>
              <w:t> </w:t>
            </w:r>
          </w:p>
        </w:tc>
      </w:tr>
      <w:tr>
        <w:trPr/>
        <w:tc>
          <w:tcPr>
            <w:tcW w:w="4154" w:type="dxa"/>
            <w:tcBorders>
              <w:bottom w:val="sing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Concession costs</w:t>
            </w:r>
          </w:p>
        </w:tc>
        <w:tc>
          <w:tcPr>
            <w:tcW w:w="191" w:type="dxa"/>
            <w:tcBorders>
              <w:bottom w:val="single" w:sz="2" w:space="0" w:color="CCEEFF"/>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vAlign w:val="bottom"/>
          </w:tcPr>
          <w:p>
            <w:pPr>
              <w:pStyle w:val="TableContents"/>
              <w:spacing w:before="0" w:after="283"/>
              <w:jc w:val="left"/>
              <w:rPr/>
            </w:pPr>
            <w:r>
              <w:rPr/>
              <w:t> </w:t>
            </w:r>
          </w:p>
        </w:tc>
        <w:tc>
          <w:tcPr>
            <w:tcW w:w="1134"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1395" w:name="TAB1507"/>
            <w:bookmarkEnd w:id="1395"/>
            <w:r>
              <w:rPr>
                <w:rFonts w:ascii="Times New Roman" w:hAnsi="Times New Roman"/>
                <w:sz w:val="20"/>
              </w:rPr>
              <w:t>1,054</w:t>
            </w:r>
          </w:p>
        </w:tc>
        <w:tc>
          <w:tcPr>
            <w:tcW w:w="197" w:type="dxa"/>
            <w:tcBorders>
              <w:bottom w:val="single" w:sz="2" w:space="0" w:color="CCEEFF"/>
            </w:tcBorders>
            <w:shd w:fill="CCEEFF" w:val="clear"/>
            <w:vAlign w:val="bottom"/>
          </w:tcPr>
          <w:p>
            <w:pPr>
              <w:pStyle w:val="TableContents"/>
              <w:spacing w:before="0" w:after="283"/>
              <w:jc w:val="left"/>
              <w:rPr/>
            </w:pPr>
            <w:r>
              <w:rPr/>
              <w:t> </w:t>
            </w:r>
          </w:p>
        </w:tc>
        <w:tc>
          <w:tcPr>
            <w:tcW w:w="125" w:type="dxa"/>
            <w:tcBorders>
              <w:bottom w:val="single" w:sz="2" w:space="0" w:color="000000"/>
            </w:tcBorders>
            <w:shd w:fill="CCEEFF" w:val="clear"/>
            <w:vAlign w:val="bottom"/>
          </w:tcPr>
          <w:p>
            <w:pPr>
              <w:pStyle w:val="TableContents"/>
              <w:spacing w:before="0" w:after="283"/>
              <w:jc w:val="left"/>
              <w:rPr/>
            </w:pPr>
            <w:r>
              <w:rPr/>
              <w:t> </w:t>
            </w:r>
          </w:p>
        </w:tc>
        <w:tc>
          <w:tcPr>
            <w:tcW w:w="1204"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1396" w:name="TAB1508"/>
            <w:bookmarkEnd w:id="1396"/>
            <w:r>
              <w:rPr>
                <w:rFonts w:ascii="Times New Roman" w:hAnsi="Times New Roman"/>
                <w:sz w:val="20"/>
              </w:rPr>
              <w:t>2,448</w:t>
            </w:r>
          </w:p>
        </w:tc>
        <w:tc>
          <w:tcPr>
            <w:tcW w:w="197" w:type="dxa"/>
            <w:tcBorders>
              <w:bottom w:val="single" w:sz="2" w:space="0" w:color="CCEEFF"/>
            </w:tcBorders>
            <w:shd w:fill="CCEEFF" w:val="clear"/>
            <w:vAlign w:val="bottom"/>
          </w:tcPr>
          <w:p>
            <w:pPr>
              <w:pStyle w:val="TableContents"/>
              <w:spacing w:before="0" w:after="283"/>
              <w:jc w:val="left"/>
              <w:rPr/>
            </w:pPr>
            <w:r>
              <w:rPr/>
              <w:t> </w:t>
            </w:r>
          </w:p>
        </w:tc>
        <w:tc>
          <w:tcPr>
            <w:tcW w:w="125" w:type="dxa"/>
            <w:tcBorders>
              <w:bottom w:val="single" w:sz="2" w:space="0" w:color="000000"/>
            </w:tcBorders>
            <w:shd w:fill="CCEEFF" w:val="clear"/>
            <w:vAlign w:val="bottom"/>
          </w:tcPr>
          <w:p>
            <w:pPr>
              <w:pStyle w:val="TableContents"/>
              <w:spacing w:before="0" w:after="283"/>
              <w:jc w:val="left"/>
              <w:rPr/>
            </w:pPr>
            <w:r>
              <w:rPr/>
              <w:t> </w:t>
            </w:r>
          </w:p>
        </w:tc>
        <w:tc>
          <w:tcPr>
            <w:tcW w:w="1176"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1397" w:name="TAB1509"/>
            <w:bookmarkEnd w:id="1397"/>
            <w:r>
              <w:rPr>
                <w:rFonts w:ascii="Times New Roman" w:hAnsi="Times New Roman"/>
                <w:sz w:val="20"/>
              </w:rPr>
              <w:t>1,092</w:t>
            </w:r>
          </w:p>
        </w:tc>
        <w:tc>
          <w:tcPr>
            <w:tcW w:w="197" w:type="dxa"/>
            <w:tcBorders>
              <w:bottom w:val="single" w:sz="2" w:space="0" w:color="CCEEFF"/>
            </w:tcBorders>
            <w:shd w:fill="CCEEFF" w:val="clear"/>
            <w:vAlign w:val="bottom"/>
          </w:tcPr>
          <w:p>
            <w:pPr>
              <w:pStyle w:val="TableContents"/>
              <w:spacing w:before="0" w:after="283"/>
              <w:jc w:val="left"/>
              <w:rPr/>
            </w:pPr>
            <w:r>
              <w:rPr/>
              <w:t> </w:t>
            </w:r>
          </w:p>
        </w:tc>
        <w:tc>
          <w:tcPr>
            <w:tcW w:w="125" w:type="dxa"/>
            <w:tcBorders>
              <w:bottom w:val="single" w:sz="2" w:space="0" w:color="000000"/>
            </w:tcBorders>
            <w:shd w:fill="CCEEFF" w:val="clear"/>
            <w:vAlign w:val="bottom"/>
          </w:tcPr>
          <w:p>
            <w:pPr>
              <w:pStyle w:val="TableContents"/>
              <w:spacing w:before="0" w:after="283"/>
              <w:jc w:val="left"/>
              <w:rPr/>
            </w:pPr>
            <w:r>
              <w:rPr/>
              <w:t> </w:t>
            </w:r>
          </w:p>
        </w:tc>
        <w:tc>
          <w:tcPr>
            <w:tcW w:w="1134"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1398" w:name="TAB1510"/>
            <w:bookmarkEnd w:id="1398"/>
            <w:r>
              <w:rPr>
                <w:rFonts w:ascii="Times New Roman" w:hAnsi="Times New Roman"/>
                <w:sz w:val="20"/>
              </w:rPr>
              <w:t>4,594</w:t>
            </w:r>
          </w:p>
        </w:tc>
        <w:tc>
          <w:tcPr>
            <w:tcW w:w="121" w:type="dxa"/>
            <w:tcBorders>
              <w:bottom w:val="single" w:sz="2" w:space="0" w:color="CCEEFF"/>
            </w:tcBorders>
            <w:shd w:fill="CCEEFF" w:val="clear"/>
            <w:vAlign w:val="bottom"/>
          </w:tcPr>
          <w:p>
            <w:pPr>
              <w:pStyle w:val="TableContents"/>
              <w:spacing w:before="0" w:after="283"/>
              <w:jc w:val="left"/>
              <w:rPr/>
            </w:pPr>
            <w:r>
              <w:rPr/>
              <w:t> </w:t>
            </w:r>
          </w:p>
        </w:tc>
      </w:tr>
      <w:tr>
        <w:trPr/>
        <w:tc>
          <w:tcPr>
            <w:tcW w:w="4154"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Total operating expense</w:t>
            </w:r>
          </w:p>
        </w:tc>
        <w:tc>
          <w:tcPr>
            <w:tcW w:w="191" w:type="dxa"/>
            <w:tcBorders/>
            <w:shd w:fill="FFFFFF" w:val="clear"/>
            <w:tcMar>
              <w:bottom w:w="0" w:type="dxa"/>
            </w:tcMar>
            <w:vAlign w:val="center"/>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34"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399" w:name="TAB1511"/>
            <w:bookmarkEnd w:id="1399"/>
            <w:r>
              <w:rPr>
                <w:rFonts w:ascii="Times New Roman" w:hAnsi="Times New Roman"/>
                <w:sz w:val="20"/>
              </w:rPr>
              <w:t>18,923</w:t>
            </w:r>
          </w:p>
        </w:tc>
        <w:tc>
          <w:tcPr>
            <w:tcW w:w="197"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204"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400" w:name="TAB1512"/>
            <w:bookmarkEnd w:id="1400"/>
            <w:r>
              <w:rPr>
                <w:rFonts w:ascii="Times New Roman" w:hAnsi="Times New Roman"/>
                <w:sz w:val="20"/>
              </w:rPr>
              <w:t>40,493</w:t>
            </w:r>
          </w:p>
        </w:tc>
        <w:tc>
          <w:tcPr>
            <w:tcW w:w="197"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76"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401" w:name="TAB1513"/>
            <w:bookmarkEnd w:id="1401"/>
            <w:r>
              <w:rPr>
                <w:rFonts w:ascii="Times New Roman" w:hAnsi="Times New Roman"/>
                <w:sz w:val="20"/>
              </w:rPr>
              <w:t>13,249</w:t>
            </w:r>
          </w:p>
        </w:tc>
        <w:tc>
          <w:tcPr>
            <w:tcW w:w="197"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34"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402" w:name="TAB1514"/>
            <w:bookmarkEnd w:id="1402"/>
            <w:r>
              <w:rPr>
                <w:rFonts w:ascii="Times New Roman" w:hAnsi="Times New Roman"/>
                <w:sz w:val="20"/>
              </w:rPr>
              <w:t>72,665</w:t>
            </w:r>
          </w:p>
        </w:tc>
        <w:tc>
          <w:tcPr>
            <w:tcW w:w="121" w:type="dxa"/>
            <w:tcBorders/>
            <w:shd w:fill="FFFFFF" w:val="clear"/>
            <w:tcMar>
              <w:bottom w:w="0" w:type="dxa"/>
            </w:tcMar>
            <w:vAlign w:val="bottom"/>
          </w:tcPr>
          <w:p>
            <w:pPr>
              <w:pStyle w:val="TableContents"/>
              <w:spacing w:before="0" w:after="283"/>
              <w:jc w:val="left"/>
              <w:rPr/>
            </w:pPr>
            <w:r>
              <w:rPr/>
              <w:t> </w:t>
            </w:r>
          </w:p>
        </w:tc>
      </w:tr>
      <w:tr>
        <w:trPr/>
        <w:tc>
          <w:tcPr>
            <w:tcW w:w="4154" w:type="dxa"/>
            <w:tcBorders/>
            <w:shd w:fill="CCEEFF" w:val="clear"/>
            <w:tcMar>
              <w:bottom w:w="0" w:type="dxa"/>
            </w:tcMar>
            <w:vAlign w:val="bottom"/>
          </w:tcPr>
          <w:p>
            <w:pPr>
              <w:pStyle w:val="TableContents"/>
              <w:spacing w:before="0" w:after="283"/>
              <w:jc w:val="left"/>
              <w:rPr/>
            </w:pPr>
            <w:r>
              <w:rPr/>
              <w:t> </w:t>
            </w:r>
          </w:p>
        </w:tc>
        <w:tc>
          <w:tcPr>
            <w:tcW w:w="191" w:type="dxa"/>
            <w:tcBorders/>
            <w:shd w:fill="CCEEFF" w:val="clear"/>
            <w:tcMar>
              <w:bottom w:w="0" w:type="dxa"/>
            </w:tcMar>
            <w:vAlign w:val="center"/>
          </w:tcPr>
          <w:p>
            <w:pPr>
              <w:pStyle w:val="TableContents"/>
              <w:spacing w:before="0" w:after="283"/>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134" w:type="dxa"/>
            <w:tcBorders/>
            <w:shd w:fill="CCEEFF" w:val="clear"/>
            <w:tcMar>
              <w:bottom w:w="0" w:type="dxa"/>
            </w:tcMar>
            <w:vAlign w:val="bottom"/>
          </w:tcPr>
          <w:p>
            <w:pPr>
              <w:pStyle w:val="TableContents"/>
              <w:spacing w:before="0" w:after="283"/>
              <w:jc w:val="right"/>
              <w:rPr/>
            </w:pPr>
            <w:r>
              <w:rPr/>
              <w:t> </w:t>
            </w:r>
          </w:p>
        </w:tc>
        <w:tc>
          <w:tcPr>
            <w:tcW w:w="197"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204" w:type="dxa"/>
            <w:tcBorders/>
            <w:shd w:fill="CCEEFF" w:val="clear"/>
            <w:tcMar>
              <w:bottom w:w="0" w:type="dxa"/>
            </w:tcMar>
            <w:vAlign w:val="bottom"/>
          </w:tcPr>
          <w:p>
            <w:pPr>
              <w:pStyle w:val="TableContents"/>
              <w:spacing w:before="0" w:after="283"/>
              <w:jc w:val="right"/>
              <w:rPr/>
            </w:pPr>
            <w:r>
              <w:rPr/>
              <w:t> </w:t>
            </w:r>
          </w:p>
        </w:tc>
        <w:tc>
          <w:tcPr>
            <w:tcW w:w="197"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176" w:type="dxa"/>
            <w:tcBorders/>
            <w:shd w:fill="CCEEFF" w:val="clear"/>
            <w:tcMar>
              <w:bottom w:w="0" w:type="dxa"/>
            </w:tcMar>
            <w:vAlign w:val="bottom"/>
          </w:tcPr>
          <w:p>
            <w:pPr>
              <w:pStyle w:val="TableContents"/>
              <w:spacing w:before="0" w:after="283"/>
              <w:jc w:val="right"/>
              <w:rPr/>
            </w:pPr>
            <w:r>
              <w:rPr/>
              <w:t> </w:t>
            </w:r>
          </w:p>
        </w:tc>
        <w:tc>
          <w:tcPr>
            <w:tcW w:w="197"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134" w:type="dxa"/>
            <w:tcBorders/>
            <w:shd w:fill="CCEEFF" w:val="clear"/>
            <w:tcMar>
              <w:bottom w:w="0" w:type="dxa"/>
            </w:tcMar>
            <w:vAlign w:val="bottom"/>
          </w:tcPr>
          <w:p>
            <w:pPr>
              <w:pStyle w:val="TableContents"/>
              <w:spacing w:before="0" w:after="283"/>
              <w:jc w:val="right"/>
              <w:rPr/>
            </w:pPr>
            <w:r>
              <w:rPr/>
              <w:t> </w:t>
            </w:r>
          </w:p>
        </w:tc>
        <w:tc>
          <w:tcPr>
            <w:tcW w:w="121" w:type="dxa"/>
            <w:tcBorders/>
            <w:shd w:fill="CCEEFF" w:val="clear"/>
            <w:tcMar>
              <w:bottom w:w="0" w:type="dxa"/>
            </w:tcMar>
            <w:vAlign w:val="bottom"/>
          </w:tcPr>
          <w:p>
            <w:pPr>
              <w:pStyle w:val="TableContents"/>
              <w:spacing w:before="0" w:after="283"/>
              <w:jc w:val="left"/>
              <w:rPr/>
            </w:pPr>
            <w:r>
              <w:rPr/>
              <w:t> </w:t>
            </w:r>
          </w:p>
        </w:tc>
      </w:tr>
      <w:tr>
        <w:trPr/>
        <w:tc>
          <w:tcPr>
            <w:tcW w:w="4154"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Depreciation and amortization</w:t>
            </w:r>
          </w:p>
        </w:tc>
        <w:tc>
          <w:tcPr>
            <w:tcW w:w="191" w:type="dxa"/>
            <w:tcBorders/>
            <w:shd w:fill="FFFFFF" w:val="clear"/>
            <w:tcMar>
              <w:bottom w:w="0" w:type="dxa"/>
            </w:tcMar>
            <w:vAlign w:val="center"/>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34"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403" w:name="TAB1515"/>
            <w:bookmarkEnd w:id="1403"/>
            <w:r>
              <w:rPr>
                <w:rFonts w:ascii="Times New Roman" w:hAnsi="Times New Roman"/>
                <w:sz w:val="20"/>
              </w:rPr>
              <w:t>1,822</w:t>
            </w:r>
          </w:p>
        </w:tc>
        <w:tc>
          <w:tcPr>
            <w:tcW w:w="197"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204"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404" w:name="TAB1516"/>
            <w:bookmarkEnd w:id="1404"/>
            <w:r>
              <w:rPr>
                <w:rFonts w:ascii="Times New Roman" w:hAnsi="Times New Roman"/>
                <w:sz w:val="20"/>
              </w:rPr>
              <w:t>5,537</w:t>
            </w:r>
          </w:p>
        </w:tc>
        <w:tc>
          <w:tcPr>
            <w:tcW w:w="197"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76"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405" w:name="TAB1517"/>
            <w:bookmarkEnd w:id="1405"/>
            <w:r>
              <w:rPr>
                <w:rFonts w:ascii="Times New Roman" w:hAnsi="Times New Roman"/>
                <w:sz w:val="20"/>
              </w:rPr>
              <w:t>964</w:t>
            </w:r>
          </w:p>
        </w:tc>
        <w:tc>
          <w:tcPr>
            <w:tcW w:w="197"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34"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406" w:name="TAB1518"/>
            <w:bookmarkEnd w:id="1406"/>
            <w:r>
              <w:rPr>
                <w:rFonts w:ascii="Times New Roman" w:hAnsi="Times New Roman"/>
                <w:sz w:val="20"/>
              </w:rPr>
              <w:t>8,323</w:t>
            </w:r>
          </w:p>
        </w:tc>
        <w:tc>
          <w:tcPr>
            <w:tcW w:w="121" w:type="dxa"/>
            <w:tcBorders/>
            <w:shd w:fill="FFFFFF" w:val="clear"/>
            <w:tcMar>
              <w:bottom w:w="0" w:type="dxa"/>
            </w:tcMar>
            <w:vAlign w:val="bottom"/>
          </w:tcPr>
          <w:p>
            <w:pPr>
              <w:pStyle w:val="TableContents"/>
              <w:spacing w:before="0" w:after="283"/>
              <w:jc w:val="left"/>
              <w:rPr/>
            </w:pPr>
            <w:r>
              <w:rPr/>
              <w:t> </w:t>
            </w:r>
          </w:p>
        </w:tc>
      </w:tr>
      <w:tr>
        <w:trPr/>
        <w:tc>
          <w:tcPr>
            <w:tcW w:w="4154" w:type="dxa"/>
            <w:tcBorders>
              <w:bottom w:val="sing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General &amp; administrative expense</w:t>
            </w:r>
          </w:p>
        </w:tc>
        <w:tc>
          <w:tcPr>
            <w:tcW w:w="191" w:type="dxa"/>
            <w:tcBorders>
              <w:bottom w:val="single" w:sz="2" w:space="0" w:color="CCEEFF"/>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vAlign w:val="bottom"/>
          </w:tcPr>
          <w:p>
            <w:pPr>
              <w:pStyle w:val="TableContents"/>
              <w:spacing w:before="0" w:after="283"/>
              <w:jc w:val="left"/>
              <w:rPr/>
            </w:pPr>
            <w:r>
              <w:rPr/>
              <w:t> </w:t>
            </w:r>
          </w:p>
        </w:tc>
        <w:tc>
          <w:tcPr>
            <w:tcW w:w="1134"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1407" w:name="TAB1519"/>
            <w:bookmarkEnd w:id="1407"/>
            <w:r>
              <w:rPr>
                <w:rFonts w:ascii="Times New Roman" w:hAnsi="Times New Roman"/>
                <w:sz w:val="20"/>
              </w:rPr>
              <w:t>5,839</w:t>
            </w:r>
          </w:p>
        </w:tc>
        <w:tc>
          <w:tcPr>
            <w:tcW w:w="197" w:type="dxa"/>
            <w:tcBorders>
              <w:bottom w:val="single" w:sz="2" w:space="0" w:color="CCEEFF"/>
            </w:tcBorders>
            <w:shd w:fill="CCEEFF" w:val="clear"/>
            <w:vAlign w:val="bottom"/>
          </w:tcPr>
          <w:p>
            <w:pPr>
              <w:pStyle w:val="TableContents"/>
              <w:spacing w:before="0" w:after="283"/>
              <w:jc w:val="left"/>
              <w:rPr/>
            </w:pPr>
            <w:r>
              <w:rPr/>
              <w:t> </w:t>
            </w:r>
          </w:p>
        </w:tc>
        <w:tc>
          <w:tcPr>
            <w:tcW w:w="125" w:type="dxa"/>
            <w:tcBorders>
              <w:bottom w:val="single" w:sz="2" w:space="0" w:color="000000"/>
            </w:tcBorders>
            <w:shd w:fill="CCEEFF" w:val="clear"/>
            <w:vAlign w:val="bottom"/>
          </w:tcPr>
          <w:p>
            <w:pPr>
              <w:pStyle w:val="TableContents"/>
              <w:spacing w:before="0" w:after="283"/>
              <w:jc w:val="left"/>
              <w:rPr/>
            </w:pPr>
            <w:r>
              <w:rPr/>
              <w:t> </w:t>
            </w:r>
          </w:p>
        </w:tc>
        <w:tc>
          <w:tcPr>
            <w:tcW w:w="1204"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1408" w:name="TAB1520"/>
            <w:bookmarkEnd w:id="1408"/>
            <w:r>
              <w:rPr>
                <w:rFonts w:ascii="Times New Roman" w:hAnsi="Times New Roman"/>
                <w:sz w:val="20"/>
              </w:rPr>
              <w:t>982</w:t>
            </w:r>
          </w:p>
        </w:tc>
        <w:tc>
          <w:tcPr>
            <w:tcW w:w="197" w:type="dxa"/>
            <w:tcBorders>
              <w:bottom w:val="single" w:sz="2" w:space="0" w:color="CCEEFF"/>
            </w:tcBorders>
            <w:shd w:fill="CCEEFF" w:val="clear"/>
            <w:vAlign w:val="bottom"/>
          </w:tcPr>
          <w:p>
            <w:pPr>
              <w:pStyle w:val="TableContents"/>
              <w:spacing w:before="0" w:after="283"/>
              <w:jc w:val="left"/>
              <w:rPr/>
            </w:pPr>
            <w:r>
              <w:rPr/>
              <w:t> </w:t>
            </w:r>
          </w:p>
        </w:tc>
        <w:tc>
          <w:tcPr>
            <w:tcW w:w="125" w:type="dxa"/>
            <w:tcBorders>
              <w:bottom w:val="single" w:sz="2" w:space="0" w:color="000000"/>
            </w:tcBorders>
            <w:shd w:fill="CCEEFF" w:val="clear"/>
            <w:vAlign w:val="bottom"/>
          </w:tcPr>
          <w:p>
            <w:pPr>
              <w:pStyle w:val="TableContents"/>
              <w:spacing w:before="0" w:after="283"/>
              <w:jc w:val="left"/>
              <w:rPr/>
            </w:pPr>
            <w:r>
              <w:rPr/>
              <w:t> </w:t>
            </w:r>
          </w:p>
        </w:tc>
        <w:tc>
          <w:tcPr>
            <w:tcW w:w="1176"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1409" w:name="TAB1521"/>
            <w:bookmarkEnd w:id="1409"/>
            <w:r>
              <w:rPr>
                <w:rFonts w:ascii="Times New Roman" w:hAnsi="Times New Roman"/>
                <w:sz w:val="20"/>
              </w:rPr>
              <w:t>(19</w:t>
            </w:r>
          </w:p>
        </w:tc>
        <w:tc>
          <w:tcPr>
            <w:tcW w:w="197" w:type="dxa"/>
            <w:tcBorders>
              <w:bottom w:val="single" w:sz="2" w:space="0" w:color="CCEEFF"/>
            </w:tcBorders>
            <w:shd w:fill="CCEEFF" w:val="clear"/>
            <w:vAlign w:val="bottom"/>
          </w:tcPr>
          <w:p>
            <w:pPr>
              <w:pStyle w:val="TableContents"/>
              <w:spacing w:lineRule="auto" w:line="300" w:before="0" w:after="0"/>
              <w:ind w:left="0" w:right="0" w:hanging="0"/>
              <w:jc w:val="left"/>
              <w:rPr>
                <w:rFonts w:ascii="Times New Roman" w:hAnsi="Times New Roman"/>
                <w:sz w:val="20"/>
              </w:rPr>
            </w:pPr>
            <w:bookmarkStart w:id="1410" w:name="TAB1522"/>
            <w:bookmarkEnd w:id="1410"/>
            <w:r>
              <w:rPr>
                <w:rFonts w:ascii="Times New Roman" w:hAnsi="Times New Roman"/>
                <w:sz w:val="20"/>
              </w:rPr>
              <w:t>)</w:t>
            </w:r>
          </w:p>
        </w:tc>
        <w:tc>
          <w:tcPr>
            <w:tcW w:w="125" w:type="dxa"/>
            <w:tcBorders>
              <w:bottom w:val="single" w:sz="2" w:space="0" w:color="000000"/>
            </w:tcBorders>
            <w:shd w:fill="CCEEFF" w:val="clear"/>
            <w:vAlign w:val="bottom"/>
          </w:tcPr>
          <w:p>
            <w:pPr>
              <w:pStyle w:val="TableContents"/>
              <w:spacing w:before="0" w:after="283"/>
              <w:jc w:val="left"/>
              <w:rPr/>
            </w:pPr>
            <w:r>
              <w:rPr/>
              <w:t> </w:t>
            </w:r>
          </w:p>
        </w:tc>
        <w:tc>
          <w:tcPr>
            <w:tcW w:w="1134"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1411" w:name="TAB1523"/>
            <w:bookmarkEnd w:id="1411"/>
            <w:r>
              <w:rPr>
                <w:rFonts w:ascii="Times New Roman" w:hAnsi="Times New Roman"/>
                <w:sz w:val="20"/>
              </w:rPr>
              <w:t>6,802</w:t>
            </w:r>
          </w:p>
        </w:tc>
        <w:tc>
          <w:tcPr>
            <w:tcW w:w="121" w:type="dxa"/>
            <w:tcBorders>
              <w:bottom w:val="single" w:sz="2" w:space="0" w:color="CCEEFF"/>
            </w:tcBorders>
            <w:shd w:fill="CCEEFF" w:val="clear"/>
            <w:vAlign w:val="bottom"/>
          </w:tcPr>
          <w:p>
            <w:pPr>
              <w:pStyle w:val="TableContents"/>
              <w:spacing w:before="0" w:after="283"/>
              <w:jc w:val="left"/>
              <w:rPr/>
            </w:pPr>
            <w:r>
              <w:rPr/>
              <w:t> </w:t>
            </w:r>
          </w:p>
        </w:tc>
      </w:tr>
      <w:tr>
        <w:trPr/>
        <w:tc>
          <w:tcPr>
            <w:tcW w:w="4154" w:type="dxa"/>
            <w:tcBorders>
              <w:bottom w:val="doub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Segment operating income (loss)</w:t>
            </w:r>
          </w:p>
        </w:tc>
        <w:tc>
          <w:tcPr>
            <w:tcW w:w="191" w:type="dxa"/>
            <w:tcBorders>
              <w:bottom w:val="single" w:sz="4" w:space="0" w:color="FFFFFF"/>
            </w:tcBorders>
            <w:shd w:fill="FFFFFF" w:val="clear"/>
            <w:vAlign w:val="center"/>
          </w:tcPr>
          <w:p>
            <w:pPr>
              <w:pStyle w:val="TableContents"/>
              <w:spacing w:before="0" w:after="283"/>
              <w:rPr/>
            </w:pPr>
            <w:r>
              <w:rPr/>
              <w:t> </w:t>
            </w:r>
          </w:p>
        </w:tc>
        <w:tc>
          <w:tcPr>
            <w:tcW w:w="125" w:type="dxa"/>
            <w:tcBorders>
              <w:bottom w:val="doub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bookmarkStart w:id="1412" w:name="TAB1524"/>
            <w:bookmarkEnd w:id="1412"/>
            <w:r>
              <w:rPr>
                <w:rFonts w:ascii="Times New Roman" w:hAnsi="Times New Roman"/>
                <w:sz w:val="20"/>
              </w:rPr>
              <w:t>$</w:t>
            </w:r>
          </w:p>
        </w:tc>
        <w:tc>
          <w:tcPr>
            <w:tcW w:w="1134"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1413" w:name="TAB1525"/>
            <w:bookmarkEnd w:id="1413"/>
            <w:r>
              <w:rPr>
                <w:rFonts w:ascii="Times New Roman" w:hAnsi="Times New Roman"/>
                <w:sz w:val="20"/>
              </w:rPr>
              <w:t>(2,157</w:t>
            </w:r>
          </w:p>
        </w:tc>
        <w:tc>
          <w:tcPr>
            <w:tcW w:w="197" w:type="dxa"/>
            <w:tcBorders>
              <w:bottom w:val="single" w:sz="4" w:space="0" w:color="FFFFFF"/>
            </w:tcBorders>
            <w:shd w:fill="FFFFFF" w:val="clear"/>
            <w:vAlign w:val="bottom"/>
          </w:tcPr>
          <w:p>
            <w:pPr>
              <w:pStyle w:val="TableContents"/>
              <w:spacing w:lineRule="auto" w:line="300" w:before="0" w:after="0"/>
              <w:ind w:left="0" w:right="0" w:hanging="0"/>
              <w:jc w:val="left"/>
              <w:rPr>
                <w:rFonts w:ascii="Times New Roman" w:hAnsi="Times New Roman"/>
                <w:sz w:val="20"/>
              </w:rPr>
            </w:pPr>
            <w:bookmarkStart w:id="1414" w:name="TAB1526"/>
            <w:bookmarkEnd w:id="1414"/>
            <w:r>
              <w:rPr>
                <w:rFonts w:ascii="Times New Roman" w:hAnsi="Times New Roman"/>
                <w:sz w:val="20"/>
              </w:rPr>
              <w:t>)</w:t>
            </w:r>
          </w:p>
        </w:tc>
        <w:tc>
          <w:tcPr>
            <w:tcW w:w="125" w:type="dxa"/>
            <w:tcBorders>
              <w:bottom w:val="doub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bookmarkStart w:id="1415" w:name="TAB1527"/>
            <w:bookmarkEnd w:id="1415"/>
            <w:r>
              <w:rPr>
                <w:rFonts w:ascii="Times New Roman" w:hAnsi="Times New Roman"/>
                <w:sz w:val="20"/>
              </w:rPr>
              <w:t>$</w:t>
            </w:r>
          </w:p>
        </w:tc>
        <w:tc>
          <w:tcPr>
            <w:tcW w:w="1204"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1416" w:name="TAB1528"/>
            <w:bookmarkEnd w:id="1416"/>
            <w:r>
              <w:rPr>
                <w:rFonts w:ascii="Times New Roman" w:hAnsi="Times New Roman"/>
                <w:sz w:val="20"/>
              </w:rPr>
              <w:t>(1,132</w:t>
            </w:r>
          </w:p>
        </w:tc>
        <w:tc>
          <w:tcPr>
            <w:tcW w:w="197" w:type="dxa"/>
            <w:tcBorders>
              <w:bottom w:val="single" w:sz="4" w:space="0" w:color="FFFFFF"/>
            </w:tcBorders>
            <w:shd w:fill="FFFFFF" w:val="clear"/>
            <w:vAlign w:val="bottom"/>
          </w:tcPr>
          <w:p>
            <w:pPr>
              <w:pStyle w:val="TableContents"/>
              <w:spacing w:lineRule="auto" w:line="300" w:before="0" w:after="0"/>
              <w:ind w:left="0" w:right="0" w:hanging="0"/>
              <w:jc w:val="left"/>
              <w:rPr>
                <w:rFonts w:ascii="Times New Roman" w:hAnsi="Times New Roman"/>
                <w:sz w:val="20"/>
              </w:rPr>
            </w:pPr>
            <w:bookmarkStart w:id="1417" w:name="TAB1529"/>
            <w:bookmarkEnd w:id="1417"/>
            <w:r>
              <w:rPr>
                <w:rFonts w:ascii="Times New Roman" w:hAnsi="Times New Roman"/>
                <w:sz w:val="20"/>
              </w:rPr>
              <w:t>)</w:t>
            </w:r>
          </w:p>
        </w:tc>
        <w:tc>
          <w:tcPr>
            <w:tcW w:w="125" w:type="dxa"/>
            <w:tcBorders>
              <w:bottom w:val="doub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bookmarkStart w:id="1418" w:name="TAB1530"/>
            <w:bookmarkEnd w:id="1418"/>
            <w:r>
              <w:rPr>
                <w:rFonts w:ascii="Times New Roman" w:hAnsi="Times New Roman"/>
                <w:sz w:val="20"/>
              </w:rPr>
              <w:t>$</w:t>
            </w:r>
          </w:p>
        </w:tc>
        <w:tc>
          <w:tcPr>
            <w:tcW w:w="1176"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1419" w:name="TAB1531"/>
            <w:bookmarkEnd w:id="1419"/>
            <w:r>
              <w:rPr>
                <w:rFonts w:ascii="Times New Roman" w:hAnsi="Times New Roman"/>
                <w:sz w:val="20"/>
              </w:rPr>
              <w:t>2,259</w:t>
            </w:r>
          </w:p>
        </w:tc>
        <w:tc>
          <w:tcPr>
            <w:tcW w:w="197" w:type="dxa"/>
            <w:tcBorders>
              <w:bottom w:val="single" w:sz="4" w:space="0" w:color="FFFFFF"/>
            </w:tcBorders>
            <w:shd w:fill="FFFFFF" w:val="clear"/>
            <w:vAlign w:val="bottom"/>
          </w:tcPr>
          <w:p>
            <w:pPr>
              <w:pStyle w:val="TableContents"/>
              <w:spacing w:before="0" w:after="283"/>
              <w:jc w:val="left"/>
              <w:rPr/>
            </w:pPr>
            <w:r>
              <w:rPr/>
              <w:t> </w:t>
            </w:r>
          </w:p>
        </w:tc>
        <w:tc>
          <w:tcPr>
            <w:tcW w:w="125" w:type="dxa"/>
            <w:tcBorders>
              <w:bottom w:val="doub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bookmarkStart w:id="1420" w:name="TAB1532"/>
            <w:bookmarkEnd w:id="1420"/>
            <w:r>
              <w:rPr>
                <w:rFonts w:ascii="Times New Roman" w:hAnsi="Times New Roman"/>
                <w:sz w:val="20"/>
              </w:rPr>
              <w:t>$</w:t>
            </w:r>
          </w:p>
        </w:tc>
        <w:tc>
          <w:tcPr>
            <w:tcW w:w="1134"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1421" w:name="TAB1533"/>
            <w:bookmarkEnd w:id="1421"/>
            <w:r>
              <w:rPr>
                <w:rFonts w:ascii="Times New Roman" w:hAnsi="Times New Roman"/>
                <w:sz w:val="20"/>
              </w:rPr>
              <w:t>(1,030</w:t>
            </w:r>
          </w:p>
        </w:tc>
        <w:tc>
          <w:tcPr>
            <w:tcW w:w="121" w:type="dxa"/>
            <w:tcBorders>
              <w:bottom w:val="single" w:sz="4" w:space="0" w:color="FFFFFF"/>
            </w:tcBorders>
            <w:shd w:fill="FFFFFF" w:val="clear"/>
            <w:vAlign w:val="bottom"/>
          </w:tcPr>
          <w:p>
            <w:pPr>
              <w:pStyle w:val="TableContents"/>
              <w:spacing w:lineRule="auto" w:line="300" w:before="0" w:after="0"/>
              <w:ind w:left="0" w:right="0" w:hanging="0"/>
              <w:jc w:val="left"/>
              <w:rPr>
                <w:rFonts w:ascii="Times New Roman" w:hAnsi="Times New Roman"/>
                <w:sz w:val="20"/>
              </w:rPr>
            </w:pPr>
            <w:bookmarkStart w:id="1422" w:name="TAB1534"/>
            <w:bookmarkEnd w:id="1422"/>
            <w:r>
              <w:rPr>
                <w:rFonts w:ascii="Times New Roman" w:hAnsi="Times New Roman"/>
                <w:sz w:val="20"/>
              </w:rPr>
              <w:t>)</w:t>
            </w:r>
          </w:p>
        </w:tc>
      </w:tr>
      <w:tr>
        <w:trPr/>
        <w:tc>
          <w:tcPr>
            <w:tcW w:w="4154" w:type="dxa"/>
            <w:tcBorders/>
            <w:shd w:fill="CCEEFF" w:val="clear"/>
            <w:tcMar>
              <w:bottom w:w="0" w:type="dxa"/>
            </w:tcMar>
            <w:vAlign w:val="bottom"/>
          </w:tcPr>
          <w:p>
            <w:pPr>
              <w:pStyle w:val="TableContents"/>
              <w:spacing w:before="0" w:after="283"/>
              <w:jc w:val="left"/>
              <w:rPr/>
            </w:pPr>
            <w:r>
              <w:rPr/>
              <w:t> </w:t>
            </w:r>
          </w:p>
        </w:tc>
        <w:tc>
          <w:tcPr>
            <w:tcW w:w="191" w:type="dxa"/>
            <w:tcBorders/>
            <w:shd w:fill="CCEEFF" w:val="clear"/>
            <w:tcMar>
              <w:bottom w:w="0" w:type="dxa"/>
            </w:tcMar>
            <w:vAlign w:val="center"/>
          </w:tcPr>
          <w:p>
            <w:pPr>
              <w:pStyle w:val="TableContents"/>
              <w:spacing w:before="0" w:after="283"/>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134" w:type="dxa"/>
            <w:tcBorders/>
            <w:shd w:fill="CCEEFF" w:val="clear"/>
            <w:tcMar>
              <w:bottom w:w="0" w:type="dxa"/>
            </w:tcMar>
            <w:vAlign w:val="bottom"/>
          </w:tcPr>
          <w:p>
            <w:pPr>
              <w:pStyle w:val="TableContents"/>
              <w:spacing w:before="0" w:after="283"/>
              <w:jc w:val="right"/>
              <w:rPr/>
            </w:pPr>
            <w:r>
              <w:rPr/>
              <w:t> </w:t>
            </w:r>
          </w:p>
        </w:tc>
        <w:tc>
          <w:tcPr>
            <w:tcW w:w="197"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204" w:type="dxa"/>
            <w:tcBorders/>
            <w:shd w:fill="CCEEFF" w:val="clear"/>
            <w:tcMar>
              <w:bottom w:w="0" w:type="dxa"/>
            </w:tcMar>
            <w:vAlign w:val="bottom"/>
          </w:tcPr>
          <w:p>
            <w:pPr>
              <w:pStyle w:val="TableContents"/>
              <w:spacing w:before="0" w:after="283"/>
              <w:jc w:val="right"/>
              <w:rPr/>
            </w:pPr>
            <w:r>
              <w:rPr/>
              <w:t> </w:t>
            </w:r>
          </w:p>
        </w:tc>
        <w:tc>
          <w:tcPr>
            <w:tcW w:w="197"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176" w:type="dxa"/>
            <w:tcBorders/>
            <w:shd w:fill="CCEEFF" w:val="clear"/>
            <w:tcMar>
              <w:bottom w:w="0" w:type="dxa"/>
            </w:tcMar>
            <w:vAlign w:val="bottom"/>
          </w:tcPr>
          <w:p>
            <w:pPr>
              <w:pStyle w:val="TableContents"/>
              <w:spacing w:before="0" w:after="283"/>
              <w:jc w:val="right"/>
              <w:rPr/>
            </w:pPr>
            <w:r>
              <w:rPr/>
              <w:t> </w:t>
            </w:r>
          </w:p>
        </w:tc>
        <w:tc>
          <w:tcPr>
            <w:tcW w:w="197"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134" w:type="dxa"/>
            <w:tcBorders/>
            <w:shd w:fill="CCEEFF" w:val="clear"/>
            <w:tcMar>
              <w:bottom w:w="0" w:type="dxa"/>
            </w:tcMar>
            <w:vAlign w:val="bottom"/>
          </w:tcPr>
          <w:p>
            <w:pPr>
              <w:pStyle w:val="TableContents"/>
              <w:spacing w:before="0" w:after="283"/>
              <w:jc w:val="right"/>
              <w:rPr/>
            </w:pPr>
            <w:r>
              <w:rPr/>
              <w:t> </w:t>
            </w:r>
          </w:p>
        </w:tc>
        <w:tc>
          <w:tcPr>
            <w:tcW w:w="121" w:type="dxa"/>
            <w:tcBorders/>
            <w:shd w:fill="CCEEFF" w:val="clear"/>
            <w:tcMar>
              <w:bottom w:w="0" w:type="dxa"/>
            </w:tcMar>
            <w:vAlign w:val="bottom"/>
          </w:tcPr>
          <w:p>
            <w:pPr>
              <w:pStyle w:val="TableContents"/>
              <w:spacing w:before="0" w:after="283"/>
              <w:jc w:val="left"/>
              <w:rPr/>
            </w:pPr>
            <w:r>
              <w:rPr/>
              <w:t> </w:t>
            </w:r>
          </w:p>
        </w:tc>
      </w:tr>
      <w:tr>
        <w:trPr/>
        <w:tc>
          <w:tcPr>
            <w:tcW w:w="4154" w:type="dxa"/>
            <w:tcBorders>
              <w:bottom w:val="double" w:sz="2" w:space="0" w:color="000000"/>
            </w:tcBorders>
            <w:shd w:fill="FFFFFF" w:val="clear"/>
            <w:vAlign w:val="bottom"/>
          </w:tcPr>
          <w:p>
            <w:pPr>
              <w:pStyle w:val="TableContents"/>
              <w:spacing w:lineRule="auto" w:line="300" w:before="0" w:after="0"/>
              <w:ind w:left="0" w:right="0" w:hanging="0"/>
              <w:jc w:val="left"/>
              <w:rPr/>
            </w:pPr>
            <w:r>
              <w:rPr>
                <w:rStyle w:val="StrongEmphasis"/>
                <w:rFonts w:ascii="Times New Roman" w:hAnsi="Times New Roman"/>
                <w:sz w:val="20"/>
              </w:rPr>
              <w:t>Year Ended December 31, 2004</w:t>
            </w:r>
          </w:p>
        </w:tc>
        <w:tc>
          <w:tcPr>
            <w:tcW w:w="191" w:type="dxa"/>
            <w:tcBorders>
              <w:bottom w:val="single" w:sz="4" w:space="0" w:color="FFFFFF"/>
            </w:tcBorders>
            <w:shd w:fill="FFFFFF" w:val="clear"/>
            <w:vAlign w:val="center"/>
          </w:tcPr>
          <w:p>
            <w:pPr>
              <w:pStyle w:val="TableContents"/>
              <w:spacing w:before="0" w:after="283"/>
              <w:rPr/>
            </w:pPr>
            <w:r>
              <w:rPr/>
              <w:t> </w:t>
            </w:r>
          </w:p>
        </w:tc>
        <w:tc>
          <w:tcPr>
            <w:tcW w:w="125" w:type="dxa"/>
            <w:tcBorders>
              <w:bottom w:val="double" w:sz="2" w:space="0" w:color="000000"/>
            </w:tcBorders>
            <w:shd w:fill="FFFFFF" w:val="clear"/>
            <w:vAlign w:val="bottom"/>
          </w:tcPr>
          <w:p>
            <w:pPr>
              <w:pStyle w:val="TableContents"/>
              <w:spacing w:before="0" w:after="283"/>
              <w:jc w:val="left"/>
              <w:rPr/>
            </w:pPr>
            <w:r>
              <w:rPr/>
              <w:t> </w:t>
            </w:r>
          </w:p>
        </w:tc>
        <w:tc>
          <w:tcPr>
            <w:tcW w:w="1134" w:type="dxa"/>
            <w:tcBorders>
              <w:bottom w:val="double" w:sz="2" w:space="0" w:color="000000"/>
            </w:tcBorders>
            <w:shd w:fill="FFFFFF" w:val="clear"/>
            <w:vAlign w:val="bottom"/>
          </w:tcPr>
          <w:p>
            <w:pPr>
              <w:pStyle w:val="TableContents"/>
              <w:spacing w:lineRule="auto" w:line="300" w:before="0" w:after="0"/>
              <w:ind w:left="0" w:right="0" w:hanging="0"/>
              <w:jc w:val="center"/>
              <w:rPr/>
            </w:pPr>
            <w:r>
              <w:rPr>
                <w:rStyle w:val="StrongEmphasis"/>
                <w:rFonts w:ascii="Times New Roman" w:hAnsi="Times New Roman"/>
                <w:sz w:val="20"/>
              </w:rPr>
              <w:t>United States</w:t>
            </w:r>
          </w:p>
        </w:tc>
        <w:tc>
          <w:tcPr>
            <w:tcW w:w="197" w:type="dxa"/>
            <w:tcBorders>
              <w:bottom w:val="single" w:sz="4" w:space="0" w:color="FFFFFF"/>
            </w:tcBorders>
            <w:shd w:fill="FFFFFF" w:val="clear"/>
            <w:vAlign w:val="bottom"/>
          </w:tcPr>
          <w:p>
            <w:pPr>
              <w:pStyle w:val="TableContents"/>
              <w:spacing w:before="0" w:after="283"/>
              <w:jc w:val="left"/>
              <w:rPr/>
            </w:pPr>
            <w:r>
              <w:rPr/>
              <w:t> </w:t>
            </w:r>
          </w:p>
        </w:tc>
        <w:tc>
          <w:tcPr>
            <w:tcW w:w="125" w:type="dxa"/>
            <w:tcBorders>
              <w:bottom w:val="double" w:sz="2" w:space="0" w:color="000000"/>
            </w:tcBorders>
            <w:shd w:fill="FFFFFF" w:val="clear"/>
            <w:vAlign w:val="bottom"/>
          </w:tcPr>
          <w:p>
            <w:pPr>
              <w:pStyle w:val="TableContents"/>
              <w:spacing w:before="0" w:after="283"/>
              <w:jc w:val="left"/>
              <w:rPr/>
            </w:pPr>
            <w:r>
              <w:rPr/>
              <w:t> </w:t>
            </w:r>
          </w:p>
        </w:tc>
        <w:tc>
          <w:tcPr>
            <w:tcW w:w="1204" w:type="dxa"/>
            <w:tcBorders>
              <w:bottom w:val="double" w:sz="2" w:space="0" w:color="000000"/>
            </w:tcBorders>
            <w:shd w:fill="FFFFFF" w:val="clear"/>
            <w:vAlign w:val="bottom"/>
          </w:tcPr>
          <w:p>
            <w:pPr>
              <w:pStyle w:val="TableContents"/>
              <w:spacing w:lineRule="auto" w:line="300" w:before="0" w:after="0"/>
              <w:ind w:left="0" w:right="0" w:hanging="0"/>
              <w:jc w:val="center"/>
              <w:rPr/>
            </w:pPr>
            <w:r>
              <w:rPr>
                <w:rStyle w:val="StrongEmphasis"/>
                <w:rFonts w:ascii="Times New Roman" w:hAnsi="Times New Roman"/>
                <w:sz w:val="20"/>
              </w:rPr>
              <w:t>Australia</w:t>
            </w:r>
          </w:p>
        </w:tc>
        <w:tc>
          <w:tcPr>
            <w:tcW w:w="197" w:type="dxa"/>
            <w:tcBorders>
              <w:bottom w:val="single" w:sz="4" w:space="0" w:color="FFFFFF"/>
            </w:tcBorders>
            <w:shd w:fill="FFFFFF" w:val="clear"/>
            <w:vAlign w:val="bottom"/>
          </w:tcPr>
          <w:p>
            <w:pPr>
              <w:pStyle w:val="TableContents"/>
              <w:spacing w:before="0" w:after="283"/>
              <w:jc w:val="left"/>
              <w:rPr/>
            </w:pPr>
            <w:r>
              <w:rPr/>
              <w:t> </w:t>
            </w:r>
          </w:p>
        </w:tc>
        <w:tc>
          <w:tcPr>
            <w:tcW w:w="125" w:type="dxa"/>
            <w:tcBorders>
              <w:bottom w:val="double" w:sz="2" w:space="0" w:color="000000"/>
            </w:tcBorders>
            <w:shd w:fill="FFFFFF" w:val="clear"/>
            <w:vAlign w:val="bottom"/>
          </w:tcPr>
          <w:p>
            <w:pPr>
              <w:pStyle w:val="TableContents"/>
              <w:spacing w:before="0" w:after="283"/>
              <w:jc w:val="left"/>
              <w:rPr/>
            </w:pPr>
            <w:r>
              <w:rPr/>
              <w:t> </w:t>
            </w:r>
          </w:p>
        </w:tc>
        <w:tc>
          <w:tcPr>
            <w:tcW w:w="1176" w:type="dxa"/>
            <w:tcBorders>
              <w:bottom w:val="double" w:sz="2" w:space="0" w:color="000000"/>
            </w:tcBorders>
            <w:shd w:fill="FFFFFF" w:val="clear"/>
            <w:vAlign w:val="bottom"/>
          </w:tcPr>
          <w:p>
            <w:pPr>
              <w:pStyle w:val="TableContents"/>
              <w:spacing w:lineRule="auto" w:line="300" w:before="0" w:after="0"/>
              <w:ind w:left="0" w:right="0" w:hanging="0"/>
              <w:jc w:val="center"/>
              <w:rPr/>
            </w:pPr>
            <w:r>
              <w:rPr>
                <w:rStyle w:val="StrongEmphasis"/>
                <w:rFonts w:ascii="Times New Roman" w:hAnsi="Times New Roman"/>
                <w:sz w:val="20"/>
              </w:rPr>
              <w:t>New Zealand</w:t>
            </w:r>
          </w:p>
        </w:tc>
        <w:tc>
          <w:tcPr>
            <w:tcW w:w="197" w:type="dxa"/>
            <w:tcBorders>
              <w:bottom w:val="single" w:sz="4" w:space="0" w:color="FFFFFF"/>
            </w:tcBorders>
            <w:shd w:fill="FFFFFF" w:val="clear"/>
            <w:vAlign w:val="bottom"/>
          </w:tcPr>
          <w:p>
            <w:pPr>
              <w:pStyle w:val="TableContents"/>
              <w:spacing w:before="0" w:after="283"/>
              <w:jc w:val="left"/>
              <w:rPr/>
            </w:pPr>
            <w:r>
              <w:rPr/>
              <w:t> </w:t>
            </w:r>
          </w:p>
        </w:tc>
        <w:tc>
          <w:tcPr>
            <w:tcW w:w="125" w:type="dxa"/>
            <w:tcBorders>
              <w:bottom w:val="double" w:sz="2" w:space="0" w:color="000000"/>
            </w:tcBorders>
            <w:shd w:fill="FFFFFF" w:val="clear"/>
            <w:vAlign w:val="bottom"/>
          </w:tcPr>
          <w:p>
            <w:pPr>
              <w:pStyle w:val="TableContents"/>
              <w:spacing w:before="0" w:after="283"/>
              <w:jc w:val="left"/>
              <w:rPr/>
            </w:pPr>
            <w:r>
              <w:rPr/>
              <w:t> </w:t>
            </w:r>
          </w:p>
        </w:tc>
        <w:tc>
          <w:tcPr>
            <w:tcW w:w="1134" w:type="dxa"/>
            <w:tcBorders>
              <w:bottom w:val="double" w:sz="2" w:space="0" w:color="000000"/>
            </w:tcBorders>
            <w:shd w:fill="FFFFFF" w:val="clear"/>
            <w:vAlign w:val="bottom"/>
          </w:tcPr>
          <w:p>
            <w:pPr>
              <w:pStyle w:val="TableContents"/>
              <w:spacing w:lineRule="auto" w:line="300" w:before="0" w:after="0"/>
              <w:ind w:left="0" w:right="0" w:hanging="0"/>
              <w:jc w:val="center"/>
              <w:rPr/>
            </w:pPr>
            <w:r>
              <w:rPr>
                <w:rStyle w:val="StrongEmphasis"/>
                <w:rFonts w:ascii="Times New Roman" w:hAnsi="Times New Roman"/>
                <w:sz w:val="20"/>
              </w:rPr>
              <w:t>Total</w:t>
            </w:r>
          </w:p>
        </w:tc>
        <w:tc>
          <w:tcPr>
            <w:tcW w:w="121" w:type="dxa"/>
            <w:tcBorders>
              <w:bottom w:val="single" w:sz="4" w:space="0" w:color="FFFFFF"/>
            </w:tcBorders>
            <w:shd w:fill="FFFFFF" w:val="clear"/>
            <w:vAlign w:val="bottom"/>
          </w:tcPr>
          <w:p>
            <w:pPr>
              <w:pStyle w:val="TableContents"/>
              <w:spacing w:before="0" w:after="283"/>
              <w:jc w:val="left"/>
              <w:rPr/>
            </w:pPr>
            <w:r>
              <w:rPr/>
              <w:t> </w:t>
            </w:r>
          </w:p>
        </w:tc>
      </w:tr>
      <w:tr>
        <w:trPr/>
        <w:tc>
          <w:tcPr>
            <w:tcW w:w="4154"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Admissions revenue</w:t>
            </w:r>
          </w:p>
        </w:tc>
        <w:tc>
          <w:tcPr>
            <w:tcW w:w="191" w:type="dxa"/>
            <w:tcBorders/>
            <w:shd w:fill="CCEEFF" w:val="clear"/>
            <w:tcMar>
              <w:bottom w:w="0" w:type="dxa"/>
            </w:tcMar>
            <w:vAlign w:val="center"/>
          </w:tcPr>
          <w:p>
            <w:pPr>
              <w:pStyle w:val="TableContents"/>
              <w:spacing w:before="0" w:after="283"/>
              <w:rPr/>
            </w:pPr>
            <w:r>
              <w:rPr/>
              <w:t> </w:t>
            </w:r>
          </w:p>
        </w:tc>
        <w:tc>
          <w:tcPr>
            <w:tcW w:w="125"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1423" w:name="TAB1535"/>
            <w:bookmarkEnd w:id="1423"/>
            <w:r>
              <w:rPr>
                <w:rFonts w:ascii="Times New Roman" w:hAnsi="Times New Roman"/>
                <w:sz w:val="20"/>
              </w:rPr>
              <w:t>$</w:t>
            </w:r>
          </w:p>
        </w:tc>
        <w:tc>
          <w:tcPr>
            <w:tcW w:w="1134"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424" w:name="TAB1536"/>
            <w:bookmarkEnd w:id="1424"/>
            <w:r>
              <w:rPr>
                <w:rFonts w:ascii="Times New Roman" w:hAnsi="Times New Roman"/>
                <w:sz w:val="20"/>
              </w:rPr>
              <w:t>15,584</w:t>
            </w:r>
          </w:p>
        </w:tc>
        <w:tc>
          <w:tcPr>
            <w:tcW w:w="197"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1425" w:name="TAB1537"/>
            <w:bookmarkEnd w:id="1425"/>
            <w:r>
              <w:rPr>
                <w:rFonts w:ascii="Times New Roman" w:hAnsi="Times New Roman"/>
                <w:sz w:val="20"/>
              </w:rPr>
              <w:t>$</w:t>
            </w:r>
          </w:p>
        </w:tc>
        <w:tc>
          <w:tcPr>
            <w:tcW w:w="1204"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426" w:name="TAB1538"/>
            <w:bookmarkEnd w:id="1426"/>
            <w:r>
              <w:rPr>
                <w:rFonts w:ascii="Times New Roman" w:hAnsi="Times New Roman"/>
                <w:sz w:val="20"/>
              </w:rPr>
              <w:t>31,385</w:t>
            </w:r>
          </w:p>
        </w:tc>
        <w:tc>
          <w:tcPr>
            <w:tcW w:w="197"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1427" w:name="TAB1539"/>
            <w:bookmarkEnd w:id="1427"/>
            <w:r>
              <w:rPr>
                <w:rFonts w:ascii="Times New Roman" w:hAnsi="Times New Roman"/>
                <w:sz w:val="20"/>
              </w:rPr>
              <w:t>$</w:t>
            </w:r>
          </w:p>
        </w:tc>
        <w:tc>
          <w:tcPr>
            <w:tcW w:w="1176"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428" w:name="TAB1540"/>
            <w:bookmarkEnd w:id="1428"/>
            <w:r>
              <w:rPr>
                <w:rFonts w:ascii="Times New Roman" w:hAnsi="Times New Roman"/>
                <w:sz w:val="20"/>
              </w:rPr>
              <w:t>7,908</w:t>
            </w:r>
          </w:p>
        </w:tc>
        <w:tc>
          <w:tcPr>
            <w:tcW w:w="197"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1429" w:name="TAB1541"/>
            <w:bookmarkEnd w:id="1429"/>
            <w:r>
              <w:rPr>
                <w:rFonts w:ascii="Times New Roman" w:hAnsi="Times New Roman"/>
                <w:sz w:val="20"/>
              </w:rPr>
              <w:t>$</w:t>
            </w:r>
          </w:p>
        </w:tc>
        <w:tc>
          <w:tcPr>
            <w:tcW w:w="1134"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430" w:name="TAB1542"/>
            <w:bookmarkEnd w:id="1430"/>
            <w:r>
              <w:rPr>
                <w:rFonts w:ascii="Times New Roman" w:hAnsi="Times New Roman"/>
                <w:sz w:val="20"/>
              </w:rPr>
              <w:t>54,877</w:t>
            </w:r>
          </w:p>
        </w:tc>
        <w:tc>
          <w:tcPr>
            <w:tcW w:w="121" w:type="dxa"/>
            <w:tcBorders/>
            <w:shd w:fill="CCEEFF" w:val="clear"/>
            <w:tcMar>
              <w:bottom w:w="0" w:type="dxa"/>
            </w:tcMar>
            <w:vAlign w:val="bottom"/>
          </w:tcPr>
          <w:p>
            <w:pPr>
              <w:pStyle w:val="TableContents"/>
              <w:spacing w:before="0" w:after="283"/>
              <w:jc w:val="left"/>
              <w:rPr/>
            </w:pPr>
            <w:r>
              <w:rPr/>
              <w:t> </w:t>
            </w:r>
          </w:p>
        </w:tc>
      </w:tr>
      <w:tr>
        <w:trPr/>
        <w:tc>
          <w:tcPr>
            <w:tcW w:w="4154"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Concessions revenue</w:t>
            </w:r>
          </w:p>
        </w:tc>
        <w:tc>
          <w:tcPr>
            <w:tcW w:w="191" w:type="dxa"/>
            <w:tcBorders/>
            <w:shd w:fill="FFFFFF" w:val="clear"/>
            <w:tcMar>
              <w:bottom w:w="0" w:type="dxa"/>
            </w:tcMar>
            <w:vAlign w:val="center"/>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34"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4,338</w:t>
            </w:r>
          </w:p>
        </w:tc>
        <w:tc>
          <w:tcPr>
            <w:tcW w:w="197"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204"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9,451</w:t>
            </w:r>
          </w:p>
        </w:tc>
        <w:tc>
          <w:tcPr>
            <w:tcW w:w="197"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76"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2,293</w:t>
            </w:r>
          </w:p>
        </w:tc>
        <w:tc>
          <w:tcPr>
            <w:tcW w:w="197"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34"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16,082</w:t>
            </w:r>
          </w:p>
        </w:tc>
        <w:tc>
          <w:tcPr>
            <w:tcW w:w="121" w:type="dxa"/>
            <w:tcBorders/>
            <w:shd w:fill="FFFFFF" w:val="clear"/>
            <w:tcMar>
              <w:bottom w:w="0" w:type="dxa"/>
            </w:tcMar>
            <w:vAlign w:val="bottom"/>
          </w:tcPr>
          <w:p>
            <w:pPr>
              <w:pStyle w:val="TableContents"/>
              <w:spacing w:before="0" w:after="283"/>
              <w:jc w:val="left"/>
              <w:rPr/>
            </w:pPr>
            <w:r>
              <w:rPr/>
              <w:t> </w:t>
            </w:r>
          </w:p>
        </w:tc>
      </w:tr>
      <w:tr>
        <w:trPr/>
        <w:tc>
          <w:tcPr>
            <w:tcW w:w="4154" w:type="dxa"/>
            <w:tcBorders>
              <w:bottom w:val="sing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Advertising and other revenues</w:t>
            </w:r>
          </w:p>
        </w:tc>
        <w:tc>
          <w:tcPr>
            <w:tcW w:w="191" w:type="dxa"/>
            <w:tcBorders>
              <w:bottom w:val="single" w:sz="2" w:space="0" w:color="CCEEFF"/>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vAlign w:val="bottom"/>
          </w:tcPr>
          <w:p>
            <w:pPr>
              <w:pStyle w:val="TableContents"/>
              <w:spacing w:before="0" w:after="283"/>
              <w:jc w:val="left"/>
              <w:rPr/>
            </w:pPr>
            <w:r>
              <w:rPr/>
              <w:t> </w:t>
            </w:r>
          </w:p>
        </w:tc>
        <w:tc>
          <w:tcPr>
            <w:tcW w:w="1134"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1,374</w:t>
            </w:r>
          </w:p>
        </w:tc>
        <w:tc>
          <w:tcPr>
            <w:tcW w:w="197" w:type="dxa"/>
            <w:tcBorders>
              <w:bottom w:val="single" w:sz="2" w:space="0" w:color="CCEEFF"/>
            </w:tcBorders>
            <w:shd w:fill="CCEEFF" w:val="clear"/>
            <w:vAlign w:val="bottom"/>
          </w:tcPr>
          <w:p>
            <w:pPr>
              <w:pStyle w:val="TableContents"/>
              <w:spacing w:before="0" w:after="283"/>
              <w:jc w:val="left"/>
              <w:rPr/>
            </w:pPr>
            <w:r>
              <w:rPr/>
              <w:t> </w:t>
            </w:r>
          </w:p>
        </w:tc>
        <w:tc>
          <w:tcPr>
            <w:tcW w:w="125" w:type="dxa"/>
            <w:tcBorders>
              <w:bottom w:val="single" w:sz="2" w:space="0" w:color="000000"/>
            </w:tcBorders>
            <w:shd w:fill="CCEEFF" w:val="clear"/>
            <w:vAlign w:val="bottom"/>
          </w:tcPr>
          <w:p>
            <w:pPr>
              <w:pStyle w:val="TableContents"/>
              <w:spacing w:before="0" w:after="283"/>
              <w:jc w:val="left"/>
              <w:rPr/>
            </w:pPr>
            <w:r>
              <w:rPr/>
              <w:t> </w:t>
            </w:r>
          </w:p>
        </w:tc>
        <w:tc>
          <w:tcPr>
            <w:tcW w:w="1204"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1,600</w:t>
            </w:r>
          </w:p>
        </w:tc>
        <w:tc>
          <w:tcPr>
            <w:tcW w:w="197" w:type="dxa"/>
            <w:tcBorders>
              <w:bottom w:val="single" w:sz="2" w:space="0" w:color="CCEEFF"/>
            </w:tcBorders>
            <w:shd w:fill="CCEEFF" w:val="clear"/>
            <w:vAlign w:val="bottom"/>
          </w:tcPr>
          <w:p>
            <w:pPr>
              <w:pStyle w:val="TableContents"/>
              <w:spacing w:before="0" w:after="283"/>
              <w:jc w:val="left"/>
              <w:rPr/>
            </w:pPr>
            <w:r>
              <w:rPr/>
              <w:t> </w:t>
            </w:r>
          </w:p>
        </w:tc>
        <w:tc>
          <w:tcPr>
            <w:tcW w:w="125" w:type="dxa"/>
            <w:tcBorders>
              <w:bottom w:val="single" w:sz="2" w:space="0" w:color="000000"/>
            </w:tcBorders>
            <w:shd w:fill="CCEEFF" w:val="clear"/>
            <w:vAlign w:val="bottom"/>
          </w:tcPr>
          <w:p>
            <w:pPr>
              <w:pStyle w:val="TableContents"/>
              <w:spacing w:before="0" w:after="283"/>
              <w:jc w:val="left"/>
              <w:rPr/>
            </w:pPr>
            <w:r>
              <w:rPr/>
              <w:t> </w:t>
            </w:r>
          </w:p>
        </w:tc>
        <w:tc>
          <w:tcPr>
            <w:tcW w:w="1176"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391</w:t>
            </w:r>
          </w:p>
        </w:tc>
        <w:tc>
          <w:tcPr>
            <w:tcW w:w="197" w:type="dxa"/>
            <w:tcBorders>
              <w:bottom w:val="single" w:sz="2" w:space="0" w:color="CCEEFF"/>
            </w:tcBorders>
            <w:shd w:fill="CCEEFF" w:val="clear"/>
            <w:vAlign w:val="bottom"/>
          </w:tcPr>
          <w:p>
            <w:pPr>
              <w:pStyle w:val="TableContents"/>
              <w:spacing w:before="0" w:after="283"/>
              <w:jc w:val="left"/>
              <w:rPr/>
            </w:pPr>
            <w:r>
              <w:rPr/>
              <w:t> </w:t>
            </w:r>
          </w:p>
        </w:tc>
        <w:tc>
          <w:tcPr>
            <w:tcW w:w="125" w:type="dxa"/>
            <w:tcBorders>
              <w:bottom w:val="single" w:sz="2" w:space="0" w:color="000000"/>
            </w:tcBorders>
            <w:shd w:fill="CCEEFF" w:val="clear"/>
            <w:vAlign w:val="bottom"/>
          </w:tcPr>
          <w:p>
            <w:pPr>
              <w:pStyle w:val="TableContents"/>
              <w:spacing w:before="0" w:after="283"/>
              <w:jc w:val="left"/>
              <w:rPr/>
            </w:pPr>
            <w:r>
              <w:rPr/>
              <w:t> </w:t>
            </w:r>
          </w:p>
        </w:tc>
        <w:tc>
          <w:tcPr>
            <w:tcW w:w="1134"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3,365</w:t>
            </w:r>
          </w:p>
        </w:tc>
        <w:tc>
          <w:tcPr>
            <w:tcW w:w="121" w:type="dxa"/>
            <w:tcBorders>
              <w:bottom w:val="single" w:sz="2" w:space="0" w:color="CCEEFF"/>
            </w:tcBorders>
            <w:shd w:fill="CCEEFF" w:val="clear"/>
            <w:vAlign w:val="bottom"/>
          </w:tcPr>
          <w:p>
            <w:pPr>
              <w:pStyle w:val="TableContents"/>
              <w:spacing w:before="0" w:after="283"/>
              <w:jc w:val="left"/>
              <w:rPr/>
            </w:pPr>
            <w:r>
              <w:rPr/>
              <w:t> </w:t>
            </w:r>
          </w:p>
        </w:tc>
      </w:tr>
      <w:tr>
        <w:trPr/>
        <w:tc>
          <w:tcPr>
            <w:tcW w:w="4154" w:type="dxa"/>
            <w:tcBorders/>
            <w:shd w:fill="FFFFFF" w:val="clear"/>
            <w:tcMar>
              <w:bottom w:w="0" w:type="dxa"/>
            </w:tcMar>
            <w:vAlign w:val="bottom"/>
          </w:tcPr>
          <w:p>
            <w:pPr>
              <w:pStyle w:val="TableContents"/>
              <w:spacing w:lineRule="auto" w:line="300" w:before="0" w:after="0"/>
              <w:ind w:left="0" w:right="0" w:hanging="0"/>
              <w:jc w:val="left"/>
              <w:rPr/>
            </w:pPr>
            <w:r>
              <w:rPr>
                <w:rFonts w:ascii="Times New Roman" w:hAnsi="Times New Roman"/>
                <w:sz w:val="20"/>
              </w:rPr>
              <w:t>Total revenues</w:t>
            </w:r>
            <w:bookmarkStart w:id="1431" w:name="TAB271"/>
            <w:bookmarkEnd w:id="1431"/>
            <w:r>
              <w:rPr>
                <w:color w:val="000000"/>
                <w:spacing w:val="540"/>
              </w:rPr>
              <w:t> </w:t>
            </w:r>
          </w:p>
        </w:tc>
        <w:tc>
          <w:tcPr>
            <w:tcW w:w="191" w:type="dxa"/>
            <w:tcBorders/>
            <w:shd w:fill="FFFFFF" w:val="clear"/>
            <w:tcMar>
              <w:bottom w:w="0" w:type="dxa"/>
            </w:tcMar>
            <w:vAlign w:val="center"/>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34"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432" w:name="TAB1543"/>
            <w:bookmarkEnd w:id="1432"/>
            <w:r>
              <w:rPr>
                <w:rFonts w:ascii="Times New Roman" w:hAnsi="Times New Roman"/>
                <w:sz w:val="20"/>
              </w:rPr>
              <w:t>21,296</w:t>
            </w:r>
          </w:p>
        </w:tc>
        <w:tc>
          <w:tcPr>
            <w:tcW w:w="197"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204"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433" w:name="TAB1544"/>
            <w:bookmarkEnd w:id="1433"/>
            <w:r>
              <w:rPr>
                <w:rFonts w:ascii="Times New Roman" w:hAnsi="Times New Roman"/>
                <w:sz w:val="20"/>
              </w:rPr>
              <w:t>42,436</w:t>
            </w:r>
          </w:p>
        </w:tc>
        <w:tc>
          <w:tcPr>
            <w:tcW w:w="197"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76"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434" w:name="TAB1545"/>
            <w:bookmarkEnd w:id="1434"/>
            <w:r>
              <w:rPr>
                <w:rFonts w:ascii="Times New Roman" w:hAnsi="Times New Roman"/>
                <w:sz w:val="20"/>
              </w:rPr>
              <w:t>10,592</w:t>
            </w:r>
          </w:p>
        </w:tc>
        <w:tc>
          <w:tcPr>
            <w:tcW w:w="197"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34"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435" w:name="TAB1546"/>
            <w:bookmarkEnd w:id="1435"/>
            <w:r>
              <w:rPr>
                <w:rFonts w:ascii="Times New Roman" w:hAnsi="Times New Roman"/>
                <w:sz w:val="20"/>
              </w:rPr>
              <w:t>74,324</w:t>
            </w:r>
          </w:p>
        </w:tc>
        <w:tc>
          <w:tcPr>
            <w:tcW w:w="121" w:type="dxa"/>
            <w:tcBorders/>
            <w:shd w:fill="FFFFFF" w:val="clear"/>
            <w:tcMar>
              <w:bottom w:w="0" w:type="dxa"/>
            </w:tcMar>
            <w:vAlign w:val="bottom"/>
          </w:tcPr>
          <w:p>
            <w:pPr>
              <w:pStyle w:val="TableContents"/>
              <w:spacing w:before="0" w:after="283"/>
              <w:jc w:val="left"/>
              <w:rPr/>
            </w:pPr>
            <w:r>
              <w:rPr/>
              <w:t> </w:t>
            </w:r>
          </w:p>
        </w:tc>
      </w:tr>
      <w:tr>
        <w:trPr/>
        <w:tc>
          <w:tcPr>
            <w:tcW w:w="4154" w:type="dxa"/>
            <w:tcBorders/>
            <w:shd w:fill="CCEEFF" w:val="clear"/>
            <w:tcMar>
              <w:bottom w:w="0" w:type="dxa"/>
            </w:tcMar>
            <w:vAlign w:val="bottom"/>
          </w:tcPr>
          <w:p>
            <w:pPr>
              <w:pStyle w:val="TableContents"/>
              <w:spacing w:before="0" w:after="283"/>
              <w:jc w:val="left"/>
              <w:rPr/>
            </w:pPr>
            <w:r>
              <w:rPr/>
              <w:t> </w:t>
            </w:r>
          </w:p>
        </w:tc>
        <w:tc>
          <w:tcPr>
            <w:tcW w:w="191" w:type="dxa"/>
            <w:tcBorders/>
            <w:shd w:fill="CCEEFF" w:val="clear"/>
            <w:tcMar>
              <w:bottom w:w="0" w:type="dxa"/>
            </w:tcMar>
            <w:vAlign w:val="center"/>
          </w:tcPr>
          <w:p>
            <w:pPr>
              <w:pStyle w:val="TableContents"/>
              <w:spacing w:before="0" w:after="283"/>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134" w:type="dxa"/>
            <w:tcBorders/>
            <w:shd w:fill="CCEEFF" w:val="clear"/>
            <w:tcMar>
              <w:bottom w:w="0" w:type="dxa"/>
            </w:tcMar>
            <w:vAlign w:val="bottom"/>
          </w:tcPr>
          <w:p>
            <w:pPr>
              <w:pStyle w:val="TableContents"/>
              <w:spacing w:before="0" w:after="283"/>
              <w:jc w:val="right"/>
              <w:rPr/>
            </w:pPr>
            <w:r>
              <w:rPr/>
              <w:t> </w:t>
            </w:r>
          </w:p>
        </w:tc>
        <w:tc>
          <w:tcPr>
            <w:tcW w:w="197"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204" w:type="dxa"/>
            <w:tcBorders/>
            <w:shd w:fill="CCEEFF" w:val="clear"/>
            <w:tcMar>
              <w:bottom w:w="0" w:type="dxa"/>
            </w:tcMar>
            <w:vAlign w:val="bottom"/>
          </w:tcPr>
          <w:p>
            <w:pPr>
              <w:pStyle w:val="TableContents"/>
              <w:spacing w:before="0" w:after="283"/>
              <w:jc w:val="right"/>
              <w:rPr/>
            </w:pPr>
            <w:r>
              <w:rPr/>
              <w:t> </w:t>
            </w:r>
          </w:p>
        </w:tc>
        <w:tc>
          <w:tcPr>
            <w:tcW w:w="197"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176" w:type="dxa"/>
            <w:tcBorders/>
            <w:shd w:fill="CCEEFF" w:val="clear"/>
            <w:tcMar>
              <w:bottom w:w="0" w:type="dxa"/>
            </w:tcMar>
            <w:vAlign w:val="bottom"/>
          </w:tcPr>
          <w:p>
            <w:pPr>
              <w:pStyle w:val="TableContents"/>
              <w:spacing w:before="0" w:after="283"/>
              <w:jc w:val="right"/>
              <w:rPr/>
            </w:pPr>
            <w:r>
              <w:rPr/>
              <w:t> </w:t>
            </w:r>
          </w:p>
        </w:tc>
        <w:tc>
          <w:tcPr>
            <w:tcW w:w="197"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134" w:type="dxa"/>
            <w:tcBorders/>
            <w:shd w:fill="CCEEFF" w:val="clear"/>
            <w:tcMar>
              <w:bottom w:w="0" w:type="dxa"/>
            </w:tcMar>
            <w:vAlign w:val="bottom"/>
          </w:tcPr>
          <w:p>
            <w:pPr>
              <w:pStyle w:val="TableContents"/>
              <w:spacing w:before="0" w:after="283"/>
              <w:jc w:val="right"/>
              <w:rPr/>
            </w:pPr>
            <w:r>
              <w:rPr/>
              <w:t> </w:t>
            </w:r>
          </w:p>
        </w:tc>
        <w:tc>
          <w:tcPr>
            <w:tcW w:w="121" w:type="dxa"/>
            <w:tcBorders/>
            <w:shd w:fill="CCEEFF" w:val="clear"/>
            <w:tcMar>
              <w:bottom w:w="0" w:type="dxa"/>
            </w:tcMar>
            <w:vAlign w:val="bottom"/>
          </w:tcPr>
          <w:p>
            <w:pPr>
              <w:pStyle w:val="TableContents"/>
              <w:spacing w:before="0" w:after="283"/>
              <w:jc w:val="left"/>
              <w:rPr/>
            </w:pPr>
            <w:r>
              <w:rPr/>
              <w:t> </w:t>
            </w:r>
          </w:p>
        </w:tc>
      </w:tr>
      <w:tr>
        <w:trPr/>
        <w:tc>
          <w:tcPr>
            <w:tcW w:w="4154" w:type="dxa"/>
            <w:tcBorders/>
            <w:shd w:fill="FFFFFF" w:val="clear"/>
            <w:tcMar>
              <w:bottom w:w="0" w:type="dxa"/>
            </w:tcMar>
            <w:vAlign w:val="bottom"/>
          </w:tcPr>
          <w:p>
            <w:pPr>
              <w:pStyle w:val="TableContents"/>
              <w:spacing w:lineRule="auto" w:line="300" w:before="0" w:after="0"/>
              <w:ind w:left="0" w:right="0" w:hanging="0"/>
              <w:jc w:val="left"/>
              <w:rPr/>
            </w:pPr>
            <w:r>
              <w:rPr>
                <w:rFonts w:ascii="Times New Roman" w:hAnsi="Times New Roman"/>
                <w:sz w:val="20"/>
              </w:rPr>
              <w:t xml:space="preserve">Cinema costs </w:t>
            </w:r>
            <w:r>
              <w:rPr>
                <w:rFonts w:ascii="Times New Roman" w:hAnsi="Times New Roman"/>
                <w:position w:val="7"/>
                <w:sz w:val="16"/>
                <w:sz w:val="20"/>
              </w:rPr>
              <w:t>16</w:t>
            </w:r>
            <w:r>
              <w:rPr/>
              <w:t> </w:t>
            </w:r>
          </w:p>
        </w:tc>
        <w:tc>
          <w:tcPr>
            <w:tcW w:w="191" w:type="dxa"/>
            <w:tcBorders/>
            <w:shd w:fill="FFFFFF" w:val="clear"/>
            <w:tcMar>
              <w:bottom w:w="0" w:type="dxa"/>
            </w:tcMar>
            <w:vAlign w:val="center"/>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34"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436" w:name="TAB1547"/>
            <w:bookmarkEnd w:id="1436"/>
            <w:r>
              <w:rPr>
                <w:rFonts w:ascii="Times New Roman" w:hAnsi="Times New Roman"/>
                <w:sz w:val="20"/>
              </w:rPr>
              <w:t>16,734</w:t>
            </w:r>
          </w:p>
        </w:tc>
        <w:tc>
          <w:tcPr>
            <w:tcW w:w="197"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204"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437" w:name="TAB1548"/>
            <w:bookmarkEnd w:id="1437"/>
            <w:r>
              <w:rPr>
                <w:rFonts w:ascii="Times New Roman" w:hAnsi="Times New Roman"/>
                <w:sz w:val="20"/>
              </w:rPr>
              <w:t>33,577</w:t>
            </w:r>
          </w:p>
        </w:tc>
        <w:tc>
          <w:tcPr>
            <w:tcW w:w="197"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76"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438" w:name="TAB1549"/>
            <w:bookmarkEnd w:id="1438"/>
            <w:r>
              <w:rPr>
                <w:rFonts w:ascii="Times New Roman" w:hAnsi="Times New Roman"/>
                <w:sz w:val="20"/>
              </w:rPr>
              <w:t>7,865</w:t>
            </w:r>
          </w:p>
        </w:tc>
        <w:tc>
          <w:tcPr>
            <w:tcW w:w="197"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34"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439" w:name="TAB1550"/>
            <w:bookmarkEnd w:id="1439"/>
            <w:r>
              <w:rPr>
                <w:rFonts w:ascii="Times New Roman" w:hAnsi="Times New Roman"/>
                <w:sz w:val="20"/>
              </w:rPr>
              <w:t>58,176</w:t>
            </w:r>
          </w:p>
        </w:tc>
        <w:tc>
          <w:tcPr>
            <w:tcW w:w="121" w:type="dxa"/>
            <w:tcBorders/>
            <w:shd w:fill="FFFFFF" w:val="clear"/>
            <w:tcMar>
              <w:bottom w:w="0" w:type="dxa"/>
            </w:tcMar>
            <w:vAlign w:val="bottom"/>
          </w:tcPr>
          <w:p>
            <w:pPr>
              <w:pStyle w:val="TableContents"/>
              <w:spacing w:before="0" w:after="283"/>
              <w:jc w:val="left"/>
              <w:rPr/>
            </w:pPr>
            <w:r>
              <w:rPr/>
              <w:t> </w:t>
            </w:r>
          </w:p>
        </w:tc>
      </w:tr>
      <w:tr>
        <w:trPr/>
        <w:tc>
          <w:tcPr>
            <w:tcW w:w="4154" w:type="dxa"/>
            <w:tcBorders>
              <w:bottom w:val="sing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Concession costs</w:t>
            </w:r>
          </w:p>
        </w:tc>
        <w:tc>
          <w:tcPr>
            <w:tcW w:w="191" w:type="dxa"/>
            <w:tcBorders>
              <w:bottom w:val="single" w:sz="2" w:space="0" w:color="CCEEFF"/>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vAlign w:val="bottom"/>
          </w:tcPr>
          <w:p>
            <w:pPr>
              <w:pStyle w:val="TableContents"/>
              <w:spacing w:before="0" w:after="283"/>
              <w:jc w:val="left"/>
              <w:rPr/>
            </w:pPr>
            <w:r>
              <w:rPr/>
              <w:t> </w:t>
            </w:r>
          </w:p>
        </w:tc>
        <w:tc>
          <w:tcPr>
            <w:tcW w:w="1134"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1440" w:name="TAB1551"/>
            <w:bookmarkEnd w:id="1440"/>
            <w:r>
              <w:rPr>
                <w:rFonts w:ascii="Times New Roman" w:hAnsi="Times New Roman"/>
                <w:sz w:val="20"/>
              </w:rPr>
              <w:t>904</w:t>
            </w:r>
          </w:p>
        </w:tc>
        <w:tc>
          <w:tcPr>
            <w:tcW w:w="197" w:type="dxa"/>
            <w:tcBorders>
              <w:bottom w:val="single" w:sz="2" w:space="0" w:color="CCEEFF"/>
            </w:tcBorders>
            <w:shd w:fill="CCEEFF" w:val="clear"/>
            <w:vAlign w:val="bottom"/>
          </w:tcPr>
          <w:p>
            <w:pPr>
              <w:pStyle w:val="TableContents"/>
              <w:spacing w:before="0" w:after="283"/>
              <w:jc w:val="left"/>
              <w:rPr/>
            </w:pPr>
            <w:r>
              <w:rPr/>
              <w:t> </w:t>
            </w:r>
          </w:p>
        </w:tc>
        <w:tc>
          <w:tcPr>
            <w:tcW w:w="125" w:type="dxa"/>
            <w:tcBorders>
              <w:bottom w:val="single" w:sz="2" w:space="0" w:color="000000"/>
            </w:tcBorders>
            <w:shd w:fill="CCEEFF" w:val="clear"/>
            <w:vAlign w:val="bottom"/>
          </w:tcPr>
          <w:p>
            <w:pPr>
              <w:pStyle w:val="TableContents"/>
              <w:spacing w:before="0" w:after="283"/>
              <w:jc w:val="left"/>
              <w:rPr/>
            </w:pPr>
            <w:r>
              <w:rPr/>
              <w:t> </w:t>
            </w:r>
          </w:p>
        </w:tc>
        <w:tc>
          <w:tcPr>
            <w:tcW w:w="1204"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1441" w:name="TAB1552"/>
            <w:bookmarkEnd w:id="1441"/>
            <w:r>
              <w:rPr>
                <w:rFonts w:ascii="Times New Roman" w:hAnsi="Times New Roman"/>
                <w:sz w:val="20"/>
              </w:rPr>
              <w:t>2,213</w:t>
            </w:r>
          </w:p>
        </w:tc>
        <w:tc>
          <w:tcPr>
            <w:tcW w:w="197" w:type="dxa"/>
            <w:tcBorders>
              <w:bottom w:val="single" w:sz="2" w:space="0" w:color="CCEEFF"/>
            </w:tcBorders>
            <w:shd w:fill="CCEEFF" w:val="clear"/>
            <w:vAlign w:val="bottom"/>
          </w:tcPr>
          <w:p>
            <w:pPr>
              <w:pStyle w:val="TableContents"/>
              <w:spacing w:before="0" w:after="283"/>
              <w:jc w:val="left"/>
              <w:rPr/>
            </w:pPr>
            <w:r>
              <w:rPr/>
              <w:t> </w:t>
            </w:r>
          </w:p>
        </w:tc>
        <w:tc>
          <w:tcPr>
            <w:tcW w:w="125" w:type="dxa"/>
            <w:tcBorders>
              <w:bottom w:val="single" w:sz="2" w:space="0" w:color="000000"/>
            </w:tcBorders>
            <w:shd w:fill="CCEEFF" w:val="clear"/>
            <w:vAlign w:val="bottom"/>
          </w:tcPr>
          <w:p>
            <w:pPr>
              <w:pStyle w:val="TableContents"/>
              <w:spacing w:before="0" w:after="283"/>
              <w:jc w:val="left"/>
              <w:rPr/>
            </w:pPr>
            <w:r>
              <w:rPr/>
              <w:t> </w:t>
            </w:r>
          </w:p>
        </w:tc>
        <w:tc>
          <w:tcPr>
            <w:tcW w:w="1176"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1442" w:name="TAB1553"/>
            <w:bookmarkEnd w:id="1442"/>
            <w:r>
              <w:rPr>
                <w:rFonts w:ascii="Times New Roman" w:hAnsi="Times New Roman"/>
                <w:sz w:val="20"/>
              </w:rPr>
              <w:t>748</w:t>
            </w:r>
          </w:p>
        </w:tc>
        <w:tc>
          <w:tcPr>
            <w:tcW w:w="197" w:type="dxa"/>
            <w:tcBorders>
              <w:bottom w:val="single" w:sz="2" w:space="0" w:color="CCEEFF"/>
            </w:tcBorders>
            <w:shd w:fill="CCEEFF" w:val="clear"/>
            <w:vAlign w:val="bottom"/>
          </w:tcPr>
          <w:p>
            <w:pPr>
              <w:pStyle w:val="TableContents"/>
              <w:spacing w:before="0" w:after="283"/>
              <w:jc w:val="left"/>
              <w:rPr/>
            </w:pPr>
            <w:r>
              <w:rPr/>
              <w:t> </w:t>
            </w:r>
          </w:p>
        </w:tc>
        <w:tc>
          <w:tcPr>
            <w:tcW w:w="125" w:type="dxa"/>
            <w:tcBorders>
              <w:bottom w:val="single" w:sz="2" w:space="0" w:color="000000"/>
            </w:tcBorders>
            <w:shd w:fill="CCEEFF" w:val="clear"/>
            <w:vAlign w:val="bottom"/>
          </w:tcPr>
          <w:p>
            <w:pPr>
              <w:pStyle w:val="TableContents"/>
              <w:spacing w:before="0" w:after="283"/>
              <w:jc w:val="left"/>
              <w:rPr/>
            </w:pPr>
            <w:r>
              <w:rPr/>
              <w:t> </w:t>
            </w:r>
          </w:p>
        </w:tc>
        <w:tc>
          <w:tcPr>
            <w:tcW w:w="1134"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1443" w:name="TAB1554"/>
            <w:bookmarkEnd w:id="1443"/>
            <w:r>
              <w:rPr>
                <w:rFonts w:ascii="Times New Roman" w:hAnsi="Times New Roman"/>
                <w:sz w:val="20"/>
              </w:rPr>
              <w:t>3,865</w:t>
            </w:r>
          </w:p>
        </w:tc>
        <w:tc>
          <w:tcPr>
            <w:tcW w:w="121" w:type="dxa"/>
            <w:tcBorders>
              <w:bottom w:val="single" w:sz="2" w:space="0" w:color="CCEEFF"/>
            </w:tcBorders>
            <w:shd w:fill="CCEEFF" w:val="clear"/>
            <w:vAlign w:val="bottom"/>
          </w:tcPr>
          <w:p>
            <w:pPr>
              <w:pStyle w:val="TableContents"/>
              <w:spacing w:before="0" w:after="283"/>
              <w:jc w:val="left"/>
              <w:rPr/>
            </w:pPr>
            <w:r>
              <w:rPr/>
              <w:t> </w:t>
            </w:r>
          </w:p>
        </w:tc>
      </w:tr>
      <w:tr>
        <w:trPr/>
        <w:tc>
          <w:tcPr>
            <w:tcW w:w="4154"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Total operating expense</w:t>
            </w:r>
          </w:p>
        </w:tc>
        <w:tc>
          <w:tcPr>
            <w:tcW w:w="191" w:type="dxa"/>
            <w:tcBorders/>
            <w:shd w:fill="FFFFFF" w:val="clear"/>
            <w:tcMar>
              <w:bottom w:w="0" w:type="dxa"/>
            </w:tcMar>
            <w:vAlign w:val="center"/>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34"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444" w:name="TAB1555"/>
            <w:bookmarkEnd w:id="1444"/>
            <w:r>
              <w:rPr>
                <w:rFonts w:ascii="Times New Roman" w:hAnsi="Times New Roman"/>
                <w:sz w:val="20"/>
              </w:rPr>
              <w:t>17,638</w:t>
            </w:r>
          </w:p>
        </w:tc>
        <w:tc>
          <w:tcPr>
            <w:tcW w:w="197"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204"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445" w:name="TAB1556"/>
            <w:bookmarkEnd w:id="1445"/>
            <w:r>
              <w:rPr>
                <w:rFonts w:ascii="Times New Roman" w:hAnsi="Times New Roman"/>
                <w:sz w:val="20"/>
              </w:rPr>
              <w:t>35,790</w:t>
            </w:r>
          </w:p>
        </w:tc>
        <w:tc>
          <w:tcPr>
            <w:tcW w:w="197"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76"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446" w:name="TAB1557"/>
            <w:bookmarkEnd w:id="1446"/>
            <w:r>
              <w:rPr>
                <w:rFonts w:ascii="Times New Roman" w:hAnsi="Times New Roman"/>
                <w:sz w:val="20"/>
              </w:rPr>
              <w:t>8,613</w:t>
            </w:r>
          </w:p>
        </w:tc>
        <w:tc>
          <w:tcPr>
            <w:tcW w:w="197"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34"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447" w:name="TAB1558"/>
            <w:bookmarkEnd w:id="1447"/>
            <w:r>
              <w:rPr>
                <w:rFonts w:ascii="Times New Roman" w:hAnsi="Times New Roman"/>
                <w:sz w:val="20"/>
              </w:rPr>
              <w:t>62,041</w:t>
            </w:r>
          </w:p>
        </w:tc>
        <w:tc>
          <w:tcPr>
            <w:tcW w:w="121" w:type="dxa"/>
            <w:tcBorders/>
            <w:shd w:fill="FFFFFF" w:val="clear"/>
            <w:tcMar>
              <w:bottom w:w="0" w:type="dxa"/>
            </w:tcMar>
            <w:vAlign w:val="bottom"/>
          </w:tcPr>
          <w:p>
            <w:pPr>
              <w:pStyle w:val="TableContents"/>
              <w:spacing w:before="0" w:after="283"/>
              <w:jc w:val="left"/>
              <w:rPr/>
            </w:pPr>
            <w:r>
              <w:rPr/>
              <w:t> </w:t>
            </w:r>
          </w:p>
        </w:tc>
      </w:tr>
      <w:tr>
        <w:trPr/>
        <w:tc>
          <w:tcPr>
            <w:tcW w:w="4154" w:type="dxa"/>
            <w:tcBorders/>
            <w:shd w:fill="CCEEFF" w:val="clear"/>
            <w:tcMar>
              <w:bottom w:w="0" w:type="dxa"/>
            </w:tcMar>
            <w:vAlign w:val="bottom"/>
          </w:tcPr>
          <w:p>
            <w:pPr>
              <w:pStyle w:val="TableContents"/>
              <w:spacing w:before="0" w:after="283"/>
              <w:jc w:val="left"/>
              <w:rPr/>
            </w:pPr>
            <w:r>
              <w:rPr/>
              <w:t> </w:t>
            </w:r>
          </w:p>
        </w:tc>
        <w:tc>
          <w:tcPr>
            <w:tcW w:w="191" w:type="dxa"/>
            <w:tcBorders/>
            <w:shd w:fill="CCEEFF" w:val="clear"/>
            <w:tcMar>
              <w:bottom w:w="0" w:type="dxa"/>
            </w:tcMar>
            <w:vAlign w:val="center"/>
          </w:tcPr>
          <w:p>
            <w:pPr>
              <w:pStyle w:val="TableContents"/>
              <w:spacing w:before="0" w:after="283"/>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134" w:type="dxa"/>
            <w:tcBorders/>
            <w:shd w:fill="CCEEFF" w:val="clear"/>
            <w:tcMar>
              <w:bottom w:w="0" w:type="dxa"/>
            </w:tcMar>
            <w:vAlign w:val="bottom"/>
          </w:tcPr>
          <w:p>
            <w:pPr>
              <w:pStyle w:val="TableContents"/>
              <w:spacing w:before="0" w:after="283"/>
              <w:jc w:val="right"/>
              <w:rPr/>
            </w:pPr>
            <w:r>
              <w:rPr/>
              <w:t> </w:t>
            </w:r>
          </w:p>
        </w:tc>
        <w:tc>
          <w:tcPr>
            <w:tcW w:w="197"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204" w:type="dxa"/>
            <w:tcBorders/>
            <w:shd w:fill="CCEEFF" w:val="clear"/>
            <w:tcMar>
              <w:bottom w:w="0" w:type="dxa"/>
            </w:tcMar>
            <w:vAlign w:val="bottom"/>
          </w:tcPr>
          <w:p>
            <w:pPr>
              <w:pStyle w:val="TableContents"/>
              <w:spacing w:before="0" w:after="283"/>
              <w:jc w:val="right"/>
              <w:rPr/>
            </w:pPr>
            <w:r>
              <w:rPr/>
              <w:t> </w:t>
            </w:r>
          </w:p>
        </w:tc>
        <w:tc>
          <w:tcPr>
            <w:tcW w:w="197"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176" w:type="dxa"/>
            <w:tcBorders/>
            <w:shd w:fill="CCEEFF" w:val="clear"/>
            <w:tcMar>
              <w:bottom w:w="0" w:type="dxa"/>
            </w:tcMar>
            <w:vAlign w:val="bottom"/>
          </w:tcPr>
          <w:p>
            <w:pPr>
              <w:pStyle w:val="TableContents"/>
              <w:spacing w:before="0" w:after="283"/>
              <w:jc w:val="right"/>
              <w:rPr/>
            </w:pPr>
            <w:r>
              <w:rPr/>
              <w:t> </w:t>
            </w:r>
          </w:p>
        </w:tc>
        <w:tc>
          <w:tcPr>
            <w:tcW w:w="197"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134" w:type="dxa"/>
            <w:tcBorders/>
            <w:shd w:fill="CCEEFF" w:val="clear"/>
            <w:tcMar>
              <w:bottom w:w="0" w:type="dxa"/>
            </w:tcMar>
            <w:vAlign w:val="bottom"/>
          </w:tcPr>
          <w:p>
            <w:pPr>
              <w:pStyle w:val="TableContents"/>
              <w:spacing w:before="0" w:after="283"/>
              <w:jc w:val="right"/>
              <w:rPr/>
            </w:pPr>
            <w:r>
              <w:rPr/>
              <w:t> </w:t>
            </w:r>
          </w:p>
        </w:tc>
        <w:tc>
          <w:tcPr>
            <w:tcW w:w="121" w:type="dxa"/>
            <w:tcBorders/>
            <w:shd w:fill="CCEEFF" w:val="clear"/>
            <w:tcMar>
              <w:bottom w:w="0" w:type="dxa"/>
            </w:tcMar>
            <w:vAlign w:val="bottom"/>
          </w:tcPr>
          <w:p>
            <w:pPr>
              <w:pStyle w:val="TableContents"/>
              <w:spacing w:before="0" w:after="283"/>
              <w:jc w:val="left"/>
              <w:rPr/>
            </w:pPr>
            <w:r>
              <w:rPr/>
              <w:t> </w:t>
            </w:r>
          </w:p>
        </w:tc>
      </w:tr>
      <w:tr>
        <w:trPr/>
        <w:tc>
          <w:tcPr>
            <w:tcW w:w="4154"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Depreciation and amortization</w:t>
            </w:r>
          </w:p>
        </w:tc>
        <w:tc>
          <w:tcPr>
            <w:tcW w:w="191" w:type="dxa"/>
            <w:tcBorders/>
            <w:shd w:fill="FFFFFF" w:val="clear"/>
            <w:tcMar>
              <w:bottom w:w="0" w:type="dxa"/>
            </w:tcMar>
            <w:vAlign w:val="center"/>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34"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448" w:name="TAB1559"/>
            <w:bookmarkEnd w:id="1448"/>
            <w:r>
              <w:rPr>
                <w:rFonts w:ascii="Times New Roman" w:hAnsi="Times New Roman"/>
                <w:sz w:val="20"/>
              </w:rPr>
              <w:t>2,081</w:t>
            </w:r>
          </w:p>
        </w:tc>
        <w:tc>
          <w:tcPr>
            <w:tcW w:w="197"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204"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449" w:name="TAB1560"/>
            <w:bookmarkEnd w:id="1449"/>
            <w:r>
              <w:rPr>
                <w:rFonts w:ascii="Times New Roman" w:hAnsi="Times New Roman"/>
                <w:sz w:val="20"/>
              </w:rPr>
              <w:t>5,292</w:t>
            </w:r>
          </w:p>
        </w:tc>
        <w:tc>
          <w:tcPr>
            <w:tcW w:w="197"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76"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450" w:name="TAB1561"/>
            <w:bookmarkEnd w:id="1450"/>
            <w:r>
              <w:rPr>
                <w:rFonts w:ascii="Times New Roman" w:hAnsi="Times New Roman"/>
                <w:sz w:val="20"/>
              </w:rPr>
              <w:t>720</w:t>
            </w:r>
          </w:p>
        </w:tc>
        <w:tc>
          <w:tcPr>
            <w:tcW w:w="197"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34"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451" w:name="TAB1562"/>
            <w:bookmarkEnd w:id="1451"/>
            <w:r>
              <w:rPr>
                <w:rFonts w:ascii="Times New Roman" w:hAnsi="Times New Roman"/>
                <w:sz w:val="20"/>
              </w:rPr>
              <w:t>8,093</w:t>
            </w:r>
          </w:p>
        </w:tc>
        <w:tc>
          <w:tcPr>
            <w:tcW w:w="121" w:type="dxa"/>
            <w:tcBorders/>
            <w:shd w:fill="FFFFFF" w:val="clear"/>
            <w:tcMar>
              <w:bottom w:w="0" w:type="dxa"/>
            </w:tcMar>
            <w:vAlign w:val="bottom"/>
          </w:tcPr>
          <w:p>
            <w:pPr>
              <w:pStyle w:val="TableContents"/>
              <w:spacing w:before="0" w:after="283"/>
              <w:jc w:val="left"/>
              <w:rPr/>
            </w:pPr>
            <w:r>
              <w:rPr/>
              <w:t> </w:t>
            </w:r>
          </w:p>
        </w:tc>
      </w:tr>
      <w:tr>
        <w:trPr/>
        <w:tc>
          <w:tcPr>
            <w:tcW w:w="4154" w:type="dxa"/>
            <w:tcBorders>
              <w:bottom w:val="sing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General &amp; administrative expense</w:t>
            </w:r>
          </w:p>
        </w:tc>
        <w:tc>
          <w:tcPr>
            <w:tcW w:w="191" w:type="dxa"/>
            <w:tcBorders>
              <w:bottom w:val="single" w:sz="2" w:space="0" w:color="CCEEFF"/>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vAlign w:val="bottom"/>
          </w:tcPr>
          <w:p>
            <w:pPr>
              <w:pStyle w:val="TableContents"/>
              <w:spacing w:before="0" w:after="283"/>
              <w:jc w:val="left"/>
              <w:rPr/>
            </w:pPr>
            <w:r>
              <w:rPr/>
              <w:t> </w:t>
            </w:r>
          </w:p>
        </w:tc>
        <w:tc>
          <w:tcPr>
            <w:tcW w:w="1134"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1452" w:name="TAB1563"/>
            <w:bookmarkEnd w:id="1452"/>
            <w:r>
              <w:rPr>
                <w:rFonts w:ascii="Times New Roman" w:hAnsi="Times New Roman"/>
                <w:sz w:val="20"/>
              </w:rPr>
              <w:t>3,987</w:t>
            </w:r>
          </w:p>
        </w:tc>
        <w:tc>
          <w:tcPr>
            <w:tcW w:w="197" w:type="dxa"/>
            <w:tcBorders>
              <w:bottom w:val="single" w:sz="2" w:space="0" w:color="CCEEFF"/>
            </w:tcBorders>
            <w:shd w:fill="CCEEFF" w:val="clear"/>
            <w:vAlign w:val="bottom"/>
          </w:tcPr>
          <w:p>
            <w:pPr>
              <w:pStyle w:val="TableContents"/>
              <w:spacing w:before="0" w:after="283"/>
              <w:jc w:val="left"/>
              <w:rPr/>
            </w:pPr>
            <w:r>
              <w:rPr/>
              <w:t> </w:t>
            </w:r>
          </w:p>
        </w:tc>
        <w:tc>
          <w:tcPr>
            <w:tcW w:w="125" w:type="dxa"/>
            <w:tcBorders>
              <w:bottom w:val="single" w:sz="2" w:space="0" w:color="000000"/>
            </w:tcBorders>
            <w:shd w:fill="CCEEFF" w:val="clear"/>
            <w:vAlign w:val="bottom"/>
          </w:tcPr>
          <w:p>
            <w:pPr>
              <w:pStyle w:val="TableContents"/>
              <w:spacing w:before="0" w:after="283"/>
              <w:jc w:val="left"/>
              <w:rPr/>
            </w:pPr>
            <w:r>
              <w:rPr/>
              <w:t> </w:t>
            </w:r>
          </w:p>
        </w:tc>
        <w:tc>
          <w:tcPr>
            <w:tcW w:w="1204"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1453" w:name="TAB1564"/>
            <w:bookmarkEnd w:id="1453"/>
            <w:r>
              <w:rPr>
                <w:rFonts w:ascii="Times New Roman" w:hAnsi="Times New Roman"/>
                <w:sz w:val="20"/>
              </w:rPr>
              <w:t>1,561</w:t>
            </w:r>
          </w:p>
        </w:tc>
        <w:tc>
          <w:tcPr>
            <w:tcW w:w="197" w:type="dxa"/>
            <w:tcBorders>
              <w:bottom w:val="single" w:sz="2" w:space="0" w:color="CCEEFF"/>
            </w:tcBorders>
            <w:shd w:fill="CCEEFF" w:val="clear"/>
            <w:vAlign w:val="bottom"/>
          </w:tcPr>
          <w:p>
            <w:pPr>
              <w:pStyle w:val="TableContents"/>
              <w:spacing w:before="0" w:after="283"/>
              <w:jc w:val="left"/>
              <w:rPr/>
            </w:pPr>
            <w:r>
              <w:rPr/>
              <w:t> </w:t>
            </w:r>
          </w:p>
        </w:tc>
        <w:tc>
          <w:tcPr>
            <w:tcW w:w="125" w:type="dxa"/>
            <w:tcBorders>
              <w:bottom w:val="single" w:sz="2" w:space="0" w:color="000000"/>
            </w:tcBorders>
            <w:shd w:fill="CCEEFF" w:val="clear"/>
            <w:vAlign w:val="bottom"/>
          </w:tcPr>
          <w:p>
            <w:pPr>
              <w:pStyle w:val="TableContents"/>
              <w:spacing w:before="0" w:after="283"/>
              <w:jc w:val="left"/>
              <w:rPr/>
            </w:pPr>
            <w:r>
              <w:rPr/>
              <w:t> </w:t>
            </w:r>
          </w:p>
        </w:tc>
        <w:tc>
          <w:tcPr>
            <w:tcW w:w="1176"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1454" w:name="TAB1565"/>
            <w:bookmarkEnd w:id="1454"/>
            <w:r>
              <w:rPr>
                <w:rFonts w:ascii="Times New Roman" w:hAnsi="Times New Roman"/>
                <w:sz w:val="20"/>
              </w:rPr>
              <w:t>320</w:t>
            </w:r>
          </w:p>
        </w:tc>
        <w:tc>
          <w:tcPr>
            <w:tcW w:w="197" w:type="dxa"/>
            <w:tcBorders>
              <w:bottom w:val="single" w:sz="2" w:space="0" w:color="CCEEFF"/>
            </w:tcBorders>
            <w:shd w:fill="CCEEFF" w:val="clear"/>
            <w:vAlign w:val="bottom"/>
          </w:tcPr>
          <w:p>
            <w:pPr>
              <w:pStyle w:val="TableContents"/>
              <w:spacing w:before="0" w:after="283"/>
              <w:jc w:val="left"/>
              <w:rPr/>
            </w:pPr>
            <w:r>
              <w:rPr/>
              <w:t> </w:t>
            </w:r>
          </w:p>
        </w:tc>
        <w:tc>
          <w:tcPr>
            <w:tcW w:w="125" w:type="dxa"/>
            <w:tcBorders>
              <w:bottom w:val="single" w:sz="2" w:space="0" w:color="000000"/>
            </w:tcBorders>
            <w:shd w:fill="CCEEFF" w:val="clear"/>
            <w:vAlign w:val="bottom"/>
          </w:tcPr>
          <w:p>
            <w:pPr>
              <w:pStyle w:val="TableContents"/>
              <w:spacing w:before="0" w:after="283"/>
              <w:jc w:val="left"/>
              <w:rPr/>
            </w:pPr>
            <w:r>
              <w:rPr/>
              <w:t> </w:t>
            </w:r>
          </w:p>
        </w:tc>
        <w:tc>
          <w:tcPr>
            <w:tcW w:w="1134"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1455" w:name="TAB1566"/>
            <w:bookmarkEnd w:id="1455"/>
            <w:r>
              <w:rPr>
                <w:rFonts w:ascii="Times New Roman" w:hAnsi="Times New Roman"/>
                <w:sz w:val="20"/>
              </w:rPr>
              <w:t>5,868</w:t>
            </w:r>
          </w:p>
        </w:tc>
        <w:tc>
          <w:tcPr>
            <w:tcW w:w="121" w:type="dxa"/>
            <w:tcBorders>
              <w:bottom w:val="single" w:sz="2" w:space="0" w:color="CCEEFF"/>
            </w:tcBorders>
            <w:shd w:fill="CCEEFF" w:val="clear"/>
            <w:vAlign w:val="bottom"/>
          </w:tcPr>
          <w:p>
            <w:pPr>
              <w:pStyle w:val="TableContents"/>
              <w:spacing w:before="0" w:after="283"/>
              <w:jc w:val="left"/>
              <w:rPr/>
            </w:pPr>
            <w:r>
              <w:rPr/>
              <w:t> </w:t>
            </w:r>
          </w:p>
        </w:tc>
      </w:tr>
      <w:tr>
        <w:trPr/>
        <w:tc>
          <w:tcPr>
            <w:tcW w:w="4154" w:type="dxa"/>
            <w:tcBorders>
              <w:bottom w:val="doub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Segment operating income (loss)</w:t>
            </w:r>
          </w:p>
        </w:tc>
        <w:tc>
          <w:tcPr>
            <w:tcW w:w="191" w:type="dxa"/>
            <w:tcBorders>
              <w:bottom w:val="single" w:sz="4" w:space="0" w:color="FFFFFF"/>
            </w:tcBorders>
            <w:shd w:fill="FFFFFF" w:val="clear"/>
            <w:vAlign w:val="center"/>
          </w:tcPr>
          <w:p>
            <w:pPr>
              <w:pStyle w:val="TableContents"/>
              <w:spacing w:before="0" w:after="283"/>
              <w:rPr/>
            </w:pPr>
            <w:r>
              <w:rPr/>
              <w:t> </w:t>
            </w:r>
          </w:p>
        </w:tc>
        <w:tc>
          <w:tcPr>
            <w:tcW w:w="125" w:type="dxa"/>
            <w:tcBorders>
              <w:bottom w:val="doub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bookmarkStart w:id="1456" w:name="TAB1567"/>
            <w:bookmarkEnd w:id="1456"/>
            <w:r>
              <w:rPr>
                <w:rFonts w:ascii="Times New Roman" w:hAnsi="Times New Roman"/>
                <w:sz w:val="20"/>
              </w:rPr>
              <w:t>$</w:t>
            </w:r>
          </w:p>
        </w:tc>
        <w:tc>
          <w:tcPr>
            <w:tcW w:w="1134"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1457" w:name="TAB1568"/>
            <w:bookmarkEnd w:id="1457"/>
            <w:r>
              <w:rPr>
                <w:rFonts w:ascii="Times New Roman" w:hAnsi="Times New Roman"/>
                <w:sz w:val="20"/>
              </w:rPr>
              <w:t>(2,410</w:t>
            </w:r>
          </w:p>
        </w:tc>
        <w:tc>
          <w:tcPr>
            <w:tcW w:w="197" w:type="dxa"/>
            <w:tcBorders>
              <w:bottom w:val="single" w:sz="4" w:space="0" w:color="FFFFFF"/>
            </w:tcBorders>
            <w:shd w:fill="FFFFFF" w:val="clear"/>
            <w:vAlign w:val="bottom"/>
          </w:tcPr>
          <w:p>
            <w:pPr>
              <w:pStyle w:val="TableContents"/>
              <w:spacing w:lineRule="auto" w:line="300" w:before="0" w:after="0"/>
              <w:ind w:left="0" w:right="0" w:hanging="0"/>
              <w:jc w:val="left"/>
              <w:rPr>
                <w:rFonts w:ascii="Times New Roman" w:hAnsi="Times New Roman"/>
                <w:sz w:val="20"/>
              </w:rPr>
            </w:pPr>
            <w:bookmarkStart w:id="1458" w:name="TAB1569"/>
            <w:bookmarkEnd w:id="1458"/>
            <w:r>
              <w:rPr>
                <w:rFonts w:ascii="Times New Roman" w:hAnsi="Times New Roman"/>
                <w:sz w:val="20"/>
              </w:rPr>
              <w:t>)</w:t>
            </w:r>
          </w:p>
        </w:tc>
        <w:tc>
          <w:tcPr>
            <w:tcW w:w="125" w:type="dxa"/>
            <w:tcBorders>
              <w:bottom w:val="doub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bookmarkStart w:id="1459" w:name="TAB1570"/>
            <w:bookmarkEnd w:id="1459"/>
            <w:r>
              <w:rPr>
                <w:rFonts w:ascii="Times New Roman" w:hAnsi="Times New Roman"/>
                <w:sz w:val="20"/>
              </w:rPr>
              <w:t>$</w:t>
            </w:r>
          </w:p>
        </w:tc>
        <w:tc>
          <w:tcPr>
            <w:tcW w:w="1204"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1460" w:name="TAB1571"/>
            <w:bookmarkEnd w:id="1460"/>
            <w:r>
              <w:rPr>
                <w:rFonts w:ascii="Times New Roman" w:hAnsi="Times New Roman"/>
                <w:sz w:val="20"/>
              </w:rPr>
              <w:t>(207</w:t>
            </w:r>
          </w:p>
        </w:tc>
        <w:tc>
          <w:tcPr>
            <w:tcW w:w="197" w:type="dxa"/>
            <w:tcBorders>
              <w:bottom w:val="single" w:sz="4" w:space="0" w:color="FFFFFF"/>
            </w:tcBorders>
            <w:shd w:fill="FFFFFF" w:val="clear"/>
            <w:vAlign w:val="bottom"/>
          </w:tcPr>
          <w:p>
            <w:pPr>
              <w:pStyle w:val="TableContents"/>
              <w:spacing w:lineRule="auto" w:line="300" w:before="0" w:after="0"/>
              <w:ind w:left="0" w:right="0" w:hanging="0"/>
              <w:jc w:val="left"/>
              <w:rPr>
                <w:rFonts w:ascii="Times New Roman" w:hAnsi="Times New Roman"/>
                <w:sz w:val="20"/>
              </w:rPr>
            </w:pPr>
            <w:bookmarkStart w:id="1461" w:name="TAB1572"/>
            <w:bookmarkEnd w:id="1461"/>
            <w:r>
              <w:rPr>
                <w:rFonts w:ascii="Times New Roman" w:hAnsi="Times New Roman"/>
                <w:sz w:val="20"/>
              </w:rPr>
              <w:t>)</w:t>
            </w:r>
          </w:p>
        </w:tc>
        <w:tc>
          <w:tcPr>
            <w:tcW w:w="125" w:type="dxa"/>
            <w:tcBorders>
              <w:bottom w:val="doub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bookmarkStart w:id="1462" w:name="TAB1573"/>
            <w:bookmarkEnd w:id="1462"/>
            <w:r>
              <w:rPr>
                <w:rFonts w:ascii="Times New Roman" w:hAnsi="Times New Roman"/>
                <w:sz w:val="20"/>
              </w:rPr>
              <w:t>$</w:t>
            </w:r>
          </w:p>
        </w:tc>
        <w:tc>
          <w:tcPr>
            <w:tcW w:w="1176"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1463" w:name="TAB1574"/>
            <w:bookmarkEnd w:id="1463"/>
            <w:r>
              <w:rPr>
                <w:rFonts w:ascii="Times New Roman" w:hAnsi="Times New Roman"/>
                <w:sz w:val="20"/>
              </w:rPr>
              <w:t>939</w:t>
            </w:r>
          </w:p>
        </w:tc>
        <w:tc>
          <w:tcPr>
            <w:tcW w:w="197" w:type="dxa"/>
            <w:tcBorders>
              <w:bottom w:val="single" w:sz="4" w:space="0" w:color="FFFFFF"/>
            </w:tcBorders>
            <w:shd w:fill="FFFFFF" w:val="clear"/>
            <w:vAlign w:val="bottom"/>
          </w:tcPr>
          <w:p>
            <w:pPr>
              <w:pStyle w:val="TableContents"/>
              <w:spacing w:before="0" w:after="283"/>
              <w:jc w:val="left"/>
              <w:rPr/>
            </w:pPr>
            <w:r>
              <w:rPr/>
              <w:t> </w:t>
            </w:r>
          </w:p>
        </w:tc>
        <w:tc>
          <w:tcPr>
            <w:tcW w:w="125" w:type="dxa"/>
            <w:tcBorders>
              <w:bottom w:val="doub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bookmarkStart w:id="1464" w:name="TAB1575"/>
            <w:bookmarkEnd w:id="1464"/>
            <w:r>
              <w:rPr>
                <w:rFonts w:ascii="Times New Roman" w:hAnsi="Times New Roman"/>
                <w:sz w:val="20"/>
              </w:rPr>
              <w:t>$</w:t>
            </w:r>
          </w:p>
        </w:tc>
        <w:tc>
          <w:tcPr>
            <w:tcW w:w="1134"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1465" w:name="TAB1576"/>
            <w:bookmarkEnd w:id="1465"/>
            <w:r>
              <w:rPr>
                <w:rFonts w:ascii="Times New Roman" w:hAnsi="Times New Roman"/>
                <w:sz w:val="20"/>
              </w:rPr>
              <w:t>(1,678</w:t>
            </w:r>
          </w:p>
        </w:tc>
        <w:tc>
          <w:tcPr>
            <w:tcW w:w="121" w:type="dxa"/>
            <w:tcBorders>
              <w:bottom w:val="single" w:sz="4" w:space="0" w:color="FFFFFF"/>
            </w:tcBorders>
            <w:shd w:fill="FFFFFF" w:val="clear"/>
            <w:vAlign w:val="bottom"/>
          </w:tcPr>
          <w:p>
            <w:pPr>
              <w:pStyle w:val="TableContents"/>
              <w:spacing w:lineRule="auto" w:line="300" w:before="0" w:after="0"/>
              <w:ind w:left="0" w:right="0" w:hanging="0"/>
              <w:jc w:val="left"/>
              <w:rPr>
                <w:rFonts w:ascii="Times New Roman" w:hAnsi="Times New Roman"/>
                <w:sz w:val="20"/>
              </w:rPr>
            </w:pPr>
            <w:bookmarkStart w:id="1466" w:name="TAB1577"/>
            <w:bookmarkEnd w:id="1466"/>
            <w:r>
              <w:rPr>
                <w:rFonts w:ascii="Times New Roman" w:hAnsi="Times New Roman"/>
                <w:sz w:val="20"/>
              </w:rPr>
              <w:t>)</w:t>
            </w:r>
          </w:p>
        </w:tc>
      </w:tr>
    </w:tbl>
    <w:p>
      <w:pPr>
        <w:pStyle w:val="TextBody"/>
        <w:spacing w:lineRule="auto" w:line="300" w:before="0" w:after="0"/>
        <w:ind w:left="0" w:right="0" w:firstLine="720"/>
        <w:jc w:val="both"/>
        <w:rPr/>
      </w:pPr>
      <w:r>
        <w:rPr/>
        <w:t> </w:t>
      </w:r>
    </w:p>
    <w:p>
      <w:pPr>
        <w:pStyle w:val="TextBody"/>
        <w:spacing w:lineRule="auto" w:line="300" w:before="0" w:after="0"/>
        <w:ind w:left="0" w:right="0" w:hanging="0"/>
        <w:jc w:val="both"/>
        <w:rPr/>
      </w:pPr>
      <w:r>
        <w:rPr>
          <w:rFonts w:ascii="Times New Roman" w:hAnsi="Times New Roman"/>
          <w:position w:val="7"/>
          <w:sz w:val="16"/>
          <w:sz w:val="20"/>
        </w:rPr>
        <w:t>15</w:t>
      </w:r>
      <w:r>
        <w:rPr/>
        <w:t xml:space="preserve">  </w:t>
      </w:r>
      <w:r>
        <w:rPr>
          <w:rFonts w:ascii="Times New Roman" w:hAnsi="Times New Roman"/>
          <w:sz w:val="20"/>
        </w:rPr>
        <w:t>2005 cinema costs have been adjusted from the amounts previously reported. See Note 2 and Note 21 to the 2006 Consolidated Financial Statements.</w:t>
      </w:r>
    </w:p>
    <w:p>
      <w:pPr>
        <w:pStyle w:val="TextBody"/>
        <w:spacing w:lineRule="auto" w:line="300" w:before="0" w:after="0"/>
        <w:ind w:left="0" w:right="0" w:hanging="0"/>
        <w:jc w:val="both"/>
        <w:rPr>
          <w:rFonts w:ascii="Times New Roman" w:hAnsi="Times New Roman"/>
          <w:sz w:val="20"/>
        </w:rPr>
      </w:pPr>
      <w:r>
        <w:rPr>
          <w:rFonts w:ascii="Times New Roman" w:hAnsi="Times New Roman"/>
          <w:position w:val="7"/>
          <w:sz w:val="16"/>
          <w:sz w:val="20"/>
        </w:rPr>
        <w:t>16 </w:t>
      </w:r>
      <w:r>
        <w:rPr>
          <w:rFonts w:ascii="Times New Roman" w:hAnsi="Times New Roman"/>
          <w:sz w:val="20"/>
        </w:rPr>
        <w:t xml:space="preserve"> 2004 cinema costs have been adjusted from the amounts previously reported. See Note 2 and Note 21 to the 2006 Consolidated Financial Statements.</w:t>
      </w:r>
    </w:p>
    <w:p>
      <w:pPr>
        <w:pStyle w:val="TextBody"/>
        <w:spacing w:lineRule="auto" w:line="300" w:before="0" w:after="0"/>
        <w:ind w:left="0" w:right="0" w:hanging="0"/>
        <w:jc w:val="both"/>
        <w:rPr/>
      </w:pPr>
      <w:r>
        <w:rPr/>
        <w:t> </w:t>
      </w:r>
    </w:p>
    <w:p>
      <w:pPr>
        <w:pStyle w:val="TextBody"/>
        <w:spacing w:lineRule="auto" w:line="300" w:before="0" w:after="0"/>
        <w:ind w:left="0" w:right="0" w:hanging="0"/>
        <w:jc w:val="both"/>
        <w:rPr/>
      </w:pPr>
      <w:r>
        <w:rPr>
          <w:rStyle w:val="Emphasis"/>
          <w:rFonts w:ascii="Times New Roman" w:hAnsi="Times New Roman"/>
          <w:sz w:val="20"/>
          <w:u w:val="single"/>
        </w:rPr>
        <w:t>Cinema Results for 2006 Compared to 2005</w:t>
      </w:r>
    </w:p>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467" w:name="hangingindent131"/>
      <w:bookmarkStart w:id="1468" w:name="hangingindent131"/>
      <w:bookmarkEnd w:id="1468"/>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cinema revenue increased in 2006 by $7.3 million or 8.4% compared to 2005. The geographic activity of our revenues can be summarized as follows:</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469" w:name="hangingindent132"/>
      <w:bookmarkStart w:id="1470" w:name="hangingindent132"/>
      <w:bookmarkEnd w:id="1470"/>
    </w:p>
    <w:tbl>
      <w:tblPr>
        <w:tblW w:w="5000" w:type="pct"/>
        <w:jc w:val="center"/>
        <w:tblInd w:w="0" w:type="dxa"/>
        <w:tblCellMar>
          <w:top w:w="0" w:type="dxa"/>
          <w:left w:w="0" w:type="dxa"/>
          <w:bottom w:w="0" w:type="dxa"/>
          <w:right w:w="0" w:type="dxa"/>
        </w:tblCellMar>
      </w:tblPr>
      <w:tblGrid>
        <w:gridCol w:w="59"/>
        <w:gridCol w:w="125"/>
        <w:gridCol w:w="10021"/>
      </w:tblGrid>
      <w:tr>
        <w:trPr/>
        <w:tc>
          <w:tcPr>
            <w:tcW w:w="59" w:type="dxa"/>
            <w:tcBorders/>
            <w:shd w:fill="auto" w:val="clear"/>
          </w:tcPr>
          <w:p>
            <w:pPr>
              <w:pStyle w:val="TableContents"/>
              <w:spacing w:before="0" w:after="283"/>
              <w:rPr/>
            </w:pPr>
            <w:r>
              <w:rPr/>
              <w:t> </w:t>
            </w:r>
          </w:p>
        </w:tc>
        <w:tc>
          <w:tcPr>
            <w:tcW w:w="12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o</w:t>
            </w:r>
          </w:p>
        </w:tc>
        <w:tc>
          <w:tcPr>
            <w:tcW w:w="1002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United States - Revenues in the United States increased by $1.6 million or 6.7%. This increase in revenues was attributable to an increase in admissions revenues by $1.1 million, concessions revenues by $493,000, and advertising and other revenues by $64,000. The significant increase in admissions revenues resulted from higher admissions related in part to more appealing film product in 2006 compared to the film offerings in 2005.</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471" w:name="hangingindent133"/>
      <w:bookmarkStart w:id="1472" w:name="hangingindent133"/>
      <w:bookmarkEnd w:id="1472"/>
    </w:p>
    <w:tbl>
      <w:tblPr>
        <w:tblW w:w="5000" w:type="pct"/>
        <w:jc w:val="center"/>
        <w:tblInd w:w="0" w:type="dxa"/>
        <w:tblCellMar>
          <w:top w:w="0" w:type="dxa"/>
          <w:left w:w="0" w:type="dxa"/>
          <w:bottom w:w="0" w:type="dxa"/>
          <w:right w:w="0" w:type="dxa"/>
        </w:tblCellMar>
      </w:tblPr>
      <w:tblGrid>
        <w:gridCol w:w="59"/>
        <w:gridCol w:w="125"/>
        <w:gridCol w:w="10021"/>
      </w:tblGrid>
      <w:tr>
        <w:trPr/>
        <w:tc>
          <w:tcPr>
            <w:tcW w:w="59" w:type="dxa"/>
            <w:tcBorders/>
            <w:shd w:fill="auto" w:val="clear"/>
          </w:tcPr>
          <w:p>
            <w:pPr>
              <w:pStyle w:val="TableContents"/>
              <w:spacing w:before="0" w:after="283"/>
              <w:rPr/>
            </w:pPr>
            <w:r>
              <w:rPr/>
              <w:t> </w:t>
            </w:r>
          </w:p>
        </w:tc>
        <w:tc>
          <w:tcPr>
            <w:tcW w:w="12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o</w:t>
            </w:r>
          </w:p>
        </w:tc>
        <w:tc>
          <w:tcPr>
            <w:tcW w:w="1002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Australia - Revenues in Australia increased by $4.1 million or 8.9%. This increase in revenues was attributable to an increase in admissions revenues by $3.4 million, concessions revenues by $783,000, and advertising offset by a decrease in other revenues of $135,000. This increase in revenues was primarily related to more appealing film product in 2006 compared to the film offerings in 2005.</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473" w:name="hangingindent134"/>
      <w:bookmarkStart w:id="1474" w:name="hangingindent134"/>
      <w:bookmarkEnd w:id="1474"/>
    </w:p>
    <w:tbl>
      <w:tblPr>
        <w:tblW w:w="5000" w:type="pct"/>
        <w:jc w:val="center"/>
        <w:tblInd w:w="0" w:type="dxa"/>
        <w:tblCellMar>
          <w:top w:w="0" w:type="dxa"/>
          <w:left w:w="0" w:type="dxa"/>
          <w:bottom w:w="0" w:type="dxa"/>
          <w:right w:w="0" w:type="dxa"/>
        </w:tblCellMar>
      </w:tblPr>
      <w:tblGrid>
        <w:gridCol w:w="59"/>
        <w:gridCol w:w="125"/>
        <w:gridCol w:w="10021"/>
      </w:tblGrid>
      <w:tr>
        <w:trPr/>
        <w:tc>
          <w:tcPr>
            <w:tcW w:w="59" w:type="dxa"/>
            <w:tcBorders/>
            <w:shd w:fill="auto" w:val="clear"/>
          </w:tcPr>
          <w:p>
            <w:pPr>
              <w:pStyle w:val="TableContents"/>
              <w:spacing w:before="0" w:after="283"/>
              <w:rPr/>
            </w:pPr>
            <w:r>
              <w:rPr/>
              <w:t> </w:t>
            </w:r>
          </w:p>
        </w:tc>
        <w:tc>
          <w:tcPr>
            <w:tcW w:w="12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o</w:t>
            </w:r>
          </w:p>
        </w:tc>
        <w:tc>
          <w:tcPr>
            <w:tcW w:w="1002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New Zealand - Revenues in New Zealand increased by $1.6 million or 9.6%. This increase in revenues was attributable to an increase in admissions revenues by $1.2 million, concessions revenues by $383,000, and advertising and other revenues by $6,000. This increase in revenues was primarily related to the acquisition of the Queenstown cinema in February 2006 and the inclusion of 100% of the revenues from the Palms cinema after our purchase of the remaining 50% which we did not already own, at the beginning of the second quarter of 2006.</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475" w:name="hangingindent135"/>
      <w:bookmarkStart w:id="1476" w:name="hangingindent135"/>
      <w:bookmarkEnd w:id="1476"/>
    </w:p>
    <w:tbl>
      <w:tblPr>
        <w:tblW w:w="5000" w:type="pct"/>
        <w:jc w:val="center"/>
        <w:tblInd w:w="0" w:type="dxa"/>
        <w:tblCellMar>
          <w:top w:w="0" w:type="dxa"/>
          <w:left w:w="0" w:type="dxa"/>
          <w:bottom w:w="0" w:type="dxa"/>
          <w:right w:w="0" w:type="dxa"/>
        </w:tblCellMar>
      </w:tblPr>
      <w:tblGrid>
        <w:gridCol w:w="90"/>
        <w:gridCol w:w="144"/>
        <w:gridCol w:w="9971"/>
      </w:tblGrid>
      <w:tr>
        <w:trPr/>
        <w:tc>
          <w:tcPr>
            <w:tcW w:w="90" w:type="dxa"/>
            <w:tcBorders/>
            <w:shd w:fill="auto" w:val="clear"/>
          </w:tcPr>
          <w:p>
            <w:pPr>
              <w:pStyle w:val="TableContents"/>
              <w:spacing w:before="0" w:after="283"/>
              <w:rPr/>
            </w:pPr>
            <w:r>
              <w:rPr/>
              <w:t> </w:t>
            </w:r>
          </w:p>
        </w:tc>
        <w:tc>
          <w:tcPr>
            <w:tcW w:w="144"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997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operating expense increased in 2006 by $2.7 million or 3.7% compared to 2005. </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477" w:name="PGBRK52"/>
      <w:bookmarkStart w:id="1478" w:name="PGBRK52"/>
      <w:bookmarkEnd w:id="147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79" w:name="FTR52"/>
      <w:bookmarkStart w:id="1480" w:name="FTR52"/>
      <w:bookmarkEnd w:id="148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81" w:name="GLFTR52"/>
      <w:bookmarkStart w:id="1482" w:name="GLFTR52"/>
      <w:bookmarkEnd w:id="148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1483" w:name="PN52"/>
      <w:bookmarkEnd w:id="1483"/>
      <w:r>
        <w:rPr>
          <w:rFonts w:ascii="Times New Roman" w:hAnsi="Times New Roman"/>
          <w:sz w:val="16"/>
        </w:rPr>
        <w:t>-52-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84" w:name="HDR52"/>
      <w:bookmarkStart w:id="1485" w:name="HDR52"/>
      <w:bookmarkEnd w:id="148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1486" w:name="GLHDR52"/>
        <w:bookmarkEnd w:id="1486"/>
        <w:r>
          <w:rPr>
            <w:rStyle w:val="Emphasis"/>
            <w:rFonts w:ascii="Times New Roman" w:hAnsi="Times New Roman"/>
            <w:color w:val="000000"/>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pStyle w:val="Normal"/>
        <w:spacing w:before="0" w:after="0"/>
        <w:ind w:left="0" w:right="0" w:hanging="0"/>
        <w:rPr>
          <w:sz w:val="4"/>
          <w:szCs w:val="4"/>
        </w:rPr>
      </w:pPr>
      <w:r>
        <w:rPr>
          <w:sz w:val="4"/>
          <w:szCs w:val="4"/>
        </w:rPr>
      </w:r>
      <w:bookmarkStart w:id="1487" w:name="hangingindent136"/>
      <w:bookmarkStart w:id="1488" w:name="hangingindent136"/>
      <w:bookmarkEnd w:id="1488"/>
    </w:p>
    <w:tbl>
      <w:tblPr>
        <w:tblW w:w="5000" w:type="pct"/>
        <w:jc w:val="center"/>
        <w:tblInd w:w="0" w:type="dxa"/>
        <w:tblCellMar>
          <w:top w:w="0" w:type="dxa"/>
          <w:left w:w="0" w:type="dxa"/>
          <w:bottom w:w="0" w:type="dxa"/>
          <w:right w:w="0" w:type="dxa"/>
        </w:tblCellMar>
      </w:tblPr>
      <w:tblGrid>
        <w:gridCol w:w="59"/>
        <w:gridCol w:w="125"/>
        <w:gridCol w:w="10021"/>
      </w:tblGrid>
      <w:tr>
        <w:trPr/>
        <w:tc>
          <w:tcPr>
            <w:tcW w:w="59" w:type="dxa"/>
            <w:tcBorders/>
            <w:shd w:fill="auto" w:val="clear"/>
          </w:tcPr>
          <w:p>
            <w:pPr>
              <w:pStyle w:val="TableContents"/>
              <w:spacing w:before="0" w:after="283"/>
              <w:rPr/>
            </w:pPr>
            <w:r>
              <w:rPr/>
              <w:t> </w:t>
            </w:r>
          </w:p>
        </w:tc>
        <w:tc>
          <w:tcPr>
            <w:tcW w:w="12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o</w:t>
            </w:r>
          </w:p>
        </w:tc>
        <w:tc>
          <w:tcPr>
            <w:tcW w:w="1002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United States - Operating expenses in the United States increased by only $300,000 or 1.6%. This small increase was due to efforts to hold operating costs steady even with increased admissions.</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489" w:name="hangingindent137"/>
      <w:bookmarkStart w:id="1490" w:name="hangingindent137"/>
      <w:bookmarkEnd w:id="1490"/>
    </w:p>
    <w:tbl>
      <w:tblPr>
        <w:tblW w:w="5000" w:type="pct"/>
        <w:jc w:val="center"/>
        <w:tblInd w:w="0" w:type="dxa"/>
        <w:tblCellMar>
          <w:top w:w="0" w:type="dxa"/>
          <w:left w:w="0" w:type="dxa"/>
          <w:bottom w:w="0" w:type="dxa"/>
          <w:right w:w="0" w:type="dxa"/>
        </w:tblCellMar>
      </w:tblPr>
      <w:tblGrid>
        <w:gridCol w:w="59"/>
        <w:gridCol w:w="125"/>
        <w:gridCol w:w="10021"/>
      </w:tblGrid>
      <w:tr>
        <w:trPr/>
        <w:tc>
          <w:tcPr>
            <w:tcW w:w="59" w:type="dxa"/>
            <w:tcBorders/>
            <w:shd w:fill="auto" w:val="clear"/>
          </w:tcPr>
          <w:p>
            <w:pPr>
              <w:pStyle w:val="TableContents"/>
              <w:spacing w:before="0" w:after="283"/>
              <w:rPr/>
            </w:pPr>
            <w:r>
              <w:rPr/>
              <w:t> </w:t>
            </w:r>
          </w:p>
        </w:tc>
        <w:tc>
          <w:tcPr>
            <w:tcW w:w="12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o</w:t>
            </w:r>
          </w:p>
        </w:tc>
        <w:tc>
          <w:tcPr>
            <w:tcW w:w="1002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Australia - Operating expenses in Australia increased by only $834,000 or 2.1%. This small increase was due to efforts to hold operating costs steady even with increased admissions.</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491" w:name="hangingindent138"/>
      <w:bookmarkStart w:id="1492" w:name="hangingindent138"/>
      <w:bookmarkEnd w:id="1492"/>
    </w:p>
    <w:tbl>
      <w:tblPr>
        <w:tblW w:w="5000" w:type="pct"/>
        <w:jc w:val="center"/>
        <w:tblInd w:w="0" w:type="dxa"/>
        <w:tblCellMar>
          <w:top w:w="0" w:type="dxa"/>
          <w:left w:w="0" w:type="dxa"/>
          <w:bottom w:w="0" w:type="dxa"/>
          <w:right w:w="0" w:type="dxa"/>
        </w:tblCellMar>
      </w:tblPr>
      <w:tblGrid>
        <w:gridCol w:w="59"/>
        <w:gridCol w:w="125"/>
        <w:gridCol w:w="10021"/>
      </w:tblGrid>
      <w:tr>
        <w:trPr/>
        <w:tc>
          <w:tcPr>
            <w:tcW w:w="59" w:type="dxa"/>
            <w:tcBorders/>
            <w:shd w:fill="auto" w:val="clear"/>
          </w:tcPr>
          <w:p>
            <w:pPr>
              <w:pStyle w:val="TableContents"/>
              <w:spacing w:before="0" w:after="283"/>
              <w:rPr/>
            </w:pPr>
            <w:r>
              <w:rPr/>
              <w:t> </w:t>
            </w:r>
          </w:p>
        </w:tc>
        <w:tc>
          <w:tcPr>
            <w:tcW w:w="12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o</w:t>
            </w:r>
          </w:p>
        </w:tc>
        <w:tc>
          <w:tcPr>
            <w:tcW w:w="1002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New Zealand - Operating expenses in New Zealand increased by $1.6 million or 11.7%. This increase was due to higher admissions and concessions predominately resulting from the addition of the Queenstown and Palms cinemas in 2006.</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493" w:name="hangingindent139"/>
      <w:bookmarkStart w:id="1494" w:name="hangingindent139"/>
      <w:bookmarkEnd w:id="1494"/>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depreciation expense increased in 2006 by $325,000 or 3.9% compared to 2005. The increase was primarily from our 2006 acquisitions in New Zealand of the Queenstown Cinema in February 2006 and the Palms Cinema in early April 2006.</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495" w:name="hangingindent140"/>
      <w:bookmarkStart w:id="1496" w:name="hangingindent140"/>
      <w:bookmarkEnd w:id="1496"/>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general and administrative expense decreased in 2006 by $3.1 million or 46.2% compared to 2005. The change was primarily related to a decrease in legal costs associated with our anti-trust claims against Regal and certain distributors. </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497" w:name="hangingindent141"/>
      <w:bookmarkStart w:id="1498" w:name="hangingindent141"/>
      <w:bookmarkEnd w:id="1498"/>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cinema segment operating income increased in 2006 by $7.4 million compared to 2005 primarily resulting from our improved cinema operations in each region, our increased admissions from better film product, and a dramatic reduction in general and administrative expense, driven by a reduction in legal expenses.</w:t>
            </w:r>
          </w:p>
        </w:tc>
      </w:tr>
    </w:tbl>
    <w:p>
      <w:pPr>
        <w:pStyle w:val="TextBody"/>
        <w:spacing w:lineRule="auto" w:line="300" w:before="0" w:after="0"/>
        <w:ind w:left="0" w:right="0" w:hanging="0"/>
        <w:jc w:val="both"/>
        <w:rPr/>
      </w:pPr>
      <w:r>
        <w:rPr/>
      </w:r>
    </w:p>
    <w:p>
      <w:pPr>
        <w:pStyle w:val="TextBody"/>
        <w:spacing w:lineRule="auto" w:line="300" w:before="0" w:after="0"/>
        <w:ind w:left="0" w:right="0" w:hanging="0"/>
        <w:jc w:val="both"/>
        <w:rPr/>
      </w:pPr>
      <w:r>
        <w:rPr>
          <w:rStyle w:val="Emphasis"/>
          <w:rFonts w:ascii="Times New Roman" w:hAnsi="Times New Roman"/>
          <w:sz w:val="20"/>
          <w:u w:val="single"/>
        </w:rPr>
        <w:t>Cinema Results for 2005 Compared to 2004</w:t>
      </w:r>
    </w:p>
    <w:p>
      <w:pPr>
        <w:pStyle w:val="TextBody"/>
        <w:spacing w:lineRule="auto" w:line="300" w:before="0" w:after="0"/>
        <w:ind w:left="360" w:right="0" w:hanging="0"/>
        <w:jc w:val="both"/>
        <w:rPr/>
      </w:pPr>
      <w:r>
        <w:rPr/>
      </w:r>
    </w:p>
    <w:p>
      <w:pPr>
        <w:pStyle w:val="Normal"/>
        <w:spacing w:before="0" w:after="0"/>
        <w:rPr>
          <w:sz w:val="4"/>
          <w:szCs w:val="4"/>
        </w:rPr>
      </w:pPr>
      <w:r>
        <w:rPr>
          <w:sz w:val="4"/>
          <w:szCs w:val="4"/>
        </w:rPr>
      </w:r>
      <w:bookmarkStart w:id="1499" w:name="hangingindent142"/>
      <w:bookmarkStart w:id="1500" w:name="hangingindent142"/>
      <w:bookmarkEnd w:id="1500"/>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cinema revenue increased in 2005 by $12.4 million or 16.7% compared to 2004. The geographic activity of our revenues can be summarized as follows:</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501" w:name="hangingindent143"/>
      <w:bookmarkStart w:id="1502" w:name="hangingindent143"/>
      <w:bookmarkEnd w:id="1502"/>
    </w:p>
    <w:tbl>
      <w:tblPr>
        <w:tblW w:w="5000" w:type="pct"/>
        <w:jc w:val="center"/>
        <w:tblInd w:w="0" w:type="dxa"/>
        <w:tblCellMar>
          <w:top w:w="0" w:type="dxa"/>
          <w:left w:w="0" w:type="dxa"/>
          <w:bottom w:w="0" w:type="dxa"/>
          <w:right w:w="0" w:type="dxa"/>
        </w:tblCellMar>
      </w:tblPr>
      <w:tblGrid>
        <w:gridCol w:w="59"/>
        <w:gridCol w:w="125"/>
        <w:gridCol w:w="10021"/>
      </w:tblGrid>
      <w:tr>
        <w:trPr/>
        <w:tc>
          <w:tcPr>
            <w:tcW w:w="59" w:type="dxa"/>
            <w:tcBorders/>
            <w:shd w:fill="auto" w:val="clear"/>
          </w:tcPr>
          <w:p>
            <w:pPr>
              <w:pStyle w:val="TableContents"/>
              <w:spacing w:before="0" w:after="283"/>
              <w:rPr/>
            </w:pPr>
            <w:r>
              <w:rPr/>
              <w:t> </w:t>
            </w:r>
          </w:p>
        </w:tc>
        <w:tc>
          <w:tcPr>
            <w:tcW w:w="12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o</w:t>
            </w:r>
          </w:p>
        </w:tc>
        <w:tc>
          <w:tcPr>
            <w:tcW w:w="1002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United States - Revenues in the United States increased by $3.1 million or 14.7%. This increase in revenues was attributable to an increase in admissions revenues by $2.2 million, concessions revenues by $641,000, and advertising and other revenues by $272,000. The significant increase in admissions revenues resulted from higher admissions related to improved access to film product subsequent to our settlement with Universal and Fox of our Village East litigation.</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503" w:name="hangingindent144"/>
      <w:bookmarkStart w:id="1504" w:name="hangingindent144"/>
      <w:bookmarkEnd w:id="1504"/>
    </w:p>
    <w:tbl>
      <w:tblPr>
        <w:tblW w:w="5000" w:type="pct"/>
        <w:jc w:val="center"/>
        <w:tblInd w:w="0" w:type="dxa"/>
        <w:tblCellMar>
          <w:top w:w="0" w:type="dxa"/>
          <w:left w:w="0" w:type="dxa"/>
          <w:bottom w:w="0" w:type="dxa"/>
          <w:right w:w="0" w:type="dxa"/>
        </w:tblCellMar>
      </w:tblPr>
      <w:tblGrid>
        <w:gridCol w:w="59"/>
        <w:gridCol w:w="125"/>
        <w:gridCol w:w="10021"/>
      </w:tblGrid>
      <w:tr>
        <w:trPr/>
        <w:tc>
          <w:tcPr>
            <w:tcW w:w="59" w:type="dxa"/>
            <w:tcBorders/>
            <w:shd w:fill="auto" w:val="clear"/>
          </w:tcPr>
          <w:p>
            <w:pPr>
              <w:pStyle w:val="TableContents"/>
              <w:spacing w:before="0" w:after="283"/>
              <w:rPr/>
            </w:pPr>
            <w:r>
              <w:rPr/>
              <w:t> </w:t>
            </w:r>
          </w:p>
        </w:tc>
        <w:tc>
          <w:tcPr>
            <w:tcW w:w="12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o</w:t>
            </w:r>
          </w:p>
        </w:tc>
        <w:tc>
          <w:tcPr>
            <w:tcW w:w="1002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Australia - Revenues in Australia increased by $3.4 million or 8.1%. This increase in revenues was attributable to an increase in admissions revenues by $1.7 million, concessions revenues by $1.1 million, and advertising and other revenues by $633,000. We achieved a $7.1 million increase in revenues as a result of our purchase of the Anderson Circuit and the opening of our West Lakes and Rhodes cinemas in 2004 and the opening of our Elizabeth cinema in October 2005. However, this increase in revenues was offset by lower revenues from our existing cinemas as we noted an overall decrease in annual admissions which we believe to be primarily the product of generally less appealing film offerings in 2005.</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505" w:name="hangingindent145"/>
      <w:bookmarkStart w:id="1506" w:name="hangingindent145"/>
      <w:bookmarkEnd w:id="1506"/>
    </w:p>
    <w:tbl>
      <w:tblPr>
        <w:tblW w:w="5000" w:type="pct"/>
        <w:jc w:val="center"/>
        <w:tblInd w:w="0" w:type="dxa"/>
        <w:tblCellMar>
          <w:top w:w="0" w:type="dxa"/>
          <w:left w:w="0" w:type="dxa"/>
          <w:bottom w:w="0" w:type="dxa"/>
          <w:right w:w="0" w:type="dxa"/>
        </w:tblCellMar>
      </w:tblPr>
      <w:tblGrid>
        <w:gridCol w:w="59"/>
        <w:gridCol w:w="125"/>
        <w:gridCol w:w="10021"/>
      </w:tblGrid>
      <w:tr>
        <w:trPr/>
        <w:tc>
          <w:tcPr>
            <w:tcW w:w="59" w:type="dxa"/>
            <w:tcBorders/>
            <w:shd w:fill="auto" w:val="clear"/>
          </w:tcPr>
          <w:p>
            <w:pPr>
              <w:pStyle w:val="TableContents"/>
              <w:spacing w:before="0" w:after="283"/>
              <w:rPr/>
            </w:pPr>
            <w:r>
              <w:rPr/>
              <w:t> </w:t>
            </w:r>
          </w:p>
        </w:tc>
        <w:tc>
          <w:tcPr>
            <w:tcW w:w="12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o</w:t>
            </w:r>
          </w:p>
        </w:tc>
        <w:tc>
          <w:tcPr>
            <w:tcW w:w="1002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New Zealand - Revenues in New Zealand increased by $5.9 million or 55.3%. This increase in revenues was attributable to an increase in admissions revenues by $4.0 million, concessions revenues by $1.3 million, and advertising and other revenues by $518,000. We achieved a $5.6 million increase in revenues as a result of our purchase of the Movieland Circuit in 2004, offset by the generally less appealing film offerings in 2005.</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507" w:name="hangingindent146"/>
      <w:bookmarkStart w:id="1508" w:name="hangingindent146"/>
      <w:bookmarkEnd w:id="1508"/>
    </w:p>
    <w:tbl>
      <w:tblPr>
        <w:tblW w:w="5000" w:type="pct"/>
        <w:jc w:val="center"/>
        <w:tblInd w:w="0" w:type="dxa"/>
        <w:tblCellMar>
          <w:top w:w="0" w:type="dxa"/>
          <w:left w:w="0" w:type="dxa"/>
          <w:bottom w:w="0" w:type="dxa"/>
          <w:right w:w="0" w:type="dxa"/>
        </w:tblCellMar>
      </w:tblPr>
      <w:tblGrid>
        <w:gridCol w:w="87"/>
        <w:gridCol w:w="139"/>
        <w:gridCol w:w="9979"/>
      </w:tblGrid>
      <w:tr>
        <w:trPr/>
        <w:tc>
          <w:tcPr>
            <w:tcW w:w="87" w:type="dxa"/>
            <w:tcBorders/>
            <w:shd w:fill="auto" w:val="clear"/>
          </w:tcPr>
          <w:p>
            <w:pPr>
              <w:pStyle w:val="TableContents"/>
              <w:spacing w:before="0" w:after="283"/>
              <w:rPr/>
            </w:pPr>
            <w:r>
              <w:rPr/>
              <w:t> </w:t>
            </w:r>
          </w:p>
        </w:tc>
        <w:tc>
          <w:tcPr>
            <w:tcW w:w="139"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997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Operating expense increased in 2005 by $10.6 million or 17.1% compared to 2004. </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509" w:name="hangingindent147"/>
      <w:bookmarkStart w:id="1510" w:name="hangingindent147"/>
      <w:bookmarkEnd w:id="1510"/>
    </w:p>
    <w:tbl>
      <w:tblPr>
        <w:tblW w:w="5000" w:type="pct"/>
        <w:jc w:val="center"/>
        <w:tblInd w:w="0" w:type="dxa"/>
        <w:tblCellMar>
          <w:top w:w="0" w:type="dxa"/>
          <w:left w:w="0" w:type="dxa"/>
          <w:bottom w:w="0" w:type="dxa"/>
          <w:right w:w="0" w:type="dxa"/>
        </w:tblCellMar>
      </w:tblPr>
      <w:tblGrid>
        <w:gridCol w:w="59"/>
        <w:gridCol w:w="125"/>
        <w:gridCol w:w="10021"/>
      </w:tblGrid>
      <w:tr>
        <w:trPr/>
        <w:tc>
          <w:tcPr>
            <w:tcW w:w="59" w:type="dxa"/>
            <w:tcBorders/>
            <w:shd w:fill="auto" w:val="clear"/>
          </w:tcPr>
          <w:p>
            <w:pPr>
              <w:pStyle w:val="TableContents"/>
              <w:spacing w:before="0" w:after="283"/>
              <w:rPr/>
            </w:pPr>
            <w:r>
              <w:rPr/>
              <w:t> </w:t>
            </w:r>
          </w:p>
        </w:tc>
        <w:tc>
          <w:tcPr>
            <w:tcW w:w="12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o</w:t>
            </w:r>
          </w:p>
        </w:tc>
        <w:tc>
          <w:tcPr>
            <w:tcW w:w="1002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United States - Operating expenses in the United States increased by $1.3 million or 7.3% resulting from higher admissions and concession sales.</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511" w:name="hangingindent148"/>
      <w:bookmarkStart w:id="1512" w:name="hangingindent148"/>
      <w:bookmarkEnd w:id="1512"/>
    </w:p>
    <w:tbl>
      <w:tblPr>
        <w:tblW w:w="5000" w:type="pct"/>
        <w:jc w:val="center"/>
        <w:tblInd w:w="0" w:type="dxa"/>
        <w:tblCellMar>
          <w:top w:w="0" w:type="dxa"/>
          <w:left w:w="0" w:type="dxa"/>
          <w:bottom w:w="0" w:type="dxa"/>
          <w:right w:w="0" w:type="dxa"/>
        </w:tblCellMar>
      </w:tblPr>
      <w:tblGrid>
        <w:gridCol w:w="59"/>
        <w:gridCol w:w="125"/>
        <w:gridCol w:w="10021"/>
      </w:tblGrid>
      <w:tr>
        <w:trPr/>
        <w:tc>
          <w:tcPr>
            <w:tcW w:w="59" w:type="dxa"/>
            <w:tcBorders/>
            <w:shd w:fill="auto" w:val="clear"/>
          </w:tcPr>
          <w:p>
            <w:pPr>
              <w:pStyle w:val="TableContents"/>
              <w:spacing w:before="0" w:after="283"/>
              <w:rPr/>
            </w:pPr>
            <w:r>
              <w:rPr/>
              <w:t> </w:t>
            </w:r>
          </w:p>
        </w:tc>
        <w:tc>
          <w:tcPr>
            <w:tcW w:w="12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o</w:t>
            </w:r>
          </w:p>
        </w:tc>
        <w:tc>
          <w:tcPr>
            <w:tcW w:w="1002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Australia - Operating expenses in Australia increased by $4.7 million or 13.1%. This increase was mainly due to higher admissions and concessions resulting from the addition of six new theaters. In addition, we noted that our previously existing sites recorded higher operating expenses as a percentage of revenues from fixed costs including rent and other operating expenses.</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513" w:name="hangingindent149"/>
      <w:bookmarkStart w:id="1514" w:name="hangingindent149"/>
      <w:bookmarkEnd w:id="1514"/>
    </w:p>
    <w:tbl>
      <w:tblPr>
        <w:tblW w:w="5000" w:type="pct"/>
        <w:jc w:val="center"/>
        <w:tblInd w:w="0" w:type="dxa"/>
        <w:tblCellMar>
          <w:top w:w="0" w:type="dxa"/>
          <w:left w:w="0" w:type="dxa"/>
          <w:bottom w:w="0" w:type="dxa"/>
          <w:right w:w="0" w:type="dxa"/>
        </w:tblCellMar>
      </w:tblPr>
      <w:tblGrid>
        <w:gridCol w:w="59"/>
        <w:gridCol w:w="125"/>
        <w:gridCol w:w="10021"/>
      </w:tblGrid>
      <w:tr>
        <w:trPr/>
        <w:tc>
          <w:tcPr>
            <w:tcW w:w="59" w:type="dxa"/>
            <w:tcBorders/>
            <w:shd w:fill="auto" w:val="clear"/>
          </w:tcPr>
          <w:p>
            <w:pPr>
              <w:pStyle w:val="TableContents"/>
              <w:spacing w:before="0" w:after="283"/>
              <w:rPr/>
            </w:pPr>
            <w:r>
              <w:rPr/>
              <w:t> </w:t>
            </w:r>
          </w:p>
        </w:tc>
        <w:tc>
          <w:tcPr>
            <w:tcW w:w="12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o</w:t>
            </w:r>
          </w:p>
        </w:tc>
        <w:tc>
          <w:tcPr>
            <w:tcW w:w="1002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New Zealand - Operating expenses in New Zealand increased by $4.6 million or 53.8%. This increase was due to higher admissions and concessions resulting from the addition of six new theaters, coupled with the fixed cost effect on lower revenue from our previously existing Wellington location, similar to that experienced in our Australian circuit.</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515" w:name="PGBRK53"/>
      <w:bookmarkStart w:id="1516" w:name="PGBRK53"/>
      <w:bookmarkEnd w:id="15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17" w:name="FTR53"/>
      <w:bookmarkStart w:id="1518" w:name="FTR53"/>
      <w:bookmarkEnd w:id="151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19" w:name="GLFTR53"/>
      <w:bookmarkStart w:id="1520" w:name="GLFTR53"/>
      <w:bookmarkEnd w:id="152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1521" w:name="PN53"/>
      <w:bookmarkEnd w:id="1521"/>
      <w:r>
        <w:rPr>
          <w:rFonts w:ascii="Times New Roman" w:hAnsi="Times New Roman"/>
          <w:sz w:val="16"/>
        </w:rPr>
        <w:t>-53-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22" w:name="HDR53"/>
      <w:bookmarkStart w:id="1523" w:name="HDR53"/>
      <w:bookmarkEnd w:id="15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1524" w:name="GLHDR53"/>
        <w:bookmarkEnd w:id="1524"/>
        <w:r>
          <w:rPr>
            <w:rStyle w:val="Emphasis"/>
            <w:rFonts w:ascii="Times New Roman" w:hAnsi="Times New Roman"/>
            <w:color w:val="000000"/>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pStyle w:val="Normal"/>
        <w:spacing w:before="0" w:after="0"/>
        <w:rPr>
          <w:sz w:val="4"/>
          <w:szCs w:val="4"/>
        </w:rPr>
      </w:pPr>
      <w:r>
        <w:rPr>
          <w:sz w:val="4"/>
          <w:szCs w:val="4"/>
        </w:rPr>
      </w:r>
      <w:bookmarkStart w:id="1525" w:name="hangingindent150"/>
      <w:bookmarkStart w:id="1526" w:name="hangingindent150"/>
      <w:bookmarkEnd w:id="1526"/>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depreciation expense increased in 2005 by $230,000 or 2.8% compared to 2004. The increase was primarily from our late-year 2004 acquisitions of the Anderson and Movieland Circuits and the addition of two new leasehold cinemas in December 2004.</w:t>
            </w:r>
          </w:p>
        </w:tc>
      </w:tr>
    </w:tbl>
    <w:p>
      <w:pPr>
        <w:pStyle w:val="TextBody"/>
        <w:spacing w:before="0" w:after="0"/>
        <w:rPr/>
      </w:pPr>
      <w:r>
        <w:rPr/>
        <w:t> </w:t>
      </w:r>
    </w:p>
    <w:p>
      <w:pPr>
        <w:pStyle w:val="Normal"/>
        <w:spacing w:before="0" w:after="0"/>
        <w:rPr>
          <w:sz w:val="4"/>
          <w:szCs w:val="4"/>
        </w:rPr>
      </w:pPr>
      <w:r>
        <w:rPr>
          <w:sz w:val="4"/>
          <w:szCs w:val="4"/>
        </w:rPr>
      </w:r>
      <w:bookmarkStart w:id="1527" w:name="hangingindent151"/>
      <w:bookmarkStart w:id="1528" w:name="hangingindent151"/>
      <w:bookmarkEnd w:id="1528"/>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general and administrative expense increased in 2005 by $934,000 or 15.9% compared to 2004. The increase was primarily related to legal services for our continuing anti-trust litigation with respect to the access of our Village East cinema to first run commercial film products. </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529" w:name="hangingindent152"/>
      <w:bookmarkStart w:id="1530" w:name="hangingindent152"/>
      <w:bookmarkEnd w:id="1530"/>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cinema segment operating income increased in 2005 by $648,000 compared to 2004 primarily resulting from our new operations in Australia and New Zealand and our increased admissions at our existing cinemas in the United States. </w:t>
            </w:r>
          </w:p>
        </w:tc>
      </w:tr>
    </w:tbl>
    <w:p>
      <w:pPr>
        <w:pStyle w:val="TextBody"/>
        <w:spacing w:lineRule="auto" w:line="300" w:before="0" w:after="0"/>
        <w:ind w:left="0" w:right="0" w:hanging="0"/>
        <w:jc w:val="left"/>
        <w:rPr/>
      </w:pPr>
      <w:r>
        <w:rPr/>
      </w:r>
    </w:p>
    <w:p>
      <w:pPr>
        <w:pStyle w:val="TextBody"/>
        <w:spacing w:lineRule="auto" w:line="300" w:before="0" w:after="0"/>
        <w:ind w:left="0" w:right="0" w:hanging="0"/>
        <w:jc w:val="both"/>
        <w:rPr>
          <w:rFonts w:ascii="Times New Roman" w:hAnsi="Times New Roman"/>
          <w:sz w:val="20"/>
          <w:u w:val="single"/>
        </w:rPr>
      </w:pPr>
      <w:r>
        <w:rPr>
          <w:rFonts w:ascii="Times New Roman" w:hAnsi="Times New Roman"/>
          <w:sz w:val="20"/>
          <w:u w:val="single"/>
        </w:rPr>
        <w:t>Real Estate Segment</w:t>
      </w:r>
    </w:p>
    <w:p>
      <w:pPr>
        <w:pStyle w:val="TextBody"/>
        <w:spacing w:lineRule="auto" w:line="300" w:before="0" w:after="0"/>
        <w:ind w:left="0" w:right="0" w:hanging="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As discussed above, our other major business segment is the development and management of real estate. These holdings include our rental live theaters, certain fee owned properties used in our cinema business, and unimproved real estate held for development. Effective the fourth quarter of 2006, we have changed the presentation of our segment reporting such that our intersegment revenues and expenses are reported separately from our segments’ operating activity. The effect of this change is to include intercompany rent revenues and rent expenses into their respective cinema and real estate business segments. The revenues and expenses for 2005 and 2004 have been adjusted to conform to the current year presentation. The tables and discussion which follow detail our operating results for our 2006, 2005 and 2004 real estate segment adjusted to reflect the sale of our Glendale property in May 2005 (dollars in thousands):</w:t>
      </w:r>
    </w:p>
    <w:p>
      <w:pPr>
        <w:pStyle w:val="TextBody"/>
        <w:spacing w:lineRule="auto" w:line="300" w:before="0" w:after="0"/>
        <w:ind w:left="0" w:right="0" w:firstLine="720"/>
        <w:jc w:val="both"/>
        <w:rPr/>
      </w:pPr>
      <w:r>
        <w:rPr/>
        <w:t> </w:t>
      </w:r>
    </w:p>
    <w:p>
      <w:pPr>
        <w:pStyle w:val="Normal"/>
        <w:spacing w:before="0" w:after="0"/>
        <w:ind w:left="0" w:right="0" w:firstLine="720"/>
        <w:rPr>
          <w:sz w:val="4"/>
          <w:szCs w:val="4"/>
        </w:rPr>
      </w:pPr>
      <w:r>
        <w:rPr>
          <w:sz w:val="4"/>
          <w:szCs w:val="4"/>
        </w:rPr>
      </w:r>
      <w:bookmarkStart w:id="1531" w:name="ftable10"/>
      <w:bookmarkStart w:id="1532" w:name="ftable10"/>
      <w:bookmarkEnd w:id="1532"/>
    </w:p>
    <w:tbl>
      <w:tblPr>
        <w:tblW w:w="5000" w:type="pct"/>
        <w:jc w:val="left"/>
        <w:tblInd w:w="0" w:type="dxa"/>
        <w:tblCellMar>
          <w:top w:w="0" w:type="dxa"/>
          <w:left w:w="0" w:type="dxa"/>
          <w:bottom w:w="28" w:type="dxa"/>
          <w:right w:w="0" w:type="dxa"/>
        </w:tblCellMar>
      </w:tblPr>
      <w:tblGrid>
        <w:gridCol w:w="4164"/>
        <w:gridCol w:w="191"/>
        <w:gridCol w:w="125"/>
        <w:gridCol w:w="1133"/>
        <w:gridCol w:w="191"/>
        <w:gridCol w:w="125"/>
        <w:gridCol w:w="1208"/>
        <w:gridCol w:w="191"/>
        <w:gridCol w:w="125"/>
        <w:gridCol w:w="1179"/>
        <w:gridCol w:w="190"/>
        <w:gridCol w:w="125"/>
        <w:gridCol w:w="1137"/>
        <w:gridCol w:w="121"/>
      </w:tblGrid>
      <w:tr>
        <w:trPr/>
        <w:tc>
          <w:tcPr>
            <w:tcW w:w="4164" w:type="dxa"/>
            <w:tcBorders>
              <w:bottom w:val="double" w:sz="2" w:space="0" w:color="000000"/>
            </w:tcBorders>
            <w:shd w:fill="auto" w:val="clear"/>
            <w:vAlign w:val="bottom"/>
          </w:tcPr>
          <w:p>
            <w:pPr>
              <w:pStyle w:val="TableContents"/>
              <w:spacing w:lineRule="auto" w:line="300" w:before="0" w:after="0"/>
              <w:ind w:left="0" w:right="0" w:hanging="0"/>
              <w:jc w:val="left"/>
              <w:rPr/>
            </w:pPr>
            <w:r>
              <w:rPr>
                <w:rStyle w:val="StrongEmphasis"/>
                <w:rFonts w:ascii="Times New Roman" w:hAnsi="Times New Roman"/>
                <w:sz w:val="20"/>
              </w:rPr>
              <w:t>Year Ended December 31, 2006</w:t>
            </w:r>
          </w:p>
        </w:tc>
        <w:tc>
          <w:tcPr>
            <w:tcW w:w="191" w:type="dxa"/>
            <w:tcBorders>
              <w:bottom w:val="single" w:sz="4" w:space="0" w:color="FFFFFF"/>
            </w:tcBorders>
            <w:shd w:fill="auto" w:val="clear"/>
            <w:vAlign w:val="center"/>
          </w:tcPr>
          <w:p>
            <w:pPr>
              <w:pStyle w:val="TableContents"/>
              <w:spacing w:before="0" w:after="283"/>
              <w:rPr/>
            </w:pPr>
            <w:r>
              <w:rPr/>
              <w:t> </w:t>
            </w:r>
          </w:p>
        </w:tc>
        <w:tc>
          <w:tcPr>
            <w:tcW w:w="1258"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United States</w:t>
            </w:r>
          </w:p>
        </w:tc>
        <w:tc>
          <w:tcPr>
            <w:tcW w:w="191" w:type="dxa"/>
            <w:tcBorders>
              <w:bottom w:val="single" w:sz="4" w:space="0" w:color="FFFFFF"/>
            </w:tcBorders>
            <w:shd w:fill="auto" w:val="clear"/>
            <w:vAlign w:val="bottom"/>
          </w:tcPr>
          <w:p>
            <w:pPr>
              <w:pStyle w:val="TableContents"/>
              <w:spacing w:before="0" w:after="283"/>
              <w:jc w:val="left"/>
              <w:rPr/>
            </w:pPr>
            <w:r>
              <w:rPr/>
              <w:t> </w:t>
            </w:r>
          </w:p>
        </w:tc>
        <w:tc>
          <w:tcPr>
            <w:tcW w:w="1333"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Australia</w:t>
            </w:r>
          </w:p>
        </w:tc>
        <w:tc>
          <w:tcPr>
            <w:tcW w:w="191" w:type="dxa"/>
            <w:tcBorders>
              <w:bottom w:val="single" w:sz="4" w:space="0" w:color="FFFFFF"/>
            </w:tcBorders>
            <w:shd w:fill="auto" w:val="clear"/>
            <w:vAlign w:val="bottom"/>
          </w:tcPr>
          <w:p>
            <w:pPr>
              <w:pStyle w:val="TableContents"/>
              <w:spacing w:before="0" w:after="283"/>
              <w:jc w:val="left"/>
              <w:rPr/>
            </w:pPr>
            <w:r>
              <w:rPr/>
              <w:t> </w:t>
            </w:r>
          </w:p>
        </w:tc>
        <w:tc>
          <w:tcPr>
            <w:tcW w:w="1304"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New Zealand</w:t>
            </w:r>
          </w:p>
        </w:tc>
        <w:tc>
          <w:tcPr>
            <w:tcW w:w="190" w:type="dxa"/>
            <w:tcBorders>
              <w:bottom w:val="single" w:sz="4" w:space="0" w:color="FFFFFF"/>
            </w:tcBorders>
            <w:shd w:fill="auto" w:val="clear"/>
            <w:vAlign w:val="bottom"/>
          </w:tcPr>
          <w:p>
            <w:pPr>
              <w:pStyle w:val="TableContents"/>
              <w:spacing w:before="0" w:after="283"/>
              <w:jc w:val="left"/>
              <w:rPr/>
            </w:pPr>
            <w:r>
              <w:rPr/>
              <w:t> </w:t>
            </w:r>
          </w:p>
        </w:tc>
        <w:tc>
          <w:tcPr>
            <w:tcW w:w="1262"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Total</w:t>
            </w:r>
          </w:p>
        </w:tc>
        <w:tc>
          <w:tcPr>
            <w:tcW w:w="121" w:type="dxa"/>
            <w:tcBorders>
              <w:bottom w:val="single" w:sz="4" w:space="0" w:color="FFFFFF"/>
            </w:tcBorders>
            <w:shd w:fill="auto" w:val="clear"/>
            <w:vAlign w:val="bottom"/>
          </w:tcPr>
          <w:p>
            <w:pPr>
              <w:pStyle w:val="TableContents"/>
              <w:spacing w:before="0" w:after="283"/>
              <w:jc w:val="left"/>
              <w:rPr/>
            </w:pPr>
            <w:r>
              <w:rPr/>
              <w:t> </w:t>
            </w:r>
          </w:p>
        </w:tc>
      </w:tr>
      <w:tr>
        <w:trPr/>
        <w:tc>
          <w:tcPr>
            <w:tcW w:w="4164" w:type="dxa"/>
            <w:tcBorders/>
            <w:shd w:fill="CCEEFF" w:val="clear"/>
            <w:tcMar>
              <w:bottom w:w="0" w:type="dxa"/>
            </w:tcMar>
            <w:vAlign w:val="bottom"/>
          </w:tcPr>
          <w:p>
            <w:pPr>
              <w:pStyle w:val="TableContents"/>
              <w:spacing w:lineRule="auto" w:line="300" w:before="0" w:after="0"/>
              <w:ind w:left="360" w:right="0" w:hanging="360"/>
              <w:jc w:val="left"/>
              <w:rPr>
                <w:rFonts w:ascii="Times New Roman" w:hAnsi="Times New Roman"/>
                <w:sz w:val="20"/>
              </w:rPr>
            </w:pPr>
            <w:r>
              <w:rPr>
                <w:rFonts w:ascii="Times New Roman" w:hAnsi="Times New Roman"/>
                <w:sz w:val="20"/>
              </w:rPr>
              <w:t>Live theater rental and ancillary income</w:t>
            </w:r>
          </w:p>
        </w:tc>
        <w:tc>
          <w:tcPr>
            <w:tcW w:w="191" w:type="dxa"/>
            <w:tcBorders/>
            <w:shd w:fill="CCEEFF" w:val="clear"/>
            <w:tcMar>
              <w:bottom w:w="0" w:type="dxa"/>
            </w:tcMar>
            <w:vAlign w:val="center"/>
          </w:tcPr>
          <w:p>
            <w:pPr>
              <w:pStyle w:val="TableContents"/>
              <w:spacing w:before="0" w:after="283"/>
              <w:rPr/>
            </w:pPr>
            <w:r>
              <w:rPr/>
              <w:t> </w:t>
            </w:r>
          </w:p>
        </w:tc>
        <w:tc>
          <w:tcPr>
            <w:tcW w:w="125"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1533" w:name="TAB1578"/>
            <w:bookmarkEnd w:id="1533"/>
            <w:r>
              <w:rPr>
                <w:rFonts w:ascii="Times New Roman" w:hAnsi="Times New Roman"/>
                <w:sz w:val="20"/>
              </w:rPr>
              <w:t>$</w:t>
            </w:r>
          </w:p>
        </w:tc>
        <w:tc>
          <w:tcPr>
            <w:tcW w:w="1133"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534" w:name="TAB1579"/>
            <w:bookmarkEnd w:id="1534"/>
            <w:r>
              <w:rPr>
                <w:rFonts w:ascii="Times New Roman" w:hAnsi="Times New Roman"/>
                <w:sz w:val="20"/>
              </w:rPr>
              <w:t>3,667</w:t>
            </w:r>
          </w:p>
        </w:tc>
        <w:tc>
          <w:tcPr>
            <w:tcW w:w="191"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1535" w:name="TAB1580"/>
            <w:bookmarkEnd w:id="1535"/>
            <w:r>
              <w:rPr>
                <w:rFonts w:ascii="Times New Roman" w:hAnsi="Times New Roman"/>
                <w:sz w:val="20"/>
              </w:rPr>
              <w:t>$</w:t>
            </w:r>
          </w:p>
        </w:tc>
        <w:tc>
          <w:tcPr>
            <w:tcW w:w="1208"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536" w:name="TAB1581"/>
            <w:bookmarkEnd w:id="1536"/>
            <w:r>
              <w:rPr>
                <w:rFonts w:ascii="Times New Roman" w:hAnsi="Times New Roman"/>
                <w:sz w:val="20"/>
              </w:rPr>
              <w:t>--</w:t>
            </w:r>
          </w:p>
        </w:tc>
        <w:tc>
          <w:tcPr>
            <w:tcW w:w="191"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1537" w:name="TAB1582"/>
            <w:bookmarkEnd w:id="1537"/>
            <w:r>
              <w:rPr>
                <w:rFonts w:ascii="Times New Roman" w:hAnsi="Times New Roman"/>
                <w:sz w:val="20"/>
              </w:rPr>
              <w:t>$</w:t>
            </w:r>
          </w:p>
        </w:tc>
        <w:tc>
          <w:tcPr>
            <w:tcW w:w="1179"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538" w:name="TAB1583"/>
            <w:bookmarkEnd w:id="1538"/>
            <w:r>
              <w:rPr>
                <w:rFonts w:ascii="Times New Roman" w:hAnsi="Times New Roman"/>
                <w:sz w:val="20"/>
              </w:rPr>
              <w:t>--</w:t>
            </w:r>
          </w:p>
        </w:tc>
        <w:tc>
          <w:tcPr>
            <w:tcW w:w="190"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1539" w:name="TAB1584"/>
            <w:bookmarkEnd w:id="1539"/>
            <w:r>
              <w:rPr>
                <w:rFonts w:ascii="Times New Roman" w:hAnsi="Times New Roman"/>
                <w:sz w:val="20"/>
              </w:rPr>
              <w:t>$</w:t>
            </w:r>
          </w:p>
        </w:tc>
        <w:tc>
          <w:tcPr>
            <w:tcW w:w="1137"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540" w:name="TAB1585"/>
            <w:bookmarkEnd w:id="1540"/>
            <w:r>
              <w:rPr>
                <w:rFonts w:ascii="Times New Roman" w:hAnsi="Times New Roman"/>
                <w:sz w:val="20"/>
              </w:rPr>
              <w:t>3,667</w:t>
            </w:r>
          </w:p>
        </w:tc>
        <w:tc>
          <w:tcPr>
            <w:tcW w:w="121" w:type="dxa"/>
            <w:tcBorders/>
            <w:shd w:fill="CCEEFF" w:val="clear"/>
            <w:tcMar>
              <w:bottom w:w="0" w:type="dxa"/>
            </w:tcMar>
            <w:vAlign w:val="bottom"/>
          </w:tcPr>
          <w:p>
            <w:pPr>
              <w:pStyle w:val="TableContents"/>
              <w:spacing w:before="0" w:after="283"/>
              <w:jc w:val="left"/>
              <w:rPr/>
            </w:pPr>
            <w:r>
              <w:rPr/>
              <w:t> </w:t>
            </w:r>
          </w:p>
        </w:tc>
      </w:tr>
      <w:tr>
        <w:trPr/>
        <w:tc>
          <w:tcPr>
            <w:tcW w:w="4164" w:type="dxa"/>
            <w:tcBorders>
              <w:bottom w:val="single" w:sz="2" w:space="0" w:color="000000"/>
            </w:tcBorders>
            <w:shd w:fill="FFFFFF" w:val="clear"/>
            <w:vAlign w:val="bottom"/>
          </w:tcPr>
          <w:p>
            <w:pPr>
              <w:pStyle w:val="TableContents"/>
              <w:spacing w:lineRule="auto" w:line="300" w:before="0" w:after="0"/>
              <w:ind w:left="360" w:right="0" w:hanging="360"/>
              <w:jc w:val="left"/>
              <w:rPr>
                <w:rFonts w:ascii="Times New Roman" w:hAnsi="Times New Roman"/>
                <w:sz w:val="20"/>
              </w:rPr>
            </w:pPr>
            <w:r>
              <w:rPr>
                <w:rFonts w:ascii="Times New Roman" w:hAnsi="Times New Roman"/>
                <w:sz w:val="20"/>
              </w:rPr>
              <w:t>Property rental income</w:t>
            </w:r>
          </w:p>
        </w:tc>
        <w:tc>
          <w:tcPr>
            <w:tcW w:w="191" w:type="dxa"/>
            <w:tcBorders>
              <w:bottom w:val="single" w:sz="2" w:space="0" w:color="FFFFFF"/>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vAlign w:val="bottom"/>
          </w:tcPr>
          <w:p>
            <w:pPr>
              <w:pStyle w:val="TableContents"/>
              <w:spacing w:before="0" w:after="283"/>
              <w:jc w:val="left"/>
              <w:rPr/>
            </w:pPr>
            <w:r>
              <w:rPr/>
              <w:t> </w:t>
            </w:r>
          </w:p>
        </w:tc>
        <w:tc>
          <w:tcPr>
            <w:tcW w:w="1133"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1,720</w:t>
            </w:r>
          </w:p>
        </w:tc>
        <w:tc>
          <w:tcPr>
            <w:tcW w:w="191" w:type="dxa"/>
            <w:tcBorders>
              <w:bottom w:val="single" w:sz="2" w:space="0" w:color="FFFFFF"/>
            </w:tcBorders>
            <w:shd w:fill="FFFFFF" w:val="clear"/>
            <w:vAlign w:val="bottom"/>
          </w:tcPr>
          <w:p>
            <w:pPr>
              <w:pStyle w:val="TableContents"/>
              <w:spacing w:before="0" w:after="283"/>
              <w:jc w:val="left"/>
              <w:rPr/>
            </w:pPr>
            <w:r>
              <w:rPr/>
              <w:t> </w:t>
            </w:r>
          </w:p>
        </w:tc>
        <w:tc>
          <w:tcPr>
            <w:tcW w:w="125" w:type="dxa"/>
            <w:tcBorders>
              <w:bottom w:val="single" w:sz="2" w:space="0" w:color="000000"/>
            </w:tcBorders>
            <w:shd w:fill="FFFFFF" w:val="clear"/>
            <w:vAlign w:val="bottom"/>
          </w:tcPr>
          <w:p>
            <w:pPr>
              <w:pStyle w:val="TableContents"/>
              <w:spacing w:before="0" w:after="283"/>
              <w:jc w:val="left"/>
              <w:rPr/>
            </w:pPr>
            <w:r>
              <w:rPr/>
              <w:t> </w:t>
            </w:r>
          </w:p>
        </w:tc>
        <w:tc>
          <w:tcPr>
            <w:tcW w:w="1208"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6,334</w:t>
            </w:r>
          </w:p>
        </w:tc>
        <w:tc>
          <w:tcPr>
            <w:tcW w:w="191" w:type="dxa"/>
            <w:tcBorders>
              <w:bottom w:val="single" w:sz="2" w:space="0" w:color="FFFFFF"/>
            </w:tcBorders>
            <w:shd w:fill="FFFFFF" w:val="clear"/>
            <w:vAlign w:val="bottom"/>
          </w:tcPr>
          <w:p>
            <w:pPr>
              <w:pStyle w:val="TableContents"/>
              <w:spacing w:before="0" w:after="283"/>
              <w:jc w:val="left"/>
              <w:rPr/>
            </w:pPr>
            <w:r>
              <w:rPr/>
              <w:t> </w:t>
            </w:r>
          </w:p>
        </w:tc>
        <w:tc>
          <w:tcPr>
            <w:tcW w:w="125" w:type="dxa"/>
            <w:tcBorders>
              <w:bottom w:val="single" w:sz="2" w:space="0" w:color="000000"/>
            </w:tcBorders>
            <w:shd w:fill="FFFFFF" w:val="clear"/>
            <w:vAlign w:val="bottom"/>
          </w:tcPr>
          <w:p>
            <w:pPr>
              <w:pStyle w:val="TableContents"/>
              <w:spacing w:before="0" w:after="283"/>
              <w:jc w:val="left"/>
              <w:rPr/>
            </w:pPr>
            <w:r>
              <w:rPr/>
              <w:t> </w:t>
            </w:r>
          </w:p>
        </w:tc>
        <w:tc>
          <w:tcPr>
            <w:tcW w:w="1179"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5,564</w:t>
            </w:r>
          </w:p>
        </w:tc>
        <w:tc>
          <w:tcPr>
            <w:tcW w:w="190" w:type="dxa"/>
            <w:tcBorders>
              <w:bottom w:val="single" w:sz="2" w:space="0" w:color="FFFFFF"/>
            </w:tcBorders>
            <w:shd w:fill="FFFFFF" w:val="clear"/>
            <w:vAlign w:val="bottom"/>
          </w:tcPr>
          <w:p>
            <w:pPr>
              <w:pStyle w:val="TableContents"/>
              <w:spacing w:before="0" w:after="283"/>
              <w:jc w:val="left"/>
              <w:rPr/>
            </w:pPr>
            <w:r>
              <w:rPr/>
              <w:t> </w:t>
            </w:r>
          </w:p>
        </w:tc>
        <w:tc>
          <w:tcPr>
            <w:tcW w:w="125" w:type="dxa"/>
            <w:tcBorders>
              <w:bottom w:val="single" w:sz="2" w:space="0" w:color="000000"/>
            </w:tcBorders>
            <w:shd w:fill="FFFFFF" w:val="clear"/>
            <w:vAlign w:val="bottom"/>
          </w:tcPr>
          <w:p>
            <w:pPr>
              <w:pStyle w:val="TableContents"/>
              <w:spacing w:before="0" w:after="283"/>
              <w:jc w:val="left"/>
              <w:rPr/>
            </w:pPr>
            <w:r>
              <w:rPr/>
              <w:t> </w:t>
            </w:r>
          </w:p>
        </w:tc>
        <w:tc>
          <w:tcPr>
            <w:tcW w:w="1137"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13,618</w:t>
            </w:r>
          </w:p>
        </w:tc>
        <w:tc>
          <w:tcPr>
            <w:tcW w:w="121" w:type="dxa"/>
            <w:tcBorders>
              <w:bottom w:val="single" w:sz="2" w:space="0" w:color="FFFFFF"/>
            </w:tcBorders>
            <w:shd w:fill="FFFFFF" w:val="clear"/>
            <w:vAlign w:val="bottom"/>
          </w:tcPr>
          <w:p>
            <w:pPr>
              <w:pStyle w:val="TableContents"/>
              <w:spacing w:before="0" w:after="283"/>
              <w:jc w:val="left"/>
              <w:rPr/>
            </w:pPr>
            <w:r>
              <w:rPr/>
              <w:t> </w:t>
            </w:r>
          </w:p>
        </w:tc>
      </w:tr>
      <w:tr>
        <w:trPr/>
        <w:tc>
          <w:tcPr>
            <w:tcW w:w="4164" w:type="dxa"/>
            <w:tcBorders/>
            <w:shd w:fill="CCEEFF" w:val="clear"/>
            <w:tcMar>
              <w:bottom w:w="0" w:type="dxa"/>
            </w:tcMar>
            <w:vAlign w:val="bottom"/>
          </w:tcPr>
          <w:p>
            <w:pPr>
              <w:pStyle w:val="TableContents"/>
              <w:spacing w:lineRule="auto" w:line="300" w:before="0" w:after="0"/>
              <w:ind w:left="900" w:right="0" w:hanging="360"/>
              <w:jc w:val="left"/>
              <w:rPr/>
            </w:pPr>
            <w:r>
              <w:rPr>
                <w:rFonts w:ascii="Times New Roman" w:hAnsi="Times New Roman"/>
                <w:sz w:val="20"/>
              </w:rPr>
              <w:t>Total revenues</w:t>
            </w:r>
            <w:bookmarkStart w:id="1541" w:name="TAB272"/>
            <w:bookmarkEnd w:id="1541"/>
            <w:r>
              <w:rPr>
                <w:color w:val="000000"/>
                <w:spacing w:val="51"/>
              </w:rPr>
              <w:t> </w:t>
            </w:r>
          </w:p>
        </w:tc>
        <w:tc>
          <w:tcPr>
            <w:tcW w:w="191" w:type="dxa"/>
            <w:tcBorders/>
            <w:shd w:fill="CCEEFF" w:val="clear"/>
            <w:tcMar>
              <w:bottom w:w="0" w:type="dxa"/>
            </w:tcMar>
            <w:vAlign w:val="center"/>
          </w:tcPr>
          <w:p>
            <w:pPr>
              <w:pStyle w:val="TableContents"/>
              <w:spacing w:before="0" w:after="283"/>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133"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542" w:name="TAB1586"/>
            <w:bookmarkEnd w:id="1542"/>
            <w:r>
              <w:rPr>
                <w:rFonts w:ascii="Times New Roman" w:hAnsi="Times New Roman"/>
                <w:sz w:val="20"/>
              </w:rPr>
              <w:t>5,387</w:t>
            </w:r>
          </w:p>
        </w:tc>
        <w:tc>
          <w:tcPr>
            <w:tcW w:w="191"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208"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543" w:name="TAB1587"/>
            <w:bookmarkEnd w:id="1543"/>
            <w:r>
              <w:rPr>
                <w:rFonts w:ascii="Times New Roman" w:hAnsi="Times New Roman"/>
                <w:sz w:val="20"/>
              </w:rPr>
              <w:t>6,334</w:t>
            </w:r>
          </w:p>
        </w:tc>
        <w:tc>
          <w:tcPr>
            <w:tcW w:w="191"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179"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544" w:name="TAB1588"/>
            <w:bookmarkEnd w:id="1544"/>
            <w:r>
              <w:rPr>
                <w:rFonts w:ascii="Times New Roman" w:hAnsi="Times New Roman"/>
                <w:sz w:val="20"/>
              </w:rPr>
              <w:t>5,564</w:t>
            </w:r>
          </w:p>
        </w:tc>
        <w:tc>
          <w:tcPr>
            <w:tcW w:w="190"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137"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545" w:name="TAB1589"/>
            <w:bookmarkEnd w:id="1545"/>
            <w:r>
              <w:rPr>
                <w:rFonts w:ascii="Times New Roman" w:hAnsi="Times New Roman"/>
                <w:sz w:val="20"/>
              </w:rPr>
              <w:t>17,285</w:t>
            </w:r>
          </w:p>
        </w:tc>
        <w:tc>
          <w:tcPr>
            <w:tcW w:w="121" w:type="dxa"/>
            <w:tcBorders/>
            <w:shd w:fill="CCEEFF" w:val="clear"/>
            <w:tcMar>
              <w:bottom w:w="0" w:type="dxa"/>
            </w:tcMar>
            <w:vAlign w:val="bottom"/>
          </w:tcPr>
          <w:p>
            <w:pPr>
              <w:pStyle w:val="TableContents"/>
              <w:spacing w:before="0" w:after="283"/>
              <w:jc w:val="left"/>
              <w:rPr/>
            </w:pPr>
            <w:r>
              <w:rPr/>
              <w:t> </w:t>
            </w:r>
          </w:p>
        </w:tc>
      </w:tr>
      <w:tr>
        <w:trPr/>
        <w:tc>
          <w:tcPr>
            <w:tcW w:w="4164" w:type="dxa"/>
            <w:tcBorders/>
            <w:shd w:fill="FFFFFF" w:val="clear"/>
            <w:tcMar>
              <w:bottom w:w="0" w:type="dxa"/>
            </w:tcMar>
            <w:vAlign w:val="bottom"/>
          </w:tcPr>
          <w:p>
            <w:pPr>
              <w:pStyle w:val="TableContents"/>
              <w:spacing w:before="0" w:after="283"/>
              <w:jc w:val="left"/>
              <w:rPr/>
            </w:pPr>
            <w:r>
              <w:rPr/>
              <w:t> </w:t>
            </w:r>
          </w:p>
        </w:tc>
        <w:tc>
          <w:tcPr>
            <w:tcW w:w="191" w:type="dxa"/>
            <w:tcBorders/>
            <w:shd w:fill="FFFFFF" w:val="clear"/>
            <w:tcMar>
              <w:bottom w:w="0" w:type="dxa"/>
            </w:tcMar>
            <w:vAlign w:val="center"/>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33" w:type="dxa"/>
            <w:tcBorders/>
            <w:shd w:fill="FFFFFF" w:val="clear"/>
            <w:tcMar>
              <w:bottom w:w="0" w:type="dxa"/>
            </w:tcMar>
            <w:vAlign w:val="bottom"/>
          </w:tcPr>
          <w:p>
            <w:pPr>
              <w:pStyle w:val="TableContents"/>
              <w:spacing w:before="0" w:after="283"/>
              <w:jc w:val="right"/>
              <w:rPr/>
            </w:pPr>
            <w:r>
              <w:rPr/>
              <w:t> </w:t>
            </w:r>
          </w:p>
        </w:tc>
        <w:tc>
          <w:tcPr>
            <w:tcW w:w="191"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208" w:type="dxa"/>
            <w:tcBorders/>
            <w:shd w:fill="FFFFFF" w:val="clear"/>
            <w:tcMar>
              <w:bottom w:w="0" w:type="dxa"/>
            </w:tcMar>
            <w:vAlign w:val="bottom"/>
          </w:tcPr>
          <w:p>
            <w:pPr>
              <w:pStyle w:val="TableContents"/>
              <w:spacing w:before="0" w:after="283"/>
              <w:jc w:val="right"/>
              <w:rPr/>
            </w:pPr>
            <w:r>
              <w:rPr/>
              <w:t> </w:t>
            </w:r>
          </w:p>
        </w:tc>
        <w:tc>
          <w:tcPr>
            <w:tcW w:w="191"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79" w:type="dxa"/>
            <w:tcBorders/>
            <w:shd w:fill="FFFFFF" w:val="clear"/>
            <w:tcMar>
              <w:bottom w:w="0" w:type="dxa"/>
            </w:tcMar>
            <w:vAlign w:val="bottom"/>
          </w:tcPr>
          <w:p>
            <w:pPr>
              <w:pStyle w:val="TableContents"/>
              <w:spacing w:before="0" w:after="283"/>
              <w:jc w:val="right"/>
              <w:rPr/>
            </w:pPr>
            <w:r>
              <w:rPr/>
              <w:t> </w:t>
            </w:r>
          </w:p>
        </w:tc>
        <w:tc>
          <w:tcPr>
            <w:tcW w:w="190"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37" w:type="dxa"/>
            <w:tcBorders/>
            <w:shd w:fill="FFFFFF" w:val="clear"/>
            <w:tcMar>
              <w:bottom w:w="0" w:type="dxa"/>
            </w:tcMar>
            <w:vAlign w:val="bottom"/>
          </w:tcPr>
          <w:p>
            <w:pPr>
              <w:pStyle w:val="TableContents"/>
              <w:spacing w:before="0" w:after="283"/>
              <w:jc w:val="right"/>
              <w:rPr/>
            </w:pPr>
            <w:r>
              <w:rPr/>
              <w:t> </w:t>
            </w:r>
          </w:p>
        </w:tc>
        <w:tc>
          <w:tcPr>
            <w:tcW w:w="121" w:type="dxa"/>
            <w:tcBorders/>
            <w:shd w:fill="FFFFFF" w:val="clear"/>
            <w:tcMar>
              <w:bottom w:w="0" w:type="dxa"/>
            </w:tcMar>
            <w:vAlign w:val="bottom"/>
          </w:tcPr>
          <w:p>
            <w:pPr>
              <w:pStyle w:val="TableContents"/>
              <w:spacing w:before="0" w:after="283"/>
              <w:jc w:val="left"/>
              <w:rPr/>
            </w:pPr>
            <w:r>
              <w:rPr/>
              <w:t> </w:t>
            </w:r>
          </w:p>
        </w:tc>
      </w:tr>
      <w:tr>
        <w:trPr/>
        <w:tc>
          <w:tcPr>
            <w:tcW w:w="4164"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Live theater costs</w:t>
            </w:r>
          </w:p>
        </w:tc>
        <w:tc>
          <w:tcPr>
            <w:tcW w:w="191" w:type="dxa"/>
            <w:tcBorders/>
            <w:shd w:fill="CCEEFF" w:val="clear"/>
            <w:tcMar>
              <w:bottom w:w="0" w:type="dxa"/>
            </w:tcMar>
            <w:vAlign w:val="center"/>
          </w:tcPr>
          <w:p>
            <w:pPr>
              <w:pStyle w:val="TableContents"/>
              <w:spacing w:before="0" w:after="283"/>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133"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546" w:name="TAB1590"/>
            <w:bookmarkEnd w:id="1546"/>
            <w:r>
              <w:rPr>
                <w:rFonts w:ascii="Times New Roman" w:hAnsi="Times New Roman"/>
                <w:sz w:val="20"/>
              </w:rPr>
              <w:t>2,193</w:t>
            </w:r>
          </w:p>
        </w:tc>
        <w:tc>
          <w:tcPr>
            <w:tcW w:w="191"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208"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547" w:name="TAB1591"/>
            <w:bookmarkEnd w:id="1547"/>
            <w:r>
              <w:rPr>
                <w:rFonts w:ascii="Times New Roman" w:hAnsi="Times New Roman"/>
                <w:sz w:val="20"/>
              </w:rPr>
              <w:t>--</w:t>
            </w:r>
          </w:p>
        </w:tc>
        <w:tc>
          <w:tcPr>
            <w:tcW w:w="191"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179"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548" w:name="TAB1592"/>
            <w:bookmarkEnd w:id="1548"/>
            <w:r>
              <w:rPr>
                <w:rFonts w:ascii="Times New Roman" w:hAnsi="Times New Roman"/>
                <w:sz w:val="20"/>
              </w:rPr>
              <w:t>--</w:t>
            </w:r>
          </w:p>
        </w:tc>
        <w:tc>
          <w:tcPr>
            <w:tcW w:w="190"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137"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549" w:name="TAB1593"/>
            <w:bookmarkEnd w:id="1549"/>
            <w:r>
              <w:rPr>
                <w:rFonts w:ascii="Times New Roman" w:hAnsi="Times New Roman"/>
                <w:sz w:val="20"/>
              </w:rPr>
              <w:t>2,193</w:t>
            </w:r>
          </w:p>
        </w:tc>
        <w:tc>
          <w:tcPr>
            <w:tcW w:w="121" w:type="dxa"/>
            <w:tcBorders/>
            <w:shd w:fill="CCEEFF" w:val="clear"/>
            <w:tcMar>
              <w:bottom w:w="0" w:type="dxa"/>
            </w:tcMar>
            <w:vAlign w:val="bottom"/>
          </w:tcPr>
          <w:p>
            <w:pPr>
              <w:pStyle w:val="TableContents"/>
              <w:spacing w:before="0" w:after="283"/>
              <w:jc w:val="left"/>
              <w:rPr/>
            </w:pPr>
            <w:r>
              <w:rPr/>
              <w:t> </w:t>
            </w:r>
          </w:p>
        </w:tc>
      </w:tr>
      <w:tr>
        <w:trPr/>
        <w:tc>
          <w:tcPr>
            <w:tcW w:w="4164" w:type="dxa"/>
            <w:tcBorders>
              <w:bottom w:val="sing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Property rental cost</w:t>
            </w:r>
          </w:p>
        </w:tc>
        <w:tc>
          <w:tcPr>
            <w:tcW w:w="191" w:type="dxa"/>
            <w:tcBorders>
              <w:bottom w:val="single" w:sz="2" w:space="0" w:color="FFFFFF"/>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vAlign w:val="bottom"/>
          </w:tcPr>
          <w:p>
            <w:pPr>
              <w:pStyle w:val="TableContents"/>
              <w:spacing w:before="0" w:after="283"/>
              <w:jc w:val="left"/>
              <w:rPr/>
            </w:pPr>
            <w:r>
              <w:rPr/>
              <w:t> </w:t>
            </w:r>
          </w:p>
        </w:tc>
        <w:tc>
          <w:tcPr>
            <w:tcW w:w="1133"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1550" w:name="TAB1594"/>
            <w:bookmarkEnd w:id="1550"/>
            <w:r>
              <w:rPr>
                <w:rFonts w:ascii="Times New Roman" w:hAnsi="Times New Roman"/>
                <w:sz w:val="20"/>
              </w:rPr>
              <w:t>1,164</w:t>
            </w:r>
          </w:p>
        </w:tc>
        <w:tc>
          <w:tcPr>
            <w:tcW w:w="191" w:type="dxa"/>
            <w:tcBorders>
              <w:bottom w:val="single" w:sz="2" w:space="0" w:color="FFFFFF"/>
            </w:tcBorders>
            <w:shd w:fill="FFFFFF" w:val="clear"/>
            <w:vAlign w:val="bottom"/>
          </w:tcPr>
          <w:p>
            <w:pPr>
              <w:pStyle w:val="TableContents"/>
              <w:spacing w:before="0" w:after="283"/>
              <w:jc w:val="left"/>
              <w:rPr/>
            </w:pPr>
            <w:r>
              <w:rPr/>
              <w:t> </w:t>
            </w:r>
          </w:p>
        </w:tc>
        <w:tc>
          <w:tcPr>
            <w:tcW w:w="125" w:type="dxa"/>
            <w:tcBorders>
              <w:bottom w:val="single" w:sz="2" w:space="0" w:color="000000"/>
            </w:tcBorders>
            <w:shd w:fill="FFFFFF" w:val="clear"/>
            <w:vAlign w:val="bottom"/>
          </w:tcPr>
          <w:p>
            <w:pPr>
              <w:pStyle w:val="TableContents"/>
              <w:spacing w:before="0" w:after="283"/>
              <w:jc w:val="left"/>
              <w:rPr/>
            </w:pPr>
            <w:r>
              <w:rPr/>
              <w:t> </w:t>
            </w:r>
          </w:p>
        </w:tc>
        <w:tc>
          <w:tcPr>
            <w:tcW w:w="1208"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1551" w:name="TAB1595"/>
            <w:bookmarkEnd w:id="1551"/>
            <w:r>
              <w:rPr>
                <w:rFonts w:ascii="Times New Roman" w:hAnsi="Times New Roman"/>
                <w:sz w:val="20"/>
              </w:rPr>
              <w:t>2,658</w:t>
            </w:r>
          </w:p>
        </w:tc>
        <w:tc>
          <w:tcPr>
            <w:tcW w:w="191" w:type="dxa"/>
            <w:tcBorders>
              <w:bottom w:val="single" w:sz="2" w:space="0" w:color="FFFFFF"/>
            </w:tcBorders>
            <w:shd w:fill="FFFFFF" w:val="clear"/>
            <w:vAlign w:val="bottom"/>
          </w:tcPr>
          <w:p>
            <w:pPr>
              <w:pStyle w:val="TableContents"/>
              <w:spacing w:before="0" w:after="283"/>
              <w:jc w:val="left"/>
              <w:rPr/>
            </w:pPr>
            <w:r>
              <w:rPr/>
              <w:t> </w:t>
            </w:r>
          </w:p>
        </w:tc>
        <w:tc>
          <w:tcPr>
            <w:tcW w:w="125" w:type="dxa"/>
            <w:tcBorders>
              <w:bottom w:val="single" w:sz="2" w:space="0" w:color="000000"/>
            </w:tcBorders>
            <w:shd w:fill="FFFFFF" w:val="clear"/>
            <w:vAlign w:val="bottom"/>
          </w:tcPr>
          <w:p>
            <w:pPr>
              <w:pStyle w:val="TableContents"/>
              <w:spacing w:before="0" w:after="283"/>
              <w:jc w:val="left"/>
              <w:rPr/>
            </w:pPr>
            <w:r>
              <w:rPr/>
              <w:t> </w:t>
            </w:r>
          </w:p>
        </w:tc>
        <w:tc>
          <w:tcPr>
            <w:tcW w:w="1179"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1552" w:name="TAB1596"/>
            <w:bookmarkEnd w:id="1552"/>
            <w:r>
              <w:rPr>
                <w:rFonts w:ascii="Times New Roman" w:hAnsi="Times New Roman"/>
                <w:sz w:val="20"/>
              </w:rPr>
              <w:t>1,350</w:t>
            </w:r>
          </w:p>
        </w:tc>
        <w:tc>
          <w:tcPr>
            <w:tcW w:w="190" w:type="dxa"/>
            <w:tcBorders>
              <w:bottom w:val="single" w:sz="2" w:space="0" w:color="FFFFFF"/>
            </w:tcBorders>
            <w:shd w:fill="FFFFFF" w:val="clear"/>
            <w:vAlign w:val="bottom"/>
          </w:tcPr>
          <w:p>
            <w:pPr>
              <w:pStyle w:val="TableContents"/>
              <w:spacing w:before="0" w:after="283"/>
              <w:jc w:val="left"/>
              <w:rPr/>
            </w:pPr>
            <w:r>
              <w:rPr/>
              <w:t> </w:t>
            </w:r>
          </w:p>
        </w:tc>
        <w:tc>
          <w:tcPr>
            <w:tcW w:w="125" w:type="dxa"/>
            <w:tcBorders>
              <w:bottom w:val="single" w:sz="2" w:space="0" w:color="000000"/>
            </w:tcBorders>
            <w:shd w:fill="FFFFFF" w:val="clear"/>
            <w:vAlign w:val="bottom"/>
          </w:tcPr>
          <w:p>
            <w:pPr>
              <w:pStyle w:val="TableContents"/>
              <w:spacing w:before="0" w:after="283"/>
              <w:jc w:val="left"/>
              <w:rPr/>
            </w:pPr>
            <w:r>
              <w:rPr/>
              <w:t> </w:t>
            </w:r>
          </w:p>
        </w:tc>
        <w:tc>
          <w:tcPr>
            <w:tcW w:w="1137"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1553" w:name="TAB1597"/>
            <w:bookmarkEnd w:id="1553"/>
            <w:r>
              <w:rPr>
                <w:rFonts w:ascii="Times New Roman" w:hAnsi="Times New Roman"/>
                <w:sz w:val="20"/>
              </w:rPr>
              <w:t>5,172</w:t>
            </w:r>
          </w:p>
        </w:tc>
        <w:tc>
          <w:tcPr>
            <w:tcW w:w="121" w:type="dxa"/>
            <w:tcBorders>
              <w:bottom w:val="single" w:sz="2" w:space="0" w:color="FFFFFF"/>
            </w:tcBorders>
            <w:shd w:fill="FFFFFF" w:val="clear"/>
            <w:vAlign w:val="bottom"/>
          </w:tcPr>
          <w:p>
            <w:pPr>
              <w:pStyle w:val="TableContents"/>
              <w:spacing w:before="0" w:after="283"/>
              <w:jc w:val="left"/>
              <w:rPr/>
            </w:pPr>
            <w:r>
              <w:rPr/>
              <w:t> </w:t>
            </w:r>
          </w:p>
        </w:tc>
      </w:tr>
      <w:tr>
        <w:trPr/>
        <w:tc>
          <w:tcPr>
            <w:tcW w:w="4164" w:type="dxa"/>
            <w:tcBorders/>
            <w:shd w:fill="CCEEFF" w:val="clear"/>
            <w:tcMar>
              <w:bottom w:w="0" w:type="dxa"/>
            </w:tcMar>
            <w:vAlign w:val="bottom"/>
          </w:tcPr>
          <w:p>
            <w:pPr>
              <w:pStyle w:val="TableContents"/>
              <w:spacing w:lineRule="auto" w:line="300" w:before="0" w:after="0"/>
              <w:ind w:left="900" w:right="0" w:hanging="360"/>
              <w:jc w:val="left"/>
              <w:rPr>
                <w:rFonts w:ascii="Times New Roman" w:hAnsi="Times New Roman"/>
                <w:sz w:val="20"/>
              </w:rPr>
            </w:pPr>
            <w:r>
              <w:rPr>
                <w:rFonts w:ascii="Times New Roman" w:hAnsi="Times New Roman"/>
                <w:sz w:val="20"/>
              </w:rPr>
              <w:t>Total operating expense</w:t>
            </w:r>
          </w:p>
        </w:tc>
        <w:tc>
          <w:tcPr>
            <w:tcW w:w="191" w:type="dxa"/>
            <w:tcBorders/>
            <w:shd w:fill="CCEEFF" w:val="clear"/>
            <w:tcMar>
              <w:bottom w:w="0" w:type="dxa"/>
            </w:tcMar>
            <w:vAlign w:val="center"/>
          </w:tcPr>
          <w:p>
            <w:pPr>
              <w:pStyle w:val="TableContents"/>
              <w:spacing w:before="0" w:after="283"/>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133"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554" w:name="TAB1598"/>
            <w:bookmarkEnd w:id="1554"/>
            <w:r>
              <w:rPr>
                <w:rFonts w:ascii="Times New Roman" w:hAnsi="Times New Roman"/>
                <w:sz w:val="20"/>
              </w:rPr>
              <w:t>3,357</w:t>
            </w:r>
          </w:p>
        </w:tc>
        <w:tc>
          <w:tcPr>
            <w:tcW w:w="191"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208"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555" w:name="TAB1599"/>
            <w:bookmarkEnd w:id="1555"/>
            <w:r>
              <w:rPr>
                <w:rFonts w:ascii="Times New Roman" w:hAnsi="Times New Roman"/>
                <w:sz w:val="20"/>
              </w:rPr>
              <w:t>2,658</w:t>
            </w:r>
          </w:p>
        </w:tc>
        <w:tc>
          <w:tcPr>
            <w:tcW w:w="191"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179"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556" w:name="TAB1600"/>
            <w:bookmarkEnd w:id="1556"/>
            <w:r>
              <w:rPr>
                <w:rFonts w:ascii="Times New Roman" w:hAnsi="Times New Roman"/>
                <w:sz w:val="20"/>
              </w:rPr>
              <w:t>1,350</w:t>
            </w:r>
          </w:p>
        </w:tc>
        <w:tc>
          <w:tcPr>
            <w:tcW w:w="190"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137"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557" w:name="TAB1601"/>
            <w:bookmarkEnd w:id="1557"/>
            <w:r>
              <w:rPr>
                <w:rFonts w:ascii="Times New Roman" w:hAnsi="Times New Roman"/>
                <w:sz w:val="20"/>
              </w:rPr>
              <w:t>7,365</w:t>
            </w:r>
          </w:p>
        </w:tc>
        <w:tc>
          <w:tcPr>
            <w:tcW w:w="121" w:type="dxa"/>
            <w:tcBorders/>
            <w:shd w:fill="CCEEFF" w:val="clear"/>
            <w:tcMar>
              <w:bottom w:w="0" w:type="dxa"/>
            </w:tcMar>
            <w:vAlign w:val="bottom"/>
          </w:tcPr>
          <w:p>
            <w:pPr>
              <w:pStyle w:val="TableContents"/>
              <w:spacing w:before="0" w:after="283"/>
              <w:jc w:val="left"/>
              <w:rPr/>
            </w:pPr>
            <w:r>
              <w:rPr/>
              <w:t> </w:t>
            </w:r>
          </w:p>
        </w:tc>
      </w:tr>
      <w:tr>
        <w:trPr/>
        <w:tc>
          <w:tcPr>
            <w:tcW w:w="4164" w:type="dxa"/>
            <w:tcBorders/>
            <w:shd w:fill="FFFFFF" w:val="clear"/>
            <w:tcMar>
              <w:bottom w:w="0" w:type="dxa"/>
            </w:tcMar>
            <w:vAlign w:val="bottom"/>
          </w:tcPr>
          <w:p>
            <w:pPr>
              <w:pStyle w:val="TableContents"/>
              <w:spacing w:before="0" w:after="283"/>
              <w:jc w:val="left"/>
              <w:rPr/>
            </w:pPr>
            <w:r>
              <w:rPr/>
              <w:t> </w:t>
            </w:r>
          </w:p>
        </w:tc>
        <w:tc>
          <w:tcPr>
            <w:tcW w:w="191" w:type="dxa"/>
            <w:tcBorders/>
            <w:shd w:fill="FFFFFF" w:val="clear"/>
            <w:tcMar>
              <w:bottom w:w="0" w:type="dxa"/>
            </w:tcMar>
            <w:vAlign w:val="center"/>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33" w:type="dxa"/>
            <w:tcBorders/>
            <w:shd w:fill="FFFFFF" w:val="clear"/>
            <w:tcMar>
              <w:bottom w:w="0" w:type="dxa"/>
            </w:tcMar>
            <w:vAlign w:val="bottom"/>
          </w:tcPr>
          <w:p>
            <w:pPr>
              <w:pStyle w:val="TableContents"/>
              <w:spacing w:before="0" w:after="283"/>
              <w:jc w:val="right"/>
              <w:rPr/>
            </w:pPr>
            <w:r>
              <w:rPr/>
              <w:t> </w:t>
            </w:r>
          </w:p>
        </w:tc>
        <w:tc>
          <w:tcPr>
            <w:tcW w:w="191"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208" w:type="dxa"/>
            <w:tcBorders/>
            <w:shd w:fill="FFFFFF" w:val="clear"/>
            <w:tcMar>
              <w:bottom w:w="0" w:type="dxa"/>
            </w:tcMar>
            <w:vAlign w:val="bottom"/>
          </w:tcPr>
          <w:p>
            <w:pPr>
              <w:pStyle w:val="TableContents"/>
              <w:spacing w:before="0" w:after="283"/>
              <w:jc w:val="right"/>
              <w:rPr/>
            </w:pPr>
            <w:r>
              <w:rPr/>
              <w:t> </w:t>
            </w:r>
          </w:p>
        </w:tc>
        <w:tc>
          <w:tcPr>
            <w:tcW w:w="191"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79" w:type="dxa"/>
            <w:tcBorders/>
            <w:shd w:fill="FFFFFF" w:val="clear"/>
            <w:tcMar>
              <w:bottom w:w="0" w:type="dxa"/>
            </w:tcMar>
            <w:vAlign w:val="bottom"/>
          </w:tcPr>
          <w:p>
            <w:pPr>
              <w:pStyle w:val="TableContents"/>
              <w:spacing w:before="0" w:after="283"/>
              <w:jc w:val="right"/>
              <w:rPr/>
            </w:pPr>
            <w:r>
              <w:rPr/>
              <w:t> </w:t>
            </w:r>
          </w:p>
        </w:tc>
        <w:tc>
          <w:tcPr>
            <w:tcW w:w="190"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37" w:type="dxa"/>
            <w:tcBorders/>
            <w:shd w:fill="FFFFFF" w:val="clear"/>
            <w:tcMar>
              <w:bottom w:w="0" w:type="dxa"/>
            </w:tcMar>
            <w:vAlign w:val="bottom"/>
          </w:tcPr>
          <w:p>
            <w:pPr>
              <w:pStyle w:val="TableContents"/>
              <w:spacing w:before="0" w:after="283"/>
              <w:jc w:val="right"/>
              <w:rPr/>
            </w:pPr>
            <w:r>
              <w:rPr/>
              <w:t> </w:t>
            </w:r>
          </w:p>
        </w:tc>
        <w:tc>
          <w:tcPr>
            <w:tcW w:w="121" w:type="dxa"/>
            <w:tcBorders/>
            <w:shd w:fill="FFFFFF" w:val="clear"/>
            <w:tcMar>
              <w:bottom w:w="0" w:type="dxa"/>
            </w:tcMar>
            <w:vAlign w:val="bottom"/>
          </w:tcPr>
          <w:p>
            <w:pPr>
              <w:pStyle w:val="TableContents"/>
              <w:spacing w:before="0" w:after="283"/>
              <w:jc w:val="left"/>
              <w:rPr/>
            </w:pPr>
            <w:r>
              <w:rPr/>
              <w:t> </w:t>
            </w:r>
          </w:p>
        </w:tc>
      </w:tr>
      <w:tr>
        <w:trPr/>
        <w:tc>
          <w:tcPr>
            <w:tcW w:w="4164"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Depreciation and amortization</w:t>
            </w:r>
          </w:p>
        </w:tc>
        <w:tc>
          <w:tcPr>
            <w:tcW w:w="191" w:type="dxa"/>
            <w:tcBorders/>
            <w:shd w:fill="CCEEFF" w:val="clear"/>
            <w:tcMar>
              <w:bottom w:w="0" w:type="dxa"/>
            </w:tcMar>
            <w:vAlign w:val="center"/>
          </w:tcPr>
          <w:p>
            <w:pPr>
              <w:pStyle w:val="TableContents"/>
              <w:spacing w:before="0" w:after="283"/>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133"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558" w:name="TAB1602"/>
            <w:bookmarkEnd w:id="1558"/>
            <w:r>
              <w:rPr>
                <w:rFonts w:ascii="Times New Roman" w:hAnsi="Times New Roman"/>
                <w:sz w:val="20"/>
              </w:rPr>
              <w:t>427</w:t>
            </w:r>
          </w:p>
        </w:tc>
        <w:tc>
          <w:tcPr>
            <w:tcW w:w="191"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208"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559" w:name="TAB1603"/>
            <w:bookmarkEnd w:id="1559"/>
            <w:r>
              <w:rPr>
                <w:rFonts w:ascii="Times New Roman" w:hAnsi="Times New Roman"/>
                <w:sz w:val="20"/>
              </w:rPr>
              <w:t>2,129</w:t>
            </w:r>
          </w:p>
        </w:tc>
        <w:tc>
          <w:tcPr>
            <w:tcW w:w="191"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179"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560" w:name="TAB1604"/>
            <w:bookmarkEnd w:id="1560"/>
            <w:r>
              <w:rPr>
                <w:rFonts w:ascii="Times New Roman" w:hAnsi="Times New Roman"/>
                <w:sz w:val="20"/>
              </w:rPr>
              <w:t>1,524</w:t>
            </w:r>
          </w:p>
        </w:tc>
        <w:tc>
          <w:tcPr>
            <w:tcW w:w="190"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137"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561" w:name="TAB1605"/>
            <w:bookmarkEnd w:id="1561"/>
            <w:r>
              <w:rPr>
                <w:rFonts w:ascii="Times New Roman" w:hAnsi="Times New Roman"/>
                <w:sz w:val="20"/>
              </w:rPr>
              <w:t>4,080</w:t>
            </w:r>
          </w:p>
        </w:tc>
        <w:tc>
          <w:tcPr>
            <w:tcW w:w="121" w:type="dxa"/>
            <w:tcBorders/>
            <w:shd w:fill="CCEEFF" w:val="clear"/>
            <w:tcMar>
              <w:bottom w:w="0" w:type="dxa"/>
            </w:tcMar>
            <w:vAlign w:val="bottom"/>
          </w:tcPr>
          <w:p>
            <w:pPr>
              <w:pStyle w:val="TableContents"/>
              <w:spacing w:before="0" w:after="283"/>
              <w:jc w:val="left"/>
              <w:rPr/>
            </w:pPr>
            <w:r>
              <w:rPr/>
              <w:t> </w:t>
            </w:r>
          </w:p>
        </w:tc>
      </w:tr>
      <w:tr>
        <w:trPr/>
        <w:tc>
          <w:tcPr>
            <w:tcW w:w="4164" w:type="dxa"/>
            <w:tcBorders>
              <w:bottom w:val="sing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General &amp; administrative expense</w:t>
            </w:r>
          </w:p>
        </w:tc>
        <w:tc>
          <w:tcPr>
            <w:tcW w:w="191" w:type="dxa"/>
            <w:tcBorders>
              <w:bottom w:val="single" w:sz="2" w:space="0" w:color="FFFFFF"/>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vAlign w:val="bottom"/>
          </w:tcPr>
          <w:p>
            <w:pPr>
              <w:pStyle w:val="TableContents"/>
              <w:spacing w:before="0" w:after="283"/>
              <w:jc w:val="left"/>
              <w:rPr/>
            </w:pPr>
            <w:r>
              <w:rPr/>
              <w:t> </w:t>
            </w:r>
          </w:p>
        </w:tc>
        <w:tc>
          <w:tcPr>
            <w:tcW w:w="1133"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1562" w:name="TAB1606"/>
            <w:bookmarkEnd w:id="1562"/>
            <w:r>
              <w:rPr>
                <w:rFonts w:ascii="Times New Roman" w:hAnsi="Times New Roman"/>
                <w:sz w:val="20"/>
              </w:rPr>
              <w:t>--</w:t>
            </w:r>
          </w:p>
        </w:tc>
        <w:tc>
          <w:tcPr>
            <w:tcW w:w="191" w:type="dxa"/>
            <w:tcBorders>
              <w:bottom w:val="single" w:sz="2" w:space="0" w:color="FFFFFF"/>
            </w:tcBorders>
            <w:shd w:fill="FFFFFF" w:val="clear"/>
            <w:vAlign w:val="bottom"/>
          </w:tcPr>
          <w:p>
            <w:pPr>
              <w:pStyle w:val="TableContents"/>
              <w:spacing w:before="0" w:after="283"/>
              <w:jc w:val="left"/>
              <w:rPr/>
            </w:pPr>
            <w:r>
              <w:rPr/>
              <w:t> </w:t>
            </w:r>
          </w:p>
        </w:tc>
        <w:tc>
          <w:tcPr>
            <w:tcW w:w="125" w:type="dxa"/>
            <w:tcBorders>
              <w:bottom w:val="single" w:sz="2" w:space="0" w:color="000000"/>
            </w:tcBorders>
            <w:shd w:fill="FFFFFF" w:val="clear"/>
            <w:vAlign w:val="bottom"/>
          </w:tcPr>
          <w:p>
            <w:pPr>
              <w:pStyle w:val="TableContents"/>
              <w:spacing w:before="0" w:after="283"/>
              <w:jc w:val="left"/>
              <w:rPr/>
            </w:pPr>
            <w:r>
              <w:rPr/>
              <w:t> </w:t>
            </w:r>
          </w:p>
        </w:tc>
        <w:tc>
          <w:tcPr>
            <w:tcW w:w="1208"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1563" w:name="TAB1607"/>
            <w:bookmarkEnd w:id="1563"/>
            <w:r>
              <w:rPr>
                <w:rFonts w:ascii="Times New Roman" w:hAnsi="Times New Roman"/>
                <w:sz w:val="20"/>
              </w:rPr>
              <w:t>782</w:t>
            </w:r>
          </w:p>
        </w:tc>
        <w:tc>
          <w:tcPr>
            <w:tcW w:w="191" w:type="dxa"/>
            <w:tcBorders>
              <w:bottom w:val="single" w:sz="2" w:space="0" w:color="FFFFFF"/>
            </w:tcBorders>
            <w:shd w:fill="FFFFFF" w:val="clear"/>
            <w:vAlign w:val="bottom"/>
          </w:tcPr>
          <w:p>
            <w:pPr>
              <w:pStyle w:val="TableContents"/>
              <w:spacing w:before="0" w:after="283"/>
              <w:jc w:val="left"/>
              <w:rPr/>
            </w:pPr>
            <w:r>
              <w:rPr/>
              <w:t> </w:t>
            </w:r>
          </w:p>
        </w:tc>
        <w:tc>
          <w:tcPr>
            <w:tcW w:w="125" w:type="dxa"/>
            <w:tcBorders>
              <w:bottom w:val="single" w:sz="2" w:space="0" w:color="000000"/>
            </w:tcBorders>
            <w:shd w:fill="FFFFFF" w:val="clear"/>
            <w:vAlign w:val="bottom"/>
          </w:tcPr>
          <w:p>
            <w:pPr>
              <w:pStyle w:val="TableContents"/>
              <w:spacing w:before="0" w:after="283"/>
              <w:jc w:val="left"/>
              <w:rPr/>
            </w:pPr>
            <w:r>
              <w:rPr/>
              <w:t> </w:t>
            </w:r>
          </w:p>
        </w:tc>
        <w:tc>
          <w:tcPr>
            <w:tcW w:w="1179"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1564" w:name="TAB1608"/>
            <w:bookmarkEnd w:id="1564"/>
            <w:r>
              <w:rPr>
                <w:rFonts w:ascii="Times New Roman" w:hAnsi="Times New Roman"/>
                <w:sz w:val="20"/>
              </w:rPr>
              <w:t>--</w:t>
            </w:r>
          </w:p>
        </w:tc>
        <w:tc>
          <w:tcPr>
            <w:tcW w:w="190" w:type="dxa"/>
            <w:tcBorders>
              <w:bottom w:val="single" w:sz="2" w:space="0" w:color="FFFFFF"/>
            </w:tcBorders>
            <w:shd w:fill="FFFFFF" w:val="clear"/>
            <w:vAlign w:val="bottom"/>
          </w:tcPr>
          <w:p>
            <w:pPr>
              <w:pStyle w:val="TableContents"/>
              <w:spacing w:before="0" w:after="283"/>
              <w:jc w:val="left"/>
              <w:rPr/>
            </w:pPr>
            <w:r>
              <w:rPr/>
              <w:t> </w:t>
            </w:r>
          </w:p>
        </w:tc>
        <w:tc>
          <w:tcPr>
            <w:tcW w:w="125" w:type="dxa"/>
            <w:tcBorders>
              <w:bottom w:val="single" w:sz="2" w:space="0" w:color="000000"/>
            </w:tcBorders>
            <w:shd w:fill="FFFFFF" w:val="clear"/>
            <w:vAlign w:val="bottom"/>
          </w:tcPr>
          <w:p>
            <w:pPr>
              <w:pStyle w:val="TableContents"/>
              <w:spacing w:before="0" w:after="283"/>
              <w:jc w:val="left"/>
              <w:rPr/>
            </w:pPr>
            <w:r>
              <w:rPr/>
              <w:t> </w:t>
            </w:r>
          </w:p>
        </w:tc>
        <w:tc>
          <w:tcPr>
            <w:tcW w:w="1137"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1565" w:name="TAB1609"/>
            <w:bookmarkEnd w:id="1565"/>
            <w:r>
              <w:rPr>
                <w:rFonts w:ascii="Times New Roman" w:hAnsi="Times New Roman"/>
                <w:sz w:val="20"/>
              </w:rPr>
              <w:t>782</w:t>
            </w:r>
          </w:p>
        </w:tc>
        <w:tc>
          <w:tcPr>
            <w:tcW w:w="121" w:type="dxa"/>
            <w:tcBorders>
              <w:bottom w:val="single" w:sz="2" w:space="0" w:color="FFFFFF"/>
            </w:tcBorders>
            <w:shd w:fill="FFFFFF" w:val="clear"/>
            <w:vAlign w:val="bottom"/>
          </w:tcPr>
          <w:p>
            <w:pPr>
              <w:pStyle w:val="TableContents"/>
              <w:spacing w:before="0" w:after="283"/>
              <w:jc w:val="left"/>
              <w:rPr/>
            </w:pPr>
            <w:r>
              <w:rPr/>
              <w:t> </w:t>
            </w:r>
          </w:p>
        </w:tc>
      </w:tr>
      <w:tr>
        <w:trPr/>
        <w:tc>
          <w:tcPr>
            <w:tcW w:w="4164" w:type="dxa"/>
            <w:tcBorders>
              <w:bottom w:val="double" w:sz="2" w:space="0" w:color="000000"/>
            </w:tcBorders>
            <w:shd w:fill="CCEEFF" w:val="clear"/>
            <w:vAlign w:val="bottom"/>
          </w:tcPr>
          <w:p>
            <w:pPr>
              <w:pStyle w:val="TableContents"/>
              <w:spacing w:lineRule="auto" w:line="300" w:before="0" w:after="0"/>
              <w:ind w:left="900" w:right="0" w:hanging="360"/>
              <w:jc w:val="left"/>
              <w:rPr>
                <w:rFonts w:ascii="Times New Roman" w:hAnsi="Times New Roman"/>
                <w:sz w:val="20"/>
              </w:rPr>
            </w:pPr>
            <w:r>
              <w:rPr>
                <w:rFonts w:ascii="Times New Roman" w:hAnsi="Times New Roman"/>
                <w:sz w:val="20"/>
              </w:rPr>
              <w:t>Segment operating income</w:t>
            </w:r>
          </w:p>
        </w:tc>
        <w:tc>
          <w:tcPr>
            <w:tcW w:w="191" w:type="dxa"/>
            <w:tcBorders>
              <w:bottom w:val="single" w:sz="4" w:space="0" w:color="CCEEFF"/>
            </w:tcBorders>
            <w:shd w:fill="CCEEFF" w:val="clear"/>
            <w:vAlign w:val="center"/>
          </w:tcPr>
          <w:p>
            <w:pPr>
              <w:pStyle w:val="TableContents"/>
              <w:spacing w:before="0" w:after="283"/>
              <w:rPr/>
            </w:pPr>
            <w:r>
              <w:rPr/>
              <w:t> </w:t>
            </w:r>
          </w:p>
        </w:tc>
        <w:tc>
          <w:tcPr>
            <w:tcW w:w="125" w:type="dxa"/>
            <w:tcBorders>
              <w:bottom w:val="doub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bookmarkStart w:id="1566" w:name="TAB1610"/>
            <w:bookmarkEnd w:id="1566"/>
            <w:r>
              <w:rPr>
                <w:rFonts w:ascii="Times New Roman" w:hAnsi="Times New Roman"/>
                <w:sz w:val="20"/>
              </w:rPr>
              <w:t>$</w:t>
            </w:r>
          </w:p>
        </w:tc>
        <w:tc>
          <w:tcPr>
            <w:tcW w:w="1133" w:type="dxa"/>
            <w:tcBorders>
              <w:bottom w:val="doub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1567" w:name="TAB1611"/>
            <w:bookmarkEnd w:id="1567"/>
            <w:r>
              <w:rPr>
                <w:rFonts w:ascii="Times New Roman" w:hAnsi="Times New Roman"/>
                <w:sz w:val="20"/>
              </w:rPr>
              <w:t>1,603</w:t>
            </w:r>
          </w:p>
        </w:tc>
        <w:tc>
          <w:tcPr>
            <w:tcW w:w="191" w:type="dxa"/>
            <w:tcBorders>
              <w:bottom w:val="single" w:sz="4" w:space="0" w:color="CCEEFF"/>
            </w:tcBorders>
            <w:shd w:fill="CCEEFF" w:val="clear"/>
            <w:vAlign w:val="bottom"/>
          </w:tcPr>
          <w:p>
            <w:pPr>
              <w:pStyle w:val="TableContents"/>
              <w:spacing w:before="0" w:after="283"/>
              <w:jc w:val="left"/>
              <w:rPr/>
            </w:pPr>
            <w:r>
              <w:rPr/>
              <w:t> </w:t>
            </w:r>
          </w:p>
        </w:tc>
        <w:tc>
          <w:tcPr>
            <w:tcW w:w="125" w:type="dxa"/>
            <w:tcBorders>
              <w:bottom w:val="doub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bookmarkStart w:id="1568" w:name="TAB1612"/>
            <w:bookmarkEnd w:id="1568"/>
            <w:r>
              <w:rPr>
                <w:rFonts w:ascii="Times New Roman" w:hAnsi="Times New Roman"/>
                <w:sz w:val="20"/>
              </w:rPr>
              <w:t>$</w:t>
            </w:r>
          </w:p>
        </w:tc>
        <w:tc>
          <w:tcPr>
            <w:tcW w:w="1208" w:type="dxa"/>
            <w:tcBorders>
              <w:bottom w:val="doub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1569" w:name="TAB1613"/>
            <w:bookmarkEnd w:id="1569"/>
            <w:r>
              <w:rPr>
                <w:rFonts w:ascii="Times New Roman" w:hAnsi="Times New Roman"/>
                <w:sz w:val="20"/>
              </w:rPr>
              <w:t>765</w:t>
            </w:r>
          </w:p>
        </w:tc>
        <w:tc>
          <w:tcPr>
            <w:tcW w:w="191" w:type="dxa"/>
            <w:tcBorders>
              <w:bottom w:val="single" w:sz="4" w:space="0" w:color="CCEEFF"/>
            </w:tcBorders>
            <w:shd w:fill="CCEEFF" w:val="clear"/>
            <w:vAlign w:val="bottom"/>
          </w:tcPr>
          <w:p>
            <w:pPr>
              <w:pStyle w:val="TableContents"/>
              <w:spacing w:before="0" w:after="283"/>
              <w:jc w:val="left"/>
              <w:rPr/>
            </w:pPr>
            <w:r>
              <w:rPr/>
              <w:t> </w:t>
            </w:r>
          </w:p>
        </w:tc>
        <w:tc>
          <w:tcPr>
            <w:tcW w:w="125" w:type="dxa"/>
            <w:tcBorders>
              <w:bottom w:val="doub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bookmarkStart w:id="1570" w:name="TAB1614"/>
            <w:bookmarkEnd w:id="1570"/>
            <w:r>
              <w:rPr>
                <w:rFonts w:ascii="Times New Roman" w:hAnsi="Times New Roman"/>
                <w:sz w:val="20"/>
              </w:rPr>
              <w:t>$</w:t>
            </w:r>
          </w:p>
        </w:tc>
        <w:tc>
          <w:tcPr>
            <w:tcW w:w="1179" w:type="dxa"/>
            <w:tcBorders>
              <w:bottom w:val="doub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1571" w:name="TAB1615"/>
            <w:bookmarkEnd w:id="1571"/>
            <w:r>
              <w:rPr>
                <w:rFonts w:ascii="Times New Roman" w:hAnsi="Times New Roman"/>
                <w:sz w:val="20"/>
              </w:rPr>
              <w:t>2,690</w:t>
            </w:r>
          </w:p>
        </w:tc>
        <w:tc>
          <w:tcPr>
            <w:tcW w:w="190" w:type="dxa"/>
            <w:tcBorders>
              <w:bottom w:val="single" w:sz="4" w:space="0" w:color="CCEEFF"/>
            </w:tcBorders>
            <w:shd w:fill="CCEEFF" w:val="clear"/>
            <w:vAlign w:val="bottom"/>
          </w:tcPr>
          <w:p>
            <w:pPr>
              <w:pStyle w:val="TableContents"/>
              <w:spacing w:before="0" w:after="283"/>
              <w:jc w:val="left"/>
              <w:rPr/>
            </w:pPr>
            <w:r>
              <w:rPr/>
              <w:t> </w:t>
            </w:r>
          </w:p>
        </w:tc>
        <w:tc>
          <w:tcPr>
            <w:tcW w:w="125" w:type="dxa"/>
            <w:tcBorders>
              <w:bottom w:val="doub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bookmarkStart w:id="1572" w:name="TAB1616"/>
            <w:bookmarkEnd w:id="1572"/>
            <w:r>
              <w:rPr>
                <w:rFonts w:ascii="Times New Roman" w:hAnsi="Times New Roman"/>
                <w:sz w:val="20"/>
              </w:rPr>
              <w:t>$</w:t>
            </w:r>
          </w:p>
        </w:tc>
        <w:tc>
          <w:tcPr>
            <w:tcW w:w="1137" w:type="dxa"/>
            <w:tcBorders>
              <w:bottom w:val="doub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1573" w:name="TAB1617"/>
            <w:bookmarkEnd w:id="1573"/>
            <w:r>
              <w:rPr>
                <w:rFonts w:ascii="Times New Roman" w:hAnsi="Times New Roman"/>
                <w:sz w:val="20"/>
              </w:rPr>
              <w:t>5,058</w:t>
            </w:r>
          </w:p>
        </w:tc>
        <w:tc>
          <w:tcPr>
            <w:tcW w:w="121" w:type="dxa"/>
            <w:tcBorders>
              <w:bottom w:val="single" w:sz="4" w:space="0" w:color="CCEEFF"/>
            </w:tcBorders>
            <w:shd w:fill="CCEEFF" w:val="clear"/>
            <w:vAlign w:val="bottom"/>
          </w:tcPr>
          <w:p>
            <w:pPr>
              <w:pStyle w:val="TableContents"/>
              <w:spacing w:before="0" w:after="283"/>
              <w:jc w:val="left"/>
              <w:rPr/>
            </w:pPr>
            <w:r>
              <w:rPr/>
              <w:t> </w:t>
            </w:r>
          </w:p>
        </w:tc>
      </w:tr>
      <w:tr>
        <w:trPr/>
        <w:tc>
          <w:tcPr>
            <w:tcW w:w="4164" w:type="dxa"/>
            <w:tcBorders/>
            <w:shd w:fill="FFFFFF" w:val="clear"/>
            <w:tcMar>
              <w:bottom w:w="0" w:type="dxa"/>
            </w:tcMar>
            <w:vAlign w:val="bottom"/>
          </w:tcPr>
          <w:p>
            <w:pPr>
              <w:pStyle w:val="TableContents"/>
              <w:spacing w:before="0" w:after="283"/>
              <w:jc w:val="left"/>
              <w:rPr/>
            </w:pPr>
            <w:r>
              <w:rPr/>
              <w:t> </w:t>
            </w:r>
          </w:p>
        </w:tc>
        <w:tc>
          <w:tcPr>
            <w:tcW w:w="191" w:type="dxa"/>
            <w:tcBorders/>
            <w:shd w:fill="FFFFFF" w:val="clear"/>
            <w:tcMar>
              <w:bottom w:w="0" w:type="dxa"/>
            </w:tcMar>
            <w:vAlign w:val="center"/>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33" w:type="dxa"/>
            <w:tcBorders/>
            <w:shd w:fill="FFFFFF" w:val="clear"/>
            <w:tcMar>
              <w:bottom w:w="0" w:type="dxa"/>
            </w:tcMar>
            <w:vAlign w:val="bottom"/>
          </w:tcPr>
          <w:p>
            <w:pPr>
              <w:pStyle w:val="TableContents"/>
              <w:spacing w:before="0" w:after="283"/>
              <w:jc w:val="right"/>
              <w:rPr/>
            </w:pPr>
            <w:r>
              <w:rPr/>
              <w:t> </w:t>
            </w:r>
          </w:p>
        </w:tc>
        <w:tc>
          <w:tcPr>
            <w:tcW w:w="191"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208" w:type="dxa"/>
            <w:tcBorders/>
            <w:shd w:fill="FFFFFF" w:val="clear"/>
            <w:tcMar>
              <w:bottom w:w="0" w:type="dxa"/>
            </w:tcMar>
            <w:vAlign w:val="bottom"/>
          </w:tcPr>
          <w:p>
            <w:pPr>
              <w:pStyle w:val="TableContents"/>
              <w:spacing w:before="0" w:after="283"/>
              <w:jc w:val="right"/>
              <w:rPr/>
            </w:pPr>
            <w:r>
              <w:rPr/>
              <w:t> </w:t>
            </w:r>
          </w:p>
        </w:tc>
        <w:tc>
          <w:tcPr>
            <w:tcW w:w="191"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79" w:type="dxa"/>
            <w:tcBorders/>
            <w:shd w:fill="FFFFFF" w:val="clear"/>
            <w:tcMar>
              <w:bottom w:w="0" w:type="dxa"/>
            </w:tcMar>
            <w:vAlign w:val="bottom"/>
          </w:tcPr>
          <w:p>
            <w:pPr>
              <w:pStyle w:val="TableContents"/>
              <w:spacing w:before="0" w:after="283"/>
              <w:jc w:val="right"/>
              <w:rPr/>
            </w:pPr>
            <w:r>
              <w:rPr/>
              <w:t> </w:t>
            </w:r>
          </w:p>
        </w:tc>
        <w:tc>
          <w:tcPr>
            <w:tcW w:w="190"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37" w:type="dxa"/>
            <w:tcBorders/>
            <w:shd w:fill="FFFFFF" w:val="clear"/>
            <w:tcMar>
              <w:bottom w:w="0" w:type="dxa"/>
            </w:tcMar>
            <w:vAlign w:val="bottom"/>
          </w:tcPr>
          <w:p>
            <w:pPr>
              <w:pStyle w:val="TableContents"/>
              <w:spacing w:before="0" w:after="283"/>
              <w:jc w:val="right"/>
              <w:rPr/>
            </w:pPr>
            <w:r>
              <w:rPr/>
              <w:t> </w:t>
            </w:r>
          </w:p>
        </w:tc>
        <w:tc>
          <w:tcPr>
            <w:tcW w:w="121" w:type="dxa"/>
            <w:tcBorders/>
            <w:shd w:fill="FFFFFF" w:val="clear"/>
            <w:tcMar>
              <w:bottom w:w="0" w:type="dxa"/>
            </w:tcMar>
            <w:vAlign w:val="bottom"/>
          </w:tcPr>
          <w:p>
            <w:pPr>
              <w:pStyle w:val="TableContents"/>
              <w:spacing w:before="0" w:after="283"/>
              <w:jc w:val="left"/>
              <w:rPr/>
            </w:pPr>
            <w:r>
              <w:rPr/>
              <w:t> </w:t>
            </w:r>
          </w:p>
        </w:tc>
      </w:tr>
      <w:tr>
        <w:trPr/>
        <w:tc>
          <w:tcPr>
            <w:tcW w:w="4164" w:type="dxa"/>
            <w:tcBorders>
              <w:bottom w:val="double" w:sz="2" w:space="0" w:color="000000"/>
            </w:tcBorders>
            <w:shd w:fill="CCEEFF" w:val="clear"/>
            <w:vAlign w:val="bottom"/>
          </w:tcPr>
          <w:p>
            <w:pPr>
              <w:pStyle w:val="TableContents"/>
              <w:spacing w:lineRule="auto" w:line="300" w:before="0" w:after="0"/>
              <w:ind w:left="0" w:right="0" w:hanging="0"/>
              <w:jc w:val="left"/>
              <w:rPr/>
            </w:pPr>
            <w:r>
              <w:rPr>
                <w:rStyle w:val="StrongEmphasis"/>
                <w:rFonts w:ascii="Times New Roman" w:hAnsi="Times New Roman"/>
                <w:sz w:val="20"/>
              </w:rPr>
              <w:t>Year Ended December 31, 2005</w:t>
            </w:r>
          </w:p>
        </w:tc>
        <w:tc>
          <w:tcPr>
            <w:tcW w:w="191" w:type="dxa"/>
            <w:tcBorders>
              <w:bottom w:val="single" w:sz="4" w:space="0" w:color="CCEEFF"/>
            </w:tcBorders>
            <w:shd w:fill="CCEEFF" w:val="clear"/>
            <w:vAlign w:val="center"/>
          </w:tcPr>
          <w:p>
            <w:pPr>
              <w:pStyle w:val="TableContents"/>
              <w:spacing w:before="0" w:after="283"/>
              <w:rPr/>
            </w:pPr>
            <w:r>
              <w:rPr/>
              <w:t> </w:t>
            </w:r>
          </w:p>
        </w:tc>
        <w:tc>
          <w:tcPr>
            <w:tcW w:w="125" w:type="dxa"/>
            <w:tcBorders>
              <w:bottom w:val="double" w:sz="2" w:space="0" w:color="000000"/>
            </w:tcBorders>
            <w:shd w:fill="CCEEFF" w:val="clear"/>
            <w:vAlign w:val="bottom"/>
          </w:tcPr>
          <w:p>
            <w:pPr>
              <w:pStyle w:val="TableContents"/>
              <w:spacing w:before="0" w:after="283"/>
              <w:jc w:val="left"/>
              <w:rPr/>
            </w:pPr>
            <w:r>
              <w:rPr/>
              <w:t> </w:t>
            </w:r>
          </w:p>
        </w:tc>
        <w:tc>
          <w:tcPr>
            <w:tcW w:w="1133" w:type="dxa"/>
            <w:tcBorders>
              <w:bottom w:val="double" w:sz="2" w:space="0" w:color="000000"/>
            </w:tcBorders>
            <w:shd w:fill="CCEEFF" w:val="clear"/>
            <w:vAlign w:val="bottom"/>
          </w:tcPr>
          <w:p>
            <w:pPr>
              <w:pStyle w:val="TableContents"/>
              <w:spacing w:lineRule="auto" w:line="300" w:before="0" w:after="0"/>
              <w:ind w:left="0" w:right="0" w:hanging="0"/>
              <w:jc w:val="center"/>
              <w:rPr/>
            </w:pPr>
            <w:r>
              <w:rPr>
                <w:rStyle w:val="StrongEmphasis"/>
                <w:rFonts w:ascii="Times New Roman" w:hAnsi="Times New Roman"/>
                <w:sz w:val="20"/>
              </w:rPr>
              <w:t>United States</w:t>
            </w:r>
          </w:p>
        </w:tc>
        <w:tc>
          <w:tcPr>
            <w:tcW w:w="191" w:type="dxa"/>
            <w:tcBorders>
              <w:bottom w:val="single" w:sz="4" w:space="0" w:color="CCEEFF"/>
            </w:tcBorders>
            <w:shd w:fill="CCEEFF" w:val="clear"/>
            <w:vAlign w:val="bottom"/>
          </w:tcPr>
          <w:p>
            <w:pPr>
              <w:pStyle w:val="TableContents"/>
              <w:spacing w:before="0" w:after="283"/>
              <w:jc w:val="left"/>
              <w:rPr/>
            </w:pPr>
            <w:r>
              <w:rPr/>
              <w:t> </w:t>
            </w:r>
          </w:p>
        </w:tc>
        <w:tc>
          <w:tcPr>
            <w:tcW w:w="125" w:type="dxa"/>
            <w:tcBorders>
              <w:bottom w:val="double" w:sz="2" w:space="0" w:color="000000"/>
            </w:tcBorders>
            <w:shd w:fill="CCEEFF" w:val="clear"/>
            <w:vAlign w:val="bottom"/>
          </w:tcPr>
          <w:p>
            <w:pPr>
              <w:pStyle w:val="TableContents"/>
              <w:spacing w:before="0" w:after="283"/>
              <w:jc w:val="left"/>
              <w:rPr/>
            </w:pPr>
            <w:r>
              <w:rPr/>
              <w:t> </w:t>
            </w:r>
          </w:p>
        </w:tc>
        <w:tc>
          <w:tcPr>
            <w:tcW w:w="1208" w:type="dxa"/>
            <w:tcBorders>
              <w:bottom w:val="double" w:sz="2" w:space="0" w:color="000000"/>
            </w:tcBorders>
            <w:shd w:fill="CCEEFF" w:val="clear"/>
            <w:vAlign w:val="bottom"/>
          </w:tcPr>
          <w:p>
            <w:pPr>
              <w:pStyle w:val="TableContents"/>
              <w:spacing w:lineRule="auto" w:line="300" w:before="0" w:after="0"/>
              <w:ind w:left="0" w:right="0" w:hanging="0"/>
              <w:jc w:val="center"/>
              <w:rPr/>
            </w:pPr>
            <w:r>
              <w:rPr>
                <w:rStyle w:val="StrongEmphasis"/>
                <w:rFonts w:ascii="Times New Roman" w:hAnsi="Times New Roman"/>
                <w:sz w:val="20"/>
              </w:rPr>
              <w:t>Australia</w:t>
            </w:r>
          </w:p>
        </w:tc>
        <w:tc>
          <w:tcPr>
            <w:tcW w:w="191" w:type="dxa"/>
            <w:tcBorders>
              <w:bottom w:val="single" w:sz="4" w:space="0" w:color="CCEEFF"/>
            </w:tcBorders>
            <w:shd w:fill="CCEEFF" w:val="clear"/>
            <w:vAlign w:val="bottom"/>
          </w:tcPr>
          <w:p>
            <w:pPr>
              <w:pStyle w:val="TableContents"/>
              <w:spacing w:before="0" w:after="283"/>
              <w:jc w:val="left"/>
              <w:rPr/>
            </w:pPr>
            <w:r>
              <w:rPr/>
              <w:t> </w:t>
            </w:r>
          </w:p>
        </w:tc>
        <w:tc>
          <w:tcPr>
            <w:tcW w:w="125" w:type="dxa"/>
            <w:tcBorders>
              <w:bottom w:val="double" w:sz="2" w:space="0" w:color="000000"/>
            </w:tcBorders>
            <w:shd w:fill="CCEEFF" w:val="clear"/>
            <w:vAlign w:val="bottom"/>
          </w:tcPr>
          <w:p>
            <w:pPr>
              <w:pStyle w:val="TableContents"/>
              <w:spacing w:before="0" w:after="283"/>
              <w:jc w:val="left"/>
              <w:rPr/>
            </w:pPr>
            <w:r>
              <w:rPr/>
              <w:t> </w:t>
            </w:r>
          </w:p>
        </w:tc>
        <w:tc>
          <w:tcPr>
            <w:tcW w:w="1179" w:type="dxa"/>
            <w:tcBorders>
              <w:bottom w:val="double" w:sz="2" w:space="0" w:color="000000"/>
            </w:tcBorders>
            <w:shd w:fill="CCEEFF" w:val="clear"/>
            <w:vAlign w:val="bottom"/>
          </w:tcPr>
          <w:p>
            <w:pPr>
              <w:pStyle w:val="TableContents"/>
              <w:spacing w:lineRule="auto" w:line="300" w:before="0" w:after="0"/>
              <w:ind w:left="0" w:right="0" w:hanging="0"/>
              <w:jc w:val="center"/>
              <w:rPr/>
            </w:pPr>
            <w:r>
              <w:rPr>
                <w:rStyle w:val="StrongEmphasis"/>
                <w:rFonts w:ascii="Times New Roman" w:hAnsi="Times New Roman"/>
                <w:sz w:val="20"/>
              </w:rPr>
              <w:t>New Zealand</w:t>
            </w:r>
          </w:p>
        </w:tc>
        <w:tc>
          <w:tcPr>
            <w:tcW w:w="190" w:type="dxa"/>
            <w:tcBorders>
              <w:bottom w:val="single" w:sz="4" w:space="0" w:color="CCEEFF"/>
            </w:tcBorders>
            <w:shd w:fill="CCEEFF" w:val="clear"/>
            <w:vAlign w:val="bottom"/>
          </w:tcPr>
          <w:p>
            <w:pPr>
              <w:pStyle w:val="TableContents"/>
              <w:spacing w:before="0" w:after="283"/>
              <w:jc w:val="left"/>
              <w:rPr/>
            </w:pPr>
            <w:r>
              <w:rPr/>
              <w:t> </w:t>
            </w:r>
          </w:p>
        </w:tc>
        <w:tc>
          <w:tcPr>
            <w:tcW w:w="125" w:type="dxa"/>
            <w:tcBorders>
              <w:bottom w:val="double" w:sz="2" w:space="0" w:color="000000"/>
            </w:tcBorders>
            <w:shd w:fill="CCEEFF" w:val="clear"/>
            <w:vAlign w:val="bottom"/>
          </w:tcPr>
          <w:p>
            <w:pPr>
              <w:pStyle w:val="TableContents"/>
              <w:spacing w:before="0" w:after="283"/>
              <w:jc w:val="left"/>
              <w:rPr/>
            </w:pPr>
            <w:r>
              <w:rPr/>
              <w:t> </w:t>
            </w:r>
          </w:p>
        </w:tc>
        <w:tc>
          <w:tcPr>
            <w:tcW w:w="1137" w:type="dxa"/>
            <w:tcBorders>
              <w:bottom w:val="double" w:sz="2" w:space="0" w:color="000000"/>
            </w:tcBorders>
            <w:shd w:fill="CCEEFF" w:val="clear"/>
            <w:vAlign w:val="bottom"/>
          </w:tcPr>
          <w:p>
            <w:pPr>
              <w:pStyle w:val="TableContents"/>
              <w:spacing w:lineRule="auto" w:line="300" w:before="0" w:after="0"/>
              <w:ind w:left="0" w:right="0" w:hanging="0"/>
              <w:jc w:val="center"/>
              <w:rPr/>
            </w:pPr>
            <w:r>
              <w:rPr>
                <w:rStyle w:val="StrongEmphasis"/>
                <w:rFonts w:ascii="Times New Roman" w:hAnsi="Times New Roman"/>
                <w:sz w:val="20"/>
              </w:rPr>
              <w:t>Total</w:t>
            </w:r>
          </w:p>
        </w:tc>
        <w:tc>
          <w:tcPr>
            <w:tcW w:w="121" w:type="dxa"/>
            <w:tcBorders>
              <w:bottom w:val="single" w:sz="4" w:space="0" w:color="CCEEFF"/>
            </w:tcBorders>
            <w:shd w:fill="CCEEFF" w:val="clear"/>
            <w:vAlign w:val="bottom"/>
          </w:tcPr>
          <w:p>
            <w:pPr>
              <w:pStyle w:val="TableContents"/>
              <w:spacing w:before="0" w:after="283"/>
              <w:jc w:val="left"/>
              <w:rPr/>
            </w:pPr>
            <w:r>
              <w:rPr/>
              <w:t> </w:t>
            </w:r>
          </w:p>
        </w:tc>
      </w:tr>
      <w:tr>
        <w:trPr/>
        <w:tc>
          <w:tcPr>
            <w:tcW w:w="4164" w:type="dxa"/>
            <w:tcBorders/>
            <w:shd w:fill="FFFFFF" w:val="clear"/>
            <w:tcMar>
              <w:bottom w:w="0" w:type="dxa"/>
            </w:tcMar>
            <w:vAlign w:val="bottom"/>
          </w:tcPr>
          <w:p>
            <w:pPr>
              <w:pStyle w:val="TableContents"/>
              <w:spacing w:lineRule="auto" w:line="300" w:before="0" w:after="0"/>
              <w:ind w:left="360" w:right="0" w:hanging="360"/>
              <w:jc w:val="left"/>
              <w:rPr>
                <w:rFonts w:ascii="Times New Roman" w:hAnsi="Times New Roman"/>
                <w:sz w:val="20"/>
              </w:rPr>
            </w:pPr>
            <w:r>
              <w:rPr>
                <w:rFonts w:ascii="Times New Roman" w:hAnsi="Times New Roman"/>
                <w:sz w:val="20"/>
              </w:rPr>
              <w:t>Live theater rental and ancillary income</w:t>
            </w:r>
          </w:p>
        </w:tc>
        <w:tc>
          <w:tcPr>
            <w:tcW w:w="191" w:type="dxa"/>
            <w:tcBorders/>
            <w:shd w:fill="FFFFFF" w:val="clear"/>
            <w:tcMar>
              <w:bottom w:w="0" w:type="dxa"/>
            </w:tcMar>
            <w:vAlign w:val="center"/>
          </w:tcPr>
          <w:p>
            <w:pPr>
              <w:pStyle w:val="TableContents"/>
              <w:spacing w:before="0" w:after="283"/>
              <w:rPr/>
            </w:pPr>
            <w:r>
              <w:rPr/>
              <w:t> </w:t>
            </w:r>
          </w:p>
        </w:tc>
        <w:tc>
          <w:tcPr>
            <w:tcW w:w="125"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1574" w:name="TAB1618"/>
            <w:bookmarkEnd w:id="1574"/>
            <w:r>
              <w:rPr>
                <w:rFonts w:ascii="Times New Roman" w:hAnsi="Times New Roman"/>
                <w:sz w:val="20"/>
              </w:rPr>
              <w:t>$</w:t>
            </w:r>
          </w:p>
        </w:tc>
        <w:tc>
          <w:tcPr>
            <w:tcW w:w="1133"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575" w:name="TAB1619"/>
            <w:bookmarkEnd w:id="1575"/>
            <w:r>
              <w:rPr>
                <w:rFonts w:ascii="Times New Roman" w:hAnsi="Times New Roman"/>
                <w:sz w:val="20"/>
              </w:rPr>
              <w:t>5,199</w:t>
            </w:r>
          </w:p>
        </w:tc>
        <w:tc>
          <w:tcPr>
            <w:tcW w:w="191"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1576" w:name="TAB1620"/>
            <w:bookmarkEnd w:id="1576"/>
            <w:r>
              <w:rPr>
                <w:rFonts w:ascii="Times New Roman" w:hAnsi="Times New Roman"/>
                <w:sz w:val="20"/>
              </w:rPr>
              <w:t>$</w:t>
            </w:r>
          </w:p>
        </w:tc>
        <w:tc>
          <w:tcPr>
            <w:tcW w:w="1208"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577" w:name="TAB1621"/>
            <w:bookmarkEnd w:id="1577"/>
            <w:r>
              <w:rPr>
                <w:rFonts w:ascii="Times New Roman" w:hAnsi="Times New Roman"/>
                <w:sz w:val="20"/>
              </w:rPr>
              <w:t>--</w:t>
            </w:r>
          </w:p>
        </w:tc>
        <w:tc>
          <w:tcPr>
            <w:tcW w:w="191"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1578" w:name="TAB1622"/>
            <w:bookmarkEnd w:id="1578"/>
            <w:r>
              <w:rPr>
                <w:rFonts w:ascii="Times New Roman" w:hAnsi="Times New Roman"/>
                <w:sz w:val="20"/>
              </w:rPr>
              <w:t>$</w:t>
            </w:r>
          </w:p>
        </w:tc>
        <w:tc>
          <w:tcPr>
            <w:tcW w:w="1179"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579" w:name="TAB1623"/>
            <w:bookmarkEnd w:id="1579"/>
            <w:r>
              <w:rPr>
                <w:rFonts w:ascii="Times New Roman" w:hAnsi="Times New Roman"/>
                <w:sz w:val="20"/>
              </w:rPr>
              <w:t>--</w:t>
            </w:r>
          </w:p>
        </w:tc>
        <w:tc>
          <w:tcPr>
            <w:tcW w:w="190"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1580" w:name="TAB1624"/>
            <w:bookmarkEnd w:id="1580"/>
            <w:r>
              <w:rPr>
                <w:rFonts w:ascii="Times New Roman" w:hAnsi="Times New Roman"/>
                <w:sz w:val="20"/>
              </w:rPr>
              <w:t>$</w:t>
            </w:r>
          </w:p>
        </w:tc>
        <w:tc>
          <w:tcPr>
            <w:tcW w:w="1137"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581" w:name="TAB1625"/>
            <w:bookmarkEnd w:id="1581"/>
            <w:r>
              <w:rPr>
                <w:rFonts w:ascii="Times New Roman" w:hAnsi="Times New Roman"/>
                <w:sz w:val="20"/>
              </w:rPr>
              <w:t>5,199</w:t>
            </w:r>
          </w:p>
        </w:tc>
        <w:tc>
          <w:tcPr>
            <w:tcW w:w="121" w:type="dxa"/>
            <w:tcBorders/>
            <w:shd w:fill="FFFFFF" w:val="clear"/>
            <w:tcMar>
              <w:bottom w:w="0" w:type="dxa"/>
            </w:tcMar>
            <w:vAlign w:val="bottom"/>
          </w:tcPr>
          <w:p>
            <w:pPr>
              <w:pStyle w:val="TableContents"/>
              <w:spacing w:before="0" w:after="283"/>
              <w:jc w:val="left"/>
              <w:rPr/>
            </w:pPr>
            <w:r>
              <w:rPr/>
              <w:t> </w:t>
            </w:r>
          </w:p>
        </w:tc>
      </w:tr>
      <w:tr>
        <w:trPr/>
        <w:tc>
          <w:tcPr>
            <w:tcW w:w="4164" w:type="dxa"/>
            <w:tcBorders>
              <w:bottom w:val="single" w:sz="2" w:space="0" w:color="000000"/>
            </w:tcBorders>
            <w:shd w:fill="CCEEFF" w:val="clear"/>
            <w:vAlign w:val="bottom"/>
          </w:tcPr>
          <w:p>
            <w:pPr>
              <w:pStyle w:val="TableContents"/>
              <w:spacing w:lineRule="auto" w:line="300" w:before="0" w:after="0"/>
              <w:ind w:left="360" w:right="0" w:hanging="360"/>
              <w:jc w:val="left"/>
              <w:rPr/>
            </w:pPr>
            <w:r>
              <w:rPr>
                <w:rFonts w:ascii="Times New Roman" w:hAnsi="Times New Roman"/>
                <w:sz w:val="20"/>
              </w:rPr>
              <w:t>Property rental income</w:t>
            </w:r>
            <w:r>
              <w:rPr>
                <w:rFonts w:ascii="Times New Roman" w:hAnsi="Times New Roman"/>
                <w:position w:val="7"/>
                <w:sz w:val="16"/>
                <w:sz w:val="20"/>
              </w:rPr>
              <w:t>17</w:t>
            </w:r>
            <w:r>
              <w:rPr/>
              <w:t> </w:t>
            </w:r>
          </w:p>
        </w:tc>
        <w:tc>
          <w:tcPr>
            <w:tcW w:w="191" w:type="dxa"/>
            <w:tcBorders>
              <w:bottom w:val="single" w:sz="2" w:space="0" w:color="CCEEFF"/>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vAlign w:val="bottom"/>
          </w:tcPr>
          <w:p>
            <w:pPr>
              <w:pStyle w:val="TableContents"/>
              <w:spacing w:before="0" w:after="283"/>
              <w:jc w:val="left"/>
              <w:rPr/>
            </w:pPr>
            <w:r>
              <w:rPr/>
              <w:t> </w:t>
            </w:r>
          </w:p>
        </w:tc>
        <w:tc>
          <w:tcPr>
            <w:tcW w:w="1133"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1,118</w:t>
            </w:r>
          </w:p>
        </w:tc>
        <w:tc>
          <w:tcPr>
            <w:tcW w:w="191" w:type="dxa"/>
            <w:tcBorders>
              <w:bottom w:val="single" w:sz="2" w:space="0" w:color="CCEEFF"/>
            </w:tcBorders>
            <w:shd w:fill="CCEEFF" w:val="clear"/>
            <w:vAlign w:val="bottom"/>
          </w:tcPr>
          <w:p>
            <w:pPr>
              <w:pStyle w:val="TableContents"/>
              <w:spacing w:before="0" w:after="283"/>
              <w:jc w:val="left"/>
              <w:rPr/>
            </w:pPr>
            <w:r>
              <w:rPr/>
              <w:t> </w:t>
            </w:r>
          </w:p>
        </w:tc>
        <w:tc>
          <w:tcPr>
            <w:tcW w:w="125" w:type="dxa"/>
            <w:tcBorders>
              <w:bottom w:val="single" w:sz="2" w:space="0" w:color="000000"/>
            </w:tcBorders>
            <w:shd w:fill="CCEEFF" w:val="clear"/>
            <w:vAlign w:val="bottom"/>
          </w:tcPr>
          <w:p>
            <w:pPr>
              <w:pStyle w:val="TableContents"/>
              <w:spacing w:before="0" w:after="283"/>
              <w:jc w:val="left"/>
              <w:rPr/>
            </w:pPr>
            <w:r>
              <w:rPr/>
              <w:t> </w:t>
            </w:r>
          </w:p>
        </w:tc>
        <w:tc>
          <w:tcPr>
            <w:tcW w:w="1208"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4,266</w:t>
            </w:r>
          </w:p>
        </w:tc>
        <w:tc>
          <w:tcPr>
            <w:tcW w:w="191" w:type="dxa"/>
            <w:tcBorders>
              <w:bottom w:val="single" w:sz="2" w:space="0" w:color="CCEEFF"/>
            </w:tcBorders>
            <w:shd w:fill="CCEEFF" w:val="clear"/>
            <w:vAlign w:val="bottom"/>
          </w:tcPr>
          <w:p>
            <w:pPr>
              <w:pStyle w:val="TableContents"/>
              <w:spacing w:before="0" w:after="283"/>
              <w:jc w:val="left"/>
              <w:rPr/>
            </w:pPr>
            <w:r>
              <w:rPr/>
              <w:t> </w:t>
            </w:r>
          </w:p>
        </w:tc>
        <w:tc>
          <w:tcPr>
            <w:tcW w:w="125" w:type="dxa"/>
            <w:tcBorders>
              <w:bottom w:val="single" w:sz="2" w:space="0" w:color="000000"/>
            </w:tcBorders>
            <w:shd w:fill="CCEEFF" w:val="clear"/>
            <w:vAlign w:val="bottom"/>
          </w:tcPr>
          <w:p>
            <w:pPr>
              <w:pStyle w:val="TableContents"/>
              <w:spacing w:before="0" w:after="283"/>
              <w:jc w:val="left"/>
              <w:rPr/>
            </w:pPr>
            <w:r>
              <w:rPr/>
              <w:t> </w:t>
            </w:r>
          </w:p>
        </w:tc>
        <w:tc>
          <w:tcPr>
            <w:tcW w:w="1179"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5,940</w:t>
            </w:r>
          </w:p>
        </w:tc>
        <w:tc>
          <w:tcPr>
            <w:tcW w:w="190" w:type="dxa"/>
            <w:tcBorders>
              <w:bottom w:val="single" w:sz="2" w:space="0" w:color="CCEEFF"/>
            </w:tcBorders>
            <w:shd w:fill="CCEEFF" w:val="clear"/>
            <w:vAlign w:val="bottom"/>
          </w:tcPr>
          <w:p>
            <w:pPr>
              <w:pStyle w:val="TableContents"/>
              <w:spacing w:before="0" w:after="283"/>
              <w:jc w:val="left"/>
              <w:rPr/>
            </w:pPr>
            <w:r>
              <w:rPr/>
              <w:t> </w:t>
            </w:r>
          </w:p>
        </w:tc>
        <w:tc>
          <w:tcPr>
            <w:tcW w:w="125" w:type="dxa"/>
            <w:tcBorders>
              <w:bottom w:val="single" w:sz="2" w:space="0" w:color="000000"/>
            </w:tcBorders>
            <w:shd w:fill="CCEEFF" w:val="clear"/>
            <w:vAlign w:val="bottom"/>
          </w:tcPr>
          <w:p>
            <w:pPr>
              <w:pStyle w:val="TableContents"/>
              <w:spacing w:before="0" w:after="283"/>
              <w:jc w:val="left"/>
              <w:rPr/>
            </w:pPr>
            <w:r>
              <w:rPr/>
              <w:t> </w:t>
            </w:r>
          </w:p>
        </w:tc>
        <w:tc>
          <w:tcPr>
            <w:tcW w:w="1137"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11,324</w:t>
            </w:r>
          </w:p>
        </w:tc>
        <w:tc>
          <w:tcPr>
            <w:tcW w:w="121" w:type="dxa"/>
            <w:tcBorders>
              <w:bottom w:val="single" w:sz="2" w:space="0" w:color="CCEEFF"/>
            </w:tcBorders>
            <w:shd w:fill="CCEEFF" w:val="clear"/>
            <w:vAlign w:val="bottom"/>
          </w:tcPr>
          <w:p>
            <w:pPr>
              <w:pStyle w:val="TableContents"/>
              <w:spacing w:before="0" w:after="283"/>
              <w:jc w:val="left"/>
              <w:rPr/>
            </w:pPr>
            <w:r>
              <w:rPr/>
              <w:t> </w:t>
            </w:r>
          </w:p>
        </w:tc>
      </w:tr>
      <w:tr>
        <w:trPr/>
        <w:tc>
          <w:tcPr>
            <w:tcW w:w="4164" w:type="dxa"/>
            <w:tcBorders/>
            <w:shd w:fill="FFFFFF" w:val="clear"/>
            <w:tcMar>
              <w:bottom w:w="0" w:type="dxa"/>
            </w:tcMar>
            <w:vAlign w:val="bottom"/>
          </w:tcPr>
          <w:p>
            <w:pPr>
              <w:pStyle w:val="TableContents"/>
              <w:spacing w:lineRule="auto" w:line="300" w:before="0" w:after="0"/>
              <w:ind w:left="900" w:right="0" w:hanging="360"/>
              <w:jc w:val="left"/>
              <w:rPr/>
            </w:pPr>
            <w:r>
              <w:rPr>
                <w:rFonts w:ascii="Times New Roman" w:hAnsi="Times New Roman"/>
                <w:sz w:val="20"/>
              </w:rPr>
              <w:t>Total revenues</w:t>
            </w:r>
            <w:bookmarkStart w:id="1582" w:name="TAB273"/>
            <w:bookmarkEnd w:id="1582"/>
            <w:r>
              <w:rPr>
                <w:color w:val="000000"/>
                <w:spacing w:val="51"/>
              </w:rPr>
              <w:t> </w:t>
            </w:r>
          </w:p>
        </w:tc>
        <w:tc>
          <w:tcPr>
            <w:tcW w:w="191" w:type="dxa"/>
            <w:tcBorders/>
            <w:shd w:fill="FFFFFF" w:val="clear"/>
            <w:tcMar>
              <w:bottom w:w="0" w:type="dxa"/>
            </w:tcMar>
            <w:vAlign w:val="center"/>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33"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583" w:name="TAB1626"/>
            <w:bookmarkEnd w:id="1583"/>
            <w:r>
              <w:rPr>
                <w:rFonts w:ascii="Times New Roman" w:hAnsi="Times New Roman"/>
                <w:sz w:val="20"/>
              </w:rPr>
              <w:t>6,317</w:t>
            </w:r>
          </w:p>
        </w:tc>
        <w:tc>
          <w:tcPr>
            <w:tcW w:w="191"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208"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584" w:name="TAB1627"/>
            <w:bookmarkEnd w:id="1584"/>
            <w:r>
              <w:rPr>
                <w:rFonts w:ascii="Times New Roman" w:hAnsi="Times New Roman"/>
                <w:sz w:val="20"/>
              </w:rPr>
              <w:t>4,266</w:t>
            </w:r>
          </w:p>
        </w:tc>
        <w:tc>
          <w:tcPr>
            <w:tcW w:w="191"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79"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585" w:name="TAB1628"/>
            <w:bookmarkEnd w:id="1585"/>
            <w:r>
              <w:rPr>
                <w:rFonts w:ascii="Times New Roman" w:hAnsi="Times New Roman"/>
                <w:sz w:val="20"/>
              </w:rPr>
              <w:t>5,940</w:t>
            </w:r>
          </w:p>
        </w:tc>
        <w:tc>
          <w:tcPr>
            <w:tcW w:w="190"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37"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586" w:name="TAB1629"/>
            <w:bookmarkEnd w:id="1586"/>
            <w:r>
              <w:rPr>
                <w:rFonts w:ascii="Times New Roman" w:hAnsi="Times New Roman"/>
                <w:sz w:val="20"/>
              </w:rPr>
              <w:t>16,523</w:t>
            </w:r>
          </w:p>
        </w:tc>
        <w:tc>
          <w:tcPr>
            <w:tcW w:w="121" w:type="dxa"/>
            <w:tcBorders/>
            <w:shd w:fill="FFFFFF" w:val="clear"/>
            <w:tcMar>
              <w:bottom w:w="0" w:type="dxa"/>
            </w:tcMar>
            <w:vAlign w:val="bottom"/>
          </w:tcPr>
          <w:p>
            <w:pPr>
              <w:pStyle w:val="TableContents"/>
              <w:spacing w:before="0" w:after="283"/>
              <w:jc w:val="left"/>
              <w:rPr/>
            </w:pPr>
            <w:r>
              <w:rPr/>
              <w:t> </w:t>
            </w:r>
          </w:p>
        </w:tc>
      </w:tr>
      <w:tr>
        <w:trPr/>
        <w:tc>
          <w:tcPr>
            <w:tcW w:w="4164" w:type="dxa"/>
            <w:tcBorders/>
            <w:shd w:fill="CCEEFF" w:val="clear"/>
            <w:tcMar>
              <w:bottom w:w="0" w:type="dxa"/>
            </w:tcMar>
            <w:vAlign w:val="bottom"/>
          </w:tcPr>
          <w:p>
            <w:pPr>
              <w:pStyle w:val="TableContents"/>
              <w:spacing w:before="0" w:after="283"/>
              <w:jc w:val="left"/>
              <w:rPr/>
            </w:pPr>
            <w:r>
              <w:rPr/>
              <w:t> </w:t>
            </w:r>
          </w:p>
        </w:tc>
        <w:tc>
          <w:tcPr>
            <w:tcW w:w="191" w:type="dxa"/>
            <w:tcBorders/>
            <w:shd w:fill="CCEEFF" w:val="clear"/>
            <w:tcMar>
              <w:bottom w:w="0" w:type="dxa"/>
            </w:tcMar>
            <w:vAlign w:val="center"/>
          </w:tcPr>
          <w:p>
            <w:pPr>
              <w:pStyle w:val="TableContents"/>
              <w:spacing w:before="0" w:after="283"/>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133" w:type="dxa"/>
            <w:tcBorders/>
            <w:shd w:fill="CCEEFF" w:val="clear"/>
            <w:tcMar>
              <w:bottom w:w="0" w:type="dxa"/>
            </w:tcMar>
            <w:vAlign w:val="bottom"/>
          </w:tcPr>
          <w:p>
            <w:pPr>
              <w:pStyle w:val="TableContents"/>
              <w:spacing w:before="0" w:after="283"/>
              <w:jc w:val="right"/>
              <w:rPr/>
            </w:pPr>
            <w:r>
              <w:rPr/>
              <w:t> </w:t>
            </w:r>
          </w:p>
        </w:tc>
        <w:tc>
          <w:tcPr>
            <w:tcW w:w="191"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208" w:type="dxa"/>
            <w:tcBorders/>
            <w:shd w:fill="CCEEFF" w:val="clear"/>
            <w:tcMar>
              <w:bottom w:w="0" w:type="dxa"/>
            </w:tcMar>
            <w:vAlign w:val="bottom"/>
          </w:tcPr>
          <w:p>
            <w:pPr>
              <w:pStyle w:val="TableContents"/>
              <w:spacing w:before="0" w:after="283"/>
              <w:jc w:val="right"/>
              <w:rPr/>
            </w:pPr>
            <w:r>
              <w:rPr/>
              <w:t> </w:t>
            </w:r>
          </w:p>
        </w:tc>
        <w:tc>
          <w:tcPr>
            <w:tcW w:w="191"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179" w:type="dxa"/>
            <w:tcBorders/>
            <w:shd w:fill="CCEEFF" w:val="clear"/>
            <w:tcMar>
              <w:bottom w:w="0" w:type="dxa"/>
            </w:tcMar>
            <w:vAlign w:val="bottom"/>
          </w:tcPr>
          <w:p>
            <w:pPr>
              <w:pStyle w:val="TableContents"/>
              <w:spacing w:before="0" w:after="283"/>
              <w:jc w:val="right"/>
              <w:rPr/>
            </w:pPr>
            <w:r>
              <w:rPr/>
              <w:t> </w:t>
            </w:r>
          </w:p>
        </w:tc>
        <w:tc>
          <w:tcPr>
            <w:tcW w:w="190"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137" w:type="dxa"/>
            <w:tcBorders/>
            <w:shd w:fill="CCEEFF" w:val="clear"/>
            <w:tcMar>
              <w:bottom w:w="0" w:type="dxa"/>
            </w:tcMar>
            <w:vAlign w:val="bottom"/>
          </w:tcPr>
          <w:p>
            <w:pPr>
              <w:pStyle w:val="TableContents"/>
              <w:spacing w:before="0" w:after="283"/>
              <w:jc w:val="right"/>
              <w:rPr/>
            </w:pPr>
            <w:r>
              <w:rPr/>
              <w:t> </w:t>
            </w:r>
          </w:p>
        </w:tc>
        <w:tc>
          <w:tcPr>
            <w:tcW w:w="121" w:type="dxa"/>
            <w:tcBorders/>
            <w:shd w:fill="CCEEFF" w:val="clear"/>
            <w:tcMar>
              <w:bottom w:w="0" w:type="dxa"/>
            </w:tcMar>
            <w:vAlign w:val="bottom"/>
          </w:tcPr>
          <w:p>
            <w:pPr>
              <w:pStyle w:val="TableContents"/>
              <w:spacing w:before="0" w:after="283"/>
              <w:jc w:val="left"/>
              <w:rPr/>
            </w:pPr>
            <w:r>
              <w:rPr/>
              <w:t> </w:t>
            </w:r>
          </w:p>
        </w:tc>
      </w:tr>
      <w:tr>
        <w:trPr/>
        <w:tc>
          <w:tcPr>
            <w:tcW w:w="4164"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Live theater costs</w:t>
            </w:r>
          </w:p>
        </w:tc>
        <w:tc>
          <w:tcPr>
            <w:tcW w:w="191" w:type="dxa"/>
            <w:tcBorders/>
            <w:shd w:fill="FFFFFF" w:val="clear"/>
            <w:tcMar>
              <w:bottom w:w="0" w:type="dxa"/>
            </w:tcMar>
            <w:vAlign w:val="center"/>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33"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587" w:name="TAB1630"/>
            <w:bookmarkEnd w:id="1587"/>
            <w:r>
              <w:rPr>
                <w:rFonts w:ascii="Times New Roman" w:hAnsi="Times New Roman"/>
                <w:sz w:val="20"/>
              </w:rPr>
              <w:t>2,925</w:t>
            </w:r>
          </w:p>
        </w:tc>
        <w:tc>
          <w:tcPr>
            <w:tcW w:w="191"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208"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588" w:name="TAB1631"/>
            <w:bookmarkEnd w:id="1588"/>
            <w:r>
              <w:rPr>
                <w:rFonts w:ascii="Times New Roman" w:hAnsi="Times New Roman"/>
                <w:sz w:val="20"/>
              </w:rPr>
              <w:t>--</w:t>
            </w:r>
          </w:p>
        </w:tc>
        <w:tc>
          <w:tcPr>
            <w:tcW w:w="191"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79"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589" w:name="TAB1632"/>
            <w:bookmarkEnd w:id="1589"/>
            <w:r>
              <w:rPr>
                <w:rFonts w:ascii="Times New Roman" w:hAnsi="Times New Roman"/>
                <w:sz w:val="20"/>
              </w:rPr>
              <w:t>--</w:t>
            </w:r>
          </w:p>
        </w:tc>
        <w:tc>
          <w:tcPr>
            <w:tcW w:w="190"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37"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590" w:name="TAB1633"/>
            <w:bookmarkEnd w:id="1590"/>
            <w:r>
              <w:rPr>
                <w:rFonts w:ascii="Times New Roman" w:hAnsi="Times New Roman"/>
                <w:sz w:val="20"/>
              </w:rPr>
              <w:t>2,925</w:t>
            </w:r>
          </w:p>
        </w:tc>
        <w:tc>
          <w:tcPr>
            <w:tcW w:w="121" w:type="dxa"/>
            <w:tcBorders/>
            <w:shd w:fill="FFFFFF" w:val="clear"/>
            <w:tcMar>
              <w:bottom w:w="0" w:type="dxa"/>
            </w:tcMar>
            <w:vAlign w:val="bottom"/>
          </w:tcPr>
          <w:p>
            <w:pPr>
              <w:pStyle w:val="TableContents"/>
              <w:spacing w:before="0" w:after="283"/>
              <w:jc w:val="left"/>
              <w:rPr/>
            </w:pPr>
            <w:r>
              <w:rPr/>
              <w:t> </w:t>
            </w:r>
          </w:p>
        </w:tc>
      </w:tr>
      <w:tr>
        <w:trPr/>
        <w:tc>
          <w:tcPr>
            <w:tcW w:w="4164" w:type="dxa"/>
            <w:tcBorders>
              <w:bottom w:val="sing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Property rental cost</w:t>
            </w:r>
          </w:p>
        </w:tc>
        <w:tc>
          <w:tcPr>
            <w:tcW w:w="191" w:type="dxa"/>
            <w:tcBorders>
              <w:bottom w:val="single" w:sz="2" w:space="0" w:color="CCEEFF"/>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vAlign w:val="bottom"/>
          </w:tcPr>
          <w:p>
            <w:pPr>
              <w:pStyle w:val="TableContents"/>
              <w:spacing w:before="0" w:after="283"/>
              <w:jc w:val="left"/>
              <w:rPr/>
            </w:pPr>
            <w:r>
              <w:rPr/>
              <w:t> </w:t>
            </w:r>
          </w:p>
        </w:tc>
        <w:tc>
          <w:tcPr>
            <w:tcW w:w="1133"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1591" w:name="TAB1634"/>
            <w:bookmarkEnd w:id="1591"/>
            <w:r>
              <w:rPr>
                <w:rFonts w:ascii="Times New Roman" w:hAnsi="Times New Roman"/>
                <w:sz w:val="20"/>
              </w:rPr>
              <w:t>692</w:t>
            </w:r>
          </w:p>
        </w:tc>
        <w:tc>
          <w:tcPr>
            <w:tcW w:w="191" w:type="dxa"/>
            <w:tcBorders>
              <w:bottom w:val="single" w:sz="2" w:space="0" w:color="CCEEFF"/>
            </w:tcBorders>
            <w:shd w:fill="CCEEFF" w:val="clear"/>
            <w:vAlign w:val="bottom"/>
          </w:tcPr>
          <w:p>
            <w:pPr>
              <w:pStyle w:val="TableContents"/>
              <w:spacing w:before="0" w:after="283"/>
              <w:jc w:val="left"/>
              <w:rPr/>
            </w:pPr>
            <w:r>
              <w:rPr/>
              <w:t> </w:t>
            </w:r>
          </w:p>
        </w:tc>
        <w:tc>
          <w:tcPr>
            <w:tcW w:w="125" w:type="dxa"/>
            <w:tcBorders>
              <w:bottom w:val="single" w:sz="2" w:space="0" w:color="000000"/>
            </w:tcBorders>
            <w:shd w:fill="CCEEFF" w:val="clear"/>
            <w:vAlign w:val="bottom"/>
          </w:tcPr>
          <w:p>
            <w:pPr>
              <w:pStyle w:val="TableContents"/>
              <w:spacing w:before="0" w:after="283"/>
              <w:jc w:val="left"/>
              <w:rPr/>
            </w:pPr>
            <w:r>
              <w:rPr/>
              <w:t> </w:t>
            </w:r>
          </w:p>
        </w:tc>
        <w:tc>
          <w:tcPr>
            <w:tcW w:w="1208"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1592" w:name="TAB1635"/>
            <w:bookmarkEnd w:id="1592"/>
            <w:r>
              <w:rPr>
                <w:rFonts w:ascii="Times New Roman" w:hAnsi="Times New Roman"/>
                <w:sz w:val="20"/>
              </w:rPr>
              <w:t>2,118</w:t>
            </w:r>
          </w:p>
        </w:tc>
        <w:tc>
          <w:tcPr>
            <w:tcW w:w="191" w:type="dxa"/>
            <w:tcBorders>
              <w:bottom w:val="single" w:sz="2" w:space="0" w:color="CCEEFF"/>
            </w:tcBorders>
            <w:shd w:fill="CCEEFF" w:val="clear"/>
            <w:vAlign w:val="bottom"/>
          </w:tcPr>
          <w:p>
            <w:pPr>
              <w:pStyle w:val="TableContents"/>
              <w:spacing w:before="0" w:after="283"/>
              <w:jc w:val="left"/>
              <w:rPr/>
            </w:pPr>
            <w:r>
              <w:rPr/>
              <w:t> </w:t>
            </w:r>
          </w:p>
        </w:tc>
        <w:tc>
          <w:tcPr>
            <w:tcW w:w="125" w:type="dxa"/>
            <w:tcBorders>
              <w:bottom w:val="single" w:sz="2" w:space="0" w:color="000000"/>
            </w:tcBorders>
            <w:shd w:fill="CCEEFF" w:val="clear"/>
            <w:vAlign w:val="bottom"/>
          </w:tcPr>
          <w:p>
            <w:pPr>
              <w:pStyle w:val="TableContents"/>
              <w:spacing w:before="0" w:after="283"/>
              <w:jc w:val="left"/>
              <w:rPr/>
            </w:pPr>
            <w:r>
              <w:rPr/>
              <w:t> </w:t>
            </w:r>
          </w:p>
        </w:tc>
        <w:tc>
          <w:tcPr>
            <w:tcW w:w="1179"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1593" w:name="TAB1636"/>
            <w:bookmarkEnd w:id="1593"/>
            <w:r>
              <w:rPr>
                <w:rFonts w:ascii="Times New Roman" w:hAnsi="Times New Roman"/>
                <w:sz w:val="20"/>
              </w:rPr>
              <w:t>1,624</w:t>
            </w:r>
          </w:p>
        </w:tc>
        <w:tc>
          <w:tcPr>
            <w:tcW w:w="190" w:type="dxa"/>
            <w:tcBorders>
              <w:bottom w:val="single" w:sz="2" w:space="0" w:color="CCEEFF"/>
            </w:tcBorders>
            <w:shd w:fill="CCEEFF" w:val="clear"/>
            <w:vAlign w:val="bottom"/>
          </w:tcPr>
          <w:p>
            <w:pPr>
              <w:pStyle w:val="TableContents"/>
              <w:spacing w:before="0" w:after="283"/>
              <w:jc w:val="left"/>
              <w:rPr/>
            </w:pPr>
            <w:r>
              <w:rPr/>
              <w:t> </w:t>
            </w:r>
          </w:p>
        </w:tc>
        <w:tc>
          <w:tcPr>
            <w:tcW w:w="125" w:type="dxa"/>
            <w:tcBorders>
              <w:bottom w:val="single" w:sz="2" w:space="0" w:color="000000"/>
            </w:tcBorders>
            <w:shd w:fill="CCEEFF" w:val="clear"/>
            <w:vAlign w:val="bottom"/>
          </w:tcPr>
          <w:p>
            <w:pPr>
              <w:pStyle w:val="TableContents"/>
              <w:spacing w:before="0" w:after="283"/>
              <w:jc w:val="left"/>
              <w:rPr/>
            </w:pPr>
            <w:r>
              <w:rPr/>
              <w:t> </w:t>
            </w:r>
          </w:p>
        </w:tc>
        <w:tc>
          <w:tcPr>
            <w:tcW w:w="1137"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1594" w:name="TAB1637"/>
            <w:bookmarkEnd w:id="1594"/>
            <w:r>
              <w:rPr>
                <w:rFonts w:ascii="Times New Roman" w:hAnsi="Times New Roman"/>
                <w:sz w:val="20"/>
              </w:rPr>
              <w:t>4,434</w:t>
            </w:r>
          </w:p>
        </w:tc>
        <w:tc>
          <w:tcPr>
            <w:tcW w:w="121" w:type="dxa"/>
            <w:tcBorders>
              <w:bottom w:val="single" w:sz="2" w:space="0" w:color="CCEEFF"/>
            </w:tcBorders>
            <w:shd w:fill="CCEEFF" w:val="clear"/>
            <w:vAlign w:val="bottom"/>
          </w:tcPr>
          <w:p>
            <w:pPr>
              <w:pStyle w:val="TableContents"/>
              <w:spacing w:before="0" w:after="283"/>
              <w:jc w:val="left"/>
              <w:rPr/>
            </w:pPr>
            <w:r>
              <w:rPr/>
              <w:t> </w:t>
            </w:r>
          </w:p>
        </w:tc>
      </w:tr>
      <w:tr>
        <w:trPr/>
        <w:tc>
          <w:tcPr>
            <w:tcW w:w="4164" w:type="dxa"/>
            <w:tcBorders/>
            <w:shd w:fill="FFFFFF" w:val="clear"/>
            <w:tcMar>
              <w:bottom w:w="0" w:type="dxa"/>
            </w:tcMar>
            <w:vAlign w:val="bottom"/>
          </w:tcPr>
          <w:p>
            <w:pPr>
              <w:pStyle w:val="TableContents"/>
              <w:spacing w:lineRule="auto" w:line="300" w:before="0" w:after="0"/>
              <w:ind w:left="900" w:right="0" w:hanging="360"/>
              <w:jc w:val="left"/>
              <w:rPr>
                <w:rFonts w:ascii="Times New Roman" w:hAnsi="Times New Roman"/>
                <w:sz w:val="20"/>
              </w:rPr>
            </w:pPr>
            <w:r>
              <w:rPr>
                <w:rFonts w:ascii="Times New Roman" w:hAnsi="Times New Roman"/>
                <w:sz w:val="20"/>
              </w:rPr>
              <w:t>Total operating expense</w:t>
            </w:r>
          </w:p>
        </w:tc>
        <w:tc>
          <w:tcPr>
            <w:tcW w:w="191" w:type="dxa"/>
            <w:tcBorders/>
            <w:shd w:fill="FFFFFF" w:val="clear"/>
            <w:tcMar>
              <w:bottom w:w="0" w:type="dxa"/>
            </w:tcMar>
            <w:vAlign w:val="center"/>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33"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595" w:name="TAB1638"/>
            <w:bookmarkEnd w:id="1595"/>
            <w:r>
              <w:rPr>
                <w:rFonts w:ascii="Times New Roman" w:hAnsi="Times New Roman"/>
                <w:sz w:val="20"/>
              </w:rPr>
              <w:t>3,617</w:t>
            </w:r>
          </w:p>
        </w:tc>
        <w:tc>
          <w:tcPr>
            <w:tcW w:w="191"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208"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596" w:name="TAB1639"/>
            <w:bookmarkEnd w:id="1596"/>
            <w:r>
              <w:rPr>
                <w:rFonts w:ascii="Times New Roman" w:hAnsi="Times New Roman"/>
                <w:sz w:val="20"/>
              </w:rPr>
              <w:t>2,118</w:t>
            </w:r>
          </w:p>
        </w:tc>
        <w:tc>
          <w:tcPr>
            <w:tcW w:w="191"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79"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597" w:name="TAB1640"/>
            <w:bookmarkEnd w:id="1597"/>
            <w:r>
              <w:rPr>
                <w:rFonts w:ascii="Times New Roman" w:hAnsi="Times New Roman"/>
                <w:sz w:val="20"/>
              </w:rPr>
              <w:t>1,624</w:t>
            </w:r>
          </w:p>
        </w:tc>
        <w:tc>
          <w:tcPr>
            <w:tcW w:w="190"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37"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598" w:name="TAB1641"/>
            <w:bookmarkEnd w:id="1598"/>
            <w:r>
              <w:rPr>
                <w:rFonts w:ascii="Times New Roman" w:hAnsi="Times New Roman"/>
                <w:sz w:val="20"/>
              </w:rPr>
              <w:t>7,359</w:t>
            </w:r>
          </w:p>
        </w:tc>
        <w:tc>
          <w:tcPr>
            <w:tcW w:w="121" w:type="dxa"/>
            <w:tcBorders/>
            <w:shd w:fill="FFFFFF" w:val="clear"/>
            <w:tcMar>
              <w:bottom w:w="0" w:type="dxa"/>
            </w:tcMar>
            <w:vAlign w:val="bottom"/>
          </w:tcPr>
          <w:p>
            <w:pPr>
              <w:pStyle w:val="TableContents"/>
              <w:spacing w:before="0" w:after="283"/>
              <w:jc w:val="left"/>
              <w:rPr/>
            </w:pPr>
            <w:r>
              <w:rPr/>
              <w:t> </w:t>
            </w:r>
          </w:p>
        </w:tc>
      </w:tr>
      <w:tr>
        <w:trPr/>
        <w:tc>
          <w:tcPr>
            <w:tcW w:w="4164" w:type="dxa"/>
            <w:tcBorders/>
            <w:shd w:fill="CCEEFF" w:val="clear"/>
            <w:tcMar>
              <w:bottom w:w="0" w:type="dxa"/>
            </w:tcMar>
            <w:vAlign w:val="bottom"/>
          </w:tcPr>
          <w:p>
            <w:pPr>
              <w:pStyle w:val="TableContents"/>
              <w:spacing w:before="0" w:after="283"/>
              <w:jc w:val="left"/>
              <w:rPr/>
            </w:pPr>
            <w:r>
              <w:rPr/>
              <w:t> </w:t>
            </w:r>
          </w:p>
        </w:tc>
        <w:tc>
          <w:tcPr>
            <w:tcW w:w="191" w:type="dxa"/>
            <w:tcBorders/>
            <w:shd w:fill="CCEEFF" w:val="clear"/>
            <w:tcMar>
              <w:bottom w:w="0" w:type="dxa"/>
            </w:tcMar>
            <w:vAlign w:val="center"/>
          </w:tcPr>
          <w:p>
            <w:pPr>
              <w:pStyle w:val="TableContents"/>
              <w:spacing w:before="0" w:after="283"/>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133" w:type="dxa"/>
            <w:tcBorders/>
            <w:shd w:fill="CCEEFF" w:val="clear"/>
            <w:tcMar>
              <w:bottom w:w="0" w:type="dxa"/>
            </w:tcMar>
            <w:vAlign w:val="bottom"/>
          </w:tcPr>
          <w:p>
            <w:pPr>
              <w:pStyle w:val="TableContents"/>
              <w:spacing w:before="0" w:after="283"/>
              <w:jc w:val="right"/>
              <w:rPr/>
            </w:pPr>
            <w:r>
              <w:rPr/>
              <w:t> </w:t>
            </w:r>
          </w:p>
        </w:tc>
        <w:tc>
          <w:tcPr>
            <w:tcW w:w="191"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208" w:type="dxa"/>
            <w:tcBorders/>
            <w:shd w:fill="CCEEFF" w:val="clear"/>
            <w:tcMar>
              <w:bottom w:w="0" w:type="dxa"/>
            </w:tcMar>
            <w:vAlign w:val="bottom"/>
          </w:tcPr>
          <w:p>
            <w:pPr>
              <w:pStyle w:val="TableContents"/>
              <w:spacing w:before="0" w:after="283"/>
              <w:jc w:val="right"/>
              <w:rPr/>
            </w:pPr>
            <w:r>
              <w:rPr/>
              <w:t> </w:t>
            </w:r>
          </w:p>
        </w:tc>
        <w:tc>
          <w:tcPr>
            <w:tcW w:w="191"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179" w:type="dxa"/>
            <w:tcBorders/>
            <w:shd w:fill="CCEEFF" w:val="clear"/>
            <w:tcMar>
              <w:bottom w:w="0" w:type="dxa"/>
            </w:tcMar>
            <w:vAlign w:val="bottom"/>
          </w:tcPr>
          <w:p>
            <w:pPr>
              <w:pStyle w:val="TableContents"/>
              <w:spacing w:before="0" w:after="283"/>
              <w:jc w:val="right"/>
              <w:rPr/>
            </w:pPr>
            <w:r>
              <w:rPr/>
              <w:t> </w:t>
            </w:r>
          </w:p>
        </w:tc>
        <w:tc>
          <w:tcPr>
            <w:tcW w:w="190"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137" w:type="dxa"/>
            <w:tcBorders/>
            <w:shd w:fill="CCEEFF" w:val="clear"/>
            <w:tcMar>
              <w:bottom w:w="0" w:type="dxa"/>
            </w:tcMar>
            <w:vAlign w:val="bottom"/>
          </w:tcPr>
          <w:p>
            <w:pPr>
              <w:pStyle w:val="TableContents"/>
              <w:spacing w:before="0" w:after="283"/>
              <w:jc w:val="right"/>
              <w:rPr/>
            </w:pPr>
            <w:r>
              <w:rPr/>
              <w:t> </w:t>
            </w:r>
          </w:p>
        </w:tc>
        <w:tc>
          <w:tcPr>
            <w:tcW w:w="121" w:type="dxa"/>
            <w:tcBorders/>
            <w:shd w:fill="CCEEFF" w:val="clear"/>
            <w:tcMar>
              <w:bottom w:w="0" w:type="dxa"/>
            </w:tcMar>
            <w:vAlign w:val="bottom"/>
          </w:tcPr>
          <w:p>
            <w:pPr>
              <w:pStyle w:val="TableContents"/>
              <w:spacing w:before="0" w:after="283"/>
              <w:jc w:val="left"/>
              <w:rPr/>
            </w:pPr>
            <w:r>
              <w:rPr/>
              <w:t> </w:t>
            </w:r>
          </w:p>
        </w:tc>
      </w:tr>
      <w:tr>
        <w:trPr/>
        <w:tc>
          <w:tcPr>
            <w:tcW w:w="4164"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Depreciation and amortization</w:t>
            </w:r>
          </w:p>
        </w:tc>
        <w:tc>
          <w:tcPr>
            <w:tcW w:w="191" w:type="dxa"/>
            <w:tcBorders/>
            <w:shd w:fill="FFFFFF" w:val="clear"/>
            <w:tcMar>
              <w:bottom w:w="0" w:type="dxa"/>
            </w:tcMar>
            <w:vAlign w:val="center"/>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33"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599" w:name="TAB1642"/>
            <w:bookmarkEnd w:id="1599"/>
            <w:r>
              <w:rPr>
                <w:rFonts w:ascii="Times New Roman" w:hAnsi="Times New Roman"/>
                <w:sz w:val="20"/>
              </w:rPr>
              <w:t>296</w:t>
            </w:r>
          </w:p>
        </w:tc>
        <w:tc>
          <w:tcPr>
            <w:tcW w:w="191"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208"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600" w:name="TAB1643"/>
            <w:bookmarkEnd w:id="1600"/>
            <w:r>
              <w:rPr>
                <w:rFonts w:ascii="Times New Roman" w:hAnsi="Times New Roman"/>
                <w:sz w:val="20"/>
              </w:rPr>
              <w:t>1,588</w:t>
            </w:r>
          </w:p>
        </w:tc>
        <w:tc>
          <w:tcPr>
            <w:tcW w:w="191"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79"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601" w:name="TAB1644"/>
            <w:bookmarkEnd w:id="1601"/>
            <w:r>
              <w:rPr>
                <w:rFonts w:ascii="Times New Roman" w:hAnsi="Times New Roman"/>
                <w:sz w:val="20"/>
              </w:rPr>
              <w:t>1,790</w:t>
            </w:r>
          </w:p>
        </w:tc>
        <w:tc>
          <w:tcPr>
            <w:tcW w:w="190"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37"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602" w:name="TAB1645"/>
            <w:bookmarkEnd w:id="1602"/>
            <w:r>
              <w:rPr>
                <w:rFonts w:ascii="Times New Roman" w:hAnsi="Times New Roman"/>
                <w:sz w:val="20"/>
              </w:rPr>
              <w:t>3,674</w:t>
            </w:r>
          </w:p>
        </w:tc>
        <w:tc>
          <w:tcPr>
            <w:tcW w:w="121" w:type="dxa"/>
            <w:tcBorders/>
            <w:shd w:fill="FFFFFF" w:val="clear"/>
            <w:tcMar>
              <w:bottom w:w="0" w:type="dxa"/>
            </w:tcMar>
            <w:vAlign w:val="bottom"/>
          </w:tcPr>
          <w:p>
            <w:pPr>
              <w:pStyle w:val="TableContents"/>
              <w:spacing w:before="0" w:after="283"/>
              <w:jc w:val="left"/>
              <w:rPr/>
            </w:pPr>
            <w:r>
              <w:rPr/>
              <w:t> </w:t>
            </w:r>
          </w:p>
        </w:tc>
      </w:tr>
      <w:tr>
        <w:trPr/>
        <w:tc>
          <w:tcPr>
            <w:tcW w:w="4164" w:type="dxa"/>
            <w:tcBorders>
              <w:bottom w:val="sing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General &amp; administrative expense</w:t>
            </w:r>
          </w:p>
        </w:tc>
        <w:tc>
          <w:tcPr>
            <w:tcW w:w="191" w:type="dxa"/>
            <w:tcBorders>
              <w:bottom w:val="single" w:sz="2" w:space="0" w:color="CCEEFF"/>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vAlign w:val="bottom"/>
          </w:tcPr>
          <w:p>
            <w:pPr>
              <w:pStyle w:val="TableContents"/>
              <w:spacing w:before="0" w:after="283"/>
              <w:jc w:val="left"/>
              <w:rPr/>
            </w:pPr>
            <w:r>
              <w:rPr/>
              <w:t> </w:t>
            </w:r>
          </w:p>
        </w:tc>
        <w:tc>
          <w:tcPr>
            <w:tcW w:w="1133"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1603" w:name="TAB1646"/>
            <w:bookmarkEnd w:id="1603"/>
            <w:r>
              <w:rPr>
                <w:rFonts w:ascii="Times New Roman" w:hAnsi="Times New Roman"/>
                <w:sz w:val="20"/>
              </w:rPr>
              <w:t>29</w:t>
            </w:r>
          </w:p>
        </w:tc>
        <w:tc>
          <w:tcPr>
            <w:tcW w:w="191" w:type="dxa"/>
            <w:tcBorders>
              <w:bottom w:val="single" w:sz="2" w:space="0" w:color="CCEEFF"/>
            </w:tcBorders>
            <w:shd w:fill="CCEEFF" w:val="clear"/>
            <w:vAlign w:val="bottom"/>
          </w:tcPr>
          <w:p>
            <w:pPr>
              <w:pStyle w:val="TableContents"/>
              <w:spacing w:before="0" w:after="283"/>
              <w:jc w:val="left"/>
              <w:rPr/>
            </w:pPr>
            <w:r>
              <w:rPr/>
              <w:t> </w:t>
            </w:r>
          </w:p>
        </w:tc>
        <w:tc>
          <w:tcPr>
            <w:tcW w:w="125" w:type="dxa"/>
            <w:tcBorders>
              <w:bottom w:val="single" w:sz="2" w:space="0" w:color="000000"/>
            </w:tcBorders>
            <w:shd w:fill="CCEEFF" w:val="clear"/>
            <w:vAlign w:val="bottom"/>
          </w:tcPr>
          <w:p>
            <w:pPr>
              <w:pStyle w:val="TableContents"/>
              <w:spacing w:before="0" w:after="283"/>
              <w:jc w:val="left"/>
              <w:rPr/>
            </w:pPr>
            <w:r>
              <w:rPr/>
              <w:t> </w:t>
            </w:r>
          </w:p>
        </w:tc>
        <w:tc>
          <w:tcPr>
            <w:tcW w:w="1208"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1604" w:name="TAB1647"/>
            <w:bookmarkEnd w:id="1604"/>
            <w:r>
              <w:rPr>
                <w:rFonts w:ascii="Times New Roman" w:hAnsi="Times New Roman"/>
                <w:sz w:val="20"/>
              </w:rPr>
              <w:t>298</w:t>
            </w:r>
          </w:p>
        </w:tc>
        <w:tc>
          <w:tcPr>
            <w:tcW w:w="191" w:type="dxa"/>
            <w:tcBorders>
              <w:bottom w:val="single" w:sz="2" w:space="0" w:color="CCEEFF"/>
            </w:tcBorders>
            <w:shd w:fill="CCEEFF" w:val="clear"/>
            <w:vAlign w:val="bottom"/>
          </w:tcPr>
          <w:p>
            <w:pPr>
              <w:pStyle w:val="TableContents"/>
              <w:spacing w:before="0" w:after="283"/>
              <w:jc w:val="left"/>
              <w:rPr/>
            </w:pPr>
            <w:r>
              <w:rPr/>
              <w:t> </w:t>
            </w:r>
          </w:p>
        </w:tc>
        <w:tc>
          <w:tcPr>
            <w:tcW w:w="125" w:type="dxa"/>
            <w:tcBorders>
              <w:bottom w:val="single" w:sz="2" w:space="0" w:color="000000"/>
            </w:tcBorders>
            <w:shd w:fill="CCEEFF" w:val="clear"/>
            <w:vAlign w:val="bottom"/>
          </w:tcPr>
          <w:p>
            <w:pPr>
              <w:pStyle w:val="TableContents"/>
              <w:spacing w:before="0" w:after="283"/>
              <w:jc w:val="left"/>
              <w:rPr/>
            </w:pPr>
            <w:r>
              <w:rPr/>
              <w:t> </w:t>
            </w:r>
          </w:p>
        </w:tc>
        <w:tc>
          <w:tcPr>
            <w:tcW w:w="1179"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1605" w:name="TAB1648"/>
            <w:bookmarkEnd w:id="1605"/>
            <w:r>
              <w:rPr>
                <w:rFonts w:ascii="Times New Roman" w:hAnsi="Times New Roman"/>
                <w:sz w:val="20"/>
              </w:rPr>
              <w:t>1</w:t>
            </w:r>
          </w:p>
        </w:tc>
        <w:tc>
          <w:tcPr>
            <w:tcW w:w="190" w:type="dxa"/>
            <w:tcBorders>
              <w:bottom w:val="single" w:sz="2" w:space="0" w:color="CCEEFF"/>
            </w:tcBorders>
            <w:shd w:fill="CCEEFF" w:val="clear"/>
            <w:vAlign w:val="bottom"/>
          </w:tcPr>
          <w:p>
            <w:pPr>
              <w:pStyle w:val="TableContents"/>
              <w:spacing w:before="0" w:after="283"/>
              <w:jc w:val="left"/>
              <w:rPr/>
            </w:pPr>
            <w:r>
              <w:rPr/>
              <w:t> </w:t>
            </w:r>
          </w:p>
        </w:tc>
        <w:tc>
          <w:tcPr>
            <w:tcW w:w="125" w:type="dxa"/>
            <w:tcBorders>
              <w:bottom w:val="single" w:sz="2" w:space="0" w:color="000000"/>
            </w:tcBorders>
            <w:shd w:fill="CCEEFF" w:val="clear"/>
            <w:vAlign w:val="bottom"/>
          </w:tcPr>
          <w:p>
            <w:pPr>
              <w:pStyle w:val="TableContents"/>
              <w:spacing w:before="0" w:after="283"/>
              <w:jc w:val="left"/>
              <w:rPr/>
            </w:pPr>
            <w:r>
              <w:rPr/>
              <w:t> </w:t>
            </w:r>
          </w:p>
        </w:tc>
        <w:tc>
          <w:tcPr>
            <w:tcW w:w="1137"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1606" w:name="TAB1649"/>
            <w:bookmarkEnd w:id="1606"/>
            <w:r>
              <w:rPr>
                <w:rFonts w:ascii="Times New Roman" w:hAnsi="Times New Roman"/>
                <w:sz w:val="20"/>
              </w:rPr>
              <w:t>328</w:t>
            </w:r>
          </w:p>
        </w:tc>
        <w:tc>
          <w:tcPr>
            <w:tcW w:w="121" w:type="dxa"/>
            <w:tcBorders>
              <w:bottom w:val="single" w:sz="2" w:space="0" w:color="CCEEFF"/>
            </w:tcBorders>
            <w:shd w:fill="CCEEFF" w:val="clear"/>
            <w:vAlign w:val="bottom"/>
          </w:tcPr>
          <w:p>
            <w:pPr>
              <w:pStyle w:val="TableContents"/>
              <w:spacing w:before="0" w:after="283"/>
              <w:jc w:val="left"/>
              <w:rPr/>
            </w:pPr>
            <w:r>
              <w:rPr/>
              <w:t> </w:t>
            </w:r>
          </w:p>
        </w:tc>
      </w:tr>
      <w:tr>
        <w:trPr/>
        <w:tc>
          <w:tcPr>
            <w:tcW w:w="4164" w:type="dxa"/>
            <w:tcBorders>
              <w:bottom w:val="double" w:sz="2" w:space="0" w:color="000000"/>
            </w:tcBorders>
            <w:shd w:fill="FFFFFF" w:val="clear"/>
            <w:vAlign w:val="bottom"/>
          </w:tcPr>
          <w:p>
            <w:pPr>
              <w:pStyle w:val="TableContents"/>
              <w:spacing w:lineRule="auto" w:line="300" w:before="0" w:after="0"/>
              <w:ind w:left="900" w:right="0" w:hanging="360"/>
              <w:jc w:val="left"/>
              <w:rPr>
                <w:rFonts w:ascii="Times New Roman" w:hAnsi="Times New Roman"/>
                <w:sz w:val="20"/>
              </w:rPr>
            </w:pPr>
            <w:r>
              <w:rPr>
                <w:rFonts w:ascii="Times New Roman" w:hAnsi="Times New Roman"/>
                <w:sz w:val="20"/>
              </w:rPr>
              <w:t>Segment operating income</w:t>
            </w:r>
          </w:p>
        </w:tc>
        <w:tc>
          <w:tcPr>
            <w:tcW w:w="191" w:type="dxa"/>
            <w:tcBorders>
              <w:bottom w:val="single" w:sz="4" w:space="0" w:color="FFFFFF"/>
            </w:tcBorders>
            <w:shd w:fill="FFFFFF" w:val="clear"/>
            <w:vAlign w:val="center"/>
          </w:tcPr>
          <w:p>
            <w:pPr>
              <w:pStyle w:val="TableContents"/>
              <w:spacing w:before="0" w:after="283"/>
              <w:rPr/>
            </w:pPr>
            <w:r>
              <w:rPr/>
              <w:t> </w:t>
            </w:r>
          </w:p>
        </w:tc>
        <w:tc>
          <w:tcPr>
            <w:tcW w:w="125" w:type="dxa"/>
            <w:tcBorders>
              <w:bottom w:val="doub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bookmarkStart w:id="1607" w:name="TAB1650"/>
            <w:bookmarkEnd w:id="1607"/>
            <w:r>
              <w:rPr>
                <w:rFonts w:ascii="Times New Roman" w:hAnsi="Times New Roman"/>
                <w:sz w:val="20"/>
              </w:rPr>
              <w:t>$</w:t>
            </w:r>
          </w:p>
        </w:tc>
        <w:tc>
          <w:tcPr>
            <w:tcW w:w="1133"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1608" w:name="TAB1651"/>
            <w:bookmarkEnd w:id="1608"/>
            <w:r>
              <w:rPr>
                <w:rFonts w:ascii="Times New Roman" w:hAnsi="Times New Roman"/>
                <w:sz w:val="20"/>
              </w:rPr>
              <w:t>2,375</w:t>
            </w:r>
          </w:p>
        </w:tc>
        <w:tc>
          <w:tcPr>
            <w:tcW w:w="191" w:type="dxa"/>
            <w:tcBorders>
              <w:bottom w:val="single" w:sz="4" w:space="0" w:color="FFFFFF"/>
            </w:tcBorders>
            <w:shd w:fill="FFFFFF" w:val="clear"/>
            <w:vAlign w:val="bottom"/>
          </w:tcPr>
          <w:p>
            <w:pPr>
              <w:pStyle w:val="TableContents"/>
              <w:spacing w:before="0" w:after="283"/>
              <w:jc w:val="left"/>
              <w:rPr/>
            </w:pPr>
            <w:r>
              <w:rPr/>
              <w:t> </w:t>
            </w:r>
          </w:p>
        </w:tc>
        <w:tc>
          <w:tcPr>
            <w:tcW w:w="125" w:type="dxa"/>
            <w:tcBorders>
              <w:bottom w:val="doub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bookmarkStart w:id="1609" w:name="TAB1652"/>
            <w:bookmarkEnd w:id="1609"/>
            <w:r>
              <w:rPr>
                <w:rFonts w:ascii="Times New Roman" w:hAnsi="Times New Roman"/>
                <w:sz w:val="20"/>
              </w:rPr>
              <w:t>$</w:t>
            </w:r>
          </w:p>
        </w:tc>
        <w:tc>
          <w:tcPr>
            <w:tcW w:w="1208"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1610" w:name="TAB1653"/>
            <w:bookmarkEnd w:id="1610"/>
            <w:r>
              <w:rPr>
                <w:rFonts w:ascii="Times New Roman" w:hAnsi="Times New Roman"/>
                <w:sz w:val="20"/>
              </w:rPr>
              <w:t>262</w:t>
            </w:r>
          </w:p>
        </w:tc>
        <w:tc>
          <w:tcPr>
            <w:tcW w:w="191" w:type="dxa"/>
            <w:tcBorders>
              <w:bottom w:val="single" w:sz="4" w:space="0" w:color="FFFFFF"/>
            </w:tcBorders>
            <w:shd w:fill="FFFFFF" w:val="clear"/>
            <w:vAlign w:val="bottom"/>
          </w:tcPr>
          <w:p>
            <w:pPr>
              <w:pStyle w:val="TableContents"/>
              <w:spacing w:before="0" w:after="283"/>
              <w:jc w:val="left"/>
              <w:rPr/>
            </w:pPr>
            <w:r>
              <w:rPr/>
              <w:t> </w:t>
            </w:r>
          </w:p>
        </w:tc>
        <w:tc>
          <w:tcPr>
            <w:tcW w:w="125" w:type="dxa"/>
            <w:tcBorders>
              <w:bottom w:val="doub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bookmarkStart w:id="1611" w:name="TAB1654"/>
            <w:bookmarkEnd w:id="1611"/>
            <w:r>
              <w:rPr>
                <w:rFonts w:ascii="Times New Roman" w:hAnsi="Times New Roman"/>
                <w:sz w:val="20"/>
              </w:rPr>
              <w:t>$</w:t>
            </w:r>
          </w:p>
        </w:tc>
        <w:tc>
          <w:tcPr>
            <w:tcW w:w="1179"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1612" w:name="TAB1655"/>
            <w:bookmarkEnd w:id="1612"/>
            <w:r>
              <w:rPr>
                <w:rFonts w:ascii="Times New Roman" w:hAnsi="Times New Roman"/>
                <w:sz w:val="20"/>
              </w:rPr>
              <w:t>2,525</w:t>
            </w:r>
          </w:p>
        </w:tc>
        <w:tc>
          <w:tcPr>
            <w:tcW w:w="190" w:type="dxa"/>
            <w:tcBorders>
              <w:bottom w:val="single" w:sz="4" w:space="0" w:color="FFFFFF"/>
            </w:tcBorders>
            <w:shd w:fill="FFFFFF" w:val="clear"/>
            <w:vAlign w:val="bottom"/>
          </w:tcPr>
          <w:p>
            <w:pPr>
              <w:pStyle w:val="TableContents"/>
              <w:spacing w:before="0" w:after="283"/>
              <w:jc w:val="left"/>
              <w:rPr/>
            </w:pPr>
            <w:r>
              <w:rPr/>
              <w:t> </w:t>
            </w:r>
          </w:p>
        </w:tc>
        <w:tc>
          <w:tcPr>
            <w:tcW w:w="125" w:type="dxa"/>
            <w:tcBorders>
              <w:bottom w:val="doub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bookmarkStart w:id="1613" w:name="TAB1656"/>
            <w:bookmarkEnd w:id="1613"/>
            <w:r>
              <w:rPr>
                <w:rFonts w:ascii="Times New Roman" w:hAnsi="Times New Roman"/>
                <w:sz w:val="20"/>
              </w:rPr>
              <w:t>$</w:t>
            </w:r>
          </w:p>
        </w:tc>
        <w:tc>
          <w:tcPr>
            <w:tcW w:w="1137"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1614" w:name="TAB1657"/>
            <w:bookmarkEnd w:id="1614"/>
            <w:r>
              <w:rPr>
                <w:rFonts w:ascii="Times New Roman" w:hAnsi="Times New Roman"/>
                <w:sz w:val="20"/>
              </w:rPr>
              <w:t>5,162</w:t>
            </w:r>
          </w:p>
        </w:tc>
        <w:tc>
          <w:tcPr>
            <w:tcW w:w="121" w:type="dxa"/>
            <w:tcBorders>
              <w:bottom w:val="single" w:sz="4" w:space="0" w:color="FFFFFF"/>
            </w:tcBorders>
            <w:shd w:fill="FFFFFF" w:val="clear"/>
            <w:vAlign w:val="bottom"/>
          </w:tcPr>
          <w:p>
            <w:pPr>
              <w:pStyle w:val="TableContents"/>
              <w:spacing w:before="0" w:after="283"/>
              <w:jc w:val="left"/>
              <w:rPr/>
            </w:pPr>
            <w:r>
              <w:rPr/>
              <w:t> </w:t>
            </w:r>
          </w:p>
        </w:tc>
      </w:tr>
    </w:tbl>
    <w:p>
      <w:pPr>
        <w:pStyle w:val="TextBody"/>
        <w:spacing w:lineRule="auto" w:line="300" w:before="0" w:after="0"/>
        <w:ind w:left="0" w:right="0" w:hanging="0"/>
        <w:jc w:val="left"/>
        <w:rPr/>
      </w:pPr>
      <w:r>
        <w:rPr/>
        <w:t> </w:t>
      </w:r>
    </w:p>
    <w:p>
      <w:pPr>
        <w:pStyle w:val="TextBody"/>
        <w:spacing w:lineRule="auto" w:line="300" w:before="0" w:after="0"/>
        <w:ind w:left="0" w:right="0" w:hanging="0"/>
        <w:jc w:val="left"/>
        <w:rPr>
          <w:rFonts w:ascii="Times New Roman" w:hAnsi="Times New Roman"/>
          <w:sz w:val="20"/>
        </w:rPr>
      </w:pPr>
      <w:r>
        <w:rPr>
          <w:rFonts w:ascii="Times New Roman" w:hAnsi="Times New Roman"/>
          <w:position w:val="7"/>
          <w:sz w:val="16"/>
          <w:sz w:val="20"/>
        </w:rPr>
        <w:t>17</w:t>
      </w:r>
      <w:r>
        <w:rPr>
          <w:rFonts w:ascii="Times New Roman" w:hAnsi="Times New Roman"/>
          <w:sz w:val="20"/>
        </w:rPr>
        <w:t>  2005 property rental income has been adjusted from the amounts previously reported. See Note 2 and Note 21 to the 2006 Consolidated Financial Statements.</w:t>
      </w:r>
    </w:p>
    <w:p>
      <w:pPr>
        <w:pStyle w:val="TextBody"/>
        <w:spacing w:lineRule="auto" w:line="300" w:before="0" w:after="0"/>
        <w:ind w:left="0" w:right="0" w:firstLine="72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615" w:name="PGBRK54"/>
      <w:bookmarkStart w:id="1616" w:name="PGBRK54"/>
      <w:bookmarkEnd w:id="16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617" w:name="FTR54"/>
      <w:bookmarkStart w:id="1618" w:name="FTR54"/>
      <w:bookmarkEnd w:id="161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619" w:name="GLFTR54"/>
      <w:bookmarkStart w:id="1620" w:name="GLFTR54"/>
      <w:bookmarkEnd w:id="162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1621" w:name="PN54"/>
      <w:bookmarkEnd w:id="1621"/>
      <w:r>
        <w:rPr>
          <w:rFonts w:ascii="Times New Roman" w:hAnsi="Times New Roman"/>
          <w:sz w:val="16"/>
        </w:rPr>
        <w:t>-54-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622" w:name="HDR54"/>
      <w:bookmarkStart w:id="1623" w:name="HDR54"/>
      <w:bookmarkEnd w:id="16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1624" w:name="GLHDR54"/>
        <w:bookmarkEnd w:id="1624"/>
        <w:r>
          <w:rPr>
            <w:rStyle w:val="Emphasis"/>
            <w:rFonts w:ascii="Times New Roman" w:hAnsi="Times New Roman"/>
            <w:color w:val="000000"/>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pStyle w:val="Normal"/>
        <w:spacing w:before="0" w:after="0"/>
        <w:rPr>
          <w:sz w:val="4"/>
          <w:szCs w:val="4"/>
        </w:rPr>
      </w:pPr>
      <w:r>
        <w:rPr>
          <w:sz w:val="4"/>
          <w:szCs w:val="4"/>
        </w:rPr>
      </w:r>
      <w:bookmarkStart w:id="1625" w:name="ftable11"/>
      <w:bookmarkStart w:id="1626" w:name="ftable11"/>
      <w:bookmarkEnd w:id="1626"/>
    </w:p>
    <w:tbl>
      <w:tblPr>
        <w:tblW w:w="5000" w:type="pct"/>
        <w:jc w:val="left"/>
        <w:tblInd w:w="0" w:type="dxa"/>
        <w:tblCellMar>
          <w:top w:w="0" w:type="dxa"/>
          <w:left w:w="0" w:type="dxa"/>
          <w:bottom w:w="28" w:type="dxa"/>
          <w:right w:w="0" w:type="dxa"/>
        </w:tblCellMar>
      </w:tblPr>
      <w:tblGrid>
        <w:gridCol w:w="4078"/>
        <w:gridCol w:w="186"/>
        <w:gridCol w:w="145"/>
        <w:gridCol w:w="1112"/>
        <w:gridCol w:w="186"/>
        <w:gridCol w:w="167"/>
        <w:gridCol w:w="1201"/>
        <w:gridCol w:w="186"/>
        <w:gridCol w:w="157"/>
        <w:gridCol w:w="1162"/>
        <w:gridCol w:w="186"/>
        <w:gridCol w:w="145"/>
        <w:gridCol w:w="1169"/>
        <w:gridCol w:w="125"/>
      </w:tblGrid>
      <w:tr>
        <w:trPr/>
        <w:tc>
          <w:tcPr>
            <w:tcW w:w="4078" w:type="dxa"/>
            <w:tcBorders>
              <w:bottom w:val="double" w:sz="2" w:space="0" w:color="000000"/>
            </w:tcBorders>
            <w:shd w:fill="auto" w:val="clear"/>
            <w:vAlign w:val="bottom"/>
          </w:tcPr>
          <w:p>
            <w:pPr>
              <w:pStyle w:val="TableContents"/>
              <w:spacing w:lineRule="auto" w:line="300" w:before="0" w:after="0"/>
              <w:ind w:left="0" w:right="0" w:hanging="0"/>
              <w:jc w:val="left"/>
              <w:rPr/>
            </w:pPr>
            <w:r>
              <w:rPr>
                <w:rStyle w:val="StrongEmphasis"/>
                <w:rFonts w:ascii="Times New Roman" w:hAnsi="Times New Roman"/>
                <w:sz w:val="20"/>
              </w:rPr>
              <w:t>Year Ended December 31, 2004</w:t>
            </w:r>
          </w:p>
        </w:tc>
        <w:tc>
          <w:tcPr>
            <w:tcW w:w="186" w:type="dxa"/>
            <w:tcBorders>
              <w:bottom w:val="single" w:sz="4" w:space="0" w:color="FFFFFF"/>
            </w:tcBorders>
            <w:shd w:fill="auto" w:val="clear"/>
            <w:vAlign w:val="center"/>
          </w:tcPr>
          <w:p>
            <w:pPr>
              <w:pStyle w:val="TableContents"/>
              <w:spacing w:before="0" w:after="283"/>
              <w:rPr/>
            </w:pPr>
            <w:r>
              <w:rPr/>
              <w:t> </w:t>
            </w:r>
          </w:p>
        </w:tc>
        <w:tc>
          <w:tcPr>
            <w:tcW w:w="1257"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United States</w:t>
            </w:r>
          </w:p>
        </w:tc>
        <w:tc>
          <w:tcPr>
            <w:tcW w:w="186" w:type="dxa"/>
            <w:tcBorders>
              <w:bottom w:val="single" w:sz="4" w:space="0" w:color="FFFFFF"/>
            </w:tcBorders>
            <w:shd w:fill="auto" w:val="clear"/>
            <w:vAlign w:val="bottom"/>
          </w:tcPr>
          <w:p>
            <w:pPr>
              <w:pStyle w:val="TableContents"/>
              <w:spacing w:before="0" w:after="283"/>
              <w:jc w:val="left"/>
              <w:rPr/>
            </w:pPr>
            <w:r>
              <w:rPr/>
              <w:t> </w:t>
            </w:r>
          </w:p>
        </w:tc>
        <w:tc>
          <w:tcPr>
            <w:tcW w:w="1368"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Australia</w:t>
            </w:r>
          </w:p>
        </w:tc>
        <w:tc>
          <w:tcPr>
            <w:tcW w:w="186" w:type="dxa"/>
            <w:tcBorders>
              <w:bottom w:val="single" w:sz="4" w:space="0" w:color="FFFFFF"/>
            </w:tcBorders>
            <w:shd w:fill="auto" w:val="clear"/>
            <w:vAlign w:val="bottom"/>
          </w:tcPr>
          <w:p>
            <w:pPr>
              <w:pStyle w:val="TableContents"/>
              <w:spacing w:before="0" w:after="283"/>
              <w:jc w:val="left"/>
              <w:rPr/>
            </w:pPr>
            <w:r>
              <w:rPr/>
              <w:t> </w:t>
            </w:r>
          </w:p>
        </w:tc>
        <w:tc>
          <w:tcPr>
            <w:tcW w:w="1319"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New Zealand</w:t>
            </w:r>
          </w:p>
        </w:tc>
        <w:tc>
          <w:tcPr>
            <w:tcW w:w="186" w:type="dxa"/>
            <w:tcBorders>
              <w:bottom w:val="single" w:sz="4" w:space="0" w:color="FFFFFF"/>
            </w:tcBorders>
            <w:shd w:fill="auto" w:val="clear"/>
            <w:vAlign w:val="bottom"/>
          </w:tcPr>
          <w:p>
            <w:pPr>
              <w:pStyle w:val="TableContents"/>
              <w:spacing w:before="0" w:after="283"/>
              <w:jc w:val="left"/>
              <w:rPr/>
            </w:pPr>
            <w:r>
              <w:rPr/>
              <w:t> </w:t>
            </w:r>
          </w:p>
        </w:tc>
        <w:tc>
          <w:tcPr>
            <w:tcW w:w="1314"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Total</w:t>
            </w:r>
          </w:p>
        </w:tc>
        <w:tc>
          <w:tcPr>
            <w:tcW w:w="125" w:type="dxa"/>
            <w:tcBorders>
              <w:bottom w:val="single" w:sz="4" w:space="0" w:color="FFFFFF"/>
            </w:tcBorders>
            <w:shd w:fill="auto" w:val="clear"/>
            <w:vAlign w:val="bottom"/>
          </w:tcPr>
          <w:p>
            <w:pPr>
              <w:pStyle w:val="TableContents"/>
              <w:spacing w:before="0" w:after="283"/>
              <w:jc w:val="left"/>
              <w:rPr/>
            </w:pPr>
            <w:r>
              <w:rPr/>
              <w:t> </w:t>
            </w:r>
          </w:p>
        </w:tc>
      </w:tr>
      <w:tr>
        <w:trPr/>
        <w:tc>
          <w:tcPr>
            <w:tcW w:w="4078" w:type="dxa"/>
            <w:tcBorders/>
            <w:shd w:fill="CCEEFF" w:val="clear"/>
            <w:tcMar>
              <w:bottom w:w="0" w:type="dxa"/>
            </w:tcMar>
            <w:vAlign w:val="bottom"/>
          </w:tcPr>
          <w:p>
            <w:pPr>
              <w:pStyle w:val="TableContents"/>
              <w:spacing w:lineRule="auto" w:line="300" w:before="0" w:after="0"/>
              <w:ind w:left="360" w:right="0" w:hanging="360"/>
              <w:jc w:val="left"/>
              <w:rPr>
                <w:rFonts w:ascii="Times New Roman" w:hAnsi="Times New Roman"/>
                <w:sz w:val="20"/>
              </w:rPr>
            </w:pPr>
            <w:r>
              <w:rPr>
                <w:rFonts w:ascii="Times New Roman" w:hAnsi="Times New Roman"/>
                <w:sz w:val="20"/>
              </w:rPr>
              <w:t>Live theater rental and ancillary income</w:t>
            </w:r>
          </w:p>
        </w:tc>
        <w:tc>
          <w:tcPr>
            <w:tcW w:w="186" w:type="dxa"/>
            <w:tcBorders/>
            <w:shd w:fill="CCEEFF" w:val="clear"/>
            <w:tcMar>
              <w:bottom w:w="0" w:type="dxa"/>
            </w:tcMar>
            <w:vAlign w:val="center"/>
          </w:tcPr>
          <w:p>
            <w:pPr>
              <w:pStyle w:val="TableContents"/>
              <w:spacing w:before="0" w:after="283"/>
              <w:rPr/>
            </w:pPr>
            <w:r>
              <w:rPr/>
              <w:t> </w:t>
            </w:r>
          </w:p>
        </w:tc>
        <w:tc>
          <w:tcPr>
            <w:tcW w:w="145"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1627" w:name="TAB1658"/>
            <w:bookmarkEnd w:id="1627"/>
            <w:r>
              <w:rPr>
                <w:rFonts w:ascii="Times New Roman" w:hAnsi="Times New Roman"/>
                <w:sz w:val="20"/>
              </w:rPr>
              <w:t>$</w:t>
            </w:r>
          </w:p>
        </w:tc>
        <w:tc>
          <w:tcPr>
            <w:tcW w:w="1112"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628" w:name="TAB1659"/>
            <w:bookmarkEnd w:id="1628"/>
            <w:r>
              <w:rPr>
                <w:rFonts w:ascii="Times New Roman" w:hAnsi="Times New Roman"/>
                <w:sz w:val="20"/>
              </w:rPr>
              <w:t>4,557</w:t>
            </w:r>
          </w:p>
        </w:tc>
        <w:tc>
          <w:tcPr>
            <w:tcW w:w="186" w:type="dxa"/>
            <w:tcBorders/>
            <w:shd w:fill="CCEEFF" w:val="clear"/>
            <w:tcMar>
              <w:bottom w:w="0" w:type="dxa"/>
            </w:tcMar>
            <w:vAlign w:val="bottom"/>
          </w:tcPr>
          <w:p>
            <w:pPr>
              <w:pStyle w:val="TableContents"/>
              <w:spacing w:before="0" w:after="283"/>
              <w:jc w:val="left"/>
              <w:rPr/>
            </w:pPr>
            <w:r>
              <w:rPr/>
              <w:t> </w:t>
            </w:r>
          </w:p>
        </w:tc>
        <w:tc>
          <w:tcPr>
            <w:tcW w:w="167"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1629" w:name="TAB1660"/>
            <w:bookmarkEnd w:id="1629"/>
            <w:r>
              <w:rPr>
                <w:rFonts w:ascii="Times New Roman" w:hAnsi="Times New Roman"/>
                <w:sz w:val="20"/>
              </w:rPr>
              <w:t>$</w:t>
            </w:r>
          </w:p>
        </w:tc>
        <w:tc>
          <w:tcPr>
            <w:tcW w:w="1201"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630" w:name="TAB1661"/>
            <w:bookmarkEnd w:id="1630"/>
            <w:r>
              <w:rPr>
                <w:rFonts w:ascii="Times New Roman" w:hAnsi="Times New Roman"/>
                <w:sz w:val="20"/>
              </w:rPr>
              <w:t>--</w:t>
            </w:r>
          </w:p>
        </w:tc>
        <w:tc>
          <w:tcPr>
            <w:tcW w:w="186" w:type="dxa"/>
            <w:tcBorders/>
            <w:shd w:fill="CCEEFF" w:val="clear"/>
            <w:tcMar>
              <w:bottom w:w="0" w:type="dxa"/>
            </w:tcMar>
            <w:vAlign w:val="bottom"/>
          </w:tcPr>
          <w:p>
            <w:pPr>
              <w:pStyle w:val="TableContents"/>
              <w:spacing w:before="0" w:after="283"/>
              <w:jc w:val="left"/>
              <w:rPr/>
            </w:pPr>
            <w:r>
              <w:rPr/>
              <w:t> </w:t>
            </w:r>
          </w:p>
        </w:tc>
        <w:tc>
          <w:tcPr>
            <w:tcW w:w="157"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1631" w:name="TAB1662"/>
            <w:bookmarkEnd w:id="1631"/>
            <w:r>
              <w:rPr>
                <w:rFonts w:ascii="Times New Roman" w:hAnsi="Times New Roman"/>
                <w:sz w:val="20"/>
              </w:rPr>
              <w:t>$</w:t>
            </w:r>
          </w:p>
        </w:tc>
        <w:tc>
          <w:tcPr>
            <w:tcW w:w="1162"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632" w:name="TAB1663"/>
            <w:bookmarkEnd w:id="1632"/>
            <w:r>
              <w:rPr>
                <w:rFonts w:ascii="Times New Roman" w:hAnsi="Times New Roman"/>
                <w:sz w:val="20"/>
              </w:rPr>
              <w:t>--</w:t>
            </w:r>
          </w:p>
        </w:tc>
        <w:tc>
          <w:tcPr>
            <w:tcW w:w="186" w:type="dxa"/>
            <w:tcBorders/>
            <w:shd w:fill="CCEEFF" w:val="clear"/>
            <w:tcMar>
              <w:bottom w:w="0" w:type="dxa"/>
            </w:tcMar>
            <w:vAlign w:val="bottom"/>
          </w:tcPr>
          <w:p>
            <w:pPr>
              <w:pStyle w:val="TableContents"/>
              <w:spacing w:before="0" w:after="283"/>
              <w:jc w:val="left"/>
              <w:rPr/>
            </w:pPr>
            <w:r>
              <w:rPr/>
              <w:t> </w:t>
            </w:r>
          </w:p>
        </w:tc>
        <w:tc>
          <w:tcPr>
            <w:tcW w:w="145"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1633" w:name="TAB1664"/>
            <w:bookmarkEnd w:id="1633"/>
            <w:r>
              <w:rPr>
                <w:rFonts w:ascii="Times New Roman" w:hAnsi="Times New Roman"/>
                <w:sz w:val="20"/>
              </w:rPr>
              <w:t>$</w:t>
            </w:r>
          </w:p>
        </w:tc>
        <w:tc>
          <w:tcPr>
            <w:tcW w:w="1169"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634" w:name="TAB1665"/>
            <w:bookmarkEnd w:id="1634"/>
            <w:r>
              <w:rPr>
                <w:rFonts w:ascii="Times New Roman" w:hAnsi="Times New Roman"/>
                <w:sz w:val="20"/>
              </w:rPr>
              <w:t>4,557</w:t>
            </w:r>
          </w:p>
        </w:tc>
        <w:tc>
          <w:tcPr>
            <w:tcW w:w="125" w:type="dxa"/>
            <w:tcBorders/>
            <w:shd w:fill="CCEEFF" w:val="clear"/>
            <w:tcMar>
              <w:bottom w:w="0" w:type="dxa"/>
            </w:tcMar>
            <w:vAlign w:val="bottom"/>
          </w:tcPr>
          <w:p>
            <w:pPr>
              <w:pStyle w:val="TableContents"/>
              <w:spacing w:before="0" w:after="283"/>
              <w:jc w:val="left"/>
              <w:rPr/>
            </w:pPr>
            <w:r>
              <w:rPr/>
              <w:t> </w:t>
            </w:r>
          </w:p>
        </w:tc>
      </w:tr>
      <w:tr>
        <w:trPr/>
        <w:tc>
          <w:tcPr>
            <w:tcW w:w="4078" w:type="dxa"/>
            <w:tcBorders>
              <w:bottom w:val="single" w:sz="2" w:space="0" w:color="000000"/>
            </w:tcBorders>
            <w:shd w:fill="FFFFFF" w:val="clear"/>
            <w:vAlign w:val="bottom"/>
          </w:tcPr>
          <w:p>
            <w:pPr>
              <w:pStyle w:val="TableContents"/>
              <w:spacing w:lineRule="auto" w:line="300" w:before="0" w:after="0"/>
              <w:ind w:left="360" w:right="0" w:hanging="360"/>
              <w:jc w:val="left"/>
              <w:rPr/>
            </w:pPr>
            <w:r>
              <w:rPr>
                <w:rFonts w:ascii="Times New Roman" w:hAnsi="Times New Roman"/>
                <w:sz w:val="20"/>
              </w:rPr>
              <w:t>Property rental income</w:t>
            </w:r>
            <w:r>
              <w:rPr>
                <w:rFonts w:ascii="Times New Roman" w:hAnsi="Times New Roman"/>
                <w:position w:val="7"/>
                <w:sz w:val="16"/>
                <w:sz w:val="20"/>
              </w:rPr>
              <w:t>18</w:t>
            </w:r>
          </w:p>
        </w:tc>
        <w:tc>
          <w:tcPr>
            <w:tcW w:w="186" w:type="dxa"/>
            <w:tcBorders>
              <w:bottom w:val="single" w:sz="2" w:space="0" w:color="FFFFFF"/>
            </w:tcBorders>
            <w:shd w:fill="FFFFFF" w:val="clear"/>
            <w:vAlign w:val="center"/>
          </w:tcPr>
          <w:p>
            <w:pPr>
              <w:pStyle w:val="TableContents"/>
              <w:spacing w:before="0" w:after="283"/>
              <w:rPr/>
            </w:pPr>
            <w:r>
              <w:rPr/>
              <w:t> </w:t>
            </w:r>
          </w:p>
        </w:tc>
        <w:tc>
          <w:tcPr>
            <w:tcW w:w="145" w:type="dxa"/>
            <w:tcBorders>
              <w:bottom w:val="single" w:sz="2" w:space="0" w:color="000000"/>
            </w:tcBorders>
            <w:shd w:fill="FFFFFF" w:val="clear"/>
            <w:vAlign w:val="bottom"/>
          </w:tcPr>
          <w:p>
            <w:pPr>
              <w:pStyle w:val="TableContents"/>
              <w:spacing w:before="0" w:after="283"/>
              <w:jc w:val="left"/>
              <w:rPr/>
            </w:pPr>
            <w:r>
              <w:rPr/>
              <w:t> </w:t>
            </w:r>
          </w:p>
        </w:tc>
        <w:tc>
          <w:tcPr>
            <w:tcW w:w="1112"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1,039</w:t>
            </w:r>
          </w:p>
        </w:tc>
        <w:tc>
          <w:tcPr>
            <w:tcW w:w="186" w:type="dxa"/>
            <w:tcBorders>
              <w:bottom w:val="single" w:sz="2" w:space="0" w:color="FFFFFF"/>
            </w:tcBorders>
            <w:shd w:fill="FFFFFF" w:val="clear"/>
            <w:vAlign w:val="bottom"/>
          </w:tcPr>
          <w:p>
            <w:pPr>
              <w:pStyle w:val="TableContents"/>
              <w:spacing w:before="0" w:after="283"/>
              <w:jc w:val="left"/>
              <w:rPr/>
            </w:pPr>
            <w:r>
              <w:rPr/>
              <w:t> </w:t>
            </w:r>
          </w:p>
        </w:tc>
        <w:tc>
          <w:tcPr>
            <w:tcW w:w="167" w:type="dxa"/>
            <w:tcBorders>
              <w:bottom w:val="single" w:sz="2" w:space="0" w:color="000000"/>
            </w:tcBorders>
            <w:shd w:fill="FFFFFF" w:val="clear"/>
            <w:vAlign w:val="bottom"/>
          </w:tcPr>
          <w:p>
            <w:pPr>
              <w:pStyle w:val="TableContents"/>
              <w:spacing w:before="0" w:after="283"/>
              <w:jc w:val="left"/>
              <w:rPr/>
            </w:pPr>
            <w:r>
              <w:rPr/>
              <w:t> </w:t>
            </w:r>
          </w:p>
        </w:tc>
        <w:tc>
          <w:tcPr>
            <w:tcW w:w="1201"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4,542</w:t>
            </w:r>
          </w:p>
        </w:tc>
        <w:tc>
          <w:tcPr>
            <w:tcW w:w="186" w:type="dxa"/>
            <w:tcBorders>
              <w:bottom w:val="single" w:sz="2" w:space="0" w:color="FFFFFF"/>
            </w:tcBorders>
            <w:shd w:fill="FFFFFF" w:val="clear"/>
            <w:vAlign w:val="bottom"/>
          </w:tcPr>
          <w:p>
            <w:pPr>
              <w:pStyle w:val="TableContents"/>
              <w:spacing w:before="0" w:after="283"/>
              <w:jc w:val="left"/>
              <w:rPr/>
            </w:pPr>
            <w:r>
              <w:rPr/>
              <w:t> </w:t>
            </w:r>
          </w:p>
        </w:tc>
        <w:tc>
          <w:tcPr>
            <w:tcW w:w="157" w:type="dxa"/>
            <w:tcBorders>
              <w:bottom w:val="single" w:sz="2" w:space="0" w:color="000000"/>
            </w:tcBorders>
            <w:shd w:fill="FFFFFF" w:val="clear"/>
            <w:vAlign w:val="bottom"/>
          </w:tcPr>
          <w:p>
            <w:pPr>
              <w:pStyle w:val="TableContents"/>
              <w:spacing w:before="0" w:after="283"/>
              <w:jc w:val="left"/>
              <w:rPr/>
            </w:pPr>
            <w:r>
              <w:rPr/>
              <w:t> </w:t>
            </w:r>
          </w:p>
        </w:tc>
        <w:tc>
          <w:tcPr>
            <w:tcW w:w="1162"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4,852</w:t>
            </w:r>
          </w:p>
        </w:tc>
        <w:tc>
          <w:tcPr>
            <w:tcW w:w="186" w:type="dxa"/>
            <w:tcBorders>
              <w:bottom w:val="single" w:sz="2" w:space="0" w:color="FFFFFF"/>
            </w:tcBorders>
            <w:shd w:fill="FFFFFF" w:val="clear"/>
            <w:vAlign w:val="bottom"/>
          </w:tcPr>
          <w:p>
            <w:pPr>
              <w:pStyle w:val="TableContents"/>
              <w:spacing w:before="0" w:after="283"/>
              <w:jc w:val="left"/>
              <w:rPr/>
            </w:pPr>
            <w:r>
              <w:rPr/>
              <w:t> </w:t>
            </w:r>
          </w:p>
        </w:tc>
        <w:tc>
          <w:tcPr>
            <w:tcW w:w="145" w:type="dxa"/>
            <w:tcBorders>
              <w:bottom w:val="single" w:sz="2" w:space="0" w:color="000000"/>
            </w:tcBorders>
            <w:shd w:fill="FFFFFF" w:val="clear"/>
            <w:vAlign w:val="bottom"/>
          </w:tcPr>
          <w:p>
            <w:pPr>
              <w:pStyle w:val="TableContents"/>
              <w:spacing w:before="0" w:after="283"/>
              <w:jc w:val="left"/>
              <w:rPr/>
            </w:pPr>
            <w:r>
              <w:rPr/>
              <w:t> </w:t>
            </w:r>
          </w:p>
        </w:tc>
        <w:tc>
          <w:tcPr>
            <w:tcW w:w="1169"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10,433</w:t>
            </w:r>
          </w:p>
        </w:tc>
        <w:tc>
          <w:tcPr>
            <w:tcW w:w="125" w:type="dxa"/>
            <w:tcBorders>
              <w:bottom w:val="single" w:sz="2" w:space="0" w:color="FFFFFF"/>
            </w:tcBorders>
            <w:shd w:fill="FFFFFF" w:val="clear"/>
            <w:vAlign w:val="bottom"/>
          </w:tcPr>
          <w:p>
            <w:pPr>
              <w:pStyle w:val="TableContents"/>
              <w:spacing w:before="0" w:after="283"/>
              <w:jc w:val="left"/>
              <w:rPr/>
            </w:pPr>
            <w:r>
              <w:rPr/>
              <w:t> </w:t>
            </w:r>
          </w:p>
        </w:tc>
      </w:tr>
      <w:tr>
        <w:trPr/>
        <w:tc>
          <w:tcPr>
            <w:tcW w:w="4078" w:type="dxa"/>
            <w:tcBorders/>
            <w:shd w:fill="CCEEFF" w:val="clear"/>
            <w:tcMar>
              <w:bottom w:w="0" w:type="dxa"/>
            </w:tcMar>
            <w:vAlign w:val="bottom"/>
          </w:tcPr>
          <w:p>
            <w:pPr>
              <w:pStyle w:val="TableContents"/>
              <w:spacing w:lineRule="auto" w:line="300" w:before="0" w:after="0"/>
              <w:ind w:left="900" w:right="0" w:hanging="360"/>
              <w:jc w:val="left"/>
              <w:rPr/>
            </w:pPr>
            <w:r>
              <w:rPr>
                <w:rFonts w:ascii="Times New Roman" w:hAnsi="Times New Roman"/>
                <w:sz w:val="20"/>
              </w:rPr>
              <w:t>Total revenues</w:t>
            </w:r>
            <w:bookmarkStart w:id="1635" w:name="TAB274"/>
            <w:bookmarkEnd w:id="1635"/>
            <w:r>
              <w:rPr>
                <w:color w:val="000000"/>
                <w:spacing w:val="51"/>
              </w:rPr>
              <w:t> </w:t>
            </w:r>
          </w:p>
        </w:tc>
        <w:tc>
          <w:tcPr>
            <w:tcW w:w="186" w:type="dxa"/>
            <w:tcBorders/>
            <w:shd w:fill="CCEEFF" w:val="clear"/>
            <w:tcMar>
              <w:bottom w:w="0" w:type="dxa"/>
            </w:tcMar>
            <w:vAlign w:val="center"/>
          </w:tcPr>
          <w:p>
            <w:pPr>
              <w:pStyle w:val="TableContents"/>
              <w:spacing w:before="0" w:after="283"/>
              <w:rPr/>
            </w:pPr>
            <w:r>
              <w:rPr/>
              <w:t> </w:t>
            </w:r>
          </w:p>
        </w:tc>
        <w:tc>
          <w:tcPr>
            <w:tcW w:w="145" w:type="dxa"/>
            <w:tcBorders/>
            <w:shd w:fill="CCEEFF" w:val="clear"/>
            <w:tcMar>
              <w:bottom w:w="0" w:type="dxa"/>
            </w:tcMar>
            <w:vAlign w:val="bottom"/>
          </w:tcPr>
          <w:p>
            <w:pPr>
              <w:pStyle w:val="TableContents"/>
              <w:spacing w:before="0" w:after="283"/>
              <w:jc w:val="left"/>
              <w:rPr/>
            </w:pPr>
            <w:r>
              <w:rPr/>
              <w:t> </w:t>
            </w:r>
          </w:p>
        </w:tc>
        <w:tc>
          <w:tcPr>
            <w:tcW w:w="1112"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636" w:name="TAB1666"/>
            <w:bookmarkEnd w:id="1636"/>
            <w:r>
              <w:rPr>
                <w:rFonts w:ascii="Times New Roman" w:hAnsi="Times New Roman"/>
                <w:sz w:val="20"/>
              </w:rPr>
              <w:t>5,596</w:t>
            </w:r>
          </w:p>
        </w:tc>
        <w:tc>
          <w:tcPr>
            <w:tcW w:w="186" w:type="dxa"/>
            <w:tcBorders/>
            <w:shd w:fill="CCEEFF" w:val="clear"/>
            <w:tcMar>
              <w:bottom w:w="0" w:type="dxa"/>
            </w:tcMar>
            <w:vAlign w:val="bottom"/>
          </w:tcPr>
          <w:p>
            <w:pPr>
              <w:pStyle w:val="TableContents"/>
              <w:spacing w:before="0" w:after="283"/>
              <w:jc w:val="left"/>
              <w:rPr/>
            </w:pPr>
            <w:r>
              <w:rPr/>
              <w:t> </w:t>
            </w:r>
          </w:p>
        </w:tc>
        <w:tc>
          <w:tcPr>
            <w:tcW w:w="167" w:type="dxa"/>
            <w:tcBorders/>
            <w:shd w:fill="CCEEFF" w:val="clear"/>
            <w:tcMar>
              <w:bottom w:w="0" w:type="dxa"/>
            </w:tcMar>
            <w:vAlign w:val="bottom"/>
          </w:tcPr>
          <w:p>
            <w:pPr>
              <w:pStyle w:val="TableContents"/>
              <w:spacing w:before="0" w:after="283"/>
              <w:jc w:val="left"/>
              <w:rPr/>
            </w:pPr>
            <w:r>
              <w:rPr/>
              <w:t> </w:t>
            </w:r>
          </w:p>
        </w:tc>
        <w:tc>
          <w:tcPr>
            <w:tcW w:w="1201"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637" w:name="TAB1667"/>
            <w:bookmarkEnd w:id="1637"/>
            <w:r>
              <w:rPr>
                <w:rFonts w:ascii="Times New Roman" w:hAnsi="Times New Roman"/>
                <w:sz w:val="20"/>
              </w:rPr>
              <w:t>4,542</w:t>
            </w:r>
          </w:p>
        </w:tc>
        <w:tc>
          <w:tcPr>
            <w:tcW w:w="186" w:type="dxa"/>
            <w:tcBorders/>
            <w:shd w:fill="CCEEFF" w:val="clear"/>
            <w:tcMar>
              <w:bottom w:w="0" w:type="dxa"/>
            </w:tcMar>
            <w:vAlign w:val="bottom"/>
          </w:tcPr>
          <w:p>
            <w:pPr>
              <w:pStyle w:val="TableContents"/>
              <w:spacing w:before="0" w:after="283"/>
              <w:jc w:val="left"/>
              <w:rPr/>
            </w:pPr>
            <w:r>
              <w:rPr/>
              <w:t> </w:t>
            </w:r>
          </w:p>
        </w:tc>
        <w:tc>
          <w:tcPr>
            <w:tcW w:w="157" w:type="dxa"/>
            <w:tcBorders/>
            <w:shd w:fill="CCEEFF" w:val="clear"/>
            <w:tcMar>
              <w:bottom w:w="0" w:type="dxa"/>
            </w:tcMar>
            <w:vAlign w:val="bottom"/>
          </w:tcPr>
          <w:p>
            <w:pPr>
              <w:pStyle w:val="TableContents"/>
              <w:spacing w:before="0" w:after="283"/>
              <w:jc w:val="left"/>
              <w:rPr/>
            </w:pPr>
            <w:r>
              <w:rPr/>
              <w:t> </w:t>
            </w:r>
          </w:p>
        </w:tc>
        <w:tc>
          <w:tcPr>
            <w:tcW w:w="1162"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638" w:name="TAB1668"/>
            <w:bookmarkEnd w:id="1638"/>
            <w:r>
              <w:rPr>
                <w:rFonts w:ascii="Times New Roman" w:hAnsi="Times New Roman"/>
                <w:sz w:val="20"/>
              </w:rPr>
              <w:t>4,852</w:t>
            </w:r>
          </w:p>
        </w:tc>
        <w:tc>
          <w:tcPr>
            <w:tcW w:w="186" w:type="dxa"/>
            <w:tcBorders/>
            <w:shd w:fill="CCEEFF" w:val="clear"/>
            <w:tcMar>
              <w:bottom w:w="0" w:type="dxa"/>
            </w:tcMar>
            <w:vAlign w:val="bottom"/>
          </w:tcPr>
          <w:p>
            <w:pPr>
              <w:pStyle w:val="TableContents"/>
              <w:spacing w:before="0" w:after="283"/>
              <w:jc w:val="left"/>
              <w:rPr/>
            </w:pPr>
            <w:r>
              <w:rPr/>
              <w:t> </w:t>
            </w:r>
          </w:p>
        </w:tc>
        <w:tc>
          <w:tcPr>
            <w:tcW w:w="145" w:type="dxa"/>
            <w:tcBorders/>
            <w:shd w:fill="CCEEFF" w:val="clear"/>
            <w:tcMar>
              <w:bottom w:w="0" w:type="dxa"/>
            </w:tcMar>
            <w:vAlign w:val="bottom"/>
          </w:tcPr>
          <w:p>
            <w:pPr>
              <w:pStyle w:val="TableContents"/>
              <w:spacing w:before="0" w:after="283"/>
              <w:jc w:val="left"/>
              <w:rPr/>
            </w:pPr>
            <w:r>
              <w:rPr/>
              <w:t> </w:t>
            </w:r>
          </w:p>
        </w:tc>
        <w:tc>
          <w:tcPr>
            <w:tcW w:w="1169"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639" w:name="TAB1669"/>
            <w:bookmarkEnd w:id="1639"/>
            <w:r>
              <w:rPr>
                <w:rFonts w:ascii="Times New Roman" w:hAnsi="Times New Roman"/>
                <w:sz w:val="20"/>
              </w:rPr>
              <w:t>14,990</w:t>
            </w:r>
          </w:p>
        </w:tc>
        <w:tc>
          <w:tcPr>
            <w:tcW w:w="125" w:type="dxa"/>
            <w:tcBorders/>
            <w:shd w:fill="CCEEFF" w:val="clear"/>
            <w:tcMar>
              <w:bottom w:w="0" w:type="dxa"/>
            </w:tcMar>
            <w:vAlign w:val="bottom"/>
          </w:tcPr>
          <w:p>
            <w:pPr>
              <w:pStyle w:val="TableContents"/>
              <w:spacing w:before="0" w:after="283"/>
              <w:jc w:val="left"/>
              <w:rPr/>
            </w:pPr>
            <w:r>
              <w:rPr/>
              <w:t> </w:t>
            </w:r>
          </w:p>
        </w:tc>
      </w:tr>
      <w:tr>
        <w:trPr/>
        <w:tc>
          <w:tcPr>
            <w:tcW w:w="4078" w:type="dxa"/>
            <w:tcBorders/>
            <w:shd w:fill="FFFFFF" w:val="clear"/>
            <w:tcMar>
              <w:bottom w:w="0" w:type="dxa"/>
            </w:tcMar>
            <w:vAlign w:val="bottom"/>
          </w:tcPr>
          <w:p>
            <w:pPr>
              <w:pStyle w:val="TableContents"/>
              <w:spacing w:before="0" w:after="283"/>
              <w:jc w:val="left"/>
              <w:rPr/>
            </w:pPr>
            <w:r>
              <w:rPr/>
              <w:t> </w:t>
            </w:r>
          </w:p>
        </w:tc>
        <w:tc>
          <w:tcPr>
            <w:tcW w:w="186" w:type="dxa"/>
            <w:tcBorders/>
            <w:shd w:fill="FFFFFF" w:val="clear"/>
            <w:tcMar>
              <w:bottom w:w="0" w:type="dxa"/>
            </w:tcMar>
            <w:vAlign w:val="center"/>
          </w:tcPr>
          <w:p>
            <w:pPr>
              <w:pStyle w:val="TableContents"/>
              <w:spacing w:before="0" w:after="283"/>
              <w:rPr/>
            </w:pPr>
            <w:r>
              <w:rPr/>
              <w:t> </w:t>
            </w:r>
          </w:p>
        </w:tc>
        <w:tc>
          <w:tcPr>
            <w:tcW w:w="145" w:type="dxa"/>
            <w:tcBorders/>
            <w:shd w:fill="FFFFFF" w:val="clear"/>
            <w:tcMar>
              <w:bottom w:w="0" w:type="dxa"/>
            </w:tcMar>
            <w:vAlign w:val="bottom"/>
          </w:tcPr>
          <w:p>
            <w:pPr>
              <w:pStyle w:val="TableContents"/>
              <w:spacing w:before="0" w:after="283"/>
              <w:jc w:val="left"/>
              <w:rPr/>
            </w:pPr>
            <w:r>
              <w:rPr/>
              <w:t> </w:t>
            </w:r>
          </w:p>
        </w:tc>
        <w:tc>
          <w:tcPr>
            <w:tcW w:w="1112" w:type="dxa"/>
            <w:tcBorders/>
            <w:shd w:fill="FFFFFF" w:val="clear"/>
            <w:tcMar>
              <w:bottom w:w="0" w:type="dxa"/>
            </w:tcMar>
            <w:vAlign w:val="bottom"/>
          </w:tcPr>
          <w:p>
            <w:pPr>
              <w:pStyle w:val="TableContents"/>
              <w:spacing w:before="0" w:after="283"/>
              <w:jc w:val="right"/>
              <w:rPr/>
            </w:pPr>
            <w:r>
              <w:rPr/>
              <w:t> </w:t>
            </w:r>
          </w:p>
        </w:tc>
        <w:tc>
          <w:tcPr>
            <w:tcW w:w="186" w:type="dxa"/>
            <w:tcBorders/>
            <w:shd w:fill="FFFFFF" w:val="clear"/>
            <w:tcMar>
              <w:bottom w:w="0" w:type="dxa"/>
            </w:tcMar>
            <w:vAlign w:val="bottom"/>
          </w:tcPr>
          <w:p>
            <w:pPr>
              <w:pStyle w:val="TableContents"/>
              <w:spacing w:before="0" w:after="283"/>
              <w:jc w:val="left"/>
              <w:rPr/>
            </w:pPr>
            <w:r>
              <w:rPr/>
              <w:t> </w:t>
            </w:r>
          </w:p>
        </w:tc>
        <w:tc>
          <w:tcPr>
            <w:tcW w:w="167" w:type="dxa"/>
            <w:tcBorders/>
            <w:shd w:fill="FFFFFF" w:val="clear"/>
            <w:tcMar>
              <w:bottom w:w="0" w:type="dxa"/>
            </w:tcMar>
            <w:vAlign w:val="bottom"/>
          </w:tcPr>
          <w:p>
            <w:pPr>
              <w:pStyle w:val="TableContents"/>
              <w:spacing w:before="0" w:after="283"/>
              <w:jc w:val="left"/>
              <w:rPr/>
            </w:pPr>
            <w:r>
              <w:rPr/>
              <w:t> </w:t>
            </w:r>
          </w:p>
        </w:tc>
        <w:tc>
          <w:tcPr>
            <w:tcW w:w="1201" w:type="dxa"/>
            <w:tcBorders/>
            <w:shd w:fill="FFFFFF" w:val="clear"/>
            <w:tcMar>
              <w:bottom w:w="0" w:type="dxa"/>
            </w:tcMar>
            <w:vAlign w:val="bottom"/>
          </w:tcPr>
          <w:p>
            <w:pPr>
              <w:pStyle w:val="TableContents"/>
              <w:spacing w:before="0" w:after="283"/>
              <w:jc w:val="right"/>
              <w:rPr/>
            </w:pPr>
            <w:r>
              <w:rPr/>
              <w:t> </w:t>
            </w:r>
          </w:p>
        </w:tc>
        <w:tc>
          <w:tcPr>
            <w:tcW w:w="186" w:type="dxa"/>
            <w:tcBorders/>
            <w:shd w:fill="FFFFFF" w:val="clear"/>
            <w:tcMar>
              <w:bottom w:w="0" w:type="dxa"/>
            </w:tcMar>
            <w:vAlign w:val="bottom"/>
          </w:tcPr>
          <w:p>
            <w:pPr>
              <w:pStyle w:val="TableContents"/>
              <w:spacing w:before="0" w:after="283"/>
              <w:jc w:val="left"/>
              <w:rPr/>
            </w:pPr>
            <w:r>
              <w:rPr/>
              <w:t> </w:t>
            </w:r>
          </w:p>
        </w:tc>
        <w:tc>
          <w:tcPr>
            <w:tcW w:w="157" w:type="dxa"/>
            <w:tcBorders/>
            <w:shd w:fill="FFFFFF" w:val="clear"/>
            <w:tcMar>
              <w:bottom w:w="0" w:type="dxa"/>
            </w:tcMar>
            <w:vAlign w:val="bottom"/>
          </w:tcPr>
          <w:p>
            <w:pPr>
              <w:pStyle w:val="TableContents"/>
              <w:spacing w:before="0" w:after="283"/>
              <w:jc w:val="left"/>
              <w:rPr/>
            </w:pPr>
            <w:r>
              <w:rPr/>
              <w:t> </w:t>
            </w:r>
          </w:p>
        </w:tc>
        <w:tc>
          <w:tcPr>
            <w:tcW w:w="1162" w:type="dxa"/>
            <w:tcBorders/>
            <w:shd w:fill="FFFFFF" w:val="clear"/>
            <w:tcMar>
              <w:bottom w:w="0" w:type="dxa"/>
            </w:tcMar>
            <w:vAlign w:val="bottom"/>
          </w:tcPr>
          <w:p>
            <w:pPr>
              <w:pStyle w:val="TableContents"/>
              <w:spacing w:before="0" w:after="283"/>
              <w:jc w:val="right"/>
              <w:rPr/>
            </w:pPr>
            <w:r>
              <w:rPr/>
              <w:t> </w:t>
            </w:r>
          </w:p>
        </w:tc>
        <w:tc>
          <w:tcPr>
            <w:tcW w:w="186" w:type="dxa"/>
            <w:tcBorders/>
            <w:shd w:fill="FFFFFF" w:val="clear"/>
            <w:tcMar>
              <w:bottom w:w="0" w:type="dxa"/>
            </w:tcMar>
            <w:vAlign w:val="bottom"/>
          </w:tcPr>
          <w:p>
            <w:pPr>
              <w:pStyle w:val="TableContents"/>
              <w:spacing w:before="0" w:after="283"/>
              <w:jc w:val="left"/>
              <w:rPr/>
            </w:pPr>
            <w:r>
              <w:rPr/>
              <w:t> </w:t>
            </w:r>
          </w:p>
        </w:tc>
        <w:tc>
          <w:tcPr>
            <w:tcW w:w="145" w:type="dxa"/>
            <w:tcBorders/>
            <w:shd w:fill="FFFFFF" w:val="clear"/>
            <w:tcMar>
              <w:bottom w:w="0" w:type="dxa"/>
            </w:tcMar>
            <w:vAlign w:val="bottom"/>
          </w:tcPr>
          <w:p>
            <w:pPr>
              <w:pStyle w:val="TableContents"/>
              <w:spacing w:before="0" w:after="283"/>
              <w:jc w:val="left"/>
              <w:rPr/>
            </w:pPr>
            <w:r>
              <w:rPr/>
              <w:t> </w:t>
            </w:r>
          </w:p>
        </w:tc>
        <w:tc>
          <w:tcPr>
            <w:tcW w:w="1169" w:type="dxa"/>
            <w:tcBorders/>
            <w:shd w:fill="FFFFFF" w:val="clear"/>
            <w:tcMar>
              <w:bottom w:w="0" w:type="dxa"/>
            </w:tcMar>
            <w:vAlign w:val="bottom"/>
          </w:tcPr>
          <w:p>
            <w:pPr>
              <w:pStyle w:val="TableContents"/>
              <w:spacing w:before="0" w:after="283"/>
              <w:jc w:val="right"/>
              <w:rPr/>
            </w:pPr>
            <w:r>
              <w:rPr/>
              <w:t> </w:t>
            </w:r>
          </w:p>
        </w:tc>
        <w:tc>
          <w:tcPr>
            <w:tcW w:w="125" w:type="dxa"/>
            <w:tcBorders/>
            <w:shd w:fill="FFFFFF" w:val="clear"/>
            <w:tcMar>
              <w:bottom w:w="0" w:type="dxa"/>
            </w:tcMar>
            <w:vAlign w:val="bottom"/>
          </w:tcPr>
          <w:p>
            <w:pPr>
              <w:pStyle w:val="TableContents"/>
              <w:spacing w:before="0" w:after="283"/>
              <w:jc w:val="left"/>
              <w:rPr/>
            </w:pPr>
            <w:r>
              <w:rPr/>
              <w:t> </w:t>
            </w:r>
          </w:p>
        </w:tc>
      </w:tr>
      <w:tr>
        <w:trPr/>
        <w:tc>
          <w:tcPr>
            <w:tcW w:w="4078"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Live theater costs</w:t>
            </w:r>
          </w:p>
        </w:tc>
        <w:tc>
          <w:tcPr>
            <w:tcW w:w="186" w:type="dxa"/>
            <w:tcBorders/>
            <w:shd w:fill="CCEEFF" w:val="clear"/>
            <w:tcMar>
              <w:bottom w:w="0" w:type="dxa"/>
            </w:tcMar>
            <w:vAlign w:val="center"/>
          </w:tcPr>
          <w:p>
            <w:pPr>
              <w:pStyle w:val="TableContents"/>
              <w:spacing w:before="0" w:after="283"/>
              <w:rPr/>
            </w:pPr>
            <w:r>
              <w:rPr/>
              <w:t> </w:t>
            </w:r>
          </w:p>
        </w:tc>
        <w:tc>
          <w:tcPr>
            <w:tcW w:w="145" w:type="dxa"/>
            <w:tcBorders/>
            <w:shd w:fill="CCEEFF" w:val="clear"/>
            <w:tcMar>
              <w:bottom w:w="0" w:type="dxa"/>
            </w:tcMar>
            <w:vAlign w:val="bottom"/>
          </w:tcPr>
          <w:p>
            <w:pPr>
              <w:pStyle w:val="TableContents"/>
              <w:spacing w:before="0" w:after="283"/>
              <w:jc w:val="left"/>
              <w:rPr/>
            </w:pPr>
            <w:r>
              <w:rPr/>
              <w:t> </w:t>
            </w:r>
          </w:p>
        </w:tc>
        <w:tc>
          <w:tcPr>
            <w:tcW w:w="1112"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640" w:name="TAB1670"/>
            <w:bookmarkEnd w:id="1640"/>
            <w:r>
              <w:rPr>
                <w:rFonts w:ascii="Times New Roman" w:hAnsi="Times New Roman"/>
                <w:sz w:val="20"/>
              </w:rPr>
              <w:t>2,477</w:t>
            </w:r>
          </w:p>
        </w:tc>
        <w:tc>
          <w:tcPr>
            <w:tcW w:w="186" w:type="dxa"/>
            <w:tcBorders/>
            <w:shd w:fill="CCEEFF" w:val="clear"/>
            <w:tcMar>
              <w:bottom w:w="0" w:type="dxa"/>
            </w:tcMar>
            <w:vAlign w:val="bottom"/>
          </w:tcPr>
          <w:p>
            <w:pPr>
              <w:pStyle w:val="TableContents"/>
              <w:spacing w:before="0" w:after="283"/>
              <w:jc w:val="left"/>
              <w:rPr/>
            </w:pPr>
            <w:r>
              <w:rPr/>
              <w:t> </w:t>
            </w:r>
          </w:p>
        </w:tc>
        <w:tc>
          <w:tcPr>
            <w:tcW w:w="167" w:type="dxa"/>
            <w:tcBorders/>
            <w:shd w:fill="CCEEFF" w:val="clear"/>
            <w:tcMar>
              <w:bottom w:w="0" w:type="dxa"/>
            </w:tcMar>
            <w:vAlign w:val="bottom"/>
          </w:tcPr>
          <w:p>
            <w:pPr>
              <w:pStyle w:val="TableContents"/>
              <w:spacing w:before="0" w:after="283"/>
              <w:jc w:val="left"/>
              <w:rPr/>
            </w:pPr>
            <w:r>
              <w:rPr/>
              <w:t> </w:t>
            </w:r>
          </w:p>
        </w:tc>
        <w:tc>
          <w:tcPr>
            <w:tcW w:w="1201"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641" w:name="TAB1671"/>
            <w:bookmarkEnd w:id="1641"/>
            <w:r>
              <w:rPr>
                <w:rFonts w:ascii="Times New Roman" w:hAnsi="Times New Roman"/>
                <w:sz w:val="20"/>
              </w:rPr>
              <w:t>--</w:t>
            </w:r>
          </w:p>
        </w:tc>
        <w:tc>
          <w:tcPr>
            <w:tcW w:w="186" w:type="dxa"/>
            <w:tcBorders/>
            <w:shd w:fill="CCEEFF" w:val="clear"/>
            <w:tcMar>
              <w:bottom w:w="0" w:type="dxa"/>
            </w:tcMar>
            <w:vAlign w:val="bottom"/>
          </w:tcPr>
          <w:p>
            <w:pPr>
              <w:pStyle w:val="TableContents"/>
              <w:spacing w:before="0" w:after="283"/>
              <w:jc w:val="left"/>
              <w:rPr/>
            </w:pPr>
            <w:r>
              <w:rPr/>
              <w:t> </w:t>
            </w:r>
          </w:p>
        </w:tc>
        <w:tc>
          <w:tcPr>
            <w:tcW w:w="157" w:type="dxa"/>
            <w:tcBorders/>
            <w:shd w:fill="CCEEFF" w:val="clear"/>
            <w:tcMar>
              <w:bottom w:w="0" w:type="dxa"/>
            </w:tcMar>
            <w:vAlign w:val="bottom"/>
          </w:tcPr>
          <w:p>
            <w:pPr>
              <w:pStyle w:val="TableContents"/>
              <w:spacing w:before="0" w:after="283"/>
              <w:jc w:val="left"/>
              <w:rPr/>
            </w:pPr>
            <w:r>
              <w:rPr/>
              <w:t> </w:t>
            </w:r>
          </w:p>
        </w:tc>
        <w:tc>
          <w:tcPr>
            <w:tcW w:w="1162"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642" w:name="TAB1672"/>
            <w:bookmarkEnd w:id="1642"/>
            <w:r>
              <w:rPr>
                <w:rFonts w:ascii="Times New Roman" w:hAnsi="Times New Roman"/>
                <w:sz w:val="20"/>
              </w:rPr>
              <w:t>--</w:t>
            </w:r>
          </w:p>
        </w:tc>
        <w:tc>
          <w:tcPr>
            <w:tcW w:w="186" w:type="dxa"/>
            <w:tcBorders/>
            <w:shd w:fill="CCEEFF" w:val="clear"/>
            <w:tcMar>
              <w:bottom w:w="0" w:type="dxa"/>
            </w:tcMar>
            <w:vAlign w:val="bottom"/>
          </w:tcPr>
          <w:p>
            <w:pPr>
              <w:pStyle w:val="TableContents"/>
              <w:spacing w:before="0" w:after="283"/>
              <w:jc w:val="left"/>
              <w:rPr/>
            </w:pPr>
            <w:r>
              <w:rPr/>
              <w:t> </w:t>
            </w:r>
          </w:p>
        </w:tc>
        <w:tc>
          <w:tcPr>
            <w:tcW w:w="145" w:type="dxa"/>
            <w:tcBorders/>
            <w:shd w:fill="CCEEFF" w:val="clear"/>
            <w:tcMar>
              <w:bottom w:w="0" w:type="dxa"/>
            </w:tcMar>
            <w:vAlign w:val="bottom"/>
          </w:tcPr>
          <w:p>
            <w:pPr>
              <w:pStyle w:val="TableContents"/>
              <w:spacing w:before="0" w:after="283"/>
              <w:jc w:val="left"/>
              <w:rPr/>
            </w:pPr>
            <w:r>
              <w:rPr/>
              <w:t> </w:t>
            </w:r>
          </w:p>
        </w:tc>
        <w:tc>
          <w:tcPr>
            <w:tcW w:w="1169"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643" w:name="TAB1673"/>
            <w:bookmarkEnd w:id="1643"/>
            <w:r>
              <w:rPr>
                <w:rFonts w:ascii="Times New Roman" w:hAnsi="Times New Roman"/>
                <w:sz w:val="20"/>
              </w:rPr>
              <w:t>2,477</w:t>
            </w:r>
          </w:p>
        </w:tc>
        <w:tc>
          <w:tcPr>
            <w:tcW w:w="125" w:type="dxa"/>
            <w:tcBorders/>
            <w:shd w:fill="CCEEFF" w:val="clear"/>
            <w:tcMar>
              <w:bottom w:w="0" w:type="dxa"/>
            </w:tcMar>
            <w:vAlign w:val="bottom"/>
          </w:tcPr>
          <w:p>
            <w:pPr>
              <w:pStyle w:val="TableContents"/>
              <w:spacing w:before="0" w:after="283"/>
              <w:jc w:val="left"/>
              <w:rPr/>
            </w:pPr>
            <w:r>
              <w:rPr/>
              <w:t> </w:t>
            </w:r>
          </w:p>
        </w:tc>
      </w:tr>
      <w:tr>
        <w:trPr/>
        <w:tc>
          <w:tcPr>
            <w:tcW w:w="4078" w:type="dxa"/>
            <w:tcBorders>
              <w:bottom w:val="sing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Property rental cost</w:t>
            </w:r>
          </w:p>
        </w:tc>
        <w:tc>
          <w:tcPr>
            <w:tcW w:w="186" w:type="dxa"/>
            <w:tcBorders>
              <w:bottom w:val="single" w:sz="2" w:space="0" w:color="FFFFFF"/>
            </w:tcBorders>
            <w:shd w:fill="FFFFFF" w:val="clear"/>
            <w:vAlign w:val="center"/>
          </w:tcPr>
          <w:p>
            <w:pPr>
              <w:pStyle w:val="TableContents"/>
              <w:spacing w:before="0" w:after="283"/>
              <w:rPr/>
            </w:pPr>
            <w:r>
              <w:rPr/>
              <w:t> </w:t>
            </w:r>
          </w:p>
        </w:tc>
        <w:tc>
          <w:tcPr>
            <w:tcW w:w="145" w:type="dxa"/>
            <w:tcBorders>
              <w:bottom w:val="single" w:sz="2" w:space="0" w:color="000000"/>
            </w:tcBorders>
            <w:shd w:fill="FFFFFF" w:val="clear"/>
            <w:vAlign w:val="bottom"/>
          </w:tcPr>
          <w:p>
            <w:pPr>
              <w:pStyle w:val="TableContents"/>
              <w:spacing w:before="0" w:after="283"/>
              <w:jc w:val="left"/>
              <w:rPr/>
            </w:pPr>
            <w:r>
              <w:rPr/>
              <w:t> </w:t>
            </w:r>
          </w:p>
        </w:tc>
        <w:tc>
          <w:tcPr>
            <w:tcW w:w="1112"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1644" w:name="TAB1674"/>
            <w:bookmarkEnd w:id="1644"/>
            <w:r>
              <w:rPr>
                <w:rFonts w:ascii="Times New Roman" w:hAnsi="Times New Roman"/>
                <w:sz w:val="20"/>
              </w:rPr>
              <w:t>633</w:t>
            </w:r>
          </w:p>
        </w:tc>
        <w:tc>
          <w:tcPr>
            <w:tcW w:w="186" w:type="dxa"/>
            <w:tcBorders>
              <w:bottom w:val="single" w:sz="2" w:space="0" w:color="FFFFFF"/>
            </w:tcBorders>
            <w:shd w:fill="FFFFFF" w:val="clear"/>
            <w:vAlign w:val="bottom"/>
          </w:tcPr>
          <w:p>
            <w:pPr>
              <w:pStyle w:val="TableContents"/>
              <w:spacing w:before="0" w:after="283"/>
              <w:jc w:val="left"/>
              <w:rPr/>
            </w:pPr>
            <w:r>
              <w:rPr/>
              <w:t> </w:t>
            </w:r>
          </w:p>
        </w:tc>
        <w:tc>
          <w:tcPr>
            <w:tcW w:w="167" w:type="dxa"/>
            <w:tcBorders>
              <w:bottom w:val="single" w:sz="2" w:space="0" w:color="000000"/>
            </w:tcBorders>
            <w:shd w:fill="FFFFFF" w:val="clear"/>
            <w:vAlign w:val="bottom"/>
          </w:tcPr>
          <w:p>
            <w:pPr>
              <w:pStyle w:val="TableContents"/>
              <w:spacing w:before="0" w:after="283"/>
              <w:jc w:val="left"/>
              <w:rPr/>
            </w:pPr>
            <w:r>
              <w:rPr/>
              <w:t> </w:t>
            </w:r>
          </w:p>
        </w:tc>
        <w:tc>
          <w:tcPr>
            <w:tcW w:w="1201"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1645" w:name="TAB1675"/>
            <w:bookmarkEnd w:id="1645"/>
            <w:r>
              <w:rPr>
                <w:rFonts w:ascii="Times New Roman" w:hAnsi="Times New Roman"/>
                <w:sz w:val="20"/>
              </w:rPr>
              <w:t>2,225</w:t>
            </w:r>
          </w:p>
        </w:tc>
        <w:tc>
          <w:tcPr>
            <w:tcW w:w="186" w:type="dxa"/>
            <w:tcBorders>
              <w:bottom w:val="single" w:sz="2" w:space="0" w:color="FFFFFF"/>
            </w:tcBorders>
            <w:shd w:fill="FFFFFF" w:val="clear"/>
            <w:vAlign w:val="bottom"/>
          </w:tcPr>
          <w:p>
            <w:pPr>
              <w:pStyle w:val="TableContents"/>
              <w:spacing w:before="0" w:after="283"/>
              <w:jc w:val="left"/>
              <w:rPr/>
            </w:pPr>
            <w:r>
              <w:rPr/>
              <w:t> </w:t>
            </w:r>
          </w:p>
        </w:tc>
        <w:tc>
          <w:tcPr>
            <w:tcW w:w="157" w:type="dxa"/>
            <w:tcBorders>
              <w:bottom w:val="single" w:sz="2" w:space="0" w:color="000000"/>
            </w:tcBorders>
            <w:shd w:fill="FFFFFF" w:val="clear"/>
            <w:vAlign w:val="bottom"/>
          </w:tcPr>
          <w:p>
            <w:pPr>
              <w:pStyle w:val="TableContents"/>
              <w:spacing w:before="0" w:after="283"/>
              <w:jc w:val="left"/>
              <w:rPr/>
            </w:pPr>
            <w:r>
              <w:rPr/>
              <w:t> </w:t>
            </w:r>
          </w:p>
        </w:tc>
        <w:tc>
          <w:tcPr>
            <w:tcW w:w="1162"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1646" w:name="TAB1676"/>
            <w:bookmarkEnd w:id="1646"/>
            <w:r>
              <w:rPr>
                <w:rFonts w:ascii="Times New Roman" w:hAnsi="Times New Roman"/>
                <w:sz w:val="20"/>
              </w:rPr>
              <w:t>1,613</w:t>
            </w:r>
          </w:p>
        </w:tc>
        <w:tc>
          <w:tcPr>
            <w:tcW w:w="186" w:type="dxa"/>
            <w:tcBorders>
              <w:bottom w:val="single" w:sz="2" w:space="0" w:color="FFFFFF"/>
            </w:tcBorders>
            <w:shd w:fill="FFFFFF" w:val="clear"/>
            <w:vAlign w:val="bottom"/>
          </w:tcPr>
          <w:p>
            <w:pPr>
              <w:pStyle w:val="TableContents"/>
              <w:spacing w:before="0" w:after="283"/>
              <w:jc w:val="left"/>
              <w:rPr/>
            </w:pPr>
            <w:r>
              <w:rPr/>
              <w:t> </w:t>
            </w:r>
          </w:p>
        </w:tc>
        <w:tc>
          <w:tcPr>
            <w:tcW w:w="145" w:type="dxa"/>
            <w:tcBorders>
              <w:bottom w:val="single" w:sz="2" w:space="0" w:color="000000"/>
            </w:tcBorders>
            <w:shd w:fill="FFFFFF" w:val="clear"/>
            <w:vAlign w:val="bottom"/>
          </w:tcPr>
          <w:p>
            <w:pPr>
              <w:pStyle w:val="TableContents"/>
              <w:spacing w:before="0" w:after="283"/>
              <w:jc w:val="left"/>
              <w:rPr/>
            </w:pPr>
            <w:r>
              <w:rPr/>
              <w:t> </w:t>
            </w:r>
          </w:p>
        </w:tc>
        <w:tc>
          <w:tcPr>
            <w:tcW w:w="1169"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1647" w:name="TAB1677"/>
            <w:bookmarkEnd w:id="1647"/>
            <w:r>
              <w:rPr>
                <w:rFonts w:ascii="Times New Roman" w:hAnsi="Times New Roman"/>
                <w:sz w:val="20"/>
              </w:rPr>
              <w:t>4,471</w:t>
            </w:r>
          </w:p>
        </w:tc>
        <w:tc>
          <w:tcPr>
            <w:tcW w:w="125" w:type="dxa"/>
            <w:tcBorders>
              <w:bottom w:val="single" w:sz="2" w:space="0" w:color="FFFFFF"/>
            </w:tcBorders>
            <w:shd w:fill="FFFFFF" w:val="clear"/>
            <w:vAlign w:val="bottom"/>
          </w:tcPr>
          <w:p>
            <w:pPr>
              <w:pStyle w:val="TableContents"/>
              <w:spacing w:before="0" w:after="283"/>
              <w:jc w:val="left"/>
              <w:rPr/>
            </w:pPr>
            <w:r>
              <w:rPr/>
              <w:t> </w:t>
            </w:r>
          </w:p>
        </w:tc>
      </w:tr>
      <w:tr>
        <w:trPr/>
        <w:tc>
          <w:tcPr>
            <w:tcW w:w="4078" w:type="dxa"/>
            <w:tcBorders/>
            <w:shd w:fill="CCEEFF" w:val="clear"/>
            <w:tcMar>
              <w:bottom w:w="0" w:type="dxa"/>
            </w:tcMar>
            <w:vAlign w:val="bottom"/>
          </w:tcPr>
          <w:p>
            <w:pPr>
              <w:pStyle w:val="TableContents"/>
              <w:spacing w:lineRule="auto" w:line="300" w:before="0" w:after="0"/>
              <w:ind w:left="900" w:right="0" w:hanging="360"/>
              <w:jc w:val="left"/>
              <w:rPr>
                <w:rFonts w:ascii="Times New Roman" w:hAnsi="Times New Roman"/>
                <w:sz w:val="20"/>
              </w:rPr>
            </w:pPr>
            <w:r>
              <w:rPr>
                <w:rFonts w:ascii="Times New Roman" w:hAnsi="Times New Roman"/>
                <w:sz w:val="20"/>
              </w:rPr>
              <w:t>Total operating expense</w:t>
            </w:r>
          </w:p>
        </w:tc>
        <w:tc>
          <w:tcPr>
            <w:tcW w:w="186" w:type="dxa"/>
            <w:tcBorders/>
            <w:shd w:fill="CCEEFF" w:val="clear"/>
            <w:tcMar>
              <w:bottom w:w="0" w:type="dxa"/>
            </w:tcMar>
            <w:vAlign w:val="center"/>
          </w:tcPr>
          <w:p>
            <w:pPr>
              <w:pStyle w:val="TableContents"/>
              <w:spacing w:before="0" w:after="283"/>
              <w:rPr/>
            </w:pPr>
            <w:r>
              <w:rPr/>
              <w:t> </w:t>
            </w:r>
          </w:p>
        </w:tc>
        <w:tc>
          <w:tcPr>
            <w:tcW w:w="145" w:type="dxa"/>
            <w:tcBorders/>
            <w:shd w:fill="CCEEFF" w:val="clear"/>
            <w:tcMar>
              <w:bottom w:w="0" w:type="dxa"/>
            </w:tcMar>
            <w:vAlign w:val="bottom"/>
          </w:tcPr>
          <w:p>
            <w:pPr>
              <w:pStyle w:val="TableContents"/>
              <w:spacing w:before="0" w:after="283"/>
              <w:jc w:val="left"/>
              <w:rPr/>
            </w:pPr>
            <w:r>
              <w:rPr/>
              <w:t> </w:t>
            </w:r>
          </w:p>
        </w:tc>
        <w:tc>
          <w:tcPr>
            <w:tcW w:w="1112"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648" w:name="TAB1678"/>
            <w:bookmarkEnd w:id="1648"/>
            <w:r>
              <w:rPr>
                <w:rFonts w:ascii="Times New Roman" w:hAnsi="Times New Roman"/>
                <w:sz w:val="20"/>
              </w:rPr>
              <w:t>3,110</w:t>
            </w:r>
          </w:p>
        </w:tc>
        <w:tc>
          <w:tcPr>
            <w:tcW w:w="186" w:type="dxa"/>
            <w:tcBorders/>
            <w:shd w:fill="CCEEFF" w:val="clear"/>
            <w:tcMar>
              <w:bottom w:w="0" w:type="dxa"/>
            </w:tcMar>
            <w:vAlign w:val="bottom"/>
          </w:tcPr>
          <w:p>
            <w:pPr>
              <w:pStyle w:val="TableContents"/>
              <w:spacing w:before="0" w:after="283"/>
              <w:jc w:val="left"/>
              <w:rPr/>
            </w:pPr>
            <w:r>
              <w:rPr/>
              <w:t> </w:t>
            </w:r>
          </w:p>
        </w:tc>
        <w:tc>
          <w:tcPr>
            <w:tcW w:w="167" w:type="dxa"/>
            <w:tcBorders/>
            <w:shd w:fill="CCEEFF" w:val="clear"/>
            <w:tcMar>
              <w:bottom w:w="0" w:type="dxa"/>
            </w:tcMar>
            <w:vAlign w:val="bottom"/>
          </w:tcPr>
          <w:p>
            <w:pPr>
              <w:pStyle w:val="TableContents"/>
              <w:spacing w:before="0" w:after="283"/>
              <w:jc w:val="left"/>
              <w:rPr/>
            </w:pPr>
            <w:r>
              <w:rPr/>
              <w:t> </w:t>
            </w:r>
          </w:p>
        </w:tc>
        <w:tc>
          <w:tcPr>
            <w:tcW w:w="1201"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649" w:name="TAB1679"/>
            <w:bookmarkEnd w:id="1649"/>
            <w:r>
              <w:rPr>
                <w:rFonts w:ascii="Times New Roman" w:hAnsi="Times New Roman"/>
                <w:sz w:val="20"/>
              </w:rPr>
              <w:t>2,225</w:t>
            </w:r>
          </w:p>
        </w:tc>
        <w:tc>
          <w:tcPr>
            <w:tcW w:w="186" w:type="dxa"/>
            <w:tcBorders/>
            <w:shd w:fill="CCEEFF" w:val="clear"/>
            <w:tcMar>
              <w:bottom w:w="0" w:type="dxa"/>
            </w:tcMar>
            <w:vAlign w:val="bottom"/>
          </w:tcPr>
          <w:p>
            <w:pPr>
              <w:pStyle w:val="TableContents"/>
              <w:spacing w:before="0" w:after="283"/>
              <w:jc w:val="left"/>
              <w:rPr/>
            </w:pPr>
            <w:r>
              <w:rPr/>
              <w:t> </w:t>
            </w:r>
          </w:p>
        </w:tc>
        <w:tc>
          <w:tcPr>
            <w:tcW w:w="157" w:type="dxa"/>
            <w:tcBorders/>
            <w:shd w:fill="CCEEFF" w:val="clear"/>
            <w:tcMar>
              <w:bottom w:w="0" w:type="dxa"/>
            </w:tcMar>
            <w:vAlign w:val="bottom"/>
          </w:tcPr>
          <w:p>
            <w:pPr>
              <w:pStyle w:val="TableContents"/>
              <w:spacing w:before="0" w:after="283"/>
              <w:jc w:val="left"/>
              <w:rPr/>
            </w:pPr>
            <w:r>
              <w:rPr/>
              <w:t> </w:t>
            </w:r>
          </w:p>
        </w:tc>
        <w:tc>
          <w:tcPr>
            <w:tcW w:w="1162"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650" w:name="TAB1680"/>
            <w:bookmarkEnd w:id="1650"/>
            <w:r>
              <w:rPr>
                <w:rFonts w:ascii="Times New Roman" w:hAnsi="Times New Roman"/>
                <w:sz w:val="20"/>
              </w:rPr>
              <w:t>1,613</w:t>
            </w:r>
          </w:p>
        </w:tc>
        <w:tc>
          <w:tcPr>
            <w:tcW w:w="186" w:type="dxa"/>
            <w:tcBorders/>
            <w:shd w:fill="CCEEFF" w:val="clear"/>
            <w:tcMar>
              <w:bottom w:w="0" w:type="dxa"/>
            </w:tcMar>
            <w:vAlign w:val="bottom"/>
          </w:tcPr>
          <w:p>
            <w:pPr>
              <w:pStyle w:val="TableContents"/>
              <w:spacing w:before="0" w:after="283"/>
              <w:jc w:val="left"/>
              <w:rPr/>
            </w:pPr>
            <w:r>
              <w:rPr/>
              <w:t> </w:t>
            </w:r>
          </w:p>
        </w:tc>
        <w:tc>
          <w:tcPr>
            <w:tcW w:w="145" w:type="dxa"/>
            <w:tcBorders/>
            <w:shd w:fill="CCEEFF" w:val="clear"/>
            <w:tcMar>
              <w:bottom w:w="0" w:type="dxa"/>
            </w:tcMar>
            <w:vAlign w:val="bottom"/>
          </w:tcPr>
          <w:p>
            <w:pPr>
              <w:pStyle w:val="TableContents"/>
              <w:spacing w:before="0" w:after="283"/>
              <w:jc w:val="left"/>
              <w:rPr/>
            </w:pPr>
            <w:r>
              <w:rPr/>
              <w:t> </w:t>
            </w:r>
          </w:p>
        </w:tc>
        <w:tc>
          <w:tcPr>
            <w:tcW w:w="1169"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651" w:name="TAB1681"/>
            <w:bookmarkEnd w:id="1651"/>
            <w:r>
              <w:rPr>
                <w:rFonts w:ascii="Times New Roman" w:hAnsi="Times New Roman"/>
                <w:sz w:val="20"/>
              </w:rPr>
              <w:t>6,948</w:t>
            </w:r>
          </w:p>
        </w:tc>
        <w:tc>
          <w:tcPr>
            <w:tcW w:w="125" w:type="dxa"/>
            <w:tcBorders/>
            <w:shd w:fill="CCEEFF" w:val="clear"/>
            <w:tcMar>
              <w:bottom w:w="0" w:type="dxa"/>
            </w:tcMar>
            <w:vAlign w:val="bottom"/>
          </w:tcPr>
          <w:p>
            <w:pPr>
              <w:pStyle w:val="TableContents"/>
              <w:spacing w:before="0" w:after="283"/>
              <w:jc w:val="left"/>
              <w:rPr/>
            </w:pPr>
            <w:r>
              <w:rPr/>
              <w:t> </w:t>
            </w:r>
          </w:p>
        </w:tc>
      </w:tr>
      <w:tr>
        <w:trPr/>
        <w:tc>
          <w:tcPr>
            <w:tcW w:w="4078" w:type="dxa"/>
            <w:tcBorders/>
            <w:shd w:fill="FFFFFF" w:val="clear"/>
            <w:tcMar>
              <w:bottom w:w="0" w:type="dxa"/>
            </w:tcMar>
            <w:vAlign w:val="bottom"/>
          </w:tcPr>
          <w:p>
            <w:pPr>
              <w:pStyle w:val="TableContents"/>
              <w:spacing w:before="0" w:after="283"/>
              <w:jc w:val="left"/>
              <w:rPr/>
            </w:pPr>
            <w:r>
              <w:rPr/>
              <w:t> </w:t>
            </w:r>
          </w:p>
        </w:tc>
        <w:tc>
          <w:tcPr>
            <w:tcW w:w="186" w:type="dxa"/>
            <w:tcBorders/>
            <w:shd w:fill="FFFFFF" w:val="clear"/>
            <w:tcMar>
              <w:bottom w:w="0" w:type="dxa"/>
            </w:tcMar>
            <w:vAlign w:val="center"/>
          </w:tcPr>
          <w:p>
            <w:pPr>
              <w:pStyle w:val="TableContents"/>
              <w:spacing w:before="0" w:after="283"/>
              <w:rPr/>
            </w:pPr>
            <w:r>
              <w:rPr/>
              <w:t> </w:t>
            </w:r>
          </w:p>
        </w:tc>
        <w:tc>
          <w:tcPr>
            <w:tcW w:w="145" w:type="dxa"/>
            <w:tcBorders/>
            <w:shd w:fill="FFFFFF" w:val="clear"/>
            <w:tcMar>
              <w:bottom w:w="0" w:type="dxa"/>
            </w:tcMar>
            <w:vAlign w:val="bottom"/>
          </w:tcPr>
          <w:p>
            <w:pPr>
              <w:pStyle w:val="TableContents"/>
              <w:spacing w:before="0" w:after="283"/>
              <w:jc w:val="left"/>
              <w:rPr/>
            </w:pPr>
            <w:r>
              <w:rPr/>
              <w:t> </w:t>
            </w:r>
          </w:p>
        </w:tc>
        <w:tc>
          <w:tcPr>
            <w:tcW w:w="1112" w:type="dxa"/>
            <w:tcBorders/>
            <w:shd w:fill="FFFFFF" w:val="clear"/>
            <w:tcMar>
              <w:bottom w:w="0" w:type="dxa"/>
            </w:tcMar>
            <w:vAlign w:val="bottom"/>
          </w:tcPr>
          <w:p>
            <w:pPr>
              <w:pStyle w:val="TableContents"/>
              <w:spacing w:before="0" w:after="283"/>
              <w:jc w:val="right"/>
              <w:rPr/>
            </w:pPr>
            <w:r>
              <w:rPr/>
              <w:t> </w:t>
            </w:r>
          </w:p>
        </w:tc>
        <w:tc>
          <w:tcPr>
            <w:tcW w:w="186" w:type="dxa"/>
            <w:tcBorders/>
            <w:shd w:fill="FFFFFF" w:val="clear"/>
            <w:tcMar>
              <w:bottom w:w="0" w:type="dxa"/>
            </w:tcMar>
            <w:vAlign w:val="bottom"/>
          </w:tcPr>
          <w:p>
            <w:pPr>
              <w:pStyle w:val="TableContents"/>
              <w:spacing w:before="0" w:after="283"/>
              <w:jc w:val="left"/>
              <w:rPr/>
            </w:pPr>
            <w:r>
              <w:rPr/>
              <w:t> </w:t>
            </w:r>
          </w:p>
        </w:tc>
        <w:tc>
          <w:tcPr>
            <w:tcW w:w="167" w:type="dxa"/>
            <w:tcBorders/>
            <w:shd w:fill="FFFFFF" w:val="clear"/>
            <w:tcMar>
              <w:bottom w:w="0" w:type="dxa"/>
            </w:tcMar>
            <w:vAlign w:val="bottom"/>
          </w:tcPr>
          <w:p>
            <w:pPr>
              <w:pStyle w:val="TableContents"/>
              <w:spacing w:before="0" w:after="283"/>
              <w:jc w:val="left"/>
              <w:rPr/>
            </w:pPr>
            <w:r>
              <w:rPr/>
              <w:t> </w:t>
            </w:r>
          </w:p>
        </w:tc>
        <w:tc>
          <w:tcPr>
            <w:tcW w:w="1201" w:type="dxa"/>
            <w:tcBorders/>
            <w:shd w:fill="FFFFFF" w:val="clear"/>
            <w:tcMar>
              <w:bottom w:w="0" w:type="dxa"/>
            </w:tcMar>
            <w:vAlign w:val="bottom"/>
          </w:tcPr>
          <w:p>
            <w:pPr>
              <w:pStyle w:val="TableContents"/>
              <w:spacing w:before="0" w:after="283"/>
              <w:jc w:val="right"/>
              <w:rPr/>
            </w:pPr>
            <w:r>
              <w:rPr/>
              <w:t> </w:t>
            </w:r>
          </w:p>
        </w:tc>
        <w:tc>
          <w:tcPr>
            <w:tcW w:w="186" w:type="dxa"/>
            <w:tcBorders/>
            <w:shd w:fill="FFFFFF" w:val="clear"/>
            <w:tcMar>
              <w:bottom w:w="0" w:type="dxa"/>
            </w:tcMar>
            <w:vAlign w:val="bottom"/>
          </w:tcPr>
          <w:p>
            <w:pPr>
              <w:pStyle w:val="TableContents"/>
              <w:spacing w:before="0" w:after="283"/>
              <w:jc w:val="left"/>
              <w:rPr/>
            </w:pPr>
            <w:r>
              <w:rPr/>
              <w:t> </w:t>
            </w:r>
          </w:p>
        </w:tc>
        <w:tc>
          <w:tcPr>
            <w:tcW w:w="157" w:type="dxa"/>
            <w:tcBorders/>
            <w:shd w:fill="FFFFFF" w:val="clear"/>
            <w:tcMar>
              <w:bottom w:w="0" w:type="dxa"/>
            </w:tcMar>
            <w:vAlign w:val="bottom"/>
          </w:tcPr>
          <w:p>
            <w:pPr>
              <w:pStyle w:val="TableContents"/>
              <w:spacing w:before="0" w:after="283"/>
              <w:jc w:val="left"/>
              <w:rPr/>
            </w:pPr>
            <w:r>
              <w:rPr/>
              <w:t> </w:t>
            </w:r>
          </w:p>
        </w:tc>
        <w:tc>
          <w:tcPr>
            <w:tcW w:w="1162" w:type="dxa"/>
            <w:tcBorders/>
            <w:shd w:fill="FFFFFF" w:val="clear"/>
            <w:tcMar>
              <w:bottom w:w="0" w:type="dxa"/>
            </w:tcMar>
            <w:vAlign w:val="bottom"/>
          </w:tcPr>
          <w:p>
            <w:pPr>
              <w:pStyle w:val="TableContents"/>
              <w:spacing w:before="0" w:after="283"/>
              <w:jc w:val="right"/>
              <w:rPr/>
            </w:pPr>
            <w:r>
              <w:rPr/>
              <w:t> </w:t>
            </w:r>
          </w:p>
        </w:tc>
        <w:tc>
          <w:tcPr>
            <w:tcW w:w="186" w:type="dxa"/>
            <w:tcBorders/>
            <w:shd w:fill="FFFFFF" w:val="clear"/>
            <w:tcMar>
              <w:bottom w:w="0" w:type="dxa"/>
            </w:tcMar>
            <w:vAlign w:val="bottom"/>
          </w:tcPr>
          <w:p>
            <w:pPr>
              <w:pStyle w:val="TableContents"/>
              <w:spacing w:before="0" w:after="283"/>
              <w:jc w:val="left"/>
              <w:rPr/>
            </w:pPr>
            <w:r>
              <w:rPr/>
              <w:t> </w:t>
            </w:r>
          </w:p>
        </w:tc>
        <w:tc>
          <w:tcPr>
            <w:tcW w:w="145" w:type="dxa"/>
            <w:tcBorders/>
            <w:shd w:fill="FFFFFF" w:val="clear"/>
            <w:tcMar>
              <w:bottom w:w="0" w:type="dxa"/>
            </w:tcMar>
            <w:vAlign w:val="bottom"/>
          </w:tcPr>
          <w:p>
            <w:pPr>
              <w:pStyle w:val="TableContents"/>
              <w:spacing w:before="0" w:after="283"/>
              <w:jc w:val="left"/>
              <w:rPr/>
            </w:pPr>
            <w:r>
              <w:rPr/>
              <w:t> </w:t>
            </w:r>
          </w:p>
        </w:tc>
        <w:tc>
          <w:tcPr>
            <w:tcW w:w="1169" w:type="dxa"/>
            <w:tcBorders/>
            <w:shd w:fill="FFFFFF" w:val="clear"/>
            <w:tcMar>
              <w:bottom w:w="0" w:type="dxa"/>
            </w:tcMar>
            <w:vAlign w:val="bottom"/>
          </w:tcPr>
          <w:p>
            <w:pPr>
              <w:pStyle w:val="TableContents"/>
              <w:spacing w:before="0" w:after="283"/>
              <w:jc w:val="right"/>
              <w:rPr/>
            </w:pPr>
            <w:r>
              <w:rPr/>
              <w:t> </w:t>
            </w:r>
          </w:p>
        </w:tc>
        <w:tc>
          <w:tcPr>
            <w:tcW w:w="125" w:type="dxa"/>
            <w:tcBorders/>
            <w:shd w:fill="FFFFFF" w:val="clear"/>
            <w:tcMar>
              <w:bottom w:w="0" w:type="dxa"/>
            </w:tcMar>
            <w:vAlign w:val="bottom"/>
          </w:tcPr>
          <w:p>
            <w:pPr>
              <w:pStyle w:val="TableContents"/>
              <w:spacing w:before="0" w:after="283"/>
              <w:jc w:val="left"/>
              <w:rPr/>
            </w:pPr>
            <w:r>
              <w:rPr/>
              <w:t> </w:t>
            </w:r>
          </w:p>
        </w:tc>
      </w:tr>
      <w:tr>
        <w:trPr/>
        <w:tc>
          <w:tcPr>
            <w:tcW w:w="4078"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Depreciation and amortization</w:t>
            </w:r>
          </w:p>
        </w:tc>
        <w:tc>
          <w:tcPr>
            <w:tcW w:w="186" w:type="dxa"/>
            <w:tcBorders/>
            <w:shd w:fill="CCEEFF" w:val="clear"/>
            <w:tcMar>
              <w:bottom w:w="0" w:type="dxa"/>
            </w:tcMar>
            <w:vAlign w:val="center"/>
          </w:tcPr>
          <w:p>
            <w:pPr>
              <w:pStyle w:val="TableContents"/>
              <w:spacing w:before="0" w:after="283"/>
              <w:rPr/>
            </w:pPr>
            <w:r>
              <w:rPr/>
              <w:t> </w:t>
            </w:r>
          </w:p>
        </w:tc>
        <w:tc>
          <w:tcPr>
            <w:tcW w:w="145" w:type="dxa"/>
            <w:tcBorders/>
            <w:shd w:fill="CCEEFF" w:val="clear"/>
            <w:tcMar>
              <w:bottom w:w="0" w:type="dxa"/>
            </w:tcMar>
            <w:vAlign w:val="bottom"/>
          </w:tcPr>
          <w:p>
            <w:pPr>
              <w:pStyle w:val="TableContents"/>
              <w:spacing w:before="0" w:after="283"/>
              <w:jc w:val="left"/>
              <w:rPr/>
            </w:pPr>
            <w:r>
              <w:rPr/>
              <w:t> </w:t>
            </w:r>
          </w:p>
        </w:tc>
        <w:tc>
          <w:tcPr>
            <w:tcW w:w="1112"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652" w:name="TAB1682"/>
            <w:bookmarkEnd w:id="1652"/>
            <w:r>
              <w:rPr>
                <w:rFonts w:ascii="Times New Roman" w:hAnsi="Times New Roman"/>
                <w:sz w:val="20"/>
              </w:rPr>
              <w:t>479</w:t>
            </w:r>
          </w:p>
        </w:tc>
        <w:tc>
          <w:tcPr>
            <w:tcW w:w="186" w:type="dxa"/>
            <w:tcBorders/>
            <w:shd w:fill="CCEEFF" w:val="clear"/>
            <w:tcMar>
              <w:bottom w:w="0" w:type="dxa"/>
            </w:tcMar>
            <w:vAlign w:val="bottom"/>
          </w:tcPr>
          <w:p>
            <w:pPr>
              <w:pStyle w:val="TableContents"/>
              <w:spacing w:before="0" w:after="283"/>
              <w:jc w:val="left"/>
              <w:rPr/>
            </w:pPr>
            <w:r>
              <w:rPr/>
              <w:t> </w:t>
            </w:r>
          </w:p>
        </w:tc>
        <w:tc>
          <w:tcPr>
            <w:tcW w:w="167" w:type="dxa"/>
            <w:tcBorders/>
            <w:shd w:fill="CCEEFF" w:val="clear"/>
            <w:tcMar>
              <w:bottom w:w="0" w:type="dxa"/>
            </w:tcMar>
            <w:vAlign w:val="bottom"/>
          </w:tcPr>
          <w:p>
            <w:pPr>
              <w:pStyle w:val="TableContents"/>
              <w:spacing w:before="0" w:after="283"/>
              <w:jc w:val="left"/>
              <w:rPr/>
            </w:pPr>
            <w:r>
              <w:rPr/>
              <w:t> </w:t>
            </w:r>
          </w:p>
        </w:tc>
        <w:tc>
          <w:tcPr>
            <w:tcW w:w="1201"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653" w:name="TAB1683"/>
            <w:bookmarkEnd w:id="1653"/>
            <w:r>
              <w:rPr>
                <w:rFonts w:ascii="Times New Roman" w:hAnsi="Times New Roman"/>
                <w:sz w:val="20"/>
              </w:rPr>
              <w:t>1,471</w:t>
            </w:r>
          </w:p>
        </w:tc>
        <w:tc>
          <w:tcPr>
            <w:tcW w:w="186" w:type="dxa"/>
            <w:tcBorders/>
            <w:shd w:fill="CCEEFF" w:val="clear"/>
            <w:tcMar>
              <w:bottom w:w="0" w:type="dxa"/>
            </w:tcMar>
            <w:vAlign w:val="bottom"/>
          </w:tcPr>
          <w:p>
            <w:pPr>
              <w:pStyle w:val="TableContents"/>
              <w:spacing w:before="0" w:after="283"/>
              <w:jc w:val="left"/>
              <w:rPr/>
            </w:pPr>
            <w:r>
              <w:rPr/>
              <w:t> </w:t>
            </w:r>
          </w:p>
        </w:tc>
        <w:tc>
          <w:tcPr>
            <w:tcW w:w="157" w:type="dxa"/>
            <w:tcBorders/>
            <w:shd w:fill="CCEEFF" w:val="clear"/>
            <w:tcMar>
              <w:bottom w:w="0" w:type="dxa"/>
            </w:tcMar>
            <w:vAlign w:val="bottom"/>
          </w:tcPr>
          <w:p>
            <w:pPr>
              <w:pStyle w:val="TableContents"/>
              <w:spacing w:before="0" w:after="283"/>
              <w:jc w:val="left"/>
              <w:rPr/>
            </w:pPr>
            <w:r>
              <w:rPr/>
              <w:t> </w:t>
            </w:r>
          </w:p>
        </w:tc>
        <w:tc>
          <w:tcPr>
            <w:tcW w:w="1162"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654" w:name="TAB1684"/>
            <w:bookmarkEnd w:id="1654"/>
            <w:r>
              <w:rPr>
                <w:rFonts w:ascii="Times New Roman" w:hAnsi="Times New Roman"/>
                <w:sz w:val="20"/>
              </w:rPr>
              <w:t>1,680</w:t>
            </w:r>
          </w:p>
        </w:tc>
        <w:tc>
          <w:tcPr>
            <w:tcW w:w="186" w:type="dxa"/>
            <w:tcBorders/>
            <w:shd w:fill="CCEEFF" w:val="clear"/>
            <w:tcMar>
              <w:bottom w:w="0" w:type="dxa"/>
            </w:tcMar>
            <w:vAlign w:val="bottom"/>
          </w:tcPr>
          <w:p>
            <w:pPr>
              <w:pStyle w:val="TableContents"/>
              <w:spacing w:before="0" w:after="283"/>
              <w:jc w:val="left"/>
              <w:rPr/>
            </w:pPr>
            <w:r>
              <w:rPr/>
              <w:t> </w:t>
            </w:r>
          </w:p>
        </w:tc>
        <w:tc>
          <w:tcPr>
            <w:tcW w:w="145" w:type="dxa"/>
            <w:tcBorders/>
            <w:shd w:fill="CCEEFF" w:val="clear"/>
            <w:tcMar>
              <w:bottom w:w="0" w:type="dxa"/>
            </w:tcMar>
            <w:vAlign w:val="bottom"/>
          </w:tcPr>
          <w:p>
            <w:pPr>
              <w:pStyle w:val="TableContents"/>
              <w:spacing w:before="0" w:after="283"/>
              <w:jc w:val="left"/>
              <w:rPr/>
            </w:pPr>
            <w:r>
              <w:rPr/>
              <w:t> </w:t>
            </w:r>
          </w:p>
        </w:tc>
        <w:tc>
          <w:tcPr>
            <w:tcW w:w="1169"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1655" w:name="TAB1685"/>
            <w:bookmarkEnd w:id="1655"/>
            <w:r>
              <w:rPr>
                <w:rFonts w:ascii="Times New Roman" w:hAnsi="Times New Roman"/>
                <w:sz w:val="20"/>
              </w:rPr>
              <w:t>3,630</w:t>
            </w:r>
          </w:p>
        </w:tc>
        <w:tc>
          <w:tcPr>
            <w:tcW w:w="125" w:type="dxa"/>
            <w:tcBorders/>
            <w:shd w:fill="CCEEFF" w:val="clear"/>
            <w:tcMar>
              <w:bottom w:w="0" w:type="dxa"/>
            </w:tcMar>
            <w:vAlign w:val="bottom"/>
          </w:tcPr>
          <w:p>
            <w:pPr>
              <w:pStyle w:val="TableContents"/>
              <w:spacing w:before="0" w:after="283"/>
              <w:jc w:val="left"/>
              <w:rPr/>
            </w:pPr>
            <w:r>
              <w:rPr/>
              <w:t> </w:t>
            </w:r>
          </w:p>
        </w:tc>
      </w:tr>
      <w:tr>
        <w:trPr/>
        <w:tc>
          <w:tcPr>
            <w:tcW w:w="4078" w:type="dxa"/>
            <w:tcBorders>
              <w:bottom w:val="sing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General &amp; administrative expense</w:t>
            </w:r>
          </w:p>
        </w:tc>
        <w:tc>
          <w:tcPr>
            <w:tcW w:w="186" w:type="dxa"/>
            <w:tcBorders>
              <w:bottom w:val="single" w:sz="2" w:space="0" w:color="FFFFFF"/>
            </w:tcBorders>
            <w:shd w:fill="FFFFFF" w:val="clear"/>
            <w:vAlign w:val="center"/>
          </w:tcPr>
          <w:p>
            <w:pPr>
              <w:pStyle w:val="TableContents"/>
              <w:spacing w:before="0" w:after="283"/>
              <w:rPr/>
            </w:pPr>
            <w:r>
              <w:rPr/>
              <w:t> </w:t>
            </w:r>
          </w:p>
        </w:tc>
        <w:tc>
          <w:tcPr>
            <w:tcW w:w="145" w:type="dxa"/>
            <w:tcBorders>
              <w:bottom w:val="single" w:sz="2" w:space="0" w:color="000000"/>
            </w:tcBorders>
            <w:shd w:fill="FFFFFF" w:val="clear"/>
            <w:vAlign w:val="bottom"/>
          </w:tcPr>
          <w:p>
            <w:pPr>
              <w:pStyle w:val="TableContents"/>
              <w:spacing w:before="0" w:after="283"/>
              <w:jc w:val="left"/>
              <w:rPr/>
            </w:pPr>
            <w:r>
              <w:rPr/>
              <w:t> </w:t>
            </w:r>
          </w:p>
        </w:tc>
        <w:tc>
          <w:tcPr>
            <w:tcW w:w="1112"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1656" w:name="TAB1686"/>
            <w:bookmarkEnd w:id="1656"/>
            <w:r>
              <w:rPr>
                <w:rFonts w:ascii="Times New Roman" w:hAnsi="Times New Roman"/>
                <w:sz w:val="20"/>
              </w:rPr>
              <w:t>22</w:t>
            </w:r>
          </w:p>
        </w:tc>
        <w:tc>
          <w:tcPr>
            <w:tcW w:w="186" w:type="dxa"/>
            <w:tcBorders>
              <w:bottom w:val="single" w:sz="2" w:space="0" w:color="FFFFFF"/>
            </w:tcBorders>
            <w:shd w:fill="FFFFFF" w:val="clear"/>
            <w:vAlign w:val="bottom"/>
          </w:tcPr>
          <w:p>
            <w:pPr>
              <w:pStyle w:val="TableContents"/>
              <w:spacing w:before="0" w:after="283"/>
              <w:jc w:val="left"/>
              <w:rPr/>
            </w:pPr>
            <w:r>
              <w:rPr/>
              <w:t> </w:t>
            </w:r>
          </w:p>
        </w:tc>
        <w:tc>
          <w:tcPr>
            <w:tcW w:w="167" w:type="dxa"/>
            <w:tcBorders>
              <w:bottom w:val="single" w:sz="2" w:space="0" w:color="000000"/>
            </w:tcBorders>
            <w:shd w:fill="FFFFFF" w:val="clear"/>
            <w:vAlign w:val="bottom"/>
          </w:tcPr>
          <w:p>
            <w:pPr>
              <w:pStyle w:val="TableContents"/>
              <w:spacing w:before="0" w:after="283"/>
              <w:jc w:val="left"/>
              <w:rPr/>
            </w:pPr>
            <w:r>
              <w:rPr/>
              <w:t> </w:t>
            </w:r>
          </w:p>
        </w:tc>
        <w:tc>
          <w:tcPr>
            <w:tcW w:w="1201"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1657" w:name="TAB1687"/>
            <w:bookmarkEnd w:id="1657"/>
            <w:r>
              <w:rPr>
                <w:rFonts w:ascii="Times New Roman" w:hAnsi="Times New Roman"/>
                <w:sz w:val="20"/>
              </w:rPr>
              <w:t>466</w:t>
            </w:r>
          </w:p>
        </w:tc>
        <w:tc>
          <w:tcPr>
            <w:tcW w:w="186" w:type="dxa"/>
            <w:tcBorders>
              <w:bottom w:val="single" w:sz="2" w:space="0" w:color="FFFFFF"/>
            </w:tcBorders>
            <w:shd w:fill="FFFFFF" w:val="clear"/>
            <w:vAlign w:val="bottom"/>
          </w:tcPr>
          <w:p>
            <w:pPr>
              <w:pStyle w:val="TableContents"/>
              <w:spacing w:before="0" w:after="283"/>
              <w:jc w:val="left"/>
              <w:rPr/>
            </w:pPr>
            <w:r>
              <w:rPr/>
              <w:t> </w:t>
            </w:r>
          </w:p>
        </w:tc>
        <w:tc>
          <w:tcPr>
            <w:tcW w:w="157" w:type="dxa"/>
            <w:tcBorders>
              <w:bottom w:val="single" w:sz="2" w:space="0" w:color="000000"/>
            </w:tcBorders>
            <w:shd w:fill="FFFFFF" w:val="clear"/>
            <w:vAlign w:val="bottom"/>
          </w:tcPr>
          <w:p>
            <w:pPr>
              <w:pStyle w:val="TableContents"/>
              <w:spacing w:before="0" w:after="283"/>
              <w:jc w:val="left"/>
              <w:rPr/>
            </w:pPr>
            <w:r>
              <w:rPr/>
              <w:t> </w:t>
            </w:r>
          </w:p>
        </w:tc>
        <w:tc>
          <w:tcPr>
            <w:tcW w:w="1162"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1658" w:name="TAB1688"/>
            <w:bookmarkEnd w:id="1658"/>
            <w:r>
              <w:rPr>
                <w:rFonts w:ascii="Times New Roman" w:hAnsi="Times New Roman"/>
                <w:sz w:val="20"/>
              </w:rPr>
              <w:t>1</w:t>
            </w:r>
          </w:p>
        </w:tc>
        <w:tc>
          <w:tcPr>
            <w:tcW w:w="186" w:type="dxa"/>
            <w:tcBorders>
              <w:bottom w:val="single" w:sz="2" w:space="0" w:color="FFFFFF"/>
            </w:tcBorders>
            <w:shd w:fill="FFFFFF" w:val="clear"/>
            <w:vAlign w:val="bottom"/>
          </w:tcPr>
          <w:p>
            <w:pPr>
              <w:pStyle w:val="TableContents"/>
              <w:spacing w:before="0" w:after="283"/>
              <w:jc w:val="left"/>
              <w:rPr/>
            </w:pPr>
            <w:r>
              <w:rPr/>
              <w:t> </w:t>
            </w:r>
          </w:p>
        </w:tc>
        <w:tc>
          <w:tcPr>
            <w:tcW w:w="145" w:type="dxa"/>
            <w:tcBorders>
              <w:bottom w:val="single" w:sz="2" w:space="0" w:color="000000"/>
            </w:tcBorders>
            <w:shd w:fill="FFFFFF" w:val="clear"/>
            <w:vAlign w:val="bottom"/>
          </w:tcPr>
          <w:p>
            <w:pPr>
              <w:pStyle w:val="TableContents"/>
              <w:spacing w:before="0" w:after="283"/>
              <w:jc w:val="left"/>
              <w:rPr/>
            </w:pPr>
            <w:r>
              <w:rPr/>
              <w:t> </w:t>
            </w:r>
          </w:p>
        </w:tc>
        <w:tc>
          <w:tcPr>
            <w:tcW w:w="1169"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1659" w:name="TAB1689"/>
            <w:bookmarkEnd w:id="1659"/>
            <w:r>
              <w:rPr>
                <w:rFonts w:ascii="Times New Roman" w:hAnsi="Times New Roman"/>
                <w:sz w:val="20"/>
              </w:rPr>
              <w:t>489</w:t>
            </w:r>
          </w:p>
        </w:tc>
        <w:tc>
          <w:tcPr>
            <w:tcW w:w="125" w:type="dxa"/>
            <w:tcBorders>
              <w:bottom w:val="single" w:sz="2" w:space="0" w:color="FFFFFF"/>
            </w:tcBorders>
            <w:shd w:fill="FFFFFF" w:val="clear"/>
            <w:vAlign w:val="bottom"/>
          </w:tcPr>
          <w:p>
            <w:pPr>
              <w:pStyle w:val="TableContents"/>
              <w:spacing w:before="0" w:after="283"/>
              <w:jc w:val="left"/>
              <w:rPr/>
            </w:pPr>
            <w:r>
              <w:rPr/>
              <w:t> </w:t>
            </w:r>
          </w:p>
        </w:tc>
      </w:tr>
      <w:tr>
        <w:trPr/>
        <w:tc>
          <w:tcPr>
            <w:tcW w:w="4078" w:type="dxa"/>
            <w:tcBorders>
              <w:bottom w:val="double" w:sz="2" w:space="0" w:color="000000"/>
            </w:tcBorders>
            <w:shd w:fill="CCEEFF" w:val="clear"/>
            <w:vAlign w:val="bottom"/>
          </w:tcPr>
          <w:p>
            <w:pPr>
              <w:pStyle w:val="TableContents"/>
              <w:spacing w:lineRule="auto" w:line="300" w:before="0" w:after="0"/>
              <w:ind w:left="900" w:right="0" w:hanging="360"/>
              <w:jc w:val="left"/>
              <w:rPr>
                <w:rFonts w:ascii="Times New Roman" w:hAnsi="Times New Roman"/>
                <w:sz w:val="20"/>
              </w:rPr>
            </w:pPr>
            <w:r>
              <w:rPr>
                <w:rFonts w:ascii="Times New Roman" w:hAnsi="Times New Roman"/>
                <w:sz w:val="20"/>
              </w:rPr>
              <w:t>Segment operating income</w:t>
            </w:r>
          </w:p>
        </w:tc>
        <w:tc>
          <w:tcPr>
            <w:tcW w:w="186" w:type="dxa"/>
            <w:tcBorders>
              <w:bottom w:val="single" w:sz="4" w:space="0" w:color="CCEEFF"/>
            </w:tcBorders>
            <w:shd w:fill="CCEEFF" w:val="clear"/>
            <w:vAlign w:val="center"/>
          </w:tcPr>
          <w:p>
            <w:pPr>
              <w:pStyle w:val="TableContents"/>
              <w:spacing w:before="0" w:after="283"/>
              <w:rPr/>
            </w:pPr>
            <w:r>
              <w:rPr/>
              <w:t> </w:t>
            </w:r>
          </w:p>
        </w:tc>
        <w:tc>
          <w:tcPr>
            <w:tcW w:w="145" w:type="dxa"/>
            <w:tcBorders>
              <w:bottom w:val="doub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bookmarkStart w:id="1660" w:name="TAB1690"/>
            <w:bookmarkEnd w:id="1660"/>
            <w:r>
              <w:rPr>
                <w:rFonts w:ascii="Times New Roman" w:hAnsi="Times New Roman"/>
                <w:sz w:val="20"/>
              </w:rPr>
              <w:t>$</w:t>
            </w:r>
          </w:p>
        </w:tc>
        <w:tc>
          <w:tcPr>
            <w:tcW w:w="1112" w:type="dxa"/>
            <w:tcBorders>
              <w:bottom w:val="doub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1661" w:name="TAB1691"/>
            <w:bookmarkEnd w:id="1661"/>
            <w:r>
              <w:rPr>
                <w:rFonts w:ascii="Times New Roman" w:hAnsi="Times New Roman"/>
                <w:sz w:val="20"/>
              </w:rPr>
              <w:t>1,985</w:t>
            </w:r>
          </w:p>
        </w:tc>
        <w:tc>
          <w:tcPr>
            <w:tcW w:w="186" w:type="dxa"/>
            <w:tcBorders>
              <w:bottom w:val="single" w:sz="4" w:space="0" w:color="CCEEFF"/>
            </w:tcBorders>
            <w:shd w:fill="CCEEFF" w:val="clear"/>
            <w:vAlign w:val="bottom"/>
          </w:tcPr>
          <w:p>
            <w:pPr>
              <w:pStyle w:val="TableContents"/>
              <w:spacing w:before="0" w:after="283"/>
              <w:jc w:val="left"/>
              <w:rPr/>
            </w:pPr>
            <w:r>
              <w:rPr/>
              <w:t> </w:t>
            </w:r>
          </w:p>
        </w:tc>
        <w:tc>
          <w:tcPr>
            <w:tcW w:w="167" w:type="dxa"/>
            <w:tcBorders>
              <w:bottom w:val="doub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bookmarkStart w:id="1662" w:name="TAB1692"/>
            <w:bookmarkEnd w:id="1662"/>
            <w:r>
              <w:rPr>
                <w:rFonts w:ascii="Times New Roman" w:hAnsi="Times New Roman"/>
                <w:sz w:val="20"/>
              </w:rPr>
              <w:t>$</w:t>
            </w:r>
          </w:p>
        </w:tc>
        <w:tc>
          <w:tcPr>
            <w:tcW w:w="1201" w:type="dxa"/>
            <w:tcBorders>
              <w:bottom w:val="doub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1663" w:name="TAB1693"/>
            <w:bookmarkEnd w:id="1663"/>
            <w:r>
              <w:rPr>
                <w:rFonts w:ascii="Times New Roman" w:hAnsi="Times New Roman"/>
                <w:sz w:val="20"/>
              </w:rPr>
              <w:t>380</w:t>
            </w:r>
          </w:p>
        </w:tc>
        <w:tc>
          <w:tcPr>
            <w:tcW w:w="186" w:type="dxa"/>
            <w:tcBorders>
              <w:bottom w:val="single" w:sz="4" w:space="0" w:color="CCEEFF"/>
            </w:tcBorders>
            <w:shd w:fill="CCEEFF" w:val="clear"/>
            <w:vAlign w:val="bottom"/>
          </w:tcPr>
          <w:p>
            <w:pPr>
              <w:pStyle w:val="TableContents"/>
              <w:spacing w:before="0" w:after="283"/>
              <w:jc w:val="left"/>
              <w:rPr/>
            </w:pPr>
            <w:r>
              <w:rPr/>
              <w:t> </w:t>
            </w:r>
          </w:p>
        </w:tc>
        <w:tc>
          <w:tcPr>
            <w:tcW w:w="157" w:type="dxa"/>
            <w:tcBorders>
              <w:bottom w:val="doub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bookmarkStart w:id="1664" w:name="TAB1694"/>
            <w:bookmarkEnd w:id="1664"/>
            <w:r>
              <w:rPr>
                <w:rFonts w:ascii="Times New Roman" w:hAnsi="Times New Roman"/>
                <w:sz w:val="20"/>
              </w:rPr>
              <w:t>$</w:t>
            </w:r>
          </w:p>
        </w:tc>
        <w:tc>
          <w:tcPr>
            <w:tcW w:w="1162" w:type="dxa"/>
            <w:tcBorders>
              <w:bottom w:val="doub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1665" w:name="TAB1695"/>
            <w:bookmarkEnd w:id="1665"/>
            <w:r>
              <w:rPr>
                <w:rFonts w:ascii="Times New Roman" w:hAnsi="Times New Roman"/>
                <w:sz w:val="20"/>
              </w:rPr>
              <w:t>1,558</w:t>
            </w:r>
          </w:p>
        </w:tc>
        <w:tc>
          <w:tcPr>
            <w:tcW w:w="186" w:type="dxa"/>
            <w:tcBorders>
              <w:bottom w:val="single" w:sz="4" w:space="0" w:color="CCEEFF"/>
            </w:tcBorders>
            <w:shd w:fill="CCEEFF" w:val="clear"/>
            <w:vAlign w:val="bottom"/>
          </w:tcPr>
          <w:p>
            <w:pPr>
              <w:pStyle w:val="TableContents"/>
              <w:spacing w:before="0" w:after="283"/>
              <w:jc w:val="left"/>
              <w:rPr/>
            </w:pPr>
            <w:r>
              <w:rPr/>
              <w:t> </w:t>
            </w:r>
          </w:p>
        </w:tc>
        <w:tc>
          <w:tcPr>
            <w:tcW w:w="145" w:type="dxa"/>
            <w:tcBorders>
              <w:bottom w:val="doub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bookmarkStart w:id="1666" w:name="TAB1696"/>
            <w:bookmarkEnd w:id="1666"/>
            <w:r>
              <w:rPr>
                <w:rFonts w:ascii="Times New Roman" w:hAnsi="Times New Roman"/>
                <w:sz w:val="20"/>
              </w:rPr>
              <w:t>$</w:t>
            </w:r>
          </w:p>
        </w:tc>
        <w:tc>
          <w:tcPr>
            <w:tcW w:w="1169" w:type="dxa"/>
            <w:tcBorders>
              <w:bottom w:val="doub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1667" w:name="TAB1697"/>
            <w:bookmarkEnd w:id="1667"/>
            <w:r>
              <w:rPr>
                <w:rFonts w:ascii="Times New Roman" w:hAnsi="Times New Roman"/>
                <w:sz w:val="20"/>
              </w:rPr>
              <w:t>3,923</w:t>
            </w:r>
          </w:p>
        </w:tc>
        <w:tc>
          <w:tcPr>
            <w:tcW w:w="125" w:type="dxa"/>
            <w:tcBorders>
              <w:bottom w:val="single" w:sz="4" w:space="0" w:color="CCEEFF"/>
            </w:tcBorders>
            <w:shd w:fill="CCEEFF" w:val="clear"/>
            <w:vAlign w:val="bottom"/>
          </w:tcPr>
          <w:p>
            <w:pPr>
              <w:pStyle w:val="TableContents"/>
              <w:spacing w:before="0" w:after="283"/>
              <w:jc w:val="left"/>
              <w:rPr/>
            </w:pPr>
            <w:r>
              <w:rPr/>
              <w:t> </w:t>
            </w:r>
          </w:p>
        </w:tc>
      </w:tr>
    </w:tbl>
    <w:p>
      <w:pPr>
        <w:pStyle w:val="TextBody"/>
        <w:spacing w:lineRule="auto" w:line="300" w:before="0" w:after="0"/>
        <w:ind w:left="0" w:right="0" w:firstLine="720"/>
        <w:jc w:val="both"/>
        <w:rPr/>
      </w:pPr>
      <w:r>
        <w:rPr/>
        <w:t> </w:t>
      </w:r>
    </w:p>
    <w:p>
      <w:pPr>
        <w:pStyle w:val="TextBody"/>
        <w:spacing w:lineRule="auto" w:line="300" w:before="0" w:after="0"/>
        <w:ind w:left="0" w:right="0" w:hanging="0"/>
        <w:jc w:val="left"/>
        <w:rPr/>
      </w:pPr>
      <w:r>
        <w:rPr>
          <w:rFonts w:ascii="Times New Roman" w:hAnsi="Times New Roman"/>
          <w:position w:val="7"/>
          <w:sz w:val="16"/>
          <w:sz w:val="20"/>
        </w:rPr>
        <w:t>18</w:t>
      </w:r>
      <w:r>
        <w:rPr/>
        <w:t xml:space="preserve"> </w:t>
      </w:r>
      <w:r>
        <w:rPr>
          <w:rFonts w:ascii="Times New Roman" w:hAnsi="Times New Roman"/>
          <w:sz w:val="20"/>
        </w:rPr>
        <w:t>2004 property rental income has been adjusted from the amounts previously reported. See Note 2 and Note 21 to the 2006 Consolidated Financial Statements.</w:t>
      </w:r>
    </w:p>
    <w:p>
      <w:pPr>
        <w:pStyle w:val="TextBody"/>
        <w:spacing w:lineRule="auto" w:line="300" w:before="0" w:after="0"/>
        <w:ind w:left="0" w:right="0" w:hanging="0"/>
        <w:jc w:val="both"/>
        <w:rPr/>
      </w:pPr>
      <w:r>
        <w:rPr/>
        <w:t> </w:t>
      </w:r>
    </w:p>
    <w:p>
      <w:pPr>
        <w:pStyle w:val="TextBody"/>
        <w:spacing w:lineRule="auto" w:line="300" w:before="0" w:after="0"/>
        <w:ind w:left="0" w:right="0" w:hanging="0"/>
        <w:jc w:val="both"/>
        <w:rPr/>
      </w:pPr>
      <w:r>
        <w:rPr>
          <w:rStyle w:val="Emphasis"/>
          <w:rFonts w:ascii="Times New Roman" w:hAnsi="Times New Roman"/>
          <w:sz w:val="20"/>
          <w:u w:val="single"/>
        </w:rPr>
        <w:t>Real Estate Results for 2006 Compared to 2005</w:t>
      </w:r>
    </w:p>
    <w:p>
      <w:pPr>
        <w:pStyle w:val="TextBody"/>
        <w:spacing w:lineRule="auto" w:line="300" w:before="0" w:after="0"/>
        <w:ind w:left="0" w:right="0" w:firstLine="72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For 2006, we achieved the following results in our real estate segment:</w:t>
      </w:r>
    </w:p>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668" w:name="hangingindent153"/>
      <w:bookmarkStart w:id="1669" w:name="hangingindent153"/>
      <w:bookmarkEnd w:id="1669"/>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revenue increased by $762,000 or 4.6% when compared 2005. Of this increase, approximately $2.1 million was primarily attributable to an increase in rent from our Newmarket shopping centre that opened in late 2005. This increase in rents was offset in part by decreased rents from our domestic live theatres due to fewer shows in 2006 compared to 2005.</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670" w:name="hangingindent154"/>
      <w:bookmarkStart w:id="1671" w:name="hangingindent154"/>
      <w:bookmarkEnd w:id="1671"/>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operating expense increased by $6,000 or 0.1% when compared to 2005. This decrease primarily relates to a decrease in costs associated with our live theater facilities offset in part by increased costs from our newly opened Newmarket shopping centre.</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672" w:name="hangingindent155"/>
      <w:bookmarkStart w:id="1673" w:name="hangingindent155"/>
      <w:bookmarkEnd w:id="1673"/>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depreciation expense increased by $406,000 or 11.1% when compared to 2005. The majority of this increase was attributable to our newly opened Newmarket shopping centre in Australia.</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674" w:name="hangingindent156"/>
      <w:bookmarkStart w:id="1675" w:name="hangingindent156"/>
      <w:bookmarkEnd w:id="1675"/>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general and administrative expense increased by $454,000 when compared to 2005 primarily due to increased property activities related to our Australia properties.</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676" w:name="hangingindent157"/>
      <w:bookmarkStart w:id="1677" w:name="hangingindent157"/>
      <w:bookmarkEnd w:id="1677"/>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both"/>
              <w:rPr/>
            </w:pPr>
            <w:r>
              <w:rPr>
                <w:rFonts w:ascii="Times New Roman" w:hAnsi="Times New Roman"/>
                <w:sz w:val="20"/>
              </w:rPr>
              <w:t>real estate segment operating income decreased by $104,000 when compared to 2005 mostly related to an increase in revenues in Australia from our Newmarket shopping centre offset by a decrease in domestic live theater income</w:t>
            </w:r>
            <w:r>
              <w:rPr>
                <w:rStyle w:val="Emphasis"/>
                <w:rFonts w:ascii="Times New Roman" w:hAnsi="Times New Roman"/>
                <w:sz w:val="20"/>
              </w:rPr>
              <w:t>.</w:t>
            </w:r>
          </w:p>
        </w:tc>
      </w:tr>
    </w:tbl>
    <w:p>
      <w:pPr>
        <w:pStyle w:val="TextBody"/>
        <w:spacing w:lineRule="auto" w:line="300" w:before="0" w:after="0"/>
        <w:ind w:left="0" w:right="0" w:hanging="0"/>
        <w:jc w:val="both"/>
        <w:rPr/>
      </w:pPr>
      <w:r>
        <w:rPr/>
      </w:r>
    </w:p>
    <w:p>
      <w:pPr>
        <w:pStyle w:val="TextBody"/>
        <w:spacing w:lineRule="auto" w:line="300" w:before="0" w:after="0"/>
        <w:ind w:left="0" w:right="0" w:hanging="0"/>
        <w:jc w:val="both"/>
        <w:rPr/>
      </w:pPr>
      <w:r>
        <w:rPr>
          <w:rStyle w:val="Emphasis"/>
          <w:rFonts w:ascii="Times New Roman" w:hAnsi="Times New Roman"/>
          <w:sz w:val="20"/>
          <w:u w:val="single"/>
        </w:rPr>
        <w:t>Real Estate Results for 2005 Compared to 2004</w:t>
      </w:r>
    </w:p>
    <w:p>
      <w:pPr>
        <w:pStyle w:val="TextBody"/>
        <w:spacing w:lineRule="auto" w:line="300" w:before="0" w:after="0"/>
        <w:ind w:left="0" w:right="0" w:hanging="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For 2005, we achieved the following results in our real estate segment:</w:t>
      </w:r>
    </w:p>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678" w:name="hangingindent158"/>
      <w:bookmarkStart w:id="1679" w:name="hangingindent158"/>
      <w:bookmarkEnd w:id="1679"/>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revenue increased by $1.5 million or 10.2% when compared 2004. Of this increase, approximately $642,000 was attributable to an increase in rent from our domestic live theaters and $1.2 million was from higher rental revenue and higher occupancy rates from our New Zealand ETRC and domestic properties. These increases were somewhat offset by a $276,000 decrease in rental revenue related to a reduction in the percentage rent generated by our Australian properties.</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680" w:name="hangingindent159"/>
      <w:bookmarkStart w:id="1681" w:name="hangingindent159"/>
      <w:bookmarkEnd w:id="1681"/>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operating expense increased by $411,000 or 5.9% when compared to 2004. This increase mostly relates to an increase in variable costs associated with our live theater facilities.</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682" w:name="hangingindent160"/>
      <w:bookmarkStart w:id="1683" w:name="hangingindent160"/>
      <w:bookmarkEnd w:id="1683"/>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depreciation expense increased by $44,000 or 1.2% when compared to 2004. The majority of this increase was attributed to the newly acquired properties in Australia and New Zealand.</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684" w:name="hangingindent161"/>
      <w:bookmarkStart w:id="1685" w:name="hangingindent161"/>
      <w:bookmarkEnd w:id="1685"/>
    </w:p>
    <w:tbl>
      <w:tblPr>
        <w:tblW w:w="5000" w:type="pct"/>
        <w:jc w:val="center"/>
        <w:tblInd w:w="0" w:type="dxa"/>
        <w:tblCellMar>
          <w:top w:w="0" w:type="dxa"/>
          <w:left w:w="0" w:type="dxa"/>
          <w:bottom w:w="0" w:type="dxa"/>
          <w:right w:w="0" w:type="dxa"/>
        </w:tblCellMar>
      </w:tblPr>
      <w:tblGrid>
        <w:gridCol w:w="60"/>
        <w:gridCol w:w="95"/>
        <w:gridCol w:w="10050"/>
      </w:tblGrid>
      <w:tr>
        <w:trPr/>
        <w:tc>
          <w:tcPr>
            <w:tcW w:w="60"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5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general and administrative expense decreased by $161,000 when compared to 2004 primarily from our Australia properties.</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686" w:name="hangingindent162"/>
      <w:bookmarkStart w:id="1687" w:name="hangingindent162"/>
      <w:bookmarkEnd w:id="1687"/>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both"/>
              <w:rPr/>
            </w:pPr>
            <w:r>
              <w:rPr>
                <w:rFonts w:ascii="Times New Roman" w:hAnsi="Times New Roman"/>
                <w:sz w:val="20"/>
              </w:rPr>
              <w:t>real estate segment operating income increased by $1.2 million compared to 2004 mostly related to our overall increase in revenues while holding total costs at approximately the same amount as in the prior year</w:t>
            </w:r>
            <w:r>
              <w:rPr>
                <w:rStyle w:val="Emphasis"/>
                <w:rFonts w:ascii="Times New Roman" w:hAnsi="Times New Roman"/>
                <w:sz w:val="20"/>
              </w:rPr>
              <w:t>.</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688" w:name="PGBRK55"/>
      <w:bookmarkStart w:id="1689" w:name="PGBRK55"/>
      <w:bookmarkEnd w:id="168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690" w:name="FTR55"/>
      <w:bookmarkStart w:id="1691" w:name="FTR55"/>
      <w:bookmarkEnd w:id="169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692" w:name="GLFTR55"/>
      <w:bookmarkStart w:id="1693" w:name="GLFTR55"/>
      <w:bookmarkEnd w:id="169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1694" w:name="PN55"/>
      <w:bookmarkEnd w:id="1694"/>
      <w:r>
        <w:rPr>
          <w:rFonts w:ascii="Times New Roman" w:hAnsi="Times New Roman"/>
          <w:sz w:val="16"/>
        </w:rPr>
        <w:t>-55-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695" w:name="HDR55"/>
      <w:bookmarkStart w:id="1696" w:name="HDR55"/>
      <w:bookmarkEnd w:id="169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1697" w:name="GLHDR55"/>
        <w:bookmarkEnd w:id="1697"/>
        <w:r>
          <w:rPr>
            <w:rStyle w:val="Emphasis"/>
            <w:rFonts w:ascii="Times New Roman" w:hAnsi="Times New Roman"/>
            <w:color w:val="000000"/>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pStyle w:val="Normal"/>
        <w:spacing w:before="0" w:after="0"/>
        <w:ind w:left="0" w:right="0" w:hanging="0"/>
        <w:rPr>
          <w:sz w:val="4"/>
          <w:szCs w:val="4"/>
        </w:rPr>
      </w:pPr>
      <w:r>
        <w:rPr>
          <w:sz w:val="4"/>
          <w:szCs w:val="4"/>
        </w:rPr>
      </w:r>
      <w:bookmarkStart w:id="1698" w:name="hangingindent163"/>
      <w:bookmarkStart w:id="1699" w:name="hangingindent163"/>
      <w:bookmarkEnd w:id="1699"/>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283"/>
              <w:rPr>
                <w:rFonts w:ascii="Times New Roman" w:hAnsi="Times New Roman"/>
                <w:sz w:val="20"/>
              </w:rPr>
            </w:pPr>
            <w:r>
              <w:rPr>
                <w:rFonts w:ascii="Times New Roman" w:hAnsi="Times New Roman"/>
                <w:sz w:val="20"/>
              </w:rPr>
              <w:t>in May 2005, we sold our interest in our Glendale office building for $20.4 million. However, as the sale of this property is treated for accounting purposes as a discontinued operation, its operating results have been removed from our results for 2005 and 2004. Our Glendale office building contributed $750,000 and $1.7 million in EBITDA to our Company annually in 2005 and 2004, respectively.</w:t>
            </w:r>
          </w:p>
        </w:tc>
      </w:tr>
    </w:tbl>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u w:val="single"/>
        </w:rPr>
      </w:pPr>
      <w:r>
        <w:rPr>
          <w:rFonts w:ascii="Times New Roman" w:hAnsi="Times New Roman"/>
          <w:sz w:val="20"/>
          <w:u w:val="single"/>
        </w:rPr>
        <w:t>Non-Segment Activity</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pPr>
      <w:r>
        <w:rPr>
          <w:rStyle w:val="Emphasis"/>
          <w:rFonts w:ascii="Times New Roman" w:hAnsi="Times New Roman"/>
          <w:sz w:val="20"/>
          <w:u w:val="single"/>
        </w:rPr>
        <w:t>2006 Compared to 2005</w:t>
      </w:r>
    </w:p>
    <w:p>
      <w:pPr>
        <w:pStyle w:val="TextBody"/>
        <w:spacing w:lineRule="auto" w:line="300" w:before="0" w:after="0"/>
        <w:ind w:left="0" w:right="0" w:hanging="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Non-segment expense/income includes expense and/or income that is not directly attributable to our other operating segments.</w:t>
      </w:r>
    </w:p>
    <w:p>
      <w:pPr>
        <w:pStyle w:val="TextBody"/>
        <w:spacing w:lineRule="auto" w:line="300" w:before="0" w:after="0"/>
        <w:ind w:left="0" w:right="0" w:firstLine="72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 xml:space="preserve">During 2006, the decrease of $1.6 million in corporate General and Administrative expense was primarily made up of: </w:t>
      </w:r>
    </w:p>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700" w:name="hangingindent164"/>
      <w:bookmarkStart w:id="1701" w:name="hangingindent164"/>
      <w:bookmarkEnd w:id="1701"/>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$1.1 million from an additional bonus accrual for our Chief Executive Officer’s new employment contract in 2005 not reoccurring in 2006; and</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702" w:name="hangingindent165"/>
      <w:bookmarkStart w:id="1703" w:name="hangingindent165"/>
      <w:bookmarkEnd w:id="1703"/>
    </w:p>
    <w:tbl>
      <w:tblPr>
        <w:tblW w:w="5000" w:type="pct"/>
        <w:jc w:val="center"/>
        <w:tblInd w:w="0" w:type="dxa"/>
        <w:tblCellMar>
          <w:top w:w="0" w:type="dxa"/>
          <w:left w:w="0" w:type="dxa"/>
          <w:bottom w:w="0" w:type="dxa"/>
          <w:right w:w="0" w:type="dxa"/>
        </w:tblCellMar>
      </w:tblPr>
      <w:tblGrid>
        <w:gridCol w:w="76"/>
        <w:gridCol w:w="122"/>
        <w:gridCol w:w="10007"/>
      </w:tblGrid>
      <w:tr>
        <w:trPr/>
        <w:tc>
          <w:tcPr>
            <w:tcW w:w="76" w:type="dxa"/>
            <w:tcBorders/>
            <w:shd w:fill="auto" w:val="clear"/>
          </w:tcPr>
          <w:p>
            <w:pPr>
              <w:pStyle w:val="TableContents"/>
              <w:spacing w:before="0" w:after="283"/>
              <w:rPr/>
            </w:pPr>
            <w:r>
              <w:rPr/>
              <w:t> </w:t>
            </w:r>
          </w:p>
        </w:tc>
        <w:tc>
          <w:tcPr>
            <w:tcW w:w="122"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0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$565,000 decrease in Australia legal fees in part related to fewer fees for our Whitehorse lawsuit.</w:t>
            </w:r>
          </w:p>
        </w:tc>
      </w:tr>
    </w:tbl>
    <w:p>
      <w:pPr>
        <w:pStyle w:val="TextBody"/>
        <w:spacing w:lineRule="auto" w:line="300" w:before="0" w:after="0"/>
        <w:ind w:left="0" w:right="0" w:hanging="0"/>
        <w:jc w:val="both"/>
        <w:rPr/>
      </w:pPr>
      <w:r>
        <w:rPr/>
      </w:r>
    </w:p>
    <w:p>
      <w:pPr>
        <w:pStyle w:val="TextBody"/>
        <w:spacing w:lineRule="auto" w:line="300" w:before="0" w:after="0"/>
        <w:ind w:left="720" w:right="0" w:hanging="0"/>
        <w:jc w:val="both"/>
        <w:rPr>
          <w:rFonts w:ascii="Times New Roman" w:hAnsi="Times New Roman"/>
          <w:sz w:val="20"/>
        </w:rPr>
      </w:pPr>
      <w:r>
        <w:rPr>
          <w:rFonts w:ascii="Times New Roman" w:hAnsi="Times New Roman"/>
          <w:sz w:val="20"/>
        </w:rPr>
        <w:t>During 2006:</w:t>
      </w:r>
    </w:p>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704" w:name="hangingindent166"/>
      <w:bookmarkStart w:id="1705" w:name="hangingindent166"/>
      <w:bookmarkEnd w:id="1705"/>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our net interest expense increased by $2.1 million primarily related to a higher outstanding loan balance in Australia and due to the effective completion of construction of our Newmarket Shopping Centre in early 2006 which decreased the amount of interest being capitalized. This interest increase was offset by a decrease in interest expense related to the mark-to-market adjustment of our interest rate swaps compared to the adjustment in 2005; </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706" w:name="hangingindent167"/>
      <w:bookmarkStart w:id="1707" w:name="hangingindent167"/>
      <w:bookmarkEnd w:id="1707"/>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our other expense increased by $2.0 million primarily due to a $1.6 million mark-to-market charge relating to an option liability held by Sutton Hill Capital LLC to acquire a 25% non-managing membership interest in our Cinemas 1, 2 &amp; 3 property;</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708" w:name="hangingindent168"/>
      <w:bookmarkStart w:id="1709" w:name="hangingindent168"/>
      <w:bookmarkEnd w:id="1709"/>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our minority interest expense increased by $93,000 compared to 2005 due to an improvement in cinema admission sales particularly in our Australia cinemas;</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710" w:name="hangingindent169"/>
      <w:bookmarkStart w:id="1711" w:name="hangingindent169"/>
      <w:bookmarkEnd w:id="1711"/>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both"/>
              <w:rPr/>
            </w:pPr>
            <w:r>
              <w:rPr>
                <w:rFonts w:ascii="Times New Roman" w:hAnsi="Times New Roman"/>
                <w:sz w:val="20"/>
              </w:rPr>
              <w:t xml:space="preserve">income tax expense increased by $1.1 million primarily related to the tax expense incurred for our equity earnings from our investment in </w:t>
            </w:r>
            <w:r>
              <w:rPr>
                <w:rStyle w:val="Emphasis"/>
                <w:rFonts w:ascii="Times New Roman" w:hAnsi="Times New Roman"/>
                <w:sz w:val="20"/>
              </w:rPr>
              <w:t>205-209 East 57th Street Associates, LLC</w:t>
            </w:r>
            <w:r>
              <w:rPr>
                <w:rFonts w:ascii="Times New Roman" w:hAnsi="Times New Roman"/>
                <w:sz w:val="20"/>
              </w:rPr>
              <w:t>;</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712" w:name="hangingindent170"/>
      <w:bookmarkStart w:id="1713" w:name="hangingindent170"/>
      <w:bookmarkEnd w:id="1713"/>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both"/>
              <w:rPr/>
            </w:pPr>
            <w:r>
              <w:rPr>
                <w:rFonts w:ascii="Times New Roman" w:hAnsi="Times New Roman"/>
                <w:sz w:val="20"/>
              </w:rPr>
              <w:t xml:space="preserve">equity earnings from unconsolidated joint ventures and entities increased by $8.2 million primarily from our investment in </w:t>
            </w:r>
            <w:r>
              <w:rPr>
                <w:rStyle w:val="Emphasis"/>
                <w:rFonts w:ascii="Times New Roman" w:hAnsi="Times New Roman"/>
                <w:sz w:val="20"/>
              </w:rPr>
              <w:t>205-209 East 57th Street Associates, LLC</w:t>
            </w:r>
            <w:r>
              <w:rPr>
                <w:rFonts w:ascii="Times New Roman" w:hAnsi="Times New Roman"/>
                <w:sz w:val="20"/>
              </w:rPr>
              <w:t xml:space="preserve">, that has been developing a residential condominium complex in midtown Manhattan, called </w:t>
            </w:r>
            <w:r>
              <w:rPr>
                <w:rStyle w:val="Emphasis"/>
                <w:rFonts w:ascii="Times New Roman" w:hAnsi="Times New Roman"/>
                <w:sz w:val="20"/>
              </w:rPr>
              <w:t>Place 57</w:t>
            </w:r>
            <w:r>
              <w:rPr>
                <w:rFonts w:ascii="Times New Roman" w:hAnsi="Times New Roman"/>
                <w:sz w:val="20"/>
              </w:rPr>
              <w:t>. The partnership closed on the sale of 59 condominiums during 2006, resulting in gross sales of $117.7 million and equity earnings from unconsolidated joint ventures and entities to us of $8.3 million; and</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714" w:name="hangingindent171"/>
      <w:bookmarkStart w:id="1715" w:name="hangingindent171"/>
      <w:bookmarkEnd w:id="1715"/>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in addition to the aforementioned equity earnings, we recorded a gain on sale of an unconsolidated joint venture of $3.4 million (NZ$5.4 million), from the sale of our 50% interest in the cinemas at Whangaparaoa, Takapuna and Mission Bay, New Zealand.</w:t>
            </w:r>
          </w:p>
        </w:tc>
      </w:tr>
    </w:tbl>
    <w:p>
      <w:pPr>
        <w:pStyle w:val="TextBody"/>
        <w:spacing w:lineRule="auto" w:line="300" w:before="0" w:after="0"/>
        <w:ind w:left="0" w:right="0" w:hanging="0"/>
        <w:jc w:val="both"/>
        <w:rPr/>
      </w:pPr>
      <w:r>
        <w:rPr/>
      </w:r>
    </w:p>
    <w:p>
      <w:pPr>
        <w:pStyle w:val="TextBody"/>
        <w:spacing w:lineRule="auto" w:line="300" w:before="0" w:after="0"/>
        <w:ind w:left="0" w:right="0" w:hanging="0"/>
        <w:jc w:val="both"/>
        <w:rPr/>
      </w:pPr>
      <w:r>
        <w:rPr>
          <w:rStyle w:val="Emphasis"/>
          <w:rFonts w:ascii="Times New Roman" w:hAnsi="Times New Roman"/>
          <w:sz w:val="20"/>
          <w:u w:val="single"/>
        </w:rPr>
        <w:t>2005 Compared to 2004</w:t>
      </w:r>
    </w:p>
    <w:p>
      <w:pPr>
        <w:pStyle w:val="TextBody"/>
        <w:spacing w:lineRule="auto" w:line="300" w:before="0" w:after="0"/>
        <w:ind w:left="0" w:right="0" w:hanging="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Corporate expense/income includes expense and/or income that is not directly attributable to our other operating segments.</w:t>
      </w:r>
    </w:p>
    <w:p>
      <w:pPr>
        <w:pStyle w:val="TextBody"/>
        <w:spacing w:lineRule="auto" w:line="300" w:before="0" w:after="0"/>
        <w:ind w:left="0" w:right="0" w:firstLine="72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 xml:space="preserve">During 2005, the increase of $1.6 million in corporate General and Administrative expense was primarily made up of: </w:t>
      </w:r>
    </w:p>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716" w:name="hangingindent172"/>
      <w:bookmarkStart w:id="1717" w:name="hangingindent172"/>
      <w:bookmarkEnd w:id="1717"/>
    </w:p>
    <w:tbl>
      <w:tblPr>
        <w:tblW w:w="5000" w:type="pct"/>
        <w:jc w:val="center"/>
        <w:tblInd w:w="0" w:type="dxa"/>
        <w:tblCellMar>
          <w:top w:w="0" w:type="dxa"/>
          <w:left w:w="0" w:type="dxa"/>
          <w:bottom w:w="0" w:type="dxa"/>
          <w:right w:w="0" w:type="dxa"/>
        </w:tblCellMar>
      </w:tblPr>
      <w:tblGrid>
        <w:gridCol w:w="66"/>
        <w:gridCol w:w="107"/>
        <w:gridCol w:w="10032"/>
      </w:tblGrid>
      <w:tr>
        <w:trPr/>
        <w:tc>
          <w:tcPr>
            <w:tcW w:w="66" w:type="dxa"/>
            <w:tcBorders/>
            <w:shd w:fill="auto" w:val="clear"/>
          </w:tcPr>
          <w:p>
            <w:pPr>
              <w:pStyle w:val="TableContents"/>
              <w:spacing w:before="0" w:after="283"/>
              <w:rPr/>
            </w:pPr>
            <w:r>
              <w:rPr/>
              <w:t> </w:t>
            </w:r>
          </w:p>
        </w:tc>
        <w:tc>
          <w:tcPr>
            <w:tcW w:w="107"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3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$1.1 million from an additional bonus accrual for our Chief Executive Officer’s new employment contract; and</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718" w:name="hangingindent173"/>
      <w:bookmarkStart w:id="1719" w:name="hangingindent173"/>
      <w:bookmarkEnd w:id="1719"/>
    </w:p>
    <w:tbl>
      <w:tblPr>
        <w:tblW w:w="5000" w:type="pct"/>
        <w:jc w:val="center"/>
        <w:tblInd w:w="0" w:type="dxa"/>
        <w:tblCellMar>
          <w:top w:w="0" w:type="dxa"/>
          <w:left w:w="0" w:type="dxa"/>
          <w:bottom w:w="0" w:type="dxa"/>
          <w:right w:w="0" w:type="dxa"/>
        </w:tblCellMar>
      </w:tblPr>
      <w:tblGrid>
        <w:gridCol w:w="104"/>
        <w:gridCol w:w="165"/>
        <w:gridCol w:w="9936"/>
      </w:tblGrid>
      <w:tr>
        <w:trPr/>
        <w:tc>
          <w:tcPr>
            <w:tcW w:w="104" w:type="dxa"/>
            <w:tcBorders/>
            <w:shd w:fill="auto" w:val="clear"/>
          </w:tcPr>
          <w:p>
            <w:pPr>
              <w:pStyle w:val="TableContents"/>
              <w:spacing w:before="0" w:after="283"/>
              <w:rPr/>
            </w:pPr>
            <w:r>
              <w:rPr/>
              <w:t> </w:t>
            </w:r>
          </w:p>
        </w:tc>
        <w:tc>
          <w:tcPr>
            <w:tcW w:w="165"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993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higher legal fees primarily from our Whitehorse litigation in Australia.</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720" w:name="PGBRK56"/>
      <w:bookmarkStart w:id="1721" w:name="PGBRK56"/>
      <w:bookmarkEnd w:id="172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722" w:name="FTR56"/>
      <w:bookmarkStart w:id="1723" w:name="FTR56"/>
      <w:bookmarkEnd w:id="17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724" w:name="GLFTR56"/>
      <w:bookmarkStart w:id="1725" w:name="GLFTR56"/>
      <w:bookmarkEnd w:id="17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1726" w:name="PN56"/>
      <w:bookmarkEnd w:id="1726"/>
      <w:r>
        <w:rPr>
          <w:rFonts w:ascii="Times New Roman" w:hAnsi="Times New Roman"/>
          <w:sz w:val="16"/>
        </w:rPr>
        <w:t>-56-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727" w:name="HDR56"/>
      <w:bookmarkStart w:id="1728" w:name="HDR56"/>
      <w:bookmarkEnd w:id="17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1729" w:name="GLHDR56"/>
        <w:bookmarkEnd w:id="1729"/>
        <w:r>
          <w:rPr>
            <w:rStyle w:val="Emphasis"/>
            <w:rFonts w:ascii="Times New Roman" w:hAnsi="Times New Roman"/>
            <w:color w:val="000000"/>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pStyle w:val="TextBody"/>
        <w:spacing w:lineRule="auto" w:line="300" w:before="0" w:after="0"/>
        <w:ind w:left="0" w:right="0" w:firstLine="360"/>
        <w:jc w:val="both"/>
        <w:rPr>
          <w:rFonts w:ascii="Times New Roman" w:hAnsi="Times New Roman"/>
          <w:sz w:val="20"/>
        </w:rPr>
      </w:pPr>
      <w:r>
        <w:rPr>
          <w:rFonts w:ascii="Times New Roman" w:hAnsi="Times New Roman"/>
          <w:sz w:val="20"/>
        </w:rPr>
        <w:t>During 2005:</w:t>
      </w:r>
    </w:p>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730" w:name="hangingindent174"/>
      <w:bookmarkStart w:id="1731" w:name="hangingindent174"/>
      <w:bookmarkEnd w:id="1731"/>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our net interest expense increased by $1.4 million primarily due to increased borrowings related to our 2005 and 2004 acquisitions in the U.S., Australia, and New Zealand; </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732" w:name="hangingindent175"/>
      <w:bookmarkStart w:id="1733" w:name="hangingindent175"/>
      <w:bookmarkEnd w:id="1733"/>
    </w:p>
    <w:tbl>
      <w:tblPr>
        <w:tblW w:w="5000" w:type="pct"/>
        <w:jc w:val="center"/>
        <w:tblInd w:w="0" w:type="dxa"/>
        <w:tblCellMar>
          <w:top w:w="0" w:type="dxa"/>
          <w:left w:w="0" w:type="dxa"/>
          <w:bottom w:w="0" w:type="dxa"/>
          <w:right w:w="0" w:type="dxa"/>
        </w:tblCellMar>
      </w:tblPr>
      <w:tblGrid>
        <w:gridCol w:w="69"/>
        <w:gridCol w:w="110"/>
        <w:gridCol w:w="10026"/>
      </w:tblGrid>
      <w:tr>
        <w:trPr/>
        <w:tc>
          <w:tcPr>
            <w:tcW w:w="69" w:type="dxa"/>
            <w:tcBorders/>
            <w:shd w:fill="auto" w:val="clear"/>
          </w:tcPr>
          <w:p>
            <w:pPr>
              <w:pStyle w:val="TableContents"/>
              <w:spacing w:before="0" w:after="283"/>
              <w:rPr/>
            </w:pPr>
            <w:r>
              <w:rPr/>
              <w:t> </w:t>
            </w:r>
          </w:p>
        </w:tc>
        <w:tc>
          <w:tcPr>
            <w:tcW w:w="110"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2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our other income decreased by $865,000 primarily due to fewer foreign exchange gains compared to 2004;</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734" w:name="hangingindent176"/>
      <w:bookmarkStart w:id="1735" w:name="hangingindent176"/>
      <w:bookmarkEnd w:id="1735"/>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our minority interest expense increased by $467,000 compared to 2004 due to an improvement in cinema admission sales particularly in our Angelika New York cinema;</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736" w:name="hangingindent177"/>
      <w:bookmarkStart w:id="1737" w:name="hangingindent177"/>
      <w:bookmarkEnd w:id="1737"/>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we recorded a net gain of $13.6 million on sales of discontinued operations from the sale of our Glendale Building and our Puerto Rico cinema operations;</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738" w:name="hangingindent178"/>
      <w:bookmarkStart w:id="1739" w:name="hangingindent178"/>
      <w:bookmarkEnd w:id="1739"/>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our losses from discontinued operations increased by $910,000 due to reduced operating income from our Puerto Rico operations and due to the fact we sold the Puerto Rico operations just prior to the summer when we historically record the majority of our annual admission sales;</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740" w:name="hangingindent179"/>
      <w:bookmarkStart w:id="1741" w:name="hangingindent179"/>
      <w:bookmarkEnd w:id="1741"/>
    </w:p>
    <w:tbl>
      <w:tblPr>
        <w:tblW w:w="5000" w:type="pct"/>
        <w:jc w:val="center"/>
        <w:tblInd w:w="0" w:type="dxa"/>
        <w:tblCellMar>
          <w:top w:w="0" w:type="dxa"/>
          <w:left w:w="0" w:type="dxa"/>
          <w:bottom w:w="0" w:type="dxa"/>
          <w:right w:w="0" w:type="dxa"/>
        </w:tblCellMar>
      </w:tblPr>
      <w:tblGrid>
        <w:gridCol w:w="150"/>
        <w:gridCol w:w="237"/>
        <w:gridCol w:w="9818"/>
      </w:tblGrid>
      <w:tr>
        <w:trPr/>
        <w:tc>
          <w:tcPr>
            <w:tcW w:w="150" w:type="dxa"/>
            <w:tcBorders/>
            <w:shd w:fill="auto" w:val="clear"/>
          </w:tcPr>
          <w:p>
            <w:pPr>
              <w:pStyle w:val="TableContents"/>
              <w:spacing w:before="0" w:after="283"/>
              <w:rPr/>
            </w:pPr>
            <w:r>
              <w:rPr/>
              <w:t> </w:t>
            </w:r>
          </w:p>
        </w:tc>
        <w:tc>
          <w:tcPr>
            <w:tcW w:w="237"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981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income tax expense increased by $163,000; and</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742" w:name="hangingindent180"/>
      <w:bookmarkStart w:id="1743" w:name="hangingindent180"/>
      <w:bookmarkEnd w:id="1743"/>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equity earnings from unconsolidated joint ventures and entities decreased by $308,000 due to lower admissions at our joint venture cinemas compared to 2004.</w:t>
            </w:r>
          </w:p>
        </w:tc>
      </w:tr>
    </w:tbl>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u w:val="single"/>
        </w:rPr>
      </w:pPr>
      <w:r>
        <w:rPr>
          <w:rFonts w:ascii="Times New Roman" w:hAnsi="Times New Roman"/>
          <w:sz w:val="20"/>
          <w:u w:val="single"/>
        </w:rPr>
        <w:t>Income taxes</w:t>
      </w:r>
    </w:p>
    <w:p>
      <w:pPr>
        <w:pStyle w:val="TextBody"/>
        <w:spacing w:lineRule="auto" w:line="300" w:before="0" w:after="0"/>
        <w:ind w:left="0" w:right="0" w:hanging="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We are subject to income taxation in several jurisdictions throughout the world. Our effective tax rate and income tax liabilities will be affected by a number of factors, such as:</w:t>
      </w:r>
    </w:p>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744" w:name="hangingindent181"/>
      <w:bookmarkStart w:id="1745" w:name="hangingindent181"/>
      <w:bookmarkEnd w:id="1745"/>
    </w:p>
    <w:tbl>
      <w:tblPr>
        <w:tblW w:w="5000" w:type="pct"/>
        <w:jc w:val="center"/>
        <w:tblInd w:w="0" w:type="dxa"/>
        <w:tblCellMar>
          <w:top w:w="0" w:type="dxa"/>
          <w:left w:w="0" w:type="dxa"/>
          <w:bottom w:w="0" w:type="dxa"/>
          <w:right w:w="0" w:type="dxa"/>
        </w:tblCellMar>
      </w:tblPr>
      <w:tblGrid>
        <w:gridCol w:w="128"/>
        <w:gridCol w:w="204"/>
        <w:gridCol w:w="9873"/>
      </w:tblGrid>
      <w:tr>
        <w:trPr/>
        <w:tc>
          <w:tcPr>
            <w:tcW w:w="128" w:type="dxa"/>
            <w:tcBorders/>
            <w:shd w:fill="auto" w:val="clear"/>
          </w:tcPr>
          <w:p>
            <w:pPr>
              <w:pStyle w:val="TableContents"/>
              <w:spacing w:before="0" w:after="283"/>
              <w:rPr/>
            </w:pPr>
            <w:r>
              <w:rPr/>
              <w:t> </w:t>
            </w:r>
          </w:p>
        </w:tc>
        <w:tc>
          <w:tcPr>
            <w:tcW w:w="204"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987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amount of taxable income in particular jurisdictions;</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746" w:name="hangingindent182"/>
      <w:bookmarkStart w:id="1747" w:name="hangingindent182"/>
      <w:bookmarkEnd w:id="1747"/>
    </w:p>
    <w:tbl>
      <w:tblPr>
        <w:tblW w:w="5000" w:type="pct"/>
        <w:jc w:val="center"/>
        <w:tblInd w:w="0" w:type="dxa"/>
        <w:tblCellMar>
          <w:top w:w="0" w:type="dxa"/>
          <w:left w:w="0" w:type="dxa"/>
          <w:bottom w:w="0" w:type="dxa"/>
          <w:right w:w="0" w:type="dxa"/>
        </w:tblCellMar>
      </w:tblPr>
      <w:tblGrid>
        <w:gridCol w:w="184"/>
        <w:gridCol w:w="293"/>
        <w:gridCol w:w="9728"/>
      </w:tblGrid>
      <w:tr>
        <w:trPr/>
        <w:tc>
          <w:tcPr>
            <w:tcW w:w="184" w:type="dxa"/>
            <w:tcBorders/>
            <w:shd w:fill="auto" w:val="clear"/>
          </w:tcPr>
          <w:p>
            <w:pPr>
              <w:pStyle w:val="TableContents"/>
              <w:spacing w:before="0" w:after="283"/>
              <w:rPr/>
            </w:pPr>
            <w:r>
              <w:rPr/>
              <w:t> </w:t>
            </w:r>
          </w:p>
        </w:tc>
        <w:tc>
          <w:tcPr>
            <w:tcW w:w="293"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972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tax rates in particular jurisdictions;</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748" w:name="hangingindent183"/>
      <w:bookmarkStart w:id="1749" w:name="hangingindent183"/>
      <w:bookmarkEnd w:id="1749"/>
    </w:p>
    <w:tbl>
      <w:tblPr>
        <w:tblW w:w="5000" w:type="pct"/>
        <w:jc w:val="center"/>
        <w:tblInd w:w="0" w:type="dxa"/>
        <w:tblCellMar>
          <w:top w:w="0" w:type="dxa"/>
          <w:left w:w="0" w:type="dxa"/>
          <w:bottom w:w="0" w:type="dxa"/>
          <w:right w:w="0" w:type="dxa"/>
        </w:tblCellMar>
      </w:tblPr>
      <w:tblGrid>
        <w:gridCol w:w="210"/>
        <w:gridCol w:w="334"/>
        <w:gridCol w:w="9661"/>
      </w:tblGrid>
      <w:tr>
        <w:trPr/>
        <w:tc>
          <w:tcPr>
            <w:tcW w:w="210" w:type="dxa"/>
            <w:tcBorders/>
            <w:shd w:fill="auto" w:val="clear"/>
          </w:tcPr>
          <w:p>
            <w:pPr>
              <w:pStyle w:val="TableContents"/>
              <w:spacing w:before="0" w:after="283"/>
              <w:rPr/>
            </w:pPr>
            <w:r>
              <w:rPr/>
              <w:t> </w:t>
            </w:r>
          </w:p>
        </w:tc>
        <w:tc>
          <w:tcPr>
            <w:tcW w:w="334"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966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tax treaties between jurisdictions;</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750" w:name="hangingindent184"/>
      <w:bookmarkStart w:id="1751" w:name="hangingindent184"/>
      <w:bookmarkEnd w:id="1751"/>
    </w:p>
    <w:tbl>
      <w:tblPr>
        <w:tblW w:w="5000" w:type="pct"/>
        <w:jc w:val="center"/>
        <w:tblInd w:w="0" w:type="dxa"/>
        <w:tblCellMar>
          <w:top w:w="0" w:type="dxa"/>
          <w:left w:w="0" w:type="dxa"/>
          <w:bottom w:w="0" w:type="dxa"/>
          <w:right w:w="0" w:type="dxa"/>
        </w:tblCellMar>
      </w:tblPr>
      <w:tblGrid>
        <w:gridCol w:w="157"/>
        <w:gridCol w:w="250"/>
        <w:gridCol w:w="9798"/>
      </w:tblGrid>
      <w:tr>
        <w:trPr/>
        <w:tc>
          <w:tcPr>
            <w:tcW w:w="157" w:type="dxa"/>
            <w:tcBorders/>
            <w:shd w:fill="auto" w:val="clear"/>
          </w:tcPr>
          <w:p>
            <w:pPr>
              <w:pStyle w:val="TableContents"/>
              <w:spacing w:before="0" w:after="283"/>
              <w:rPr/>
            </w:pPr>
            <w:r>
              <w:rPr/>
              <w:t> </w:t>
            </w:r>
          </w:p>
        </w:tc>
        <w:tc>
          <w:tcPr>
            <w:tcW w:w="250"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979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extent to which income is repatriated; and</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752" w:name="hangingindent185"/>
      <w:bookmarkStart w:id="1753" w:name="hangingindent185"/>
      <w:bookmarkEnd w:id="1753"/>
    </w:p>
    <w:tbl>
      <w:tblPr>
        <w:tblW w:w="5000" w:type="pct"/>
        <w:jc w:val="center"/>
        <w:tblInd w:w="0" w:type="dxa"/>
        <w:tblCellMar>
          <w:top w:w="0" w:type="dxa"/>
          <w:left w:w="0" w:type="dxa"/>
          <w:bottom w:w="0" w:type="dxa"/>
          <w:right w:w="0" w:type="dxa"/>
        </w:tblCellMar>
      </w:tblPr>
      <w:tblGrid>
        <w:gridCol w:w="314"/>
        <w:gridCol w:w="499"/>
        <w:gridCol w:w="9392"/>
      </w:tblGrid>
      <w:tr>
        <w:trPr/>
        <w:tc>
          <w:tcPr>
            <w:tcW w:w="314" w:type="dxa"/>
            <w:tcBorders/>
            <w:shd w:fill="auto" w:val="clear"/>
          </w:tcPr>
          <w:p>
            <w:pPr>
              <w:pStyle w:val="TableContents"/>
              <w:spacing w:before="0" w:after="283"/>
              <w:rPr/>
            </w:pPr>
            <w:r>
              <w:rPr/>
              <w:t> </w:t>
            </w:r>
          </w:p>
        </w:tc>
        <w:tc>
          <w:tcPr>
            <w:tcW w:w="499"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939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future changes in law.</w:t>
            </w:r>
          </w:p>
        </w:tc>
      </w:tr>
    </w:tbl>
    <w:p>
      <w:pPr>
        <w:pStyle w:val="TextBody"/>
        <w:spacing w:lineRule="auto" w:line="300" w:before="0" w:after="0"/>
        <w:ind w:left="0" w:right="0" w:hanging="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Generally, we file consolidated or combined tax returns in jurisdictions that permit or require such filings. For jurisdictions which do not permit such a filing, we may owe income, franchise, or capital taxes even though, on an overall basis, we may have incurred a net loss for the tax year.</w:t>
      </w:r>
    </w:p>
    <w:p>
      <w:pPr>
        <w:pStyle w:val="TextBody"/>
        <w:spacing w:lineRule="auto" w:line="300" w:before="0" w:after="0"/>
        <w:ind w:left="0" w:right="0" w:firstLine="720"/>
        <w:jc w:val="both"/>
        <w:rPr/>
      </w:pPr>
      <w:r>
        <w:rPr/>
      </w:r>
    </w:p>
    <w:p>
      <w:pPr>
        <w:pStyle w:val="TextBody"/>
        <w:spacing w:lineRule="auto" w:line="300" w:before="0" w:after="0"/>
        <w:ind w:left="0" w:right="0" w:hanging="0"/>
        <w:jc w:val="both"/>
        <w:rPr>
          <w:rFonts w:ascii="Times New Roman" w:hAnsi="Times New Roman"/>
          <w:sz w:val="20"/>
          <w:u w:val="single"/>
        </w:rPr>
      </w:pPr>
      <w:r>
        <w:rPr>
          <w:rFonts w:ascii="Times New Roman" w:hAnsi="Times New Roman"/>
          <w:sz w:val="20"/>
          <w:u w:val="single"/>
        </w:rPr>
        <w:t>Consolidated net income (loss)</w:t>
      </w:r>
    </w:p>
    <w:p>
      <w:pPr>
        <w:pStyle w:val="TextBody"/>
        <w:spacing w:lineRule="auto" w:line="300" w:before="0" w:after="0"/>
        <w:ind w:left="0" w:right="0" w:hanging="0"/>
        <w:jc w:val="both"/>
        <w:rPr/>
      </w:pPr>
      <w:r>
        <w:rPr/>
      </w:r>
    </w:p>
    <w:p>
      <w:pPr>
        <w:pStyle w:val="TextBody"/>
        <w:spacing w:lineRule="auto" w:line="300" w:before="0" w:after="0"/>
        <w:ind w:left="0" w:right="0" w:firstLine="720"/>
        <w:jc w:val="both"/>
        <w:rPr/>
      </w:pPr>
      <w:r>
        <w:rPr>
          <w:rFonts w:ascii="Times New Roman" w:hAnsi="Times New Roman"/>
          <w:sz w:val="20"/>
        </w:rPr>
        <w:t xml:space="preserve">For 2006 and 2005, we have achieved net income of $3.9 million and $989,000, respectively. However, over the past several prior years we have consistently experienced net losses. Our shift to a net income from a net loss position is primarily attributable to $8.3 million of equity earnings in 2006 from our investment in </w:t>
      </w:r>
      <w:r>
        <w:rPr>
          <w:rStyle w:val="Emphasis"/>
          <w:rFonts w:ascii="Times New Roman" w:hAnsi="Times New Roman"/>
          <w:sz w:val="20"/>
        </w:rPr>
        <w:t>Place 57</w:t>
      </w:r>
      <w:r>
        <w:rPr/>
        <w:t xml:space="preserve"> </w:t>
      </w:r>
      <w:r>
        <w:rPr>
          <w:rFonts w:ascii="Times New Roman" w:hAnsi="Times New Roman"/>
          <w:sz w:val="20"/>
        </w:rPr>
        <w:t>and a $12.0 million gain booked in 2005 related to our sale our Glendale, California office building. This trend follows our focus on acquisitions and development of real estate which results in high depreciation and amortization expense and which during the holding and development stages produce little or no operating income for our company. However, as explained in the Cinema and Real Estate segment sections above, we have noted improvements in our operating income such that we have a positive operating income this year which in years past has typically been negative. Although we cannot assure that this trend will continue, we are committed to the overall improvement of earnings through good fiscal management.</w:t>
      </w:r>
    </w:p>
    <w:p>
      <w:pPr>
        <w:pStyle w:val="TextBody"/>
        <w:spacing w:lineRule="auto" w:line="300" w:before="0" w:after="0"/>
        <w:ind w:left="0" w:right="0" w:hanging="0"/>
        <w:jc w:val="both"/>
        <w:rPr/>
      </w:pPr>
      <w:r>
        <w:rPr/>
        <w:t> </w:t>
      </w:r>
    </w:p>
    <w:p>
      <w:pPr>
        <w:pStyle w:val="TextBody"/>
        <w:spacing w:lineRule="auto" w:line="300" w:before="0" w:after="0"/>
        <w:ind w:left="0" w:right="0" w:hanging="0"/>
        <w:jc w:val="both"/>
        <w:rPr/>
      </w:pPr>
      <w:r>
        <w:rPr/>
        <w:t> </w:t>
      </w:r>
    </w:p>
    <w:p>
      <w:pPr>
        <w:pStyle w:val="TextBody"/>
        <w:spacing w:lineRule="auto" w:line="300" w:before="0" w:after="0"/>
        <w:ind w:left="0" w:right="0" w:hanging="0"/>
        <w:jc w:val="left"/>
        <w:rPr/>
      </w:pPr>
      <w:r>
        <w:rPr>
          <w:rStyle w:val="StrongEmphasis"/>
          <w:rFonts w:ascii="Times New Roman" w:hAnsi="Times New Roman"/>
          <w:sz w:val="20"/>
          <w:u w:val="single"/>
        </w:rPr>
        <w:t>Business Plan, Liquidity and Capital Resources of the Company</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u w:val="single"/>
        </w:rPr>
      </w:pPr>
      <w:r>
        <w:rPr>
          <w:rFonts w:ascii="Times New Roman" w:hAnsi="Times New Roman"/>
          <w:sz w:val="20"/>
          <w:u w:val="single"/>
        </w:rPr>
        <w:t>Business Plan</w:t>
      </w:r>
    </w:p>
    <w:p>
      <w:pPr>
        <w:pStyle w:val="TextBody"/>
        <w:spacing w:lineRule="auto" w:line="300" w:before="0" w:after="0"/>
        <w:ind w:left="0" w:right="0" w:hanging="0"/>
        <w:jc w:val="both"/>
        <w:rPr/>
      </w:pPr>
      <w:r>
        <w:rPr/>
      </w:r>
    </w:p>
    <w:p>
      <w:pPr>
        <w:pStyle w:val="TextBody"/>
        <w:spacing w:lineRule="auto" w:line="300" w:before="0" w:after="0"/>
        <w:ind w:left="720" w:right="0" w:hanging="0"/>
        <w:jc w:val="both"/>
        <w:rPr>
          <w:rFonts w:ascii="Times New Roman" w:hAnsi="Times New Roman"/>
          <w:sz w:val="20"/>
        </w:rPr>
      </w:pPr>
      <w:bookmarkStart w:id="1754" w:name="TAB1698"/>
      <w:bookmarkEnd w:id="1754"/>
      <w:r>
        <w:rPr>
          <w:rFonts w:ascii="Times New Roman" w:hAnsi="Times New Roman"/>
          <w:sz w:val="20"/>
        </w:rPr>
        <w:t>Our business plan has evolved from a belief that while cinema exhibition is not a growth business at this time, we do believe it to be a business that will likely continue to generate fairly consistent cash flows in the years ahead. This is based on our belief that people will continue to spend some reasonable portion of their entertainment dollar on</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755" w:name="PGBRK57"/>
      <w:bookmarkStart w:id="1756" w:name="PGBRK57"/>
      <w:bookmarkEnd w:id="175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757" w:name="FTR57"/>
      <w:bookmarkStart w:id="1758" w:name="FTR57"/>
      <w:bookmarkEnd w:id="175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759" w:name="GLFTR57"/>
      <w:bookmarkStart w:id="1760" w:name="GLFTR57"/>
      <w:bookmarkEnd w:id="176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1761" w:name="PN57"/>
      <w:bookmarkEnd w:id="1761"/>
      <w:r>
        <w:rPr>
          <w:rFonts w:ascii="Times New Roman" w:hAnsi="Times New Roman"/>
          <w:sz w:val="16"/>
        </w:rPr>
        <w:t>-57-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762" w:name="HDR57"/>
      <w:bookmarkStart w:id="1763" w:name="HDR57"/>
      <w:bookmarkEnd w:id="176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1764" w:name="GLHDR57"/>
        <w:bookmarkEnd w:id="1764"/>
        <w:r>
          <w:rPr>
            <w:rStyle w:val="Emphasis"/>
            <w:rFonts w:ascii="Times New Roman" w:hAnsi="Times New Roman"/>
            <w:color w:val="000000"/>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 xml:space="preserve">entertainment outside of the home and that, when compared to other forms of outside the home entertainment, movies continue to be a popular and competitively priced option. However, since we believe the cinema exhibition business to be a mature business with most markets either adequately screened or over-screened, we see our future asset growth coming more from our real estate development activities than from the acquisition or development of additional cinemas. While we intend to be opportunistic in adding to our existing cinema portfolio, we believe it likely that, going forward, we will be reinvesting our free cash flow more in our general real estate development activities than in the acquisition or development of additional cinemas. Over time, we anticipate that our cinema operations will become increasingly a source of cash flow to support our real estate oriented activities, rather than a focus of growth, and that our real estate activities will become the principal thrust of our business. </w:t>
      </w:r>
    </w:p>
    <w:p>
      <w:pPr>
        <w:pStyle w:val="TextBody"/>
        <w:spacing w:before="0" w:after="0"/>
        <w:rPr/>
      </w:pPr>
      <w:r>
        <w:rPr/>
        <w:t> </w:t>
      </w:r>
    </w:p>
    <w:p>
      <w:pPr>
        <w:pStyle w:val="TextBody"/>
        <w:spacing w:lineRule="auto" w:line="300" w:before="0" w:after="0"/>
        <w:ind w:left="720" w:right="0" w:hanging="0"/>
        <w:jc w:val="both"/>
        <w:rPr>
          <w:rFonts w:ascii="Times New Roman" w:hAnsi="Times New Roman"/>
          <w:sz w:val="20"/>
        </w:rPr>
      </w:pPr>
      <w:bookmarkStart w:id="1765" w:name="TAB1699"/>
      <w:bookmarkEnd w:id="1765"/>
      <w:r>
        <w:rPr>
          <w:rFonts w:ascii="Times New Roman" w:hAnsi="Times New Roman"/>
          <w:sz w:val="20"/>
        </w:rPr>
        <w:t>In short, while we do have operating company attributes, we see ourselves principally as a hard asset company and intend to add to shareholder value by building the value of our portfolio of tangible assets. Therefore, while we intend to maintain our entertainment focus, we may from time to time acquire interests in non-entertainment real estate, for example:</w:t>
      </w:r>
    </w:p>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766" w:name="hangingindent186"/>
      <w:bookmarkStart w:id="1767" w:name="hangingindent186"/>
      <w:bookmarkEnd w:id="1767"/>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both"/>
              <w:rPr/>
            </w:pPr>
            <w:r>
              <w:rPr>
                <w:rFonts w:ascii="Times New Roman" w:hAnsi="Times New Roman"/>
                <w:sz w:val="20"/>
              </w:rPr>
              <w:t xml:space="preserve">we invested in the limited liability company that is developing our former Sutton cinema site in Manhattan into an approximately 100,000 square foot condominium known as </w:t>
            </w:r>
            <w:r>
              <w:rPr>
                <w:rStyle w:val="Emphasis"/>
                <w:rFonts w:ascii="Times New Roman" w:hAnsi="Times New Roman"/>
                <w:sz w:val="20"/>
              </w:rPr>
              <w:t>Place 57</w:t>
            </w:r>
            <w:r>
              <w:rPr>
                <w:rFonts w:ascii="Times New Roman" w:hAnsi="Times New Roman"/>
                <w:sz w:val="20"/>
              </w:rPr>
              <w:t>;</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768" w:name="hangingindent187"/>
      <w:bookmarkStart w:id="1769" w:name="hangingindent187"/>
      <w:bookmarkEnd w:id="1769"/>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we formed Landplan Property Partners, Ltd (“Landplan”) to identify, acquire and develop or redevelop properties in Australia and New Zealand on an opportunistic basis; and </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770" w:name="hangingindent188"/>
      <w:bookmarkStart w:id="1771" w:name="hangingindent188"/>
      <w:bookmarkEnd w:id="1771"/>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we acquired an 18.4% equity interest in Malulani Investments, Limited (“MIL”), a closely held Hawaiian company which currently owns interests in agricultural and developed commercial real estate in California, Hawaii and Texas.</w:t>
            </w:r>
          </w:p>
        </w:tc>
      </w:tr>
    </w:tbl>
    <w:p>
      <w:pPr>
        <w:pStyle w:val="TextBody"/>
        <w:spacing w:lineRule="auto" w:line="300" w:before="0" w:after="0"/>
        <w:ind w:left="0" w:right="0" w:hanging="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In February 2006, we completed the process of rezoning our 50.6 acre site in suburban Melbourne from an essentially industrial zone into a priority zone permitting a wide variety of retail, entertainment, commercial and residential uses. The full development of this property is currently anticipated to require approximately 9 years and funding of approximately $500.0 million. This project is, accordingly, anticipated to be a major focus of our efforts in the years to come. As the property was previously operated by its prior owner as a brickworks, it will be necessary to remove the contaminated soil that resulted from those operations before we can take advantage of this new zoning. We are currently updating our estimates with respect to this phase of our overall development project.</w:t>
      </w:r>
    </w:p>
    <w:p>
      <w:pPr>
        <w:pStyle w:val="TextBody"/>
        <w:spacing w:lineRule="auto" w:line="300" w:before="0" w:after="0"/>
        <w:ind w:left="0" w:right="0" w:hanging="0"/>
        <w:jc w:val="both"/>
        <w:rPr/>
      </w:pPr>
      <w:r>
        <w:rPr/>
        <w:t> </w:t>
      </w:r>
    </w:p>
    <w:p>
      <w:pPr>
        <w:pStyle w:val="TextBody"/>
        <w:spacing w:lineRule="auto" w:line="300" w:before="0" w:after="0"/>
        <w:ind w:left="0" w:right="0" w:hanging="0"/>
        <w:jc w:val="both"/>
        <w:rPr>
          <w:rFonts w:ascii="Times New Roman" w:hAnsi="Times New Roman"/>
          <w:sz w:val="20"/>
          <w:u w:val="single"/>
        </w:rPr>
      </w:pPr>
      <w:r>
        <w:rPr>
          <w:rFonts w:ascii="Times New Roman" w:hAnsi="Times New Roman"/>
          <w:sz w:val="20"/>
          <w:u w:val="single"/>
        </w:rPr>
        <w:t>Liquidity and Capital Resources</w:t>
      </w:r>
    </w:p>
    <w:p>
      <w:pPr>
        <w:pStyle w:val="TextBody"/>
        <w:spacing w:lineRule="auto" w:line="300" w:before="0" w:after="0"/>
        <w:ind w:left="0" w:right="0" w:hanging="0"/>
        <w:jc w:val="both"/>
        <w:rPr/>
      </w:pPr>
      <w:r>
        <w:rPr/>
      </w:r>
    </w:p>
    <w:p>
      <w:pPr>
        <w:pStyle w:val="TextBody"/>
        <w:spacing w:lineRule="auto" w:line="300" w:before="0" w:after="0"/>
        <w:ind w:left="720" w:right="0" w:hanging="0"/>
        <w:jc w:val="both"/>
        <w:rPr>
          <w:rFonts w:ascii="Times New Roman" w:hAnsi="Times New Roman"/>
          <w:sz w:val="20"/>
        </w:rPr>
      </w:pPr>
      <w:bookmarkStart w:id="1772" w:name="TAB1700"/>
      <w:bookmarkEnd w:id="1772"/>
      <w:r>
        <w:rPr>
          <w:rFonts w:ascii="Times New Roman" w:hAnsi="Times New Roman"/>
          <w:sz w:val="20"/>
        </w:rPr>
        <w:t>Our ability to generate sufficient cash flows from operating activities in order to meet our obligations and commitments drives our liquidity position. This is further affected by our ability to obtain adequate, reasonable financing and/or to convert non-performing or non-strategic assets into cash. We cannot separate liquidity from capital resources in achieving our long-term goals or in order to meet our debt servicing requirements.</w:t>
      </w:r>
    </w:p>
    <w:p>
      <w:pPr>
        <w:pStyle w:val="TextBody"/>
        <w:spacing w:lineRule="auto" w:line="300" w:before="0" w:after="0"/>
        <w:ind w:left="0" w:right="0" w:hanging="0"/>
        <w:jc w:val="both"/>
        <w:rPr/>
      </w:pPr>
      <w:r>
        <w:rPr/>
        <w:t> </w:t>
      </w:r>
    </w:p>
    <w:p>
      <w:pPr>
        <w:pStyle w:val="TextBody"/>
        <w:spacing w:lineRule="auto" w:line="300" w:before="0" w:after="0"/>
        <w:ind w:left="720" w:right="0" w:hanging="0"/>
        <w:jc w:val="both"/>
        <w:rPr>
          <w:rFonts w:ascii="Times New Roman" w:hAnsi="Times New Roman"/>
          <w:sz w:val="20"/>
        </w:rPr>
      </w:pPr>
      <w:bookmarkStart w:id="1773" w:name="TAB1701"/>
      <w:bookmarkEnd w:id="1773"/>
      <w:r>
        <w:rPr>
          <w:rFonts w:ascii="Times New Roman" w:hAnsi="Times New Roman"/>
          <w:sz w:val="20"/>
        </w:rPr>
        <w:t>Currently, our liquidity needs continue to arise mainly from:</w:t>
      </w:r>
    </w:p>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774" w:name="hangingindent189"/>
      <w:bookmarkStart w:id="1775" w:name="hangingindent189"/>
      <w:bookmarkEnd w:id="1775"/>
    </w:p>
    <w:tbl>
      <w:tblPr>
        <w:tblW w:w="5000" w:type="pct"/>
        <w:jc w:val="center"/>
        <w:tblInd w:w="0" w:type="dxa"/>
        <w:tblCellMar>
          <w:top w:w="0" w:type="dxa"/>
          <w:left w:w="0" w:type="dxa"/>
          <w:bottom w:w="0" w:type="dxa"/>
          <w:right w:w="0" w:type="dxa"/>
        </w:tblCellMar>
      </w:tblPr>
      <w:tblGrid>
        <w:gridCol w:w="234"/>
        <w:gridCol w:w="373"/>
        <w:gridCol w:w="9598"/>
      </w:tblGrid>
      <w:tr>
        <w:trPr/>
        <w:tc>
          <w:tcPr>
            <w:tcW w:w="234" w:type="dxa"/>
            <w:tcBorders/>
            <w:shd w:fill="auto" w:val="clear"/>
          </w:tcPr>
          <w:p>
            <w:pPr>
              <w:pStyle w:val="TableContents"/>
              <w:spacing w:before="0" w:after="283"/>
              <w:rPr/>
            </w:pPr>
            <w:r>
              <w:rPr/>
              <w:t> </w:t>
            </w:r>
          </w:p>
        </w:tc>
        <w:tc>
          <w:tcPr>
            <w:tcW w:w="373"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959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working capital requirements;</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776" w:name="hangingindent190"/>
      <w:bookmarkStart w:id="1777" w:name="hangingindent190"/>
      <w:bookmarkEnd w:id="1777"/>
    </w:p>
    <w:tbl>
      <w:tblPr>
        <w:tblW w:w="5000" w:type="pct"/>
        <w:jc w:val="center"/>
        <w:tblInd w:w="0" w:type="dxa"/>
        <w:tblCellMar>
          <w:top w:w="0" w:type="dxa"/>
          <w:left w:w="0" w:type="dxa"/>
          <w:bottom w:w="0" w:type="dxa"/>
          <w:right w:w="0" w:type="dxa"/>
        </w:tblCellMar>
      </w:tblPr>
      <w:tblGrid>
        <w:gridCol w:w="73"/>
        <w:gridCol w:w="116"/>
        <w:gridCol w:w="10016"/>
      </w:tblGrid>
      <w:tr>
        <w:trPr/>
        <w:tc>
          <w:tcPr>
            <w:tcW w:w="73" w:type="dxa"/>
            <w:tcBorders/>
            <w:shd w:fill="auto" w:val="clear"/>
          </w:tcPr>
          <w:p>
            <w:pPr>
              <w:pStyle w:val="TableContents"/>
              <w:spacing w:before="0" w:after="283"/>
              <w:rPr/>
            </w:pPr>
            <w:r>
              <w:rPr/>
              <w:t> </w:t>
            </w:r>
          </w:p>
        </w:tc>
        <w:tc>
          <w:tcPr>
            <w:tcW w:w="116"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1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capital expenditures including the acquisition, holding and development of real property assets; and</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778" w:name="hangingindent191"/>
      <w:bookmarkStart w:id="1779" w:name="hangingindent191"/>
      <w:bookmarkEnd w:id="1779"/>
    </w:p>
    <w:tbl>
      <w:tblPr>
        <w:tblW w:w="5000" w:type="pct"/>
        <w:jc w:val="center"/>
        <w:tblInd w:w="0" w:type="dxa"/>
        <w:tblCellMar>
          <w:top w:w="0" w:type="dxa"/>
          <w:left w:w="0" w:type="dxa"/>
          <w:bottom w:w="0" w:type="dxa"/>
          <w:right w:w="0" w:type="dxa"/>
        </w:tblCellMar>
      </w:tblPr>
      <w:tblGrid>
        <w:gridCol w:w="247"/>
        <w:gridCol w:w="393"/>
        <w:gridCol w:w="9565"/>
      </w:tblGrid>
      <w:tr>
        <w:trPr/>
        <w:tc>
          <w:tcPr>
            <w:tcW w:w="247" w:type="dxa"/>
            <w:tcBorders/>
            <w:shd w:fill="auto" w:val="clear"/>
          </w:tcPr>
          <w:p>
            <w:pPr>
              <w:pStyle w:val="TableContents"/>
              <w:spacing w:before="0" w:after="283"/>
              <w:rPr/>
            </w:pPr>
            <w:r>
              <w:rPr/>
              <w:t> </w:t>
            </w:r>
          </w:p>
        </w:tc>
        <w:tc>
          <w:tcPr>
            <w:tcW w:w="393"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956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debt servicing requirements.</w:t>
            </w:r>
          </w:p>
        </w:tc>
      </w:tr>
    </w:tbl>
    <w:p>
      <w:pPr>
        <w:pStyle w:val="TextBody"/>
        <w:spacing w:lineRule="auto" w:line="300" w:before="0" w:after="0"/>
        <w:ind w:left="0" w:right="0" w:hanging="0"/>
        <w:jc w:val="both"/>
        <w:rPr/>
      </w:pPr>
      <w:r>
        <w:rPr/>
      </w:r>
    </w:p>
    <w:p>
      <w:pPr>
        <w:pStyle w:val="TextBody"/>
        <w:spacing w:lineRule="auto" w:line="300" w:before="0" w:after="0"/>
        <w:ind w:left="0" w:right="0" w:hanging="0"/>
        <w:jc w:val="both"/>
        <w:rPr/>
      </w:pPr>
      <w:r>
        <w:rPr>
          <w:rStyle w:val="Emphasis"/>
          <w:rFonts w:ascii="Times New Roman" w:hAnsi="Times New Roman"/>
          <w:sz w:val="20"/>
          <w:u w:val="single"/>
        </w:rPr>
        <w:t>Discussion of Our Statement of Cash Flows</w:t>
      </w:r>
    </w:p>
    <w:p>
      <w:pPr>
        <w:pStyle w:val="TextBody"/>
        <w:spacing w:lineRule="auto" w:line="300" w:before="0" w:after="0"/>
        <w:ind w:left="0" w:right="0" w:hanging="0"/>
        <w:jc w:val="both"/>
        <w:rPr/>
      </w:pPr>
      <w:r>
        <w:rPr/>
      </w:r>
    </w:p>
    <w:p>
      <w:pPr>
        <w:pStyle w:val="TextBody"/>
        <w:spacing w:lineRule="auto" w:line="300" w:before="0" w:after="0"/>
        <w:ind w:left="720" w:right="0" w:hanging="0"/>
        <w:jc w:val="both"/>
        <w:rPr>
          <w:rFonts w:ascii="Times New Roman" w:hAnsi="Times New Roman"/>
          <w:sz w:val="20"/>
        </w:rPr>
      </w:pPr>
      <w:bookmarkStart w:id="1780" w:name="TAB1702"/>
      <w:bookmarkEnd w:id="1780"/>
      <w:r>
        <w:rPr>
          <w:rFonts w:ascii="Times New Roman" w:hAnsi="Times New Roman"/>
          <w:sz w:val="20"/>
        </w:rPr>
        <w:t xml:space="preserve">The following discussion compares the changes in our cash flows over the past three years. </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pPr>
      <w:r>
        <w:rPr>
          <w:rStyle w:val="Emphasis"/>
          <w:rFonts w:ascii="Times New Roman" w:hAnsi="Times New Roman"/>
          <w:sz w:val="20"/>
        </w:rPr>
        <w:t>Operating Activities</w:t>
      </w:r>
    </w:p>
    <w:p>
      <w:pPr>
        <w:pStyle w:val="TextBody"/>
        <w:spacing w:lineRule="auto" w:line="300" w:before="0" w:after="0"/>
        <w:ind w:left="0" w:right="0" w:hanging="0"/>
        <w:jc w:val="both"/>
        <w:rPr/>
      </w:pPr>
      <w:r>
        <w:rPr/>
      </w:r>
    </w:p>
    <w:p>
      <w:pPr>
        <w:pStyle w:val="TextBody"/>
        <w:spacing w:lineRule="auto" w:line="300" w:before="0" w:after="0"/>
        <w:ind w:left="720" w:right="0" w:hanging="0"/>
        <w:jc w:val="both"/>
        <w:rPr/>
      </w:pPr>
      <w:bookmarkStart w:id="1781" w:name="TAB1703"/>
      <w:bookmarkEnd w:id="1781"/>
      <w:r>
        <w:rPr>
          <w:rFonts w:ascii="Times New Roman" w:hAnsi="Times New Roman"/>
          <w:sz w:val="20"/>
          <w:u w:val="single"/>
        </w:rPr>
        <w:t>2006 Compared to 2005.</w:t>
      </w:r>
      <w:r>
        <w:rPr/>
        <w:t xml:space="preserve"> </w:t>
      </w:r>
      <w:r>
        <w:rPr>
          <w:rFonts w:ascii="Times New Roman" w:hAnsi="Times New Roman"/>
          <w:sz w:val="20"/>
        </w:rPr>
        <w:t xml:space="preserve">Cash provided by operations was $11.9 million in the 2006 compared to $2.6 million in 2005. The increase in cash provided by operations of $9.3 million was primarily related to </w:t>
      </w:r>
    </w:p>
    <w:p>
      <w:pPr>
        <w:pStyle w:val="TextBody"/>
        <w:spacing w:lineRule="auto" w:line="300" w:before="0" w:after="0"/>
        <w:ind w:left="0" w:right="0" w:hanging="0"/>
        <w:jc w:val="both"/>
        <w:rPr/>
      </w:pPr>
      <w:r>
        <w:rPr/>
      </w:r>
    </w:p>
    <w:p>
      <w:pPr>
        <w:pStyle w:val="Normal"/>
        <w:spacing w:before="0" w:after="0"/>
        <w:rPr>
          <w:sz w:val="4"/>
          <w:szCs w:val="4"/>
        </w:rPr>
      </w:pPr>
      <w:r>
        <w:rPr>
          <w:sz w:val="4"/>
          <w:szCs w:val="4"/>
        </w:rPr>
      </w:r>
      <w:bookmarkStart w:id="1782" w:name="hangingindent192"/>
      <w:bookmarkStart w:id="1783" w:name="hangingindent192"/>
      <w:bookmarkEnd w:id="1783"/>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both"/>
              <w:rPr/>
            </w:pPr>
            <w:r>
              <w:rPr>
                <w:rFonts w:ascii="Times New Roman" w:hAnsi="Times New Roman"/>
                <w:sz w:val="20"/>
              </w:rPr>
              <w:t xml:space="preserve">cash distributions from our investments in unconsolidated joint ventures and entities of $6.6 million, including $5.9 million received as a return on investment on our $3.0 million investment in </w:t>
            </w:r>
            <w:r>
              <w:rPr>
                <w:rStyle w:val="Emphasis"/>
                <w:rFonts w:ascii="Times New Roman" w:hAnsi="Times New Roman"/>
                <w:sz w:val="20"/>
              </w:rPr>
              <w:t>Place 57</w:t>
            </w:r>
            <w:r>
              <w:rPr>
                <w:rFonts w:ascii="Times New Roman" w:hAnsi="Times New Roman"/>
                <w:sz w:val="20"/>
              </w:rPr>
              <w:t>;</w:t>
            </w:r>
          </w:p>
        </w:tc>
      </w:tr>
    </w:tbl>
    <w:p>
      <w:pPr>
        <w:pStyle w:val="TextBody"/>
        <w:spacing w:lineRule="auto" w:line="300" w:before="0" w:after="0"/>
        <w:ind w:left="0" w:right="0" w:hanging="0"/>
        <w:jc w:val="both"/>
        <w:rPr/>
      </w:pPr>
      <w:r>
        <w:rPr/>
      </w:r>
    </w:p>
    <w:p>
      <w:pPr>
        <w:pStyle w:val="Normal"/>
        <w:spacing w:before="0" w:after="0"/>
        <w:rPr>
          <w:sz w:val="4"/>
          <w:szCs w:val="4"/>
        </w:rPr>
      </w:pPr>
      <w:r>
        <w:rPr>
          <w:sz w:val="4"/>
          <w:szCs w:val="4"/>
        </w:rPr>
      </w:r>
      <w:bookmarkStart w:id="1784" w:name="hangingindent193"/>
      <w:bookmarkStart w:id="1785" w:name="hangingindent193"/>
      <w:bookmarkEnd w:id="1785"/>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increased cinema operational cash flow from our Australia operations due primarily to increased cinema admissions and improved operational costs; and</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786" w:name="PGBRK58"/>
      <w:bookmarkStart w:id="1787" w:name="PGBRK58"/>
      <w:bookmarkEnd w:id="178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788" w:name="FTR58"/>
      <w:bookmarkStart w:id="1789" w:name="FTR58"/>
      <w:bookmarkEnd w:id="178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790" w:name="GLFTR58"/>
      <w:bookmarkStart w:id="1791" w:name="GLFTR58"/>
      <w:bookmarkEnd w:id="179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1792" w:name="PN58"/>
      <w:bookmarkEnd w:id="1792"/>
      <w:r>
        <w:rPr>
          <w:rFonts w:ascii="Times New Roman" w:hAnsi="Times New Roman"/>
          <w:sz w:val="16"/>
        </w:rPr>
        <w:t>-58-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793" w:name="HDR58"/>
      <w:bookmarkStart w:id="1794" w:name="HDR58"/>
      <w:bookmarkEnd w:id="179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1795" w:name="GLHDR58"/>
        <w:bookmarkEnd w:id="1795"/>
        <w:r>
          <w:rPr>
            <w:rStyle w:val="Emphasis"/>
            <w:rFonts w:ascii="Times New Roman" w:hAnsi="Times New Roman"/>
            <w:color w:val="000000"/>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pStyle w:val="Normal"/>
        <w:spacing w:before="0" w:after="0"/>
        <w:rPr>
          <w:sz w:val="4"/>
          <w:szCs w:val="4"/>
        </w:rPr>
      </w:pPr>
      <w:r>
        <w:rPr>
          <w:sz w:val="4"/>
          <w:szCs w:val="4"/>
        </w:rPr>
      </w:r>
      <w:bookmarkStart w:id="1796" w:name="hangingindent194"/>
      <w:bookmarkStart w:id="1797" w:name="hangingindent194"/>
      <w:bookmarkEnd w:id="1797"/>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improved cash flow from our U.S. cinemas during 2006 resulting from the sale of our formerly underperforming Puerto Rico operations in June 2005.</w:t>
            </w:r>
          </w:p>
        </w:tc>
      </w:tr>
    </w:tbl>
    <w:p>
      <w:pPr>
        <w:pStyle w:val="TextBody"/>
        <w:spacing w:lineRule="auto" w:line="300" w:before="0" w:after="0"/>
        <w:ind w:left="0" w:right="0" w:hanging="0"/>
        <w:jc w:val="both"/>
        <w:rPr/>
      </w:pPr>
      <w:r>
        <w:rPr/>
      </w:r>
    </w:p>
    <w:p>
      <w:pPr>
        <w:pStyle w:val="TextBody"/>
        <w:spacing w:lineRule="auto" w:line="300" w:before="0" w:after="0"/>
        <w:ind w:left="720" w:right="0" w:hanging="0"/>
        <w:jc w:val="both"/>
        <w:rPr/>
      </w:pPr>
      <w:bookmarkStart w:id="1798" w:name="TAB1704"/>
      <w:bookmarkEnd w:id="1798"/>
      <w:r>
        <w:rPr>
          <w:rFonts w:ascii="Times New Roman" w:hAnsi="Times New Roman"/>
          <w:sz w:val="20"/>
          <w:u w:val="single"/>
        </w:rPr>
        <w:t>2005 Compared to 2004.</w:t>
      </w:r>
      <w:r>
        <w:rPr/>
        <w:t xml:space="preserve"> </w:t>
      </w:r>
      <w:r>
        <w:rPr>
          <w:rFonts w:ascii="Times New Roman" w:hAnsi="Times New Roman"/>
          <w:sz w:val="20"/>
        </w:rPr>
        <w:t>Cash provided by operations was $2.6 million compared to $783,000 in 2004. The increase in cash provided by operations of $1.8 million was due primarily to:</w:t>
      </w:r>
    </w:p>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799" w:name="hangingindent195"/>
      <w:bookmarkStart w:id="1800" w:name="hangingindent195"/>
      <w:bookmarkEnd w:id="1800"/>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 $592,000 increase of cash provided by our cinema operations notably $1.8 million from our new cinemas in New Zealand offset by a $1.2 million decrease cash provided by our Australia cinema operations resulting from lower admissions, driving lower revenues, which, coupled with non-revenue dependent costs from our previously existing cinema sites could not be fully offset by the cash flow from our cinema sites acquired or opened during the latter half of 2004 and during 2005;</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801" w:name="hangingindent196"/>
      <w:bookmarkStart w:id="1802" w:name="hangingindent196"/>
      <w:bookmarkEnd w:id="1802"/>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an $806,000 increase in cash provided by our real estate operations primarily due to increased cash flow coming from the New Zealand properties that we purchased in 2004;</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803" w:name="hangingindent197"/>
      <w:bookmarkStart w:id="1804" w:name="hangingindent197"/>
      <w:bookmarkEnd w:id="1804"/>
    </w:p>
    <w:tbl>
      <w:tblPr>
        <w:tblW w:w="5000" w:type="pct"/>
        <w:jc w:val="center"/>
        <w:tblInd w:w="0" w:type="dxa"/>
        <w:tblCellMar>
          <w:top w:w="0" w:type="dxa"/>
          <w:left w:w="0" w:type="dxa"/>
          <w:bottom w:w="0" w:type="dxa"/>
          <w:right w:w="0" w:type="dxa"/>
        </w:tblCellMar>
      </w:tblPr>
      <w:tblGrid>
        <w:gridCol w:w="82"/>
        <w:gridCol w:w="131"/>
        <w:gridCol w:w="9992"/>
      </w:tblGrid>
      <w:tr>
        <w:trPr/>
        <w:tc>
          <w:tcPr>
            <w:tcW w:w="82" w:type="dxa"/>
            <w:tcBorders/>
            <w:shd w:fill="auto" w:val="clear"/>
          </w:tcPr>
          <w:p>
            <w:pPr>
              <w:pStyle w:val="TableContents"/>
              <w:spacing w:before="0" w:after="283"/>
              <w:rPr/>
            </w:pPr>
            <w:r>
              <w:rPr/>
              <w:t> </w:t>
            </w:r>
          </w:p>
        </w:tc>
        <w:tc>
          <w:tcPr>
            <w:tcW w:w="131"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999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approximately $494,000 of cash received in payment of certain legal claims in 2005; and</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805" w:name="hangingindent198"/>
      <w:bookmarkStart w:id="1806" w:name="hangingindent198"/>
      <w:bookmarkEnd w:id="1806"/>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the non-recurrence of $165,000 in cash paid in 2004 for costs related to negotiations with a borrower with whom we ultimately did not consummate a credit facility. </w:t>
            </w:r>
          </w:p>
        </w:tc>
      </w:tr>
    </w:tbl>
    <w:p>
      <w:pPr>
        <w:pStyle w:val="TextBody"/>
        <w:spacing w:lineRule="auto" w:line="300" w:before="0" w:after="0"/>
        <w:ind w:left="0" w:right="0" w:hanging="0"/>
        <w:jc w:val="both"/>
        <w:rPr/>
      </w:pPr>
      <w:r>
        <w:rPr/>
      </w:r>
    </w:p>
    <w:p>
      <w:pPr>
        <w:pStyle w:val="TextBody"/>
        <w:spacing w:lineRule="auto" w:line="300" w:before="0" w:after="0"/>
        <w:ind w:left="0" w:right="0" w:hanging="0"/>
        <w:jc w:val="both"/>
        <w:rPr/>
      </w:pPr>
      <w:r>
        <w:rPr>
          <w:rStyle w:val="Emphasis"/>
          <w:rFonts w:ascii="Times New Roman" w:hAnsi="Times New Roman"/>
          <w:sz w:val="20"/>
        </w:rPr>
        <w:t>Investing Activities</w:t>
      </w:r>
    </w:p>
    <w:p>
      <w:pPr>
        <w:pStyle w:val="TextBody"/>
        <w:spacing w:lineRule="auto" w:line="300" w:before="0" w:after="0"/>
        <w:ind w:left="900" w:right="0" w:hanging="900"/>
        <w:jc w:val="both"/>
        <w:rPr/>
      </w:pPr>
      <w:r>
        <w:rPr/>
      </w:r>
    </w:p>
    <w:p>
      <w:pPr>
        <w:pStyle w:val="TextBody"/>
        <w:spacing w:lineRule="auto" w:line="300" w:before="0" w:after="0"/>
        <w:ind w:left="720" w:right="0" w:hanging="0"/>
        <w:jc w:val="both"/>
        <w:rPr>
          <w:rFonts w:ascii="Times New Roman" w:hAnsi="Times New Roman"/>
          <w:sz w:val="20"/>
        </w:rPr>
      </w:pPr>
      <w:bookmarkStart w:id="1807" w:name="TAB1705"/>
      <w:bookmarkEnd w:id="1807"/>
      <w:r>
        <w:rPr>
          <w:rFonts w:ascii="Times New Roman" w:hAnsi="Times New Roman"/>
          <w:sz w:val="20"/>
        </w:rPr>
        <w:t>Cash used in investing activities for 2006 was $23.4 million compared to $36.8 million in 2005, and $17.3 million in 2004. The following summarizes our investing activities for each of the three years ending December 31, 2006:</w:t>
      </w:r>
    </w:p>
    <w:p>
      <w:pPr>
        <w:pStyle w:val="TextBody"/>
        <w:spacing w:lineRule="auto" w:line="300" w:before="0" w:after="0"/>
        <w:ind w:left="0" w:right="0" w:hanging="0"/>
        <w:jc w:val="both"/>
        <w:rPr/>
      </w:pPr>
      <w:r>
        <w:rPr/>
      </w:r>
    </w:p>
    <w:p>
      <w:pPr>
        <w:pStyle w:val="TextBody"/>
        <w:spacing w:lineRule="auto" w:line="300" w:before="0" w:after="0"/>
        <w:ind w:left="720" w:right="0" w:hanging="0"/>
        <w:jc w:val="both"/>
        <w:rPr/>
      </w:pPr>
      <w:bookmarkStart w:id="1808" w:name="TAB1706"/>
      <w:bookmarkEnd w:id="1808"/>
      <w:r>
        <w:rPr>
          <w:rStyle w:val="StrongEmphasis"/>
          <w:rFonts w:ascii="Times New Roman" w:hAnsi="Times New Roman"/>
          <w:sz w:val="20"/>
        </w:rPr>
        <w:t>The $23.4 million cash used in 2006 was primarily related to:</w:t>
      </w:r>
    </w:p>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809" w:name="hangingindent199"/>
      <w:bookmarkStart w:id="1810" w:name="hangingindent199"/>
      <w:bookmarkEnd w:id="1810"/>
    </w:p>
    <w:tbl>
      <w:tblPr>
        <w:tblW w:w="5000" w:type="pct"/>
        <w:jc w:val="center"/>
        <w:tblInd w:w="0" w:type="dxa"/>
        <w:tblCellMar>
          <w:top w:w="0" w:type="dxa"/>
          <w:left w:w="0" w:type="dxa"/>
          <w:bottom w:w="0" w:type="dxa"/>
          <w:right w:w="0" w:type="dxa"/>
        </w:tblCellMar>
      </w:tblPr>
      <w:tblGrid>
        <w:gridCol w:w="184"/>
        <w:gridCol w:w="291"/>
        <w:gridCol w:w="9730"/>
      </w:tblGrid>
      <w:tr>
        <w:trPr/>
        <w:tc>
          <w:tcPr>
            <w:tcW w:w="184" w:type="dxa"/>
            <w:tcBorders/>
            <w:shd w:fill="auto" w:val="clear"/>
          </w:tcPr>
          <w:p>
            <w:pPr>
              <w:pStyle w:val="TableContents"/>
              <w:spacing w:before="0" w:after="283"/>
              <w:rPr/>
            </w:pPr>
            <w:r>
              <w:rPr/>
              <w:t> </w:t>
            </w:r>
          </w:p>
        </w:tc>
        <w:tc>
          <w:tcPr>
            <w:tcW w:w="291"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973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$8.1 million in acquisitions including:</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811" w:name="hangingindent200"/>
      <w:bookmarkStart w:id="1812" w:name="hangingindent200"/>
      <w:bookmarkEnd w:id="1812"/>
    </w:p>
    <w:tbl>
      <w:tblPr>
        <w:tblW w:w="5000" w:type="pct"/>
        <w:jc w:val="center"/>
        <w:tblInd w:w="0" w:type="dxa"/>
        <w:tblCellMar>
          <w:top w:w="0" w:type="dxa"/>
          <w:left w:w="0" w:type="dxa"/>
          <w:bottom w:w="0" w:type="dxa"/>
          <w:right w:w="0" w:type="dxa"/>
        </w:tblCellMar>
      </w:tblPr>
      <w:tblGrid>
        <w:gridCol w:w="95"/>
        <w:gridCol w:w="200"/>
        <w:gridCol w:w="9910"/>
      </w:tblGrid>
      <w:tr>
        <w:trPr/>
        <w:tc>
          <w:tcPr>
            <w:tcW w:w="95" w:type="dxa"/>
            <w:tcBorders/>
            <w:shd w:fill="auto" w:val="clear"/>
          </w:tcPr>
          <w:p>
            <w:pPr>
              <w:pStyle w:val="TableContents"/>
              <w:spacing w:before="0" w:after="283"/>
              <w:rPr/>
            </w:pPr>
            <w:r>
              <w:rPr/>
              <w:t> </w:t>
            </w:r>
          </w:p>
        </w:tc>
        <w:tc>
          <w:tcPr>
            <w:tcW w:w="20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o</w:t>
            </w:r>
          </w:p>
        </w:tc>
        <w:tc>
          <w:tcPr>
            <w:tcW w:w="991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$939,000 in cash used to purchase the Queenstown Cinema in New Zealand,</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813" w:name="hangingindent201"/>
      <w:bookmarkStart w:id="1814" w:name="hangingindent201"/>
      <w:bookmarkEnd w:id="1814"/>
    </w:p>
    <w:tbl>
      <w:tblPr>
        <w:tblW w:w="5000" w:type="pct"/>
        <w:jc w:val="center"/>
        <w:tblInd w:w="0" w:type="dxa"/>
        <w:tblCellMar>
          <w:top w:w="0" w:type="dxa"/>
          <w:left w:w="0" w:type="dxa"/>
          <w:bottom w:w="0" w:type="dxa"/>
          <w:right w:w="0" w:type="dxa"/>
        </w:tblCellMar>
      </w:tblPr>
      <w:tblGrid>
        <w:gridCol w:w="59"/>
        <w:gridCol w:w="125"/>
        <w:gridCol w:w="10021"/>
      </w:tblGrid>
      <w:tr>
        <w:trPr/>
        <w:tc>
          <w:tcPr>
            <w:tcW w:w="59" w:type="dxa"/>
            <w:tcBorders/>
            <w:shd w:fill="auto" w:val="clear"/>
          </w:tcPr>
          <w:p>
            <w:pPr>
              <w:pStyle w:val="TableContents"/>
              <w:spacing w:before="0" w:after="283"/>
              <w:rPr/>
            </w:pPr>
            <w:r>
              <w:rPr/>
              <w:t> </w:t>
            </w:r>
          </w:p>
        </w:tc>
        <w:tc>
          <w:tcPr>
            <w:tcW w:w="12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o</w:t>
            </w:r>
          </w:p>
        </w:tc>
        <w:tc>
          <w:tcPr>
            <w:tcW w:w="1002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$2.6 million in cash used to purchase the 50% share that we did not already own of the Palms cinema located in Christchurch, New Zealand,</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815" w:name="hangingindent202"/>
      <w:bookmarkStart w:id="1816" w:name="hangingindent202"/>
      <w:bookmarkEnd w:id="1816"/>
    </w:p>
    <w:tbl>
      <w:tblPr>
        <w:tblW w:w="5000" w:type="pct"/>
        <w:jc w:val="center"/>
        <w:tblInd w:w="0" w:type="dxa"/>
        <w:tblCellMar>
          <w:top w:w="0" w:type="dxa"/>
          <w:left w:w="0" w:type="dxa"/>
          <w:bottom w:w="0" w:type="dxa"/>
          <w:right w:w="0" w:type="dxa"/>
        </w:tblCellMar>
      </w:tblPr>
      <w:tblGrid>
        <w:gridCol w:w="125"/>
        <w:gridCol w:w="262"/>
        <w:gridCol w:w="9818"/>
      </w:tblGrid>
      <w:tr>
        <w:trPr/>
        <w:tc>
          <w:tcPr>
            <w:tcW w:w="125" w:type="dxa"/>
            <w:tcBorders/>
            <w:shd w:fill="auto" w:val="clear"/>
          </w:tcPr>
          <w:p>
            <w:pPr>
              <w:pStyle w:val="TableContents"/>
              <w:spacing w:before="0" w:after="283"/>
              <w:rPr/>
            </w:pPr>
            <w:r>
              <w:rPr/>
              <w:t> </w:t>
            </w:r>
          </w:p>
        </w:tc>
        <w:tc>
          <w:tcPr>
            <w:tcW w:w="26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o</w:t>
            </w:r>
          </w:p>
        </w:tc>
        <w:tc>
          <w:tcPr>
            <w:tcW w:w="981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$1.8 million for the Australia Indooroopilly property, and</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817" w:name="hangingindent203"/>
      <w:bookmarkStart w:id="1818" w:name="hangingindent203"/>
      <w:bookmarkEnd w:id="1818"/>
    </w:p>
    <w:tbl>
      <w:tblPr>
        <w:tblW w:w="5000" w:type="pct"/>
        <w:jc w:val="center"/>
        <w:tblInd w:w="0" w:type="dxa"/>
        <w:tblCellMar>
          <w:top w:w="0" w:type="dxa"/>
          <w:left w:w="0" w:type="dxa"/>
          <w:bottom w:w="0" w:type="dxa"/>
          <w:right w:w="0" w:type="dxa"/>
        </w:tblCellMar>
      </w:tblPr>
      <w:tblGrid>
        <w:gridCol w:w="108"/>
        <w:gridCol w:w="226"/>
        <w:gridCol w:w="9871"/>
      </w:tblGrid>
      <w:tr>
        <w:trPr/>
        <w:tc>
          <w:tcPr>
            <w:tcW w:w="108" w:type="dxa"/>
            <w:tcBorders/>
            <w:shd w:fill="auto" w:val="clear"/>
          </w:tcPr>
          <w:p>
            <w:pPr>
              <w:pStyle w:val="TableContents"/>
              <w:spacing w:before="0" w:after="283"/>
              <w:rPr/>
            </w:pPr>
            <w:r>
              <w:rPr/>
              <w:t> </w:t>
            </w:r>
          </w:p>
        </w:tc>
        <w:tc>
          <w:tcPr>
            <w:tcW w:w="22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o</w:t>
            </w:r>
          </w:p>
        </w:tc>
        <w:tc>
          <w:tcPr>
            <w:tcW w:w="987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$2.5 million for the adjacent parcel to our Moonee Ponds property;</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819" w:name="hangingindent204"/>
      <w:bookmarkStart w:id="1820" w:name="hangingindent204"/>
      <w:bookmarkEnd w:id="1820"/>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$8.3 million in cash used to complete the Newmarket property and for property enhancements to our Australia, New Zealand and U.S. properties; </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821" w:name="hangingindent205"/>
      <w:bookmarkStart w:id="1822" w:name="hangingindent205"/>
      <w:bookmarkEnd w:id="1822"/>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$2.7 million in cash used to invest in unconsolidated joint ventures and entities including $1.8 million paid for Malulani Investments, Ltd. stock and $876,000 additional cash invested in Rialto Cinemas used to pay off their bank debt;</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823" w:name="hangingindent206"/>
      <w:bookmarkStart w:id="1824" w:name="hangingindent206"/>
      <w:bookmarkEnd w:id="1824"/>
    </w:p>
    <w:tbl>
      <w:tblPr>
        <w:tblW w:w="5000" w:type="pct"/>
        <w:jc w:val="center"/>
        <w:tblInd w:w="0" w:type="dxa"/>
        <w:tblCellMar>
          <w:top w:w="0" w:type="dxa"/>
          <w:left w:w="0" w:type="dxa"/>
          <w:bottom w:w="0" w:type="dxa"/>
          <w:right w:w="0" w:type="dxa"/>
        </w:tblCellMar>
      </w:tblPr>
      <w:tblGrid>
        <w:gridCol w:w="76"/>
        <w:gridCol w:w="121"/>
        <w:gridCol w:w="10008"/>
      </w:tblGrid>
      <w:tr>
        <w:trPr/>
        <w:tc>
          <w:tcPr>
            <w:tcW w:w="76" w:type="dxa"/>
            <w:tcBorders/>
            <w:shd w:fill="auto" w:val="clear"/>
          </w:tcPr>
          <w:p>
            <w:pPr>
              <w:pStyle w:val="TableContents"/>
              <w:spacing w:before="0" w:after="283"/>
              <w:rPr/>
            </w:pPr>
            <w:r>
              <w:rPr/>
              <w:t> </w:t>
            </w:r>
          </w:p>
        </w:tc>
        <w:tc>
          <w:tcPr>
            <w:tcW w:w="121"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0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$844,000 increase in restricted cash related to potential claims by our credit card companies; and</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825" w:name="hangingindent207"/>
      <w:bookmarkStart w:id="1826" w:name="hangingindent207"/>
      <w:bookmarkEnd w:id="1826"/>
    </w:p>
    <w:tbl>
      <w:tblPr>
        <w:tblW w:w="5000" w:type="pct"/>
        <w:jc w:val="center"/>
        <w:tblInd w:w="0" w:type="dxa"/>
        <w:tblCellMar>
          <w:top w:w="0" w:type="dxa"/>
          <w:left w:w="0" w:type="dxa"/>
          <w:bottom w:w="0" w:type="dxa"/>
          <w:right w:w="0" w:type="dxa"/>
        </w:tblCellMar>
      </w:tblPr>
      <w:tblGrid>
        <w:gridCol w:w="122"/>
        <w:gridCol w:w="194"/>
        <w:gridCol w:w="9889"/>
      </w:tblGrid>
      <w:tr>
        <w:trPr/>
        <w:tc>
          <w:tcPr>
            <w:tcW w:w="122" w:type="dxa"/>
            <w:tcBorders/>
            <w:shd w:fill="auto" w:val="clear"/>
          </w:tcPr>
          <w:p>
            <w:pPr>
              <w:pStyle w:val="TableContents"/>
              <w:spacing w:before="0" w:after="283"/>
              <w:rPr/>
            </w:pPr>
            <w:r>
              <w:rPr/>
              <w:t> </w:t>
            </w:r>
          </w:p>
        </w:tc>
        <w:tc>
          <w:tcPr>
            <w:tcW w:w="194"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988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$8.1 million in cash used to purchase marketable securities.</w:t>
            </w:r>
          </w:p>
        </w:tc>
      </w:tr>
    </w:tbl>
    <w:p>
      <w:pPr>
        <w:pStyle w:val="TextBody"/>
        <w:spacing w:lineRule="auto" w:line="300" w:before="0" w:after="0"/>
        <w:ind w:left="0" w:right="0" w:hanging="0"/>
        <w:jc w:val="both"/>
        <w:rPr/>
      </w:pPr>
      <w:r>
        <w:rPr/>
        <w:t> </w:t>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offset by</w:t>
      </w:r>
    </w:p>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827" w:name="hangingindent208"/>
      <w:bookmarkStart w:id="1828" w:name="hangingindent208"/>
      <w:bookmarkEnd w:id="1828"/>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$4.6 million cash received from the sale of our interest the cinemas at Whangaparaoa, Takapuna and Mission Bay, New Zealand.</w:t>
            </w:r>
          </w:p>
        </w:tc>
      </w:tr>
    </w:tbl>
    <w:p>
      <w:pPr>
        <w:pStyle w:val="TextBody"/>
        <w:spacing w:lineRule="auto" w:line="300" w:before="0" w:after="0"/>
        <w:ind w:left="900" w:right="0" w:hanging="900"/>
        <w:jc w:val="both"/>
        <w:rPr/>
      </w:pPr>
      <w:r>
        <w:rPr/>
      </w:r>
    </w:p>
    <w:p>
      <w:pPr>
        <w:pStyle w:val="TextBody"/>
        <w:spacing w:lineRule="auto" w:line="300" w:before="0" w:after="0"/>
        <w:ind w:left="720" w:right="0" w:hanging="0"/>
        <w:jc w:val="both"/>
        <w:rPr/>
      </w:pPr>
      <w:bookmarkStart w:id="1829" w:name="TAB1707"/>
      <w:bookmarkEnd w:id="1829"/>
      <w:r>
        <w:rPr>
          <w:rStyle w:val="StrongEmphasis"/>
          <w:rFonts w:ascii="Times New Roman" w:hAnsi="Times New Roman"/>
          <w:sz w:val="20"/>
        </w:rPr>
        <w:t>The $36.8 million cash used in 2005 was primarily related to:</w:t>
      </w:r>
    </w:p>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830" w:name="hangingindent209"/>
      <w:bookmarkStart w:id="1831" w:name="hangingindent209"/>
      <w:bookmarkEnd w:id="1831"/>
    </w:p>
    <w:tbl>
      <w:tblPr>
        <w:tblW w:w="5000" w:type="pct"/>
        <w:jc w:val="center"/>
        <w:tblInd w:w="0" w:type="dxa"/>
        <w:tblCellMar>
          <w:top w:w="0" w:type="dxa"/>
          <w:left w:w="0" w:type="dxa"/>
          <w:bottom w:w="0" w:type="dxa"/>
          <w:right w:w="0" w:type="dxa"/>
        </w:tblCellMar>
      </w:tblPr>
      <w:tblGrid>
        <w:gridCol w:w="70"/>
        <w:gridCol w:w="112"/>
        <w:gridCol w:w="10023"/>
      </w:tblGrid>
      <w:tr>
        <w:trPr/>
        <w:tc>
          <w:tcPr>
            <w:tcW w:w="70" w:type="dxa"/>
            <w:tcBorders/>
            <w:shd w:fill="auto" w:val="clear"/>
          </w:tcPr>
          <w:p>
            <w:pPr>
              <w:pStyle w:val="TableContents"/>
              <w:spacing w:before="0" w:after="283"/>
              <w:rPr/>
            </w:pPr>
            <w:r>
              <w:rPr/>
              <w:t> </w:t>
            </w:r>
          </w:p>
        </w:tc>
        <w:tc>
          <w:tcPr>
            <w:tcW w:w="112"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2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$12.6 million in net proceeds from the sales of our Glendale office building and Puerto Rico operations; </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832" w:name="hangingindent210"/>
      <w:bookmarkStart w:id="1833" w:name="hangingindent210"/>
      <w:bookmarkEnd w:id="1833"/>
    </w:p>
    <w:tbl>
      <w:tblPr>
        <w:tblW w:w="5000" w:type="pct"/>
        <w:jc w:val="center"/>
        <w:tblInd w:w="0" w:type="dxa"/>
        <w:tblCellMar>
          <w:top w:w="0" w:type="dxa"/>
          <w:left w:w="0" w:type="dxa"/>
          <w:bottom w:w="0" w:type="dxa"/>
          <w:right w:w="0" w:type="dxa"/>
        </w:tblCellMar>
      </w:tblPr>
      <w:tblGrid>
        <w:gridCol w:w="115"/>
        <w:gridCol w:w="183"/>
        <w:gridCol w:w="9907"/>
      </w:tblGrid>
      <w:tr>
        <w:trPr/>
        <w:tc>
          <w:tcPr>
            <w:tcW w:w="115" w:type="dxa"/>
            <w:tcBorders/>
            <w:shd w:fill="auto" w:val="clear"/>
          </w:tcPr>
          <w:p>
            <w:pPr>
              <w:pStyle w:val="TableContents"/>
              <w:spacing w:before="0" w:after="283"/>
              <w:rPr/>
            </w:pPr>
            <w:r>
              <w:rPr/>
              <w:t> </w:t>
            </w:r>
          </w:p>
        </w:tc>
        <w:tc>
          <w:tcPr>
            <w:tcW w:w="183"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990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$1.0 million cash provided by a decrease in restricted cash; and</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834" w:name="hangingindent211"/>
      <w:bookmarkStart w:id="1835" w:name="hangingindent211"/>
      <w:bookmarkEnd w:id="1835"/>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$515,000 in cash proceeds from the sale of certain surplus properties used in connection with our historic railroad activities; </w:t>
            </w:r>
          </w:p>
        </w:tc>
      </w:tr>
    </w:tbl>
    <w:p>
      <w:pPr>
        <w:pStyle w:val="TextBody"/>
        <w:spacing w:lineRule="auto" w:line="300" w:before="0" w:after="0"/>
        <w:ind w:left="720" w:right="0" w:hanging="360"/>
        <w:jc w:val="both"/>
        <w:rPr/>
      </w:pPr>
      <w:r>
        <w:rPr/>
        <w:t> </w:t>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offset by</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836" w:name="PGBRK59"/>
      <w:bookmarkStart w:id="1837" w:name="PGBRK59"/>
      <w:bookmarkEnd w:id="183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838" w:name="FTR59"/>
      <w:bookmarkStart w:id="1839" w:name="FTR59"/>
      <w:bookmarkEnd w:id="183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840" w:name="GLFTR59"/>
      <w:bookmarkStart w:id="1841" w:name="GLFTR59"/>
      <w:bookmarkEnd w:id="184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1842" w:name="PN59"/>
      <w:bookmarkEnd w:id="1842"/>
      <w:r>
        <w:rPr>
          <w:rFonts w:ascii="Times New Roman" w:hAnsi="Times New Roman"/>
          <w:sz w:val="16"/>
        </w:rPr>
        <w:t>-59-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843" w:name="HDR59"/>
      <w:bookmarkStart w:id="1844" w:name="HDR59"/>
      <w:bookmarkEnd w:id="184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1845" w:name="GLHDR59"/>
        <w:bookmarkEnd w:id="1845"/>
        <w:r>
          <w:rPr>
            <w:rStyle w:val="Emphasis"/>
            <w:rFonts w:ascii="Times New Roman" w:hAnsi="Times New Roman"/>
            <w:color w:val="000000"/>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pStyle w:val="Normal"/>
        <w:spacing w:before="0" w:after="0"/>
        <w:rPr>
          <w:sz w:val="4"/>
          <w:szCs w:val="4"/>
        </w:rPr>
      </w:pPr>
      <w:r>
        <w:rPr>
          <w:sz w:val="4"/>
          <w:szCs w:val="4"/>
        </w:rPr>
      </w:r>
      <w:bookmarkStart w:id="1846" w:name="hangingindent212"/>
      <w:bookmarkStart w:id="1847" w:name="hangingindent212"/>
      <w:bookmarkEnd w:id="1847"/>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$13.7 million paid for acquisitions including $11.8 million for the acquisition of the fee interest lessor’s ground lease interest and lessee’s ground lease interest of the Cinemas 1, 2 &amp; 3 property in New York City and $2.0 million (AUS$2.6 million) paid for our new Melbourne office building;</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848" w:name="hangingindent213"/>
      <w:bookmarkStart w:id="1849" w:name="hangingindent213"/>
      <w:bookmarkEnd w:id="1849"/>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$6.5 million primarily paid to invest in or add capital to our unconsolidated joint ventures and entities including $4.8 million (NZ$6.9 million) to purchase 100% of the stock of Rialto Entertainment, $694,000 (NZ$1.0 million) to purchase a 1/3 interest in Rialto Distribution, and $719,000 paid as additional capital contributions with respect to our joint venture investment in Place 57; </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850" w:name="hangingindent214"/>
      <w:bookmarkStart w:id="1851" w:name="hangingindent214"/>
      <w:bookmarkEnd w:id="1851"/>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$30.5 million in purchases of equipment and development of property. In Australia, $28.4 million related primarily to the construction work on our Newmarket development in a suburb of Brisbane and the fit-out of our 8-screen Adelaide cinema which opened on October 20, 2005. $2.1 million in purchases of equipment primarily related to the renovation of our U.S. and New Zealand cinemas; and</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852" w:name="hangingindent215"/>
      <w:bookmarkStart w:id="1853" w:name="hangingindent215"/>
      <w:bookmarkEnd w:id="1853"/>
    </w:p>
    <w:tbl>
      <w:tblPr>
        <w:tblW w:w="5000" w:type="pct"/>
        <w:jc w:val="center"/>
        <w:tblInd w:w="0" w:type="dxa"/>
        <w:tblCellMar>
          <w:top w:w="0" w:type="dxa"/>
          <w:left w:w="0" w:type="dxa"/>
          <w:bottom w:w="0" w:type="dxa"/>
          <w:right w:w="0" w:type="dxa"/>
        </w:tblCellMar>
      </w:tblPr>
      <w:tblGrid>
        <w:gridCol w:w="129"/>
        <w:gridCol w:w="204"/>
        <w:gridCol w:w="9872"/>
      </w:tblGrid>
      <w:tr>
        <w:trPr/>
        <w:tc>
          <w:tcPr>
            <w:tcW w:w="129" w:type="dxa"/>
            <w:tcBorders/>
            <w:shd w:fill="auto" w:val="clear"/>
          </w:tcPr>
          <w:p>
            <w:pPr>
              <w:pStyle w:val="TableContents"/>
              <w:spacing w:before="0" w:after="283"/>
              <w:rPr/>
            </w:pPr>
            <w:r>
              <w:rPr/>
              <w:t> </w:t>
            </w:r>
          </w:p>
        </w:tc>
        <w:tc>
          <w:tcPr>
            <w:tcW w:w="204"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987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$376,000 paid to purchase certain marketable securities.</w:t>
            </w:r>
          </w:p>
        </w:tc>
      </w:tr>
    </w:tbl>
    <w:p>
      <w:pPr>
        <w:pStyle w:val="TextBody"/>
        <w:spacing w:lineRule="auto" w:line="300" w:before="0" w:after="0"/>
        <w:ind w:left="360" w:right="0" w:hanging="0"/>
        <w:jc w:val="both"/>
        <w:rPr/>
      </w:pPr>
      <w:r>
        <w:rPr/>
      </w:r>
    </w:p>
    <w:p>
      <w:pPr>
        <w:pStyle w:val="TextBody"/>
        <w:spacing w:lineRule="auto" w:line="300" w:before="0" w:after="0"/>
        <w:ind w:left="720" w:right="0" w:hanging="0"/>
        <w:jc w:val="both"/>
        <w:rPr/>
      </w:pPr>
      <w:bookmarkStart w:id="1854" w:name="TAB1708"/>
      <w:bookmarkEnd w:id="1854"/>
      <w:r>
        <w:rPr>
          <w:rStyle w:val="StrongEmphasis"/>
          <w:rFonts w:ascii="Times New Roman" w:hAnsi="Times New Roman"/>
          <w:sz w:val="20"/>
        </w:rPr>
        <w:t>The $17.3 million cash used in 2004 was primarily related to:</w:t>
      </w:r>
    </w:p>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855" w:name="hangingindent216"/>
      <w:bookmarkStart w:id="1856" w:name="hangingindent216"/>
      <w:bookmarkEnd w:id="1856"/>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$20.0 million of business acquisition costs related to the Anderson Circuit acquisition for $5.7 million (AUS$8.0 million), the purchase of certain land adjacent to our Newmarket (Queensland) site for $1.0 million (AUS$1.4 million), and the Movieland Circuit acquisition for $13.3 million (NZ$19.8 million); </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857" w:name="hangingindent217"/>
      <w:bookmarkStart w:id="1858" w:name="hangingindent217"/>
      <w:bookmarkEnd w:id="1858"/>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$3.8 million (AUS$5.0 million) related to the fit-outs to our Westlake and Rhodes leasehold cinemas (development opportunities acquired as a part of the Anderson Circuit);</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859" w:name="hangingindent218"/>
      <w:bookmarkStart w:id="1860" w:name="hangingindent218"/>
      <w:bookmarkEnd w:id="1860"/>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$1.4 million expended on the Newmarket development project (an approximately 100,373 square foot shopping center located in a suburb of Brisbane, Australia);</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861" w:name="hangingindent219"/>
      <w:bookmarkStart w:id="1862" w:name="hangingindent219"/>
      <w:bookmarkEnd w:id="1862"/>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both"/>
              <w:rPr/>
            </w:pPr>
            <w:r>
              <w:rPr>
                <w:rFonts w:ascii="Times New Roman" w:hAnsi="Times New Roman"/>
                <w:sz w:val="20"/>
              </w:rPr>
              <w:t>$2.3 million paid to acquire a 25% membership interest in 205-209 E. 57</w:t>
            </w:r>
            <w:r>
              <w:rPr>
                <w:rFonts w:ascii="Times New Roman" w:hAnsi="Times New Roman"/>
                <w:position w:val="7"/>
                <w:sz w:val="16"/>
                <w:sz w:val="20"/>
              </w:rPr>
              <w:t>th</w:t>
            </w:r>
            <w:r>
              <w:rPr/>
              <w:t xml:space="preserve"> </w:t>
            </w:r>
            <w:r>
              <w:rPr>
                <w:rFonts w:ascii="Times New Roman" w:hAnsi="Times New Roman"/>
                <w:sz w:val="20"/>
              </w:rPr>
              <w:t xml:space="preserve">Street Associates, LLC, the limited liability company developing our old Sutton Cinema site in Manhattan; </w:t>
            </w:r>
          </w:p>
        </w:tc>
      </w:tr>
    </w:tbl>
    <w:p>
      <w:pPr>
        <w:pStyle w:val="TextBody"/>
        <w:spacing w:lineRule="auto" w:line="300" w:before="0" w:after="0"/>
        <w:ind w:left="0" w:right="0" w:hanging="0"/>
        <w:jc w:val="both"/>
        <w:rPr/>
      </w:pPr>
      <w:r>
        <w:rPr/>
        <w:t> </w:t>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offset by</w:t>
      </w:r>
    </w:p>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863" w:name="hangingindent220"/>
      <w:bookmarkStart w:id="1864" w:name="hangingindent220"/>
      <w:bookmarkEnd w:id="1864"/>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$13.0 million receivable payment on the Sutton Promissory Note, issued to us in partial consideration for the sale to Place 57 of our interest in the Sutton Cinema site.</w:t>
            </w:r>
          </w:p>
        </w:tc>
      </w:tr>
    </w:tbl>
    <w:p>
      <w:pPr>
        <w:pStyle w:val="TextBody"/>
        <w:spacing w:lineRule="auto" w:line="300" w:before="0" w:after="0"/>
        <w:ind w:left="0" w:right="0" w:hanging="0"/>
        <w:jc w:val="both"/>
        <w:rPr/>
      </w:pPr>
      <w:r>
        <w:rPr/>
      </w:r>
    </w:p>
    <w:p>
      <w:pPr>
        <w:pStyle w:val="TextBody"/>
        <w:spacing w:lineRule="auto" w:line="300" w:before="0" w:after="0"/>
        <w:ind w:left="720" w:right="0" w:hanging="720"/>
        <w:jc w:val="both"/>
        <w:rPr/>
      </w:pPr>
      <w:r>
        <w:rPr>
          <w:rStyle w:val="Emphasis"/>
          <w:rFonts w:ascii="Times New Roman" w:hAnsi="Times New Roman"/>
          <w:sz w:val="20"/>
        </w:rPr>
        <w:t>Financing Activities</w:t>
      </w:r>
    </w:p>
    <w:p>
      <w:pPr>
        <w:pStyle w:val="TextBody"/>
        <w:spacing w:lineRule="auto" w:line="300" w:before="0" w:after="0"/>
        <w:ind w:left="720" w:right="0" w:hanging="720"/>
        <w:jc w:val="both"/>
        <w:rPr/>
      </w:pPr>
      <w:r>
        <w:rPr/>
      </w:r>
    </w:p>
    <w:p>
      <w:pPr>
        <w:pStyle w:val="TextBody"/>
        <w:spacing w:lineRule="auto" w:line="300" w:before="0" w:after="0"/>
        <w:ind w:left="720" w:right="0" w:hanging="0"/>
        <w:jc w:val="both"/>
        <w:rPr/>
      </w:pPr>
      <w:bookmarkStart w:id="1865" w:name="TAB1709"/>
      <w:bookmarkEnd w:id="1865"/>
      <w:r>
        <w:rPr>
          <w:rFonts w:ascii="Times New Roman" w:hAnsi="Times New Roman"/>
          <w:sz w:val="20"/>
          <w:u w:val="single"/>
        </w:rPr>
        <w:t>2006 Compared to 2005.</w:t>
      </w:r>
      <w:r>
        <w:rPr/>
        <w:t xml:space="preserve"> </w:t>
      </w:r>
      <w:r>
        <w:rPr>
          <w:rFonts w:ascii="Times New Roman" w:hAnsi="Times New Roman"/>
          <w:sz w:val="20"/>
        </w:rPr>
        <w:t>Cash provided by financing activities for 2006 decreased by $16.4 million to $13.9 million from $30.4 million compared to 2005. The $13.9 million in cash provided in 2006 was primarily related to:</w:t>
      </w:r>
    </w:p>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866" w:name="hangingindent221"/>
      <w:bookmarkStart w:id="1867" w:name="hangingindent221"/>
      <w:bookmarkEnd w:id="1867"/>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$19.1 million of net borrowings which includes $11.8 million from our existing Australian Corporate Credit Facility and $7.3 million of net proceeds from a renegotiated mortgage on our Union Square Property; and</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868" w:name="hangingindent222"/>
      <w:bookmarkStart w:id="1869" w:name="hangingindent222"/>
      <w:bookmarkEnd w:id="1869"/>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$3.0 million of a deposit received from Sutton Hill Capital, LLC for the option to purchase a 25% non-managing membership interest in the limited liability company that owns the Cinemas 1, 2 &amp; 3; </w:t>
            </w:r>
          </w:p>
        </w:tc>
      </w:tr>
    </w:tbl>
    <w:p>
      <w:pPr>
        <w:pStyle w:val="TextBody"/>
        <w:spacing w:lineRule="auto" w:line="300" w:before="0" w:after="0"/>
        <w:ind w:left="0" w:right="0" w:hanging="0"/>
        <w:jc w:val="both"/>
        <w:rPr/>
      </w:pPr>
      <w:r>
        <w:rPr/>
        <w:t> </w:t>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offset by</w:t>
      </w:r>
    </w:p>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870" w:name="hangingindent223"/>
      <w:bookmarkStart w:id="1871" w:name="hangingindent223"/>
      <w:bookmarkEnd w:id="1871"/>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both"/>
              <w:rPr/>
            </w:pPr>
            <w:r>
              <w:rPr>
                <w:rFonts w:ascii="Times New Roman" w:hAnsi="Times New Roman"/>
                <w:sz w:val="20"/>
              </w:rPr>
              <w:t>$6.2 million of cash used to pay down long-term debt which was primarily related to the payoff of $3.2 million on the mortgage on our Union Square Property as part of a renegotiation of the loan; the payoff of our Movieland purchase note payable of approximately $512,000; the payoff of the Palms - Christchurch Cinema bank debt of approximately $1.9 million; and on the pay down of our Australian Corporate Credit Facility</w:t>
            </w:r>
            <w:r>
              <w:rPr/>
              <w:t xml:space="preserve"> </w:t>
            </w:r>
            <w:r>
              <w:rPr>
                <w:rFonts w:ascii="Times New Roman" w:hAnsi="Times New Roman"/>
                <w:sz w:val="20"/>
              </w:rPr>
              <w:t xml:space="preserve">by $280,000; </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872" w:name="hangingindent224"/>
      <w:bookmarkStart w:id="1873" w:name="hangingindent224"/>
      <w:bookmarkEnd w:id="1873"/>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$791,000 of cash used to repurchase the Class A Nonvoting Common Stock (these shares were previously issued to the Movieland sellers who exercised their put option during 2006 to sell back to us the shares they had received in partial consideration for the sale of the Movieland cinemas); and</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874" w:name="hangingindent225"/>
      <w:bookmarkStart w:id="1875" w:name="hangingindent225"/>
      <w:bookmarkEnd w:id="1875"/>
    </w:p>
    <w:tbl>
      <w:tblPr>
        <w:tblW w:w="5000" w:type="pct"/>
        <w:jc w:val="center"/>
        <w:tblInd w:w="0" w:type="dxa"/>
        <w:tblCellMar>
          <w:top w:w="0" w:type="dxa"/>
          <w:left w:w="0" w:type="dxa"/>
          <w:bottom w:w="0" w:type="dxa"/>
          <w:right w:w="0" w:type="dxa"/>
        </w:tblCellMar>
      </w:tblPr>
      <w:tblGrid>
        <w:gridCol w:w="145"/>
        <w:gridCol w:w="231"/>
        <w:gridCol w:w="9829"/>
      </w:tblGrid>
      <w:tr>
        <w:trPr/>
        <w:tc>
          <w:tcPr>
            <w:tcW w:w="145" w:type="dxa"/>
            <w:tcBorders/>
            <w:shd w:fill="auto" w:val="clear"/>
          </w:tcPr>
          <w:p>
            <w:pPr>
              <w:pStyle w:val="TableContents"/>
              <w:spacing w:before="0" w:after="283"/>
              <w:rPr/>
            </w:pPr>
            <w:r>
              <w:rPr/>
              <w:t> </w:t>
            </w:r>
          </w:p>
        </w:tc>
        <w:tc>
          <w:tcPr>
            <w:tcW w:w="231"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982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$1.2 million in distributions to minority interests.</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876" w:name="PGBRK60"/>
      <w:bookmarkStart w:id="1877" w:name="PGBRK60"/>
      <w:bookmarkEnd w:id="187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878" w:name="FTR60"/>
      <w:bookmarkStart w:id="1879" w:name="FTR60"/>
      <w:bookmarkEnd w:id="187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880" w:name="GLFTR60"/>
      <w:bookmarkStart w:id="1881" w:name="GLFTR60"/>
      <w:bookmarkEnd w:id="188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1882" w:name="PN60"/>
      <w:bookmarkEnd w:id="1882"/>
      <w:r>
        <w:rPr>
          <w:rFonts w:ascii="Times New Roman" w:hAnsi="Times New Roman"/>
          <w:sz w:val="16"/>
        </w:rPr>
        <w:t>-60-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883" w:name="HDR60"/>
      <w:bookmarkStart w:id="1884" w:name="HDR60"/>
      <w:bookmarkEnd w:id="188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1885" w:name="GLHDR60"/>
        <w:bookmarkEnd w:id="1885"/>
        <w:r>
          <w:rPr>
            <w:rStyle w:val="Emphasis"/>
            <w:rFonts w:ascii="Times New Roman" w:hAnsi="Times New Roman"/>
            <w:color w:val="000000"/>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pStyle w:val="TextBody"/>
        <w:spacing w:lineRule="auto" w:line="300" w:before="0" w:after="0"/>
        <w:ind w:left="720" w:right="0" w:hanging="0"/>
        <w:jc w:val="both"/>
        <w:rPr/>
      </w:pPr>
      <w:bookmarkStart w:id="1886" w:name="TAB1710"/>
      <w:bookmarkEnd w:id="1886"/>
      <w:r>
        <w:rPr>
          <w:rFonts w:ascii="Times New Roman" w:hAnsi="Times New Roman"/>
          <w:sz w:val="20"/>
          <w:u w:val="single"/>
        </w:rPr>
        <w:t>2005 Compared to 2004.</w:t>
      </w:r>
      <w:r>
        <w:rPr/>
        <w:t xml:space="preserve"> </w:t>
      </w:r>
      <w:r>
        <w:rPr>
          <w:rFonts w:ascii="Times New Roman" w:hAnsi="Times New Roman"/>
          <w:sz w:val="20"/>
        </w:rPr>
        <w:t>Cash provided by financing activities was $30.4 million in 2005 compared to $6.8 million in 2004. This increase is attributable to our increase in borrowings of approximately $31.7 million. These borrowings came from draws of approximately $9.2 million (AUS$11.9 million) and $22.5 million (AUS$29.6 million) from our Australian Corporate Credit Facility and our Newmarket Construction Loan, respectively.</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pPr>
      <w:r>
        <w:rPr>
          <w:rStyle w:val="Emphasis"/>
          <w:rFonts w:ascii="Times New Roman" w:hAnsi="Times New Roman"/>
          <w:sz w:val="20"/>
        </w:rPr>
        <w:t>2006 Summary</w:t>
      </w:r>
    </w:p>
    <w:p>
      <w:pPr>
        <w:pStyle w:val="TextBody"/>
        <w:spacing w:lineRule="auto" w:line="300" w:before="0" w:after="0"/>
        <w:ind w:left="0" w:right="0" w:hanging="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Our cash position at December 31, 2006 was $11.0 million compared to $8.5 million at December 31, 2005. The majority of the $2.5 million increase related to the following transactions:</w:t>
      </w:r>
    </w:p>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887" w:name="hangingindent226"/>
      <w:bookmarkStart w:id="1888" w:name="hangingindent226"/>
      <w:bookmarkEnd w:id="1888"/>
    </w:p>
    <w:tbl>
      <w:tblPr>
        <w:tblW w:w="5000" w:type="pct"/>
        <w:jc w:val="center"/>
        <w:tblInd w:w="0" w:type="dxa"/>
        <w:tblCellMar>
          <w:top w:w="0" w:type="dxa"/>
          <w:left w:w="0" w:type="dxa"/>
          <w:bottom w:w="0" w:type="dxa"/>
          <w:right w:w="0" w:type="dxa"/>
        </w:tblCellMar>
      </w:tblPr>
      <w:tblGrid>
        <w:gridCol w:w="130"/>
        <w:gridCol w:w="206"/>
        <w:gridCol w:w="9869"/>
      </w:tblGrid>
      <w:tr>
        <w:trPr/>
        <w:tc>
          <w:tcPr>
            <w:tcW w:w="130" w:type="dxa"/>
            <w:tcBorders/>
            <w:shd w:fill="auto" w:val="clear"/>
          </w:tcPr>
          <w:p>
            <w:pPr>
              <w:pStyle w:val="TableContents"/>
              <w:spacing w:before="0" w:after="283"/>
              <w:rPr/>
            </w:pPr>
            <w:r>
              <w:rPr/>
              <w:t> </w:t>
            </w:r>
          </w:p>
        </w:tc>
        <w:tc>
          <w:tcPr>
            <w:tcW w:w="206"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986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$11.9 million net cash provided by operating activities;</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889" w:name="hangingindent227"/>
      <w:bookmarkStart w:id="1890" w:name="hangingindent227"/>
      <w:bookmarkEnd w:id="1890"/>
    </w:p>
    <w:tbl>
      <w:tblPr>
        <w:tblW w:w="5000" w:type="pct"/>
        <w:jc w:val="center"/>
        <w:tblInd w:w="0" w:type="dxa"/>
        <w:tblCellMar>
          <w:top w:w="0" w:type="dxa"/>
          <w:left w:w="0" w:type="dxa"/>
          <w:bottom w:w="0" w:type="dxa"/>
          <w:right w:w="0" w:type="dxa"/>
        </w:tblCellMar>
      </w:tblPr>
      <w:tblGrid>
        <w:gridCol w:w="95"/>
        <w:gridCol w:w="150"/>
        <w:gridCol w:w="9960"/>
      </w:tblGrid>
      <w:tr>
        <w:trPr/>
        <w:tc>
          <w:tcPr>
            <w:tcW w:w="95" w:type="dxa"/>
            <w:tcBorders/>
            <w:shd w:fill="auto" w:val="clear"/>
          </w:tcPr>
          <w:p>
            <w:pPr>
              <w:pStyle w:val="TableContents"/>
              <w:spacing w:before="0" w:after="283"/>
              <w:rPr/>
            </w:pPr>
            <w:r>
              <w:rPr/>
              <w:t> </w:t>
            </w:r>
          </w:p>
        </w:tc>
        <w:tc>
          <w:tcPr>
            <w:tcW w:w="150"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996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$11.8 million of new borrowings on our Australian Corporate Credit Facility;</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891" w:name="hangingindent228"/>
      <w:bookmarkStart w:id="1892" w:name="hangingindent228"/>
      <w:bookmarkEnd w:id="1892"/>
    </w:p>
    <w:tbl>
      <w:tblPr>
        <w:tblW w:w="5000" w:type="pct"/>
        <w:jc w:val="center"/>
        <w:tblInd w:w="0" w:type="dxa"/>
        <w:tblCellMar>
          <w:top w:w="0" w:type="dxa"/>
          <w:left w:w="0" w:type="dxa"/>
          <w:bottom w:w="0" w:type="dxa"/>
          <w:right w:w="0" w:type="dxa"/>
        </w:tblCellMar>
      </w:tblPr>
      <w:tblGrid>
        <w:gridCol w:w="87"/>
        <w:gridCol w:w="137"/>
        <w:gridCol w:w="9981"/>
      </w:tblGrid>
      <w:tr>
        <w:trPr/>
        <w:tc>
          <w:tcPr>
            <w:tcW w:w="87" w:type="dxa"/>
            <w:tcBorders/>
            <w:shd w:fill="auto" w:val="clear"/>
          </w:tcPr>
          <w:p>
            <w:pPr>
              <w:pStyle w:val="TableContents"/>
              <w:spacing w:before="0" w:after="283"/>
              <w:rPr/>
            </w:pPr>
            <w:r>
              <w:rPr/>
              <w:t> </w:t>
            </w:r>
          </w:p>
        </w:tc>
        <w:tc>
          <w:tcPr>
            <w:tcW w:w="137"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998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$7.3 million of a recently renegotiated mortgage loan on our Union Square property;</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893" w:name="hangingindent229"/>
      <w:bookmarkStart w:id="1894" w:name="hangingindent229"/>
      <w:bookmarkEnd w:id="1894"/>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$4.6 million cash received from the sale of our interest the cinemas at Whangaparaoa, Takapuna and Mission Bay, New Zealand; and</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895" w:name="hangingindent230"/>
      <w:bookmarkStart w:id="1896" w:name="hangingindent230"/>
      <w:bookmarkEnd w:id="1896"/>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$3.0 million of a deposit paid by Sutton Hill Capital, LLC relating to its option to purchase a 25% non-managing membership interest in the limited liability company that owns the Cinemas 1, 2, &amp; 3; </w:t>
            </w:r>
          </w:p>
        </w:tc>
      </w:tr>
    </w:tbl>
    <w:p>
      <w:pPr>
        <w:pStyle w:val="TextBody"/>
        <w:spacing w:lineRule="auto" w:line="300" w:before="0" w:after="0"/>
        <w:ind w:left="0" w:right="0" w:hanging="0"/>
        <w:jc w:val="both"/>
        <w:rPr/>
      </w:pPr>
      <w:r>
        <w:rPr/>
        <w:t> </w:t>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offset by</w:t>
      </w:r>
    </w:p>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897" w:name="hangingindent231"/>
      <w:bookmarkStart w:id="1898" w:name="hangingindent231"/>
      <w:bookmarkEnd w:id="1898"/>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$8.1 million for the acquisition of the Queenstown and Palms cinemas in New Zealand and Indooroopilly and Moonee Ponds properties in Australia;</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899" w:name="hangingindent232"/>
      <w:bookmarkStart w:id="1900" w:name="hangingindent232"/>
      <w:bookmarkEnd w:id="1900"/>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$8.3 million in cash used to complete the Newmarket property and for property enhancements to our Australia, New Zealand and U.S. properties;</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901" w:name="hangingindent233"/>
      <w:bookmarkStart w:id="1902" w:name="hangingindent233"/>
      <w:bookmarkEnd w:id="1902"/>
    </w:p>
    <w:tbl>
      <w:tblPr>
        <w:tblW w:w="5000" w:type="pct"/>
        <w:jc w:val="center"/>
        <w:tblInd w:w="0" w:type="dxa"/>
        <w:tblCellMar>
          <w:top w:w="0" w:type="dxa"/>
          <w:left w:w="0" w:type="dxa"/>
          <w:bottom w:w="0" w:type="dxa"/>
          <w:right w:w="0" w:type="dxa"/>
        </w:tblCellMar>
      </w:tblPr>
      <w:tblGrid>
        <w:gridCol w:w="86"/>
        <w:gridCol w:w="138"/>
        <w:gridCol w:w="9981"/>
      </w:tblGrid>
      <w:tr>
        <w:trPr/>
        <w:tc>
          <w:tcPr>
            <w:tcW w:w="86" w:type="dxa"/>
            <w:tcBorders/>
            <w:shd w:fill="auto" w:val="clear"/>
          </w:tcPr>
          <w:p>
            <w:pPr>
              <w:pStyle w:val="TableContents"/>
              <w:spacing w:before="0" w:after="283"/>
              <w:rPr/>
            </w:pPr>
            <w:r>
              <w:rPr/>
              <w:t> </w:t>
            </w:r>
          </w:p>
        </w:tc>
        <w:tc>
          <w:tcPr>
            <w:tcW w:w="138"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998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$6.2 million of cash used to pay down long-term debt which was primarily related to </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903" w:name="hangingindent234"/>
      <w:bookmarkStart w:id="1904" w:name="hangingindent234"/>
      <w:bookmarkEnd w:id="1904"/>
    </w:p>
    <w:tbl>
      <w:tblPr>
        <w:tblW w:w="5000" w:type="pct"/>
        <w:jc w:val="center"/>
        <w:tblInd w:w="0" w:type="dxa"/>
        <w:tblCellMar>
          <w:top w:w="0" w:type="dxa"/>
          <w:left w:w="0" w:type="dxa"/>
          <w:bottom w:w="0" w:type="dxa"/>
          <w:right w:w="0" w:type="dxa"/>
        </w:tblCellMar>
      </w:tblPr>
      <w:tblGrid>
        <w:gridCol w:w="91"/>
        <w:gridCol w:w="190"/>
        <w:gridCol w:w="9924"/>
      </w:tblGrid>
      <w:tr>
        <w:trPr/>
        <w:tc>
          <w:tcPr>
            <w:tcW w:w="91" w:type="dxa"/>
            <w:tcBorders/>
            <w:shd w:fill="auto" w:val="clear"/>
          </w:tcPr>
          <w:p>
            <w:pPr>
              <w:pStyle w:val="TableContents"/>
              <w:spacing w:before="0" w:after="283"/>
              <w:rPr/>
            </w:pPr>
            <w:r>
              <w:rPr/>
              <w:t> </w:t>
            </w:r>
          </w:p>
        </w:tc>
        <w:tc>
          <w:tcPr>
            <w:tcW w:w="19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o</w:t>
            </w:r>
          </w:p>
        </w:tc>
        <w:tc>
          <w:tcPr>
            <w:tcW w:w="992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the payoff of the Movieland purchase note payable of approximately $520,000, </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905" w:name="hangingindent235"/>
      <w:bookmarkStart w:id="1906" w:name="hangingindent235"/>
      <w:bookmarkEnd w:id="1906"/>
    </w:p>
    <w:tbl>
      <w:tblPr>
        <w:tblW w:w="5000" w:type="pct"/>
        <w:jc w:val="center"/>
        <w:tblInd w:w="0" w:type="dxa"/>
        <w:tblCellMar>
          <w:top w:w="0" w:type="dxa"/>
          <w:left w:w="0" w:type="dxa"/>
          <w:bottom w:w="0" w:type="dxa"/>
          <w:right w:w="0" w:type="dxa"/>
        </w:tblCellMar>
      </w:tblPr>
      <w:tblGrid>
        <w:gridCol w:w="83"/>
        <w:gridCol w:w="174"/>
        <w:gridCol w:w="9948"/>
      </w:tblGrid>
      <w:tr>
        <w:trPr/>
        <w:tc>
          <w:tcPr>
            <w:tcW w:w="83" w:type="dxa"/>
            <w:tcBorders/>
            <w:shd w:fill="auto" w:val="clear"/>
          </w:tcPr>
          <w:p>
            <w:pPr>
              <w:pStyle w:val="TableContents"/>
              <w:spacing w:before="0" w:after="283"/>
              <w:rPr/>
            </w:pPr>
            <w:r>
              <w:rPr/>
              <w:t> </w:t>
            </w:r>
          </w:p>
        </w:tc>
        <w:tc>
          <w:tcPr>
            <w:tcW w:w="17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o</w:t>
            </w:r>
          </w:p>
        </w:tc>
        <w:tc>
          <w:tcPr>
            <w:tcW w:w="994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payoff of the Palms - Christchurch Cinema bank debt of approximately $1.9 million,</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907" w:name="hangingindent236"/>
      <w:bookmarkStart w:id="1908" w:name="hangingindent236"/>
      <w:bookmarkEnd w:id="1908"/>
    </w:p>
    <w:tbl>
      <w:tblPr>
        <w:tblW w:w="5000" w:type="pct"/>
        <w:jc w:val="center"/>
        <w:tblInd w:w="0" w:type="dxa"/>
        <w:tblCellMar>
          <w:top w:w="0" w:type="dxa"/>
          <w:left w:w="0" w:type="dxa"/>
          <w:bottom w:w="0" w:type="dxa"/>
          <w:right w:w="0" w:type="dxa"/>
        </w:tblCellMar>
      </w:tblPr>
      <w:tblGrid>
        <w:gridCol w:w="80"/>
        <w:gridCol w:w="167"/>
        <w:gridCol w:w="9958"/>
      </w:tblGrid>
      <w:tr>
        <w:trPr/>
        <w:tc>
          <w:tcPr>
            <w:tcW w:w="80" w:type="dxa"/>
            <w:tcBorders/>
            <w:shd w:fill="auto" w:val="clear"/>
          </w:tcPr>
          <w:p>
            <w:pPr>
              <w:pStyle w:val="TableContents"/>
              <w:spacing w:before="0" w:after="283"/>
              <w:rPr/>
            </w:pPr>
            <w:r>
              <w:rPr/>
              <w:t> </w:t>
            </w:r>
          </w:p>
        </w:tc>
        <w:tc>
          <w:tcPr>
            <w:tcW w:w="16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o</w:t>
            </w:r>
          </w:p>
        </w:tc>
        <w:tc>
          <w:tcPr>
            <w:tcW w:w="995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the payoff of our Union Square mortgage of $3.2 million with a newly negotiated loan, and </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909" w:name="hangingindent237"/>
      <w:bookmarkStart w:id="1910" w:name="hangingindent237"/>
      <w:bookmarkEnd w:id="1910"/>
    </w:p>
    <w:tbl>
      <w:tblPr>
        <w:tblW w:w="5000" w:type="pct"/>
        <w:jc w:val="center"/>
        <w:tblInd w:w="0" w:type="dxa"/>
        <w:tblCellMar>
          <w:top w:w="0" w:type="dxa"/>
          <w:left w:w="0" w:type="dxa"/>
          <w:bottom w:w="0" w:type="dxa"/>
          <w:right w:w="0" w:type="dxa"/>
        </w:tblCellMar>
      </w:tblPr>
      <w:tblGrid>
        <w:gridCol w:w="101"/>
        <w:gridCol w:w="213"/>
        <w:gridCol w:w="9891"/>
      </w:tblGrid>
      <w:tr>
        <w:trPr/>
        <w:tc>
          <w:tcPr>
            <w:tcW w:w="101" w:type="dxa"/>
            <w:tcBorders/>
            <w:shd w:fill="auto" w:val="clear"/>
          </w:tcPr>
          <w:p>
            <w:pPr>
              <w:pStyle w:val="TableContents"/>
              <w:spacing w:before="0" w:after="283"/>
              <w:rPr/>
            </w:pPr>
            <w:r>
              <w:rPr/>
              <w:t> </w:t>
            </w:r>
          </w:p>
        </w:tc>
        <w:tc>
          <w:tcPr>
            <w:tcW w:w="21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o</w:t>
            </w:r>
          </w:p>
        </w:tc>
        <w:tc>
          <w:tcPr>
            <w:tcW w:w="9891" w:type="dxa"/>
            <w:tcBorders/>
            <w:shd w:fill="auto" w:val="clear"/>
          </w:tcPr>
          <w:p>
            <w:pPr>
              <w:pStyle w:val="TableContents"/>
              <w:spacing w:before="0" w:after="0"/>
              <w:ind w:left="0" w:right="0" w:hanging="0"/>
              <w:jc w:val="both"/>
              <w:rPr/>
            </w:pPr>
            <w:r>
              <w:rPr>
                <w:rFonts w:ascii="Times New Roman" w:hAnsi="Times New Roman"/>
                <w:sz w:val="20"/>
              </w:rPr>
              <w:t>the pay down of our Australian Corporate Credit Facility</w:t>
            </w:r>
            <w:r>
              <w:rPr/>
              <w:t xml:space="preserve"> </w:t>
            </w:r>
            <w:r>
              <w:rPr>
                <w:rFonts w:ascii="Times New Roman" w:hAnsi="Times New Roman"/>
                <w:sz w:val="20"/>
              </w:rPr>
              <w:t xml:space="preserve">by $280,000; </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911" w:name="hangingindent238"/>
      <w:bookmarkStart w:id="1912" w:name="hangingindent238"/>
      <w:bookmarkEnd w:id="1912"/>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$791,000 of cash used to repurchase the Class A Nonvoting Common Stock (these shares were previously issued to the Movieland sellers who exercised their put option during 2006 to sell back to us the shares they had received in partial consideration for the sale of the Movieland cinemas);</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913" w:name="hangingindent239"/>
      <w:bookmarkStart w:id="1914" w:name="hangingindent239"/>
      <w:bookmarkEnd w:id="1914"/>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$2.7 million in cash used to invest in unconsolidated joint ventures and entities including $1.8 million paid for Malulani Investments, Limited stock and $876,000 additional cash invested in Rialto Cinemas; </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915" w:name="hangingindent240"/>
      <w:bookmarkStart w:id="1916" w:name="hangingindent240"/>
      <w:bookmarkEnd w:id="1916"/>
    </w:p>
    <w:tbl>
      <w:tblPr>
        <w:tblW w:w="5000" w:type="pct"/>
        <w:jc w:val="center"/>
        <w:tblInd w:w="0" w:type="dxa"/>
        <w:tblCellMar>
          <w:top w:w="0" w:type="dxa"/>
          <w:left w:w="0" w:type="dxa"/>
          <w:bottom w:w="0" w:type="dxa"/>
          <w:right w:w="0" w:type="dxa"/>
        </w:tblCellMar>
      </w:tblPr>
      <w:tblGrid>
        <w:gridCol w:w="122"/>
        <w:gridCol w:w="193"/>
        <w:gridCol w:w="9890"/>
      </w:tblGrid>
      <w:tr>
        <w:trPr/>
        <w:tc>
          <w:tcPr>
            <w:tcW w:w="122" w:type="dxa"/>
            <w:tcBorders/>
            <w:shd w:fill="auto" w:val="clear"/>
          </w:tcPr>
          <w:p>
            <w:pPr>
              <w:pStyle w:val="TableContents"/>
              <w:spacing w:before="0" w:after="283"/>
              <w:rPr/>
            </w:pPr>
            <w:r>
              <w:rPr/>
              <w:t> </w:t>
            </w:r>
          </w:p>
        </w:tc>
        <w:tc>
          <w:tcPr>
            <w:tcW w:w="193"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989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$8.1 million in cash used to purchase marketable securities;</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917" w:name="hangingindent241"/>
      <w:bookmarkStart w:id="1918" w:name="hangingindent241"/>
      <w:bookmarkEnd w:id="1918"/>
    </w:p>
    <w:tbl>
      <w:tblPr>
        <w:tblW w:w="5000" w:type="pct"/>
        <w:jc w:val="center"/>
        <w:tblInd w:w="0" w:type="dxa"/>
        <w:tblCellMar>
          <w:top w:w="0" w:type="dxa"/>
          <w:left w:w="0" w:type="dxa"/>
          <w:bottom w:w="0" w:type="dxa"/>
          <w:right w:w="0" w:type="dxa"/>
        </w:tblCellMar>
      </w:tblPr>
      <w:tblGrid>
        <w:gridCol w:w="61"/>
        <w:gridCol w:w="98"/>
        <w:gridCol w:w="10046"/>
      </w:tblGrid>
      <w:tr>
        <w:trPr/>
        <w:tc>
          <w:tcPr>
            <w:tcW w:w="61" w:type="dxa"/>
            <w:tcBorders/>
            <w:shd w:fill="auto" w:val="clear"/>
          </w:tcPr>
          <w:p>
            <w:pPr>
              <w:pStyle w:val="TableContents"/>
              <w:spacing w:before="0" w:after="283"/>
              <w:rPr/>
            </w:pPr>
            <w:r>
              <w:rPr/>
              <w:t> </w:t>
            </w:r>
          </w:p>
        </w:tc>
        <w:tc>
          <w:tcPr>
            <w:tcW w:w="98"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4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$844,000 increase in restricted cash for potential claims related to the use by third parties of counterfeit credit cards; and</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919" w:name="hangingindent242"/>
      <w:bookmarkStart w:id="1920" w:name="hangingindent242"/>
      <w:bookmarkEnd w:id="1920"/>
    </w:p>
    <w:tbl>
      <w:tblPr>
        <w:tblW w:w="5000" w:type="pct"/>
        <w:jc w:val="center"/>
        <w:tblInd w:w="0" w:type="dxa"/>
        <w:tblCellMar>
          <w:top w:w="0" w:type="dxa"/>
          <w:left w:w="0" w:type="dxa"/>
          <w:bottom w:w="0" w:type="dxa"/>
          <w:right w:w="0" w:type="dxa"/>
        </w:tblCellMar>
      </w:tblPr>
      <w:tblGrid>
        <w:gridCol w:w="145"/>
        <w:gridCol w:w="231"/>
        <w:gridCol w:w="9829"/>
      </w:tblGrid>
      <w:tr>
        <w:trPr/>
        <w:tc>
          <w:tcPr>
            <w:tcW w:w="145" w:type="dxa"/>
            <w:tcBorders/>
            <w:shd w:fill="auto" w:val="clear"/>
          </w:tcPr>
          <w:p>
            <w:pPr>
              <w:pStyle w:val="TableContents"/>
              <w:spacing w:before="0" w:after="283"/>
              <w:rPr/>
            </w:pPr>
            <w:r>
              <w:rPr/>
              <w:t> </w:t>
            </w:r>
          </w:p>
        </w:tc>
        <w:tc>
          <w:tcPr>
            <w:tcW w:w="231"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982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$1.2 million in distributions to minority interests.</w:t>
            </w:r>
          </w:p>
        </w:tc>
      </w:tr>
    </w:tbl>
    <w:p>
      <w:pPr>
        <w:pStyle w:val="TextBody"/>
        <w:spacing w:lineRule="auto" w:line="300" w:before="0" w:after="0"/>
        <w:ind w:left="0" w:right="0" w:firstLine="720"/>
        <w:jc w:val="both"/>
        <w:rPr/>
      </w:pPr>
      <w:r>
        <w:rPr/>
      </w:r>
    </w:p>
    <w:p>
      <w:pPr>
        <w:pStyle w:val="TextBody"/>
        <w:spacing w:lineRule="auto" w:line="300" w:before="0" w:after="0"/>
        <w:ind w:left="0" w:right="0" w:hanging="0"/>
        <w:jc w:val="both"/>
        <w:rPr/>
      </w:pPr>
      <w:r>
        <w:rPr>
          <w:rStyle w:val="Emphasis"/>
          <w:rFonts w:ascii="Times New Roman" w:hAnsi="Times New Roman"/>
          <w:sz w:val="20"/>
        </w:rPr>
        <w:t>2005 Summary</w:t>
      </w:r>
    </w:p>
    <w:p>
      <w:pPr>
        <w:pStyle w:val="TextBody"/>
        <w:spacing w:lineRule="auto" w:line="300" w:before="0" w:after="0"/>
        <w:ind w:left="0" w:right="0" w:hanging="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Our cash position at December 31, 2005 was $8.5 million compared to $12.3 million at December 31, 2004. The majority of the $3.8 million change related to the following transactions:</w:t>
      </w:r>
    </w:p>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921" w:name="hangingindent243"/>
      <w:bookmarkStart w:id="1922" w:name="hangingindent243"/>
      <w:bookmarkEnd w:id="1922"/>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$13.1 million of cash provided by the sale of our Glendale Building, our Puerto Rico cinema operation, and certain surplus property; </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923" w:name="hangingindent244"/>
      <w:bookmarkStart w:id="1924" w:name="hangingindent244"/>
      <w:bookmarkEnd w:id="1924"/>
    </w:p>
    <w:tbl>
      <w:tblPr>
        <w:tblW w:w="5000" w:type="pct"/>
        <w:jc w:val="center"/>
        <w:tblInd w:w="0" w:type="dxa"/>
        <w:tblCellMar>
          <w:top w:w="0" w:type="dxa"/>
          <w:left w:w="0" w:type="dxa"/>
          <w:bottom w:w="0" w:type="dxa"/>
          <w:right w:w="0" w:type="dxa"/>
        </w:tblCellMar>
      </w:tblPr>
      <w:tblGrid>
        <w:gridCol w:w="118"/>
        <w:gridCol w:w="187"/>
        <w:gridCol w:w="9900"/>
      </w:tblGrid>
      <w:tr>
        <w:trPr/>
        <w:tc>
          <w:tcPr>
            <w:tcW w:w="118" w:type="dxa"/>
            <w:tcBorders/>
            <w:shd w:fill="auto" w:val="clear"/>
          </w:tcPr>
          <w:p>
            <w:pPr>
              <w:pStyle w:val="TableContents"/>
              <w:spacing w:before="0" w:after="283"/>
              <w:rPr/>
            </w:pPr>
            <w:r>
              <w:rPr/>
              <w:t> </w:t>
            </w:r>
          </w:p>
        </w:tc>
        <w:tc>
          <w:tcPr>
            <w:tcW w:w="187"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990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$1.0 million of cash provided by a decrease in restricted cash;</w:t>
            </w:r>
          </w:p>
        </w:tc>
      </w:tr>
    </w:tbl>
    <w:p>
      <w:pPr>
        <w:pStyle w:val="TextBody"/>
        <w:spacing w:before="0" w:after="0"/>
        <w:rPr/>
      </w:pPr>
      <w:r>
        <w:rPr/>
        <w:t> </w:t>
      </w:r>
    </w:p>
    <w:p>
      <w:pPr>
        <w:pStyle w:val="Normal"/>
        <w:spacing w:before="0" w:after="0"/>
        <w:rPr>
          <w:sz w:val="4"/>
          <w:szCs w:val="4"/>
        </w:rPr>
      </w:pPr>
      <w:r>
        <w:rPr>
          <w:sz w:val="4"/>
          <w:szCs w:val="4"/>
        </w:rPr>
      </w:r>
      <w:bookmarkStart w:id="1925" w:name="hangingindent245"/>
      <w:bookmarkStart w:id="1926" w:name="hangingindent245"/>
      <w:bookmarkEnd w:id="1926"/>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$2.1 million of cash provided by operations from our new cinema locations in Australia and New Zealand and settlements related to certain litigation claims; and</w:t>
            </w:r>
          </w:p>
        </w:tc>
      </w:tr>
    </w:tbl>
    <w:p>
      <w:pPr>
        <w:pStyle w:val="TextBody"/>
        <w:spacing w:before="0" w:after="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927" w:name="PGBRK61"/>
      <w:bookmarkStart w:id="1928" w:name="PGBRK61"/>
      <w:bookmarkEnd w:id="19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929" w:name="FTR61"/>
      <w:bookmarkStart w:id="1930" w:name="FTR61"/>
      <w:bookmarkEnd w:id="193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931" w:name="GLFTR61"/>
      <w:bookmarkStart w:id="1932" w:name="GLFTR61"/>
      <w:bookmarkEnd w:id="19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1933" w:name="PN61"/>
      <w:bookmarkEnd w:id="1933"/>
      <w:r>
        <w:rPr>
          <w:rFonts w:ascii="Times New Roman" w:hAnsi="Times New Roman"/>
          <w:sz w:val="16"/>
        </w:rPr>
        <w:t>-61-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934" w:name="HDR61"/>
      <w:bookmarkStart w:id="1935" w:name="HDR61"/>
      <w:bookmarkEnd w:id="193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1936" w:name="GLHDR61"/>
        <w:bookmarkEnd w:id="1936"/>
        <w:r>
          <w:rPr>
            <w:rStyle w:val="Emphasis"/>
            <w:rFonts w:ascii="Times New Roman" w:hAnsi="Times New Roman"/>
            <w:color w:val="000000"/>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pStyle w:val="Normal"/>
        <w:spacing w:before="0" w:after="0"/>
        <w:rPr>
          <w:sz w:val="4"/>
          <w:szCs w:val="4"/>
        </w:rPr>
      </w:pPr>
      <w:r>
        <w:rPr>
          <w:sz w:val="4"/>
          <w:szCs w:val="4"/>
        </w:rPr>
      </w:r>
      <w:bookmarkStart w:id="1937" w:name="hangingindent246"/>
      <w:bookmarkStart w:id="1938" w:name="hangingindent246"/>
      <w:bookmarkEnd w:id="1938"/>
    </w:p>
    <w:tbl>
      <w:tblPr>
        <w:tblW w:w="5000" w:type="pct"/>
        <w:jc w:val="center"/>
        <w:tblInd w:w="0" w:type="dxa"/>
        <w:tblCellMar>
          <w:top w:w="0" w:type="dxa"/>
          <w:left w:w="0" w:type="dxa"/>
          <w:bottom w:w="0" w:type="dxa"/>
          <w:right w:w="0" w:type="dxa"/>
        </w:tblCellMar>
      </w:tblPr>
      <w:tblGrid>
        <w:gridCol w:w="173"/>
        <w:gridCol w:w="274"/>
        <w:gridCol w:w="9758"/>
      </w:tblGrid>
      <w:tr>
        <w:trPr/>
        <w:tc>
          <w:tcPr>
            <w:tcW w:w="173" w:type="dxa"/>
            <w:tcBorders/>
            <w:shd w:fill="auto" w:val="clear"/>
          </w:tcPr>
          <w:p>
            <w:pPr>
              <w:pStyle w:val="TableContents"/>
              <w:spacing w:before="0" w:after="283"/>
              <w:rPr/>
            </w:pPr>
            <w:r>
              <w:rPr/>
              <w:t> </w:t>
            </w:r>
          </w:p>
        </w:tc>
        <w:tc>
          <w:tcPr>
            <w:tcW w:w="274"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975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$31.7 million of net borrowings in 2005; </w:t>
            </w:r>
          </w:p>
        </w:tc>
      </w:tr>
    </w:tbl>
    <w:p>
      <w:pPr>
        <w:pStyle w:val="TextBody"/>
        <w:spacing w:lineRule="auto" w:line="300" w:before="0" w:after="0"/>
        <w:ind w:left="0" w:right="0" w:hanging="0"/>
        <w:jc w:val="both"/>
        <w:rPr/>
      </w:pPr>
      <w:r>
        <w:rPr/>
        <w:t> </w:t>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offset by</w:t>
      </w:r>
    </w:p>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939" w:name="hangingindent247"/>
      <w:bookmarkStart w:id="1940" w:name="hangingindent247"/>
      <w:bookmarkEnd w:id="1940"/>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$30.5 million of cash used in the purchases of or additions to property and equipment primarily related to the development of our Newmarket ETRC, fit-out of our Adelaide, Australia cinema, and renovations to certain U.S. and New Zealand cinemas;</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941" w:name="hangingindent248"/>
      <w:bookmarkStart w:id="1942" w:name="hangingindent248"/>
      <w:bookmarkEnd w:id="1942"/>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$13.7 million of cash used in acquisition purchases related to our purchase of the Cinemas 1, 2, &amp; 3 fee and ground lease interests and our new Melbourne Office Building;</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943" w:name="hangingindent249"/>
      <w:bookmarkStart w:id="1944" w:name="hangingindent249"/>
      <w:bookmarkEnd w:id="1944"/>
    </w:p>
    <w:tbl>
      <w:tblPr>
        <w:tblW w:w="5000" w:type="pct"/>
        <w:jc w:val="center"/>
        <w:tblInd w:w="0" w:type="dxa"/>
        <w:tblCellMar>
          <w:top w:w="0" w:type="dxa"/>
          <w:left w:w="0" w:type="dxa"/>
          <w:bottom w:w="0" w:type="dxa"/>
          <w:right w:w="0" w:type="dxa"/>
        </w:tblCellMar>
      </w:tblPr>
      <w:tblGrid>
        <w:gridCol w:w="75"/>
        <w:gridCol w:w="120"/>
        <w:gridCol w:w="10010"/>
      </w:tblGrid>
      <w:tr>
        <w:trPr/>
        <w:tc>
          <w:tcPr>
            <w:tcW w:w="75" w:type="dxa"/>
            <w:tcBorders/>
            <w:shd w:fill="auto" w:val="clear"/>
          </w:tcPr>
          <w:p>
            <w:pPr>
              <w:pStyle w:val="TableContents"/>
              <w:spacing w:before="0" w:after="283"/>
              <w:rPr/>
            </w:pPr>
            <w:r>
              <w:rPr/>
              <w:t> </w:t>
            </w:r>
          </w:p>
        </w:tc>
        <w:tc>
          <w:tcPr>
            <w:tcW w:w="120"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1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$6.5 million paid to invest in or add capital to our unconsolidated joint ventures and entities; and</w:t>
            </w:r>
          </w:p>
        </w:tc>
      </w:tr>
    </w:tbl>
    <w:p>
      <w:pPr>
        <w:pStyle w:val="TextBody"/>
        <w:spacing w:lineRule="auto" w:line="300" w:before="0" w:after="0"/>
        <w:ind w:left="0" w:right="0" w:hanging="0"/>
        <w:jc w:val="both"/>
        <w:rPr/>
      </w:pPr>
      <w:r>
        <w:rPr/>
        <w:t> </w:t>
      </w:r>
    </w:p>
    <w:p>
      <w:pPr>
        <w:pStyle w:val="Normal"/>
        <w:spacing w:before="0" w:after="0"/>
        <w:ind w:left="0" w:right="0" w:hanging="0"/>
        <w:rPr>
          <w:sz w:val="4"/>
          <w:szCs w:val="4"/>
        </w:rPr>
      </w:pPr>
      <w:r>
        <w:rPr>
          <w:sz w:val="4"/>
          <w:szCs w:val="4"/>
        </w:rPr>
      </w:r>
      <w:bookmarkStart w:id="1945" w:name="hangingindent250"/>
      <w:bookmarkStart w:id="1946" w:name="hangingindent250"/>
      <w:bookmarkEnd w:id="1946"/>
    </w:p>
    <w:tbl>
      <w:tblPr>
        <w:tblW w:w="5000" w:type="pct"/>
        <w:jc w:val="center"/>
        <w:tblInd w:w="0" w:type="dxa"/>
        <w:tblCellMar>
          <w:top w:w="0" w:type="dxa"/>
          <w:left w:w="0" w:type="dxa"/>
          <w:bottom w:w="0" w:type="dxa"/>
          <w:right w:w="0" w:type="dxa"/>
        </w:tblCellMar>
      </w:tblPr>
      <w:tblGrid>
        <w:gridCol w:w="129"/>
        <w:gridCol w:w="204"/>
        <w:gridCol w:w="9872"/>
      </w:tblGrid>
      <w:tr>
        <w:trPr/>
        <w:tc>
          <w:tcPr>
            <w:tcW w:w="129" w:type="dxa"/>
            <w:tcBorders/>
            <w:shd w:fill="auto" w:val="clear"/>
          </w:tcPr>
          <w:p>
            <w:pPr>
              <w:pStyle w:val="TableContents"/>
              <w:spacing w:before="0" w:after="283"/>
              <w:rPr/>
            </w:pPr>
            <w:r>
              <w:rPr/>
              <w:t> </w:t>
            </w:r>
          </w:p>
        </w:tc>
        <w:tc>
          <w:tcPr>
            <w:tcW w:w="204"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987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$376,000 paid to purchase certain marketable securities.</w:t>
            </w:r>
          </w:p>
        </w:tc>
      </w:tr>
    </w:tbl>
    <w:p>
      <w:pPr>
        <w:pStyle w:val="TextBody"/>
        <w:spacing w:lineRule="auto" w:line="300" w:before="0" w:after="0"/>
        <w:ind w:left="0" w:right="0" w:hanging="0"/>
        <w:jc w:val="both"/>
        <w:rPr/>
      </w:pPr>
      <w:r>
        <w:rPr/>
      </w:r>
    </w:p>
    <w:p>
      <w:pPr>
        <w:pStyle w:val="TextBody"/>
        <w:spacing w:lineRule="auto" w:line="300" w:before="0" w:after="0"/>
        <w:ind w:left="0" w:right="0" w:hanging="0"/>
        <w:jc w:val="both"/>
        <w:rPr/>
      </w:pPr>
      <w:r>
        <w:rPr>
          <w:rStyle w:val="Emphasis"/>
          <w:rFonts w:ascii="Times New Roman" w:hAnsi="Times New Roman"/>
          <w:sz w:val="20"/>
        </w:rPr>
        <w:t>2004 Summary</w:t>
      </w:r>
    </w:p>
    <w:p>
      <w:pPr>
        <w:pStyle w:val="TextBody"/>
        <w:spacing w:lineRule="auto" w:line="300" w:before="0" w:after="0"/>
        <w:ind w:left="0" w:right="0" w:hanging="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Our cash position at December 31, 2004 was $12.3 million compared to $21.7 million at December 31, 2003. The majority of the $9.4 million difference relates to the following transactions:</w:t>
      </w:r>
    </w:p>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947" w:name="hangingindent251"/>
      <w:bookmarkStart w:id="1948" w:name="hangingindent251"/>
      <w:bookmarkEnd w:id="1948"/>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cash used in the purchase of the Anderson Circuit for $5.7 million (AUS$8.0 million) and the related fit-out costs of two new cinemas $3.8 million (AUS$5.0 million) totaling $9.5 million (AUS$13.0 million);</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949" w:name="hangingindent252"/>
      <w:bookmarkStart w:id="1950" w:name="hangingindent252"/>
      <w:bookmarkEnd w:id="1950"/>
    </w:p>
    <w:tbl>
      <w:tblPr>
        <w:tblW w:w="5000" w:type="pct"/>
        <w:jc w:val="center"/>
        <w:tblInd w:w="0" w:type="dxa"/>
        <w:tblCellMar>
          <w:top w:w="0" w:type="dxa"/>
          <w:left w:w="0" w:type="dxa"/>
          <w:bottom w:w="0" w:type="dxa"/>
          <w:right w:w="0" w:type="dxa"/>
        </w:tblCellMar>
      </w:tblPr>
      <w:tblGrid>
        <w:gridCol w:w="66"/>
        <w:gridCol w:w="106"/>
        <w:gridCol w:w="10033"/>
      </w:tblGrid>
      <w:tr>
        <w:trPr/>
        <w:tc>
          <w:tcPr>
            <w:tcW w:w="66" w:type="dxa"/>
            <w:tcBorders/>
            <w:shd w:fill="auto" w:val="clear"/>
          </w:tcPr>
          <w:p>
            <w:pPr>
              <w:pStyle w:val="TableContents"/>
              <w:spacing w:before="0" w:after="283"/>
              <w:rPr/>
            </w:pPr>
            <w:r>
              <w:rPr/>
              <w:t> </w:t>
            </w:r>
          </w:p>
        </w:tc>
        <w:tc>
          <w:tcPr>
            <w:tcW w:w="106"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3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cash used in the purchase of the Movieland circuit and related fee interests of $13.3 million (NZ$19.8 million);</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951" w:name="hangingindent253"/>
      <w:bookmarkStart w:id="1952" w:name="hangingindent253"/>
      <w:bookmarkEnd w:id="1952"/>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cash of $1.0 million (AUS$1.4 million) paid for the acquisition of land adjacent to our Newmarket property in a suburb of Brisbane, Australia;</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953" w:name="hangingindent254"/>
      <w:bookmarkStart w:id="1954" w:name="hangingindent254"/>
      <w:bookmarkEnd w:id="1954"/>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cash of $1.4 million expended on the Newmarket development project (an approximately 100,373 square foot shopping center located in a suburb of Brisbane, Australia);</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955" w:name="hangingindent255"/>
      <w:bookmarkStart w:id="1956" w:name="hangingindent255"/>
      <w:bookmarkEnd w:id="1956"/>
    </w:p>
    <w:tbl>
      <w:tblPr>
        <w:tblW w:w="5000" w:type="pct"/>
        <w:jc w:val="center"/>
        <w:tblInd w:w="0" w:type="dxa"/>
        <w:tblCellMar>
          <w:top w:w="0" w:type="dxa"/>
          <w:left w:w="0" w:type="dxa"/>
          <w:bottom w:w="0" w:type="dxa"/>
          <w:right w:w="0" w:type="dxa"/>
        </w:tblCellMar>
      </w:tblPr>
      <w:tblGrid>
        <w:gridCol w:w="62"/>
        <w:gridCol w:w="98"/>
        <w:gridCol w:w="10045"/>
      </w:tblGrid>
      <w:tr>
        <w:trPr/>
        <w:tc>
          <w:tcPr>
            <w:tcW w:w="62" w:type="dxa"/>
            <w:tcBorders/>
            <w:shd w:fill="auto" w:val="clear"/>
          </w:tcPr>
          <w:p>
            <w:pPr>
              <w:pStyle w:val="TableContents"/>
              <w:spacing w:before="0" w:after="283"/>
              <w:rPr/>
            </w:pPr>
            <w:r>
              <w:rPr/>
              <w:t> </w:t>
            </w:r>
          </w:p>
        </w:tc>
        <w:tc>
          <w:tcPr>
            <w:tcW w:w="98"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4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cash of $800,000 deposited in connection with our acquisition of the Cinemas 1, 2 and 3 fee interest in Manhattan; and</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957" w:name="hangingindent256"/>
      <w:bookmarkStart w:id="1958" w:name="hangingindent256"/>
      <w:bookmarkEnd w:id="1958"/>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both"/>
              <w:rPr/>
            </w:pPr>
            <w:r>
              <w:rPr>
                <w:rFonts w:ascii="Times New Roman" w:hAnsi="Times New Roman"/>
                <w:sz w:val="20"/>
              </w:rPr>
              <w:t>cash of $2.3 million paid as our 25% ownership equity in the redevelopment of the property located on 57</w:t>
            </w:r>
            <w:r>
              <w:rPr>
                <w:rFonts w:ascii="Times New Roman" w:hAnsi="Times New Roman"/>
                <w:position w:val="7"/>
                <w:sz w:val="16"/>
                <w:sz w:val="20"/>
              </w:rPr>
              <w:t>th</w:t>
            </w:r>
            <w:r>
              <w:rPr/>
              <w:t xml:space="preserve"> </w:t>
            </w:r>
            <w:r>
              <w:rPr>
                <w:rFonts w:ascii="Times New Roman" w:hAnsi="Times New Roman"/>
                <w:sz w:val="20"/>
              </w:rPr>
              <w:t>Street just below 3</w:t>
            </w:r>
            <w:r>
              <w:rPr>
                <w:rFonts w:ascii="Times New Roman" w:hAnsi="Times New Roman"/>
                <w:position w:val="7"/>
                <w:sz w:val="16"/>
                <w:sz w:val="20"/>
              </w:rPr>
              <w:t>rd</w:t>
            </w:r>
            <w:r>
              <w:rPr/>
              <w:t xml:space="preserve"> </w:t>
            </w:r>
            <w:r>
              <w:rPr>
                <w:rFonts w:ascii="Times New Roman" w:hAnsi="Times New Roman"/>
                <w:sz w:val="20"/>
              </w:rPr>
              <w:t xml:space="preserve">Avenue in Manhattan as an approximately 100,000 square foot condominium complex; </w:t>
            </w:r>
          </w:p>
        </w:tc>
      </w:tr>
    </w:tbl>
    <w:p>
      <w:pPr>
        <w:pStyle w:val="TextBody"/>
        <w:spacing w:lineRule="auto" w:line="300" w:before="0" w:after="0"/>
        <w:ind w:left="0" w:right="0" w:hanging="0"/>
        <w:jc w:val="both"/>
        <w:rPr/>
      </w:pPr>
      <w:r>
        <w:rPr/>
        <w:t> </w:t>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offset by</w:t>
      </w:r>
    </w:p>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959" w:name="hangingindent257"/>
      <w:bookmarkStart w:id="1960" w:name="hangingindent257"/>
      <w:bookmarkEnd w:id="1960"/>
    </w:p>
    <w:tbl>
      <w:tblPr>
        <w:tblW w:w="5000" w:type="pct"/>
        <w:jc w:val="center"/>
        <w:tblInd w:w="0" w:type="dxa"/>
        <w:tblCellMar>
          <w:top w:w="0" w:type="dxa"/>
          <w:left w:w="0" w:type="dxa"/>
          <w:bottom w:w="0" w:type="dxa"/>
          <w:right w:w="0" w:type="dxa"/>
        </w:tblCellMar>
      </w:tblPr>
      <w:tblGrid>
        <w:gridCol w:w="68"/>
        <w:gridCol w:w="108"/>
        <w:gridCol w:w="10029"/>
      </w:tblGrid>
      <w:tr>
        <w:trPr/>
        <w:tc>
          <w:tcPr>
            <w:tcW w:w="68" w:type="dxa"/>
            <w:tcBorders/>
            <w:shd w:fill="auto" w:val="clear"/>
          </w:tcPr>
          <w:p>
            <w:pPr>
              <w:pStyle w:val="TableContents"/>
              <w:spacing w:before="0" w:after="283"/>
              <w:rPr/>
            </w:pPr>
            <w:r>
              <w:rPr/>
              <w:t> </w:t>
            </w:r>
          </w:p>
        </w:tc>
        <w:tc>
          <w:tcPr>
            <w:tcW w:w="108"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2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net borrowings increase of $21.2 million primarily from increased borrowings in Australia and New Zealand.</w:t>
            </w:r>
          </w:p>
        </w:tc>
      </w:tr>
    </w:tbl>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u w:val="single"/>
        </w:rPr>
      </w:pPr>
      <w:r>
        <w:rPr>
          <w:rFonts w:ascii="Times New Roman" w:hAnsi="Times New Roman"/>
          <w:sz w:val="20"/>
          <w:u w:val="single"/>
        </w:rPr>
        <w:t>Future Liquidity and Capital Resources</w:t>
      </w:r>
    </w:p>
    <w:p>
      <w:pPr>
        <w:pStyle w:val="TextBody"/>
        <w:spacing w:lineRule="auto" w:line="300" w:before="0" w:after="0"/>
        <w:ind w:left="0" w:right="0" w:hanging="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We believe that we have sufficient borrowing capacity to meet our short-term working capital requirements (see discussion below regarding our Trust Preferred Securities).</w:t>
      </w:r>
    </w:p>
    <w:p>
      <w:pPr>
        <w:pStyle w:val="TextBody"/>
        <w:spacing w:lineRule="auto" w:line="300" w:before="0" w:after="0"/>
        <w:ind w:left="0" w:right="0" w:firstLine="72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During the past 24 months, we have put into place several measures that have already had a positive effect on our overall liquidity, including:</w:t>
      </w:r>
    </w:p>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961" w:name="hangingindent258"/>
      <w:bookmarkStart w:id="1962" w:name="hangingindent258"/>
      <w:bookmarkEnd w:id="1962"/>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on December 15, 2006, our New Zealand Corporate Credit Facility with the Westpac Banking Corporation was increased from $35.2 million (NZ$50.0 million) to $42.3 million (NZ$60.0 million) and the facility’s related principal payments were deferred to begin until February 2009. At December 31, 2006, we were in the process of issuing $50.0 million in Trust Preferred Securities through our wholly owned trust subsidiary. This transaction closed on February 5, 2007 and we used the funds principally to payoff our bank indebtedness in New Zealand by $34.4 million (AUS$50.0 million) and to pay down our indebtedness in Australia by $5.8 million (AUS$7.4 million).</w:t>
            </w:r>
          </w:p>
        </w:tc>
      </w:tr>
    </w:tbl>
    <w:p>
      <w:pPr>
        <w:pStyle w:val="TextBody"/>
        <w:spacing w:before="0" w:after="0"/>
        <w:rPr/>
      </w:pPr>
      <w:r>
        <w:rPr/>
        <w:t> </w:t>
      </w:r>
    </w:p>
    <w:p>
      <w:pPr>
        <w:pStyle w:val="Normal"/>
        <w:spacing w:before="0" w:after="0"/>
        <w:rPr>
          <w:sz w:val="4"/>
          <w:szCs w:val="4"/>
        </w:rPr>
      </w:pPr>
      <w:r>
        <w:rPr>
          <w:sz w:val="4"/>
          <w:szCs w:val="4"/>
        </w:rPr>
      </w:r>
      <w:bookmarkStart w:id="1963" w:name="hangingindent259"/>
      <w:bookmarkStart w:id="1964" w:name="hangingindent259"/>
      <w:bookmarkEnd w:id="1964"/>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on December 4, 2006, we renegotiated our loan agreement with a financial institution secured by our Union Square Theatre in Manhattan from a $3.2 million loan to a $7.5 million loan. </w:t>
            </w:r>
          </w:p>
        </w:tc>
      </w:tr>
    </w:tbl>
    <w:p>
      <w:pPr>
        <w:pStyle w:val="TextBody"/>
        <w:spacing w:lineRule="auto" w:line="300"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965" w:name="PGBRK62"/>
      <w:bookmarkStart w:id="1966" w:name="PGBRK62"/>
      <w:bookmarkEnd w:id="196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967" w:name="FTR62"/>
      <w:bookmarkStart w:id="1968" w:name="FTR62"/>
      <w:bookmarkEnd w:id="196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969" w:name="GLFTR62"/>
      <w:bookmarkStart w:id="1970" w:name="GLFTR62"/>
      <w:bookmarkEnd w:id="197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1971" w:name="PN62"/>
      <w:bookmarkEnd w:id="1971"/>
      <w:r>
        <w:rPr>
          <w:rFonts w:ascii="Times New Roman" w:hAnsi="Times New Roman"/>
          <w:sz w:val="16"/>
        </w:rPr>
        <w:t>-62-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972" w:name="HDR62"/>
      <w:bookmarkStart w:id="1973" w:name="HDR62"/>
      <w:bookmarkEnd w:id="197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1974" w:name="GLHDR62"/>
        <w:bookmarkEnd w:id="1974"/>
        <w:r>
          <w:rPr>
            <w:rStyle w:val="Emphasis"/>
            <w:rFonts w:ascii="Times New Roman" w:hAnsi="Times New Roman"/>
            <w:color w:val="000000"/>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pStyle w:val="Normal"/>
        <w:spacing w:before="0" w:after="0"/>
        <w:ind w:left="0" w:right="0" w:hanging="0"/>
        <w:rPr>
          <w:sz w:val="4"/>
          <w:szCs w:val="4"/>
        </w:rPr>
      </w:pPr>
      <w:r>
        <w:rPr>
          <w:sz w:val="4"/>
          <w:szCs w:val="4"/>
        </w:rPr>
      </w:r>
      <w:bookmarkStart w:id="1975" w:name="hangingindent260"/>
      <w:bookmarkStart w:id="1976" w:name="hangingindent260"/>
      <w:bookmarkEnd w:id="1976"/>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in 2005, our Australian Corporate Credit Facility with the Bank of Western Australia, Ltd through our Australian subsidiary, Reading Entertainment Australia Pty Ltd (the “Australia Credit Facility”) was increased from $64.2 million (AUS$87.7 million) to $73.3 million (AUS$100.0 million). This additional liquidity will allow us to continue to expand our operations in Australia. Effective September 30, 2006, we renegotiated our Australian Corporate Credit Facility. Under the new terms, it is unlikely that we will be required to make any further principal payments on the loan until the facility comes to term on January 1, 2009.</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977" w:name="hangingindent261"/>
      <w:bookmarkStart w:id="1978" w:name="hangingindent261"/>
      <w:bookmarkEnd w:id="1978"/>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on September 19, 2005, we issued a $9.0 million promissory note in exchange for the tenant’s interest in the ground lease estate that is currently between (i) our fee ownership of the underlying land and (ii) our current possessory interest as the tenant in the building and improvements constituting the Cinemas 1, 2 &amp; 3 in Manhattan. This tenant’s ground lease interest was purchased from Sutton Hill Capital LLC (“SHC”).</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979" w:name="hangingindent262"/>
      <w:bookmarkStart w:id="1980" w:name="hangingindent262"/>
      <w:bookmarkEnd w:id="1980"/>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on June 8, 2005, we sold the assets and certain liabilities associated with our Puerto Rico cinema operations for $2.3 million resulting in a $1.6 million gain. Net operating losses of $1.8 million and $688,000 were included in the loss from discontinued operations for the years ending 2005 and 2004, respectively, relating to these operations. No material income tax provision arose from this transaction.</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981" w:name="hangingindent263"/>
      <w:bookmarkStart w:id="1982" w:name="hangingindent263"/>
      <w:bookmarkEnd w:id="1982"/>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in May 2005, we moved our Los Angeles corporate headquarters out of downtown to the City of Commerce, California, a suburb of Los Angeles, resulting in an annual savings of approximately $100,000.</w:t>
            </w:r>
          </w:p>
        </w:tc>
      </w:tr>
    </w:tbl>
    <w:p>
      <w:pPr>
        <w:pStyle w:val="TextBody"/>
        <w:spacing w:lineRule="auto" w:line="300" w:before="0" w:after="0"/>
        <w:ind w:left="720" w:right="0" w:hanging="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 xml:space="preserve">Potential uses for funds during 2007 that would reduce our liquidity, other than those relating to working capital needs and debt service requirements include: </w:t>
      </w:r>
    </w:p>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983" w:name="hangingindent264"/>
      <w:bookmarkStart w:id="1984" w:name="hangingindent264"/>
      <w:bookmarkEnd w:id="1984"/>
    </w:p>
    <w:tbl>
      <w:tblPr>
        <w:tblW w:w="5000" w:type="pct"/>
        <w:jc w:val="center"/>
        <w:tblInd w:w="0" w:type="dxa"/>
        <w:tblCellMar>
          <w:top w:w="0" w:type="dxa"/>
          <w:left w:w="0" w:type="dxa"/>
          <w:bottom w:w="0" w:type="dxa"/>
          <w:right w:w="0" w:type="dxa"/>
        </w:tblCellMar>
      </w:tblPr>
      <w:tblGrid>
        <w:gridCol w:w="113"/>
        <w:gridCol w:w="180"/>
        <w:gridCol w:w="9912"/>
      </w:tblGrid>
      <w:tr>
        <w:trPr/>
        <w:tc>
          <w:tcPr>
            <w:tcW w:w="113" w:type="dxa"/>
            <w:tcBorders/>
            <w:shd w:fill="auto" w:val="clear"/>
          </w:tcPr>
          <w:p>
            <w:pPr>
              <w:pStyle w:val="TableContents"/>
              <w:spacing w:before="0" w:after="283"/>
              <w:rPr/>
            </w:pPr>
            <w:r>
              <w:rPr/>
              <w:t> </w:t>
            </w:r>
          </w:p>
        </w:tc>
        <w:tc>
          <w:tcPr>
            <w:tcW w:w="180"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991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development of our currently held for development projects;</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985" w:name="hangingindent265"/>
      <w:bookmarkStart w:id="1986" w:name="hangingindent265"/>
      <w:bookmarkEnd w:id="1986"/>
    </w:p>
    <w:tbl>
      <w:tblPr>
        <w:tblW w:w="5000" w:type="pct"/>
        <w:jc w:val="center"/>
        <w:tblInd w:w="0" w:type="dxa"/>
        <w:tblCellMar>
          <w:top w:w="0" w:type="dxa"/>
          <w:left w:w="0" w:type="dxa"/>
          <w:bottom w:w="0" w:type="dxa"/>
          <w:right w:w="0" w:type="dxa"/>
        </w:tblCellMar>
      </w:tblPr>
      <w:tblGrid>
        <w:gridCol w:w="98"/>
        <w:gridCol w:w="157"/>
        <w:gridCol w:w="9950"/>
      </w:tblGrid>
      <w:tr>
        <w:trPr/>
        <w:tc>
          <w:tcPr>
            <w:tcW w:w="98" w:type="dxa"/>
            <w:tcBorders/>
            <w:shd w:fill="auto" w:val="clear"/>
          </w:tcPr>
          <w:p>
            <w:pPr>
              <w:pStyle w:val="TableContents"/>
              <w:spacing w:before="0" w:after="283"/>
              <w:rPr/>
            </w:pPr>
            <w:r>
              <w:rPr/>
              <w:t> </w:t>
            </w:r>
          </w:p>
        </w:tc>
        <w:tc>
          <w:tcPr>
            <w:tcW w:w="157"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995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acquisition of additional properties currently under consideration; and</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987" w:name="hangingindent266"/>
      <w:bookmarkStart w:id="1988" w:name="hangingindent266"/>
      <w:bookmarkEnd w:id="1988"/>
    </w:p>
    <w:tbl>
      <w:tblPr>
        <w:tblW w:w="5000" w:type="pct"/>
        <w:jc w:val="center"/>
        <w:tblInd w:w="0" w:type="dxa"/>
        <w:tblCellMar>
          <w:top w:w="0" w:type="dxa"/>
          <w:left w:w="0" w:type="dxa"/>
          <w:bottom w:w="0" w:type="dxa"/>
          <w:right w:w="0" w:type="dxa"/>
        </w:tblCellMar>
      </w:tblPr>
      <w:tblGrid>
        <w:gridCol w:w="160"/>
        <w:gridCol w:w="253"/>
        <w:gridCol w:w="9792"/>
      </w:tblGrid>
      <w:tr>
        <w:trPr/>
        <w:tc>
          <w:tcPr>
            <w:tcW w:w="160" w:type="dxa"/>
            <w:tcBorders/>
            <w:shd w:fill="auto" w:val="clear"/>
          </w:tcPr>
          <w:p>
            <w:pPr>
              <w:pStyle w:val="TableContents"/>
              <w:spacing w:before="0" w:after="283"/>
              <w:rPr/>
            </w:pPr>
            <w:r>
              <w:rPr/>
              <w:t> </w:t>
            </w:r>
          </w:p>
        </w:tc>
        <w:tc>
          <w:tcPr>
            <w:tcW w:w="253"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979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possible further investments in securities.</w:t>
            </w:r>
          </w:p>
        </w:tc>
      </w:tr>
    </w:tbl>
    <w:p>
      <w:pPr>
        <w:pStyle w:val="TextBody"/>
        <w:spacing w:lineRule="auto" w:line="300" w:before="0" w:after="0"/>
        <w:ind w:left="0" w:right="0" w:hanging="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 xml:space="preserve">Based upon the current levels of the consolidated operations, further anticipated cost savings and future growth, we believe our cash flow from operations, together with both the existing and anticipated lines-of-credit and other sources of liquidity (including future potential asset sales) will be adequate to meet our anticipated requirements for interest payments and other debt service obligations, working capital, capital expenditures and other operating needs. </w:t>
      </w:r>
    </w:p>
    <w:p>
      <w:pPr>
        <w:pStyle w:val="TextBody"/>
        <w:spacing w:lineRule="auto" w:line="300" w:before="0" w:after="0"/>
        <w:ind w:left="0" w:right="0" w:firstLine="72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Estimated at approximately $500.0 million (AUS$635.0 million), our development in Burwood, Australia will clearly not be funded from normal working capital even in a phased approach. We have approached several financing sources who have already given a high-level, favorable response to this funding. However, we continue to investigate all options available to us including debt financing, equity financing, and joint venture partnering to achieve the optimal financing structure for this most significant development.</w:t>
      </w:r>
    </w:p>
    <w:p>
      <w:pPr>
        <w:pStyle w:val="TextBody"/>
        <w:spacing w:lineRule="auto" w:line="300" w:before="0" w:after="0"/>
        <w:ind w:left="0" w:right="0" w:firstLine="720"/>
        <w:jc w:val="both"/>
        <w:rPr/>
      </w:pPr>
      <w:r>
        <w:rPr/>
        <w:t> </w:t>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 xml:space="preserve">In late February 2007, it became apparent that our cost estimates with respect to the Burwood site preparation were low, as the extent of the contaminated soil present at the site - a former brickworks - was greater than we had originally believed. The $500 million cost included the approximately $1.4 million (AUS$1.8 million) of estimated cost to remove the contaminated soil. We are currently evaluating the additional site preparation costs likely to be associated with the removal of this contaminated soil. </w:t>
      </w:r>
    </w:p>
    <w:p>
      <w:pPr>
        <w:pStyle w:val="TextBody"/>
        <w:spacing w:lineRule="auto" w:line="300" w:before="0" w:after="0"/>
        <w:ind w:left="0" w:right="0" w:firstLine="720"/>
        <w:jc w:val="both"/>
        <w:rPr/>
      </w:pPr>
      <w:r>
        <w:rPr/>
        <w:t> </w:t>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 xml:space="preserve">There can be no assurance, however, that the business will continue to generate cash flow at or above current levels or that estimated cost savings or growth can be achieved. Future operating performance and our ability to service or refinance existing indebtedness will be subject to future economic conditions and to financial and other factors, such as access to first-run films, many of which are beyond our control. If our cash flow from operations and/or proceeds from anticipated borrowings should prove to be insufficient to meet our funding needs, our current intention is either: </w:t>
      </w:r>
    </w:p>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989" w:name="hangingindent267"/>
      <w:bookmarkStart w:id="1990" w:name="hangingindent267"/>
      <w:bookmarkEnd w:id="1990"/>
    </w:p>
    <w:tbl>
      <w:tblPr>
        <w:tblW w:w="5000" w:type="pct"/>
        <w:jc w:val="center"/>
        <w:tblInd w:w="0" w:type="dxa"/>
        <w:tblCellMar>
          <w:top w:w="0" w:type="dxa"/>
          <w:left w:w="0" w:type="dxa"/>
          <w:bottom w:w="0" w:type="dxa"/>
          <w:right w:w="0" w:type="dxa"/>
        </w:tblCellMar>
      </w:tblPr>
      <w:tblGrid>
        <w:gridCol w:w="91"/>
        <w:gridCol w:w="146"/>
        <w:gridCol w:w="9968"/>
      </w:tblGrid>
      <w:tr>
        <w:trPr/>
        <w:tc>
          <w:tcPr>
            <w:tcW w:w="91" w:type="dxa"/>
            <w:tcBorders/>
            <w:shd w:fill="auto" w:val="clear"/>
          </w:tcPr>
          <w:p>
            <w:pPr>
              <w:pStyle w:val="TableContents"/>
              <w:spacing w:before="0" w:after="283"/>
              <w:rPr/>
            </w:pPr>
            <w:r>
              <w:rPr/>
              <w:t> </w:t>
            </w:r>
          </w:p>
        </w:tc>
        <w:tc>
          <w:tcPr>
            <w:tcW w:w="146"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996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to defer construction of projects currently slated for land presently owned by us;</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991" w:name="hangingindent268"/>
      <w:bookmarkStart w:id="1992" w:name="hangingindent268"/>
      <w:bookmarkEnd w:id="1992"/>
    </w:p>
    <w:tbl>
      <w:tblPr>
        <w:tblW w:w="5000" w:type="pct"/>
        <w:jc w:val="center"/>
        <w:tblInd w:w="0" w:type="dxa"/>
        <w:tblCellMar>
          <w:top w:w="0" w:type="dxa"/>
          <w:left w:w="0" w:type="dxa"/>
          <w:bottom w:w="0" w:type="dxa"/>
          <w:right w:w="0" w:type="dxa"/>
        </w:tblCellMar>
      </w:tblPr>
      <w:tblGrid>
        <w:gridCol w:w="89"/>
        <w:gridCol w:w="141"/>
        <w:gridCol w:w="9975"/>
      </w:tblGrid>
      <w:tr>
        <w:trPr/>
        <w:tc>
          <w:tcPr>
            <w:tcW w:w="89" w:type="dxa"/>
            <w:tcBorders/>
            <w:shd w:fill="auto" w:val="clear"/>
          </w:tcPr>
          <w:p>
            <w:pPr>
              <w:pStyle w:val="TableContents"/>
              <w:spacing w:before="0" w:after="283"/>
              <w:rPr/>
            </w:pPr>
            <w:r>
              <w:rPr/>
              <w:t> </w:t>
            </w:r>
          </w:p>
        </w:tc>
        <w:tc>
          <w:tcPr>
            <w:tcW w:w="141"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997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to take on joint venture partners with respect to such development projects; and/or</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1993" w:name="hangingindent269"/>
      <w:bookmarkStart w:id="1994" w:name="hangingindent269"/>
      <w:bookmarkEnd w:id="1994"/>
    </w:p>
    <w:tbl>
      <w:tblPr>
        <w:tblW w:w="5000" w:type="pct"/>
        <w:jc w:val="center"/>
        <w:tblInd w:w="0" w:type="dxa"/>
        <w:tblCellMar>
          <w:top w:w="0" w:type="dxa"/>
          <w:left w:w="0" w:type="dxa"/>
          <w:bottom w:w="0" w:type="dxa"/>
          <w:right w:w="0" w:type="dxa"/>
        </w:tblCellMar>
      </w:tblPr>
      <w:tblGrid>
        <w:gridCol w:w="482"/>
        <w:gridCol w:w="763"/>
        <w:gridCol w:w="8960"/>
      </w:tblGrid>
      <w:tr>
        <w:trPr/>
        <w:tc>
          <w:tcPr>
            <w:tcW w:w="482" w:type="dxa"/>
            <w:tcBorders/>
            <w:shd w:fill="auto" w:val="clear"/>
          </w:tcPr>
          <w:p>
            <w:pPr>
              <w:pStyle w:val="TableContents"/>
              <w:spacing w:before="0" w:after="283"/>
              <w:rPr/>
            </w:pPr>
            <w:r>
              <w:rPr/>
              <w:t> </w:t>
            </w:r>
          </w:p>
        </w:tc>
        <w:tc>
          <w:tcPr>
            <w:tcW w:w="763"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896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to sell assets. </w:t>
            </w:r>
          </w:p>
        </w:tc>
      </w:tr>
    </w:tbl>
    <w:p>
      <w:pPr>
        <w:pStyle w:val="TextBody"/>
        <w:spacing w:lineRule="auto" w:line="300"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995" w:name="PGBRK63"/>
      <w:bookmarkStart w:id="1996" w:name="PGBRK63"/>
      <w:bookmarkEnd w:id="199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997" w:name="FTR63"/>
      <w:bookmarkStart w:id="1998" w:name="FTR63"/>
      <w:bookmarkEnd w:id="199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999" w:name="GLFTR63"/>
      <w:bookmarkStart w:id="2000" w:name="GLFTR63"/>
      <w:bookmarkEnd w:id="200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2001" w:name="PN63"/>
      <w:bookmarkEnd w:id="2001"/>
      <w:r>
        <w:rPr>
          <w:rFonts w:ascii="Times New Roman" w:hAnsi="Times New Roman"/>
          <w:sz w:val="16"/>
        </w:rPr>
        <w:t>-63-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02" w:name="HDR63"/>
      <w:bookmarkStart w:id="2003" w:name="HDR63"/>
      <w:bookmarkEnd w:id="200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2004" w:name="GLHDR63"/>
        <w:bookmarkEnd w:id="2004"/>
        <w:r>
          <w:rPr>
            <w:rStyle w:val="Emphasis"/>
            <w:rFonts w:ascii="Times New Roman" w:hAnsi="Times New Roman"/>
            <w:color w:val="000000"/>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300" w:before="0" w:after="0"/>
        <w:ind w:left="0" w:right="0" w:hanging="0"/>
        <w:jc w:val="both"/>
        <w:rPr/>
      </w:pPr>
      <w:r>
        <w:rPr>
          <w:rStyle w:val="Emphasis"/>
          <w:rFonts w:ascii="Times New Roman" w:hAnsi="Times New Roman"/>
          <w:sz w:val="20"/>
          <w:u w:val="single"/>
        </w:rPr>
        <w:t xml:space="preserve">Contractual Obligations </w:t>
      </w:r>
    </w:p>
    <w:p>
      <w:pPr>
        <w:pStyle w:val="TextBody"/>
        <w:spacing w:lineRule="auto" w:line="300" w:before="0" w:after="0"/>
        <w:ind w:left="0" w:right="0" w:hanging="0"/>
        <w:jc w:val="both"/>
        <w:rPr/>
      </w:pPr>
      <w:r>
        <w:rPr/>
        <w:t> </w:t>
      </w:r>
    </w:p>
    <w:p>
      <w:pPr>
        <w:pStyle w:val="TextBody"/>
        <w:spacing w:lineRule="auto" w:line="300" w:before="0" w:after="0"/>
        <w:ind w:left="0" w:right="0" w:firstLine="720"/>
        <w:jc w:val="left"/>
        <w:rPr>
          <w:rFonts w:ascii="Times New Roman" w:hAnsi="Times New Roman"/>
          <w:sz w:val="20"/>
        </w:rPr>
      </w:pPr>
      <w:r>
        <w:rPr>
          <w:rFonts w:ascii="Times New Roman" w:hAnsi="Times New Roman"/>
          <w:sz w:val="20"/>
        </w:rPr>
        <w:t>The following table provides information with respect to the maturities and scheduled principal repayments of our secured debt and lease obligations at December 31, 2006 (in thousands):</w:t>
      </w:r>
    </w:p>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2005" w:name="ftable12"/>
      <w:bookmarkStart w:id="2006" w:name="ftable12"/>
      <w:bookmarkEnd w:id="2006"/>
    </w:p>
    <w:tbl>
      <w:tblPr>
        <w:tblW w:w="5000" w:type="pct"/>
        <w:jc w:val="left"/>
        <w:tblInd w:w="0" w:type="dxa"/>
        <w:tblCellMar>
          <w:top w:w="0" w:type="dxa"/>
          <w:left w:w="0" w:type="dxa"/>
          <w:bottom w:w="28" w:type="dxa"/>
          <w:right w:w="0" w:type="dxa"/>
        </w:tblCellMar>
      </w:tblPr>
      <w:tblGrid>
        <w:gridCol w:w="2594"/>
        <w:gridCol w:w="172"/>
        <w:gridCol w:w="141"/>
        <w:gridCol w:w="962"/>
        <w:gridCol w:w="103"/>
        <w:gridCol w:w="141"/>
        <w:gridCol w:w="962"/>
        <w:gridCol w:w="103"/>
        <w:gridCol w:w="141"/>
        <w:gridCol w:w="1022"/>
        <w:gridCol w:w="103"/>
        <w:gridCol w:w="141"/>
        <w:gridCol w:w="961"/>
        <w:gridCol w:w="103"/>
        <w:gridCol w:w="141"/>
        <w:gridCol w:w="962"/>
        <w:gridCol w:w="103"/>
        <w:gridCol w:w="163"/>
        <w:gridCol w:w="1067"/>
        <w:gridCol w:w="120"/>
      </w:tblGrid>
      <w:tr>
        <w:trPr/>
        <w:tc>
          <w:tcPr>
            <w:tcW w:w="2594" w:type="dxa"/>
            <w:tcBorders>
              <w:bottom w:val="double" w:sz="2" w:space="0" w:color="000000"/>
            </w:tcBorders>
            <w:shd w:fill="auto" w:val="clear"/>
            <w:vAlign w:val="bottom"/>
          </w:tcPr>
          <w:p>
            <w:pPr>
              <w:pStyle w:val="TableContents"/>
              <w:spacing w:before="0" w:after="283"/>
              <w:jc w:val="left"/>
              <w:rPr/>
            </w:pPr>
            <w:r>
              <w:rPr/>
              <w:t> </w:t>
            </w:r>
          </w:p>
        </w:tc>
        <w:tc>
          <w:tcPr>
            <w:tcW w:w="172" w:type="dxa"/>
            <w:tcBorders>
              <w:bottom w:val="single" w:sz="4" w:space="0" w:color="FFFFFF"/>
            </w:tcBorders>
            <w:shd w:fill="auto" w:val="clear"/>
            <w:vAlign w:val="center"/>
          </w:tcPr>
          <w:p>
            <w:pPr>
              <w:pStyle w:val="TableContents"/>
              <w:spacing w:before="0" w:after="283"/>
              <w:rPr/>
            </w:pPr>
            <w:r>
              <w:rPr/>
              <w:t> </w:t>
            </w:r>
          </w:p>
        </w:tc>
        <w:tc>
          <w:tcPr>
            <w:tcW w:w="1103"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2007</w:t>
            </w:r>
          </w:p>
        </w:tc>
        <w:tc>
          <w:tcPr>
            <w:tcW w:w="103" w:type="dxa"/>
            <w:tcBorders>
              <w:bottom w:val="single" w:sz="4" w:space="0" w:color="FFFFFF"/>
            </w:tcBorders>
            <w:shd w:fill="auto" w:val="clear"/>
            <w:vAlign w:val="bottom"/>
          </w:tcPr>
          <w:p>
            <w:pPr>
              <w:pStyle w:val="TableContents"/>
              <w:spacing w:before="0" w:after="283"/>
              <w:jc w:val="left"/>
              <w:rPr/>
            </w:pPr>
            <w:r>
              <w:rPr/>
              <w:t> </w:t>
            </w:r>
          </w:p>
        </w:tc>
        <w:tc>
          <w:tcPr>
            <w:tcW w:w="1103"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2008</w:t>
            </w:r>
          </w:p>
        </w:tc>
        <w:tc>
          <w:tcPr>
            <w:tcW w:w="103" w:type="dxa"/>
            <w:tcBorders>
              <w:bottom w:val="single" w:sz="4" w:space="0" w:color="FFFFFF"/>
            </w:tcBorders>
            <w:shd w:fill="auto" w:val="clear"/>
            <w:vAlign w:val="bottom"/>
          </w:tcPr>
          <w:p>
            <w:pPr>
              <w:pStyle w:val="TableContents"/>
              <w:spacing w:before="0" w:after="283"/>
              <w:jc w:val="left"/>
              <w:rPr/>
            </w:pPr>
            <w:r>
              <w:rPr/>
              <w:t> </w:t>
            </w:r>
          </w:p>
        </w:tc>
        <w:tc>
          <w:tcPr>
            <w:tcW w:w="1163"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2009</w:t>
            </w:r>
          </w:p>
        </w:tc>
        <w:tc>
          <w:tcPr>
            <w:tcW w:w="103" w:type="dxa"/>
            <w:tcBorders>
              <w:bottom w:val="single" w:sz="4" w:space="0" w:color="FFFFFF"/>
            </w:tcBorders>
            <w:shd w:fill="auto" w:val="clear"/>
            <w:vAlign w:val="bottom"/>
          </w:tcPr>
          <w:p>
            <w:pPr>
              <w:pStyle w:val="TableContents"/>
              <w:spacing w:before="0" w:after="283"/>
              <w:jc w:val="left"/>
              <w:rPr/>
            </w:pPr>
            <w:r>
              <w:rPr/>
              <w:t> </w:t>
            </w:r>
          </w:p>
        </w:tc>
        <w:tc>
          <w:tcPr>
            <w:tcW w:w="1102"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2010</w:t>
            </w:r>
          </w:p>
        </w:tc>
        <w:tc>
          <w:tcPr>
            <w:tcW w:w="103" w:type="dxa"/>
            <w:tcBorders>
              <w:bottom w:val="single" w:sz="4" w:space="0" w:color="FFFFFF"/>
            </w:tcBorders>
            <w:shd w:fill="auto" w:val="clear"/>
            <w:vAlign w:val="bottom"/>
          </w:tcPr>
          <w:p>
            <w:pPr>
              <w:pStyle w:val="TableContents"/>
              <w:spacing w:before="0" w:after="283"/>
              <w:jc w:val="left"/>
              <w:rPr/>
            </w:pPr>
            <w:r>
              <w:rPr/>
              <w:t> </w:t>
            </w:r>
          </w:p>
        </w:tc>
        <w:tc>
          <w:tcPr>
            <w:tcW w:w="1103"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2011</w:t>
            </w:r>
          </w:p>
        </w:tc>
        <w:tc>
          <w:tcPr>
            <w:tcW w:w="103" w:type="dxa"/>
            <w:tcBorders>
              <w:bottom w:val="single" w:sz="4" w:space="0" w:color="FFFFFF"/>
            </w:tcBorders>
            <w:shd w:fill="auto" w:val="clear"/>
            <w:vAlign w:val="bottom"/>
          </w:tcPr>
          <w:p>
            <w:pPr>
              <w:pStyle w:val="TableContents"/>
              <w:spacing w:before="0" w:after="283"/>
              <w:jc w:val="left"/>
              <w:rPr/>
            </w:pPr>
            <w:r>
              <w:rPr/>
              <w:t> </w:t>
            </w:r>
          </w:p>
        </w:tc>
        <w:tc>
          <w:tcPr>
            <w:tcW w:w="1230"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Thereafter</w:t>
            </w:r>
          </w:p>
        </w:tc>
        <w:tc>
          <w:tcPr>
            <w:tcW w:w="120" w:type="dxa"/>
            <w:tcBorders>
              <w:bottom w:val="single" w:sz="4" w:space="0" w:color="FFFFFF"/>
            </w:tcBorders>
            <w:shd w:fill="auto" w:val="clear"/>
            <w:vAlign w:val="bottom"/>
          </w:tcPr>
          <w:p>
            <w:pPr>
              <w:pStyle w:val="TableContents"/>
              <w:spacing w:before="0" w:after="283"/>
              <w:jc w:val="left"/>
              <w:rPr/>
            </w:pPr>
            <w:r>
              <w:rPr/>
              <w:t> </w:t>
            </w:r>
          </w:p>
        </w:tc>
      </w:tr>
      <w:tr>
        <w:trPr/>
        <w:tc>
          <w:tcPr>
            <w:tcW w:w="2594" w:type="dxa"/>
            <w:tcBorders/>
            <w:shd w:fill="CCEEFF" w:val="clear"/>
            <w:tcMar>
              <w:bottom w:w="0" w:type="dxa"/>
            </w:tcMar>
            <w:vAlign w:val="bottom"/>
          </w:tcPr>
          <w:p>
            <w:pPr>
              <w:pStyle w:val="TableContents"/>
              <w:spacing w:lineRule="auto" w:line="300" w:before="0" w:after="0"/>
              <w:ind w:left="360" w:right="0" w:hanging="360"/>
              <w:jc w:val="left"/>
              <w:rPr/>
            </w:pPr>
            <w:r>
              <w:rPr>
                <w:rFonts w:ascii="Times New Roman" w:hAnsi="Times New Roman"/>
                <w:sz w:val="20"/>
              </w:rPr>
              <w:t>Long-term debt</w:t>
            </w:r>
            <w:bookmarkStart w:id="2007" w:name="TAB275"/>
            <w:bookmarkEnd w:id="2007"/>
            <w:r>
              <w:rPr>
                <w:color w:val="000000"/>
                <w:spacing w:val="541"/>
              </w:rPr>
              <w:t> </w:t>
            </w:r>
          </w:p>
        </w:tc>
        <w:tc>
          <w:tcPr>
            <w:tcW w:w="172" w:type="dxa"/>
            <w:tcBorders/>
            <w:shd w:fill="CCEEFF" w:val="clear"/>
            <w:tcMar>
              <w:bottom w:w="0" w:type="dxa"/>
            </w:tcMar>
            <w:vAlign w:val="center"/>
          </w:tcPr>
          <w:p>
            <w:pPr>
              <w:pStyle w:val="TableContents"/>
              <w:spacing w:before="0" w:after="283"/>
              <w:rPr/>
            </w:pPr>
            <w:r>
              <w:rPr/>
              <w:t> </w:t>
            </w:r>
          </w:p>
        </w:tc>
        <w:tc>
          <w:tcPr>
            <w:tcW w:w="141"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2008" w:name="TAB1711"/>
            <w:bookmarkEnd w:id="2008"/>
            <w:r>
              <w:rPr>
                <w:rFonts w:ascii="Times New Roman" w:hAnsi="Times New Roman"/>
                <w:sz w:val="20"/>
              </w:rPr>
              <w:t>$</w:t>
            </w:r>
          </w:p>
        </w:tc>
        <w:tc>
          <w:tcPr>
            <w:tcW w:w="962"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2009" w:name="TAB1712"/>
            <w:bookmarkEnd w:id="2009"/>
            <w:r>
              <w:rPr>
                <w:rFonts w:ascii="Times New Roman" w:hAnsi="Times New Roman"/>
                <w:sz w:val="20"/>
              </w:rPr>
              <w:t>2,237</w:t>
            </w:r>
          </w:p>
        </w:tc>
        <w:tc>
          <w:tcPr>
            <w:tcW w:w="103" w:type="dxa"/>
            <w:tcBorders/>
            <w:shd w:fill="CCEEFF" w:val="clear"/>
            <w:tcMar>
              <w:bottom w:w="0" w:type="dxa"/>
            </w:tcMar>
            <w:vAlign w:val="bottom"/>
          </w:tcPr>
          <w:p>
            <w:pPr>
              <w:pStyle w:val="TableContents"/>
              <w:spacing w:before="0" w:after="283"/>
              <w:jc w:val="left"/>
              <w:rPr/>
            </w:pPr>
            <w:r>
              <w:rPr/>
              <w:t> </w:t>
            </w:r>
          </w:p>
        </w:tc>
        <w:tc>
          <w:tcPr>
            <w:tcW w:w="141"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2010" w:name="TAB1713"/>
            <w:bookmarkEnd w:id="2010"/>
            <w:r>
              <w:rPr>
                <w:rFonts w:ascii="Times New Roman" w:hAnsi="Times New Roman"/>
                <w:sz w:val="20"/>
              </w:rPr>
              <w:t>$</w:t>
            </w:r>
          </w:p>
        </w:tc>
        <w:tc>
          <w:tcPr>
            <w:tcW w:w="962"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2011" w:name="TAB1714"/>
            <w:bookmarkEnd w:id="2011"/>
            <w:r>
              <w:rPr>
                <w:rFonts w:ascii="Times New Roman" w:hAnsi="Times New Roman"/>
                <w:sz w:val="20"/>
              </w:rPr>
              <w:t>363</w:t>
            </w:r>
          </w:p>
        </w:tc>
        <w:tc>
          <w:tcPr>
            <w:tcW w:w="103" w:type="dxa"/>
            <w:tcBorders/>
            <w:shd w:fill="CCEEFF" w:val="clear"/>
            <w:tcMar>
              <w:bottom w:w="0" w:type="dxa"/>
            </w:tcMar>
            <w:vAlign w:val="bottom"/>
          </w:tcPr>
          <w:p>
            <w:pPr>
              <w:pStyle w:val="TableContents"/>
              <w:spacing w:before="0" w:after="283"/>
              <w:jc w:val="left"/>
              <w:rPr/>
            </w:pPr>
            <w:r>
              <w:rPr/>
              <w:t> </w:t>
            </w:r>
          </w:p>
        </w:tc>
        <w:tc>
          <w:tcPr>
            <w:tcW w:w="141"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2012" w:name="TAB1715"/>
            <w:bookmarkEnd w:id="2012"/>
            <w:r>
              <w:rPr>
                <w:rFonts w:ascii="Times New Roman" w:hAnsi="Times New Roman"/>
                <w:sz w:val="20"/>
              </w:rPr>
              <w:t>$</w:t>
            </w:r>
          </w:p>
        </w:tc>
        <w:tc>
          <w:tcPr>
            <w:tcW w:w="1022"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2013" w:name="TAB1716"/>
            <w:bookmarkEnd w:id="2013"/>
            <w:r>
              <w:rPr>
                <w:rFonts w:ascii="Times New Roman" w:hAnsi="Times New Roman"/>
                <w:sz w:val="20"/>
              </w:rPr>
              <w:t>106,123</w:t>
            </w:r>
          </w:p>
        </w:tc>
        <w:tc>
          <w:tcPr>
            <w:tcW w:w="103" w:type="dxa"/>
            <w:tcBorders/>
            <w:shd w:fill="CCEEFF" w:val="clear"/>
            <w:tcMar>
              <w:bottom w:w="0" w:type="dxa"/>
            </w:tcMar>
            <w:vAlign w:val="bottom"/>
          </w:tcPr>
          <w:p>
            <w:pPr>
              <w:pStyle w:val="TableContents"/>
              <w:spacing w:before="0" w:after="283"/>
              <w:jc w:val="left"/>
              <w:rPr/>
            </w:pPr>
            <w:r>
              <w:rPr/>
              <w:t> </w:t>
            </w:r>
          </w:p>
        </w:tc>
        <w:tc>
          <w:tcPr>
            <w:tcW w:w="141"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2014" w:name="TAB1717"/>
            <w:bookmarkEnd w:id="2014"/>
            <w:r>
              <w:rPr>
                <w:rFonts w:ascii="Times New Roman" w:hAnsi="Times New Roman"/>
                <w:sz w:val="20"/>
              </w:rPr>
              <w:t>$</w:t>
            </w:r>
          </w:p>
        </w:tc>
        <w:tc>
          <w:tcPr>
            <w:tcW w:w="961"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2015" w:name="TAB1718"/>
            <w:bookmarkEnd w:id="2015"/>
            <w:r>
              <w:rPr>
                <w:rFonts w:ascii="Times New Roman" w:hAnsi="Times New Roman"/>
                <w:sz w:val="20"/>
              </w:rPr>
              <w:t>7,055</w:t>
            </w:r>
          </w:p>
        </w:tc>
        <w:tc>
          <w:tcPr>
            <w:tcW w:w="103" w:type="dxa"/>
            <w:tcBorders/>
            <w:shd w:fill="CCEEFF" w:val="clear"/>
            <w:tcMar>
              <w:bottom w:w="0" w:type="dxa"/>
            </w:tcMar>
            <w:vAlign w:val="bottom"/>
          </w:tcPr>
          <w:p>
            <w:pPr>
              <w:pStyle w:val="TableContents"/>
              <w:spacing w:before="0" w:after="283"/>
              <w:jc w:val="left"/>
              <w:rPr/>
            </w:pPr>
            <w:r>
              <w:rPr/>
              <w:t> </w:t>
            </w:r>
          </w:p>
        </w:tc>
        <w:tc>
          <w:tcPr>
            <w:tcW w:w="141"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2016" w:name="TAB1719"/>
            <w:bookmarkEnd w:id="2016"/>
            <w:r>
              <w:rPr>
                <w:rFonts w:ascii="Times New Roman" w:hAnsi="Times New Roman"/>
                <w:sz w:val="20"/>
              </w:rPr>
              <w:t>$</w:t>
            </w:r>
          </w:p>
        </w:tc>
        <w:tc>
          <w:tcPr>
            <w:tcW w:w="962"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2017" w:name="TAB1720"/>
            <w:bookmarkEnd w:id="2017"/>
            <w:r>
              <w:rPr>
                <w:rFonts w:ascii="Times New Roman" w:hAnsi="Times New Roman"/>
                <w:sz w:val="20"/>
              </w:rPr>
              <w:t>158</w:t>
            </w:r>
          </w:p>
        </w:tc>
        <w:tc>
          <w:tcPr>
            <w:tcW w:w="103" w:type="dxa"/>
            <w:tcBorders/>
            <w:shd w:fill="CCEEFF" w:val="clear"/>
            <w:tcMar>
              <w:bottom w:w="0" w:type="dxa"/>
            </w:tcMar>
            <w:vAlign w:val="bottom"/>
          </w:tcPr>
          <w:p>
            <w:pPr>
              <w:pStyle w:val="TableContents"/>
              <w:spacing w:before="0" w:after="283"/>
              <w:jc w:val="left"/>
              <w:rPr/>
            </w:pPr>
            <w:r>
              <w:rPr/>
              <w:t> </w:t>
            </w:r>
          </w:p>
        </w:tc>
        <w:tc>
          <w:tcPr>
            <w:tcW w:w="163"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2018" w:name="TAB1721"/>
            <w:bookmarkEnd w:id="2018"/>
            <w:r>
              <w:rPr>
                <w:rFonts w:ascii="Times New Roman" w:hAnsi="Times New Roman"/>
                <w:sz w:val="20"/>
              </w:rPr>
              <w:t>$</w:t>
            </w:r>
          </w:p>
        </w:tc>
        <w:tc>
          <w:tcPr>
            <w:tcW w:w="1067"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2019" w:name="TAB1722"/>
            <w:bookmarkEnd w:id="2019"/>
            <w:r>
              <w:rPr>
                <w:rFonts w:ascii="Times New Roman" w:hAnsi="Times New Roman"/>
                <w:sz w:val="20"/>
              </w:rPr>
              <w:t>276</w:t>
            </w:r>
          </w:p>
        </w:tc>
        <w:tc>
          <w:tcPr>
            <w:tcW w:w="120" w:type="dxa"/>
            <w:tcBorders/>
            <w:shd w:fill="CCEEFF" w:val="clear"/>
            <w:tcMar>
              <w:bottom w:w="0" w:type="dxa"/>
            </w:tcMar>
            <w:vAlign w:val="bottom"/>
          </w:tcPr>
          <w:p>
            <w:pPr>
              <w:pStyle w:val="TableContents"/>
              <w:spacing w:before="0" w:after="283"/>
              <w:jc w:val="left"/>
              <w:rPr/>
            </w:pPr>
            <w:r>
              <w:rPr/>
              <w:t> </w:t>
            </w:r>
          </w:p>
        </w:tc>
      </w:tr>
      <w:tr>
        <w:trPr/>
        <w:tc>
          <w:tcPr>
            <w:tcW w:w="2594" w:type="dxa"/>
            <w:tcBorders/>
            <w:shd w:fill="FFFFFF" w:val="clear"/>
            <w:tcMar>
              <w:bottom w:w="0" w:type="dxa"/>
            </w:tcMar>
            <w:vAlign w:val="bottom"/>
          </w:tcPr>
          <w:p>
            <w:pPr>
              <w:pStyle w:val="TableContents"/>
              <w:spacing w:lineRule="auto" w:line="300" w:before="0" w:after="0"/>
              <w:ind w:left="360" w:right="0" w:hanging="360"/>
              <w:jc w:val="left"/>
              <w:rPr>
                <w:rFonts w:ascii="Times New Roman" w:hAnsi="Times New Roman"/>
                <w:sz w:val="20"/>
              </w:rPr>
            </w:pPr>
            <w:r>
              <w:rPr>
                <w:rFonts w:ascii="Times New Roman" w:hAnsi="Times New Roman"/>
                <w:sz w:val="20"/>
              </w:rPr>
              <w:t>Long-term debt to related parties</w:t>
            </w:r>
          </w:p>
        </w:tc>
        <w:tc>
          <w:tcPr>
            <w:tcW w:w="172" w:type="dxa"/>
            <w:tcBorders/>
            <w:shd w:fill="FFFFFF" w:val="clear"/>
            <w:tcMar>
              <w:bottom w:w="0" w:type="dxa"/>
            </w:tcMar>
            <w:vAlign w:val="center"/>
          </w:tcPr>
          <w:p>
            <w:pPr>
              <w:pStyle w:val="TableContents"/>
              <w:spacing w:before="0" w:after="283"/>
              <w:rPr/>
            </w:pPr>
            <w:r>
              <w:rPr/>
              <w:t> </w:t>
            </w:r>
          </w:p>
        </w:tc>
        <w:tc>
          <w:tcPr>
            <w:tcW w:w="141" w:type="dxa"/>
            <w:tcBorders/>
            <w:shd w:fill="FFFFFF" w:val="clear"/>
            <w:tcMar>
              <w:bottom w:w="0" w:type="dxa"/>
            </w:tcMar>
            <w:vAlign w:val="bottom"/>
          </w:tcPr>
          <w:p>
            <w:pPr>
              <w:pStyle w:val="TableContents"/>
              <w:spacing w:before="0" w:after="283"/>
              <w:jc w:val="left"/>
              <w:rPr/>
            </w:pPr>
            <w:r>
              <w:rPr/>
              <w:t> </w:t>
            </w:r>
          </w:p>
        </w:tc>
        <w:tc>
          <w:tcPr>
            <w:tcW w:w="962"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5,000</w:t>
            </w:r>
          </w:p>
        </w:tc>
        <w:tc>
          <w:tcPr>
            <w:tcW w:w="103" w:type="dxa"/>
            <w:tcBorders/>
            <w:shd w:fill="FFFFFF" w:val="clear"/>
            <w:tcMar>
              <w:bottom w:w="0" w:type="dxa"/>
            </w:tcMar>
            <w:vAlign w:val="bottom"/>
          </w:tcPr>
          <w:p>
            <w:pPr>
              <w:pStyle w:val="TableContents"/>
              <w:spacing w:before="0" w:after="283"/>
              <w:jc w:val="left"/>
              <w:rPr/>
            </w:pPr>
            <w:r>
              <w:rPr/>
              <w:t> </w:t>
            </w:r>
          </w:p>
        </w:tc>
        <w:tc>
          <w:tcPr>
            <w:tcW w:w="141" w:type="dxa"/>
            <w:tcBorders/>
            <w:shd w:fill="FFFFFF" w:val="clear"/>
            <w:tcMar>
              <w:bottom w:w="0" w:type="dxa"/>
            </w:tcMar>
            <w:vAlign w:val="bottom"/>
          </w:tcPr>
          <w:p>
            <w:pPr>
              <w:pStyle w:val="TableContents"/>
              <w:spacing w:before="0" w:after="283"/>
              <w:jc w:val="left"/>
              <w:rPr/>
            </w:pPr>
            <w:r>
              <w:rPr/>
              <w:t> </w:t>
            </w:r>
          </w:p>
        </w:tc>
        <w:tc>
          <w:tcPr>
            <w:tcW w:w="962"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103" w:type="dxa"/>
            <w:tcBorders/>
            <w:shd w:fill="FFFFFF" w:val="clear"/>
            <w:tcMar>
              <w:bottom w:w="0" w:type="dxa"/>
            </w:tcMar>
            <w:vAlign w:val="bottom"/>
          </w:tcPr>
          <w:p>
            <w:pPr>
              <w:pStyle w:val="TableContents"/>
              <w:spacing w:before="0" w:after="283"/>
              <w:jc w:val="left"/>
              <w:rPr/>
            </w:pPr>
            <w:r>
              <w:rPr/>
              <w:t> </w:t>
            </w:r>
          </w:p>
        </w:tc>
        <w:tc>
          <w:tcPr>
            <w:tcW w:w="141" w:type="dxa"/>
            <w:tcBorders/>
            <w:shd w:fill="FFFFFF" w:val="clear"/>
            <w:tcMar>
              <w:bottom w:w="0" w:type="dxa"/>
            </w:tcMar>
            <w:vAlign w:val="bottom"/>
          </w:tcPr>
          <w:p>
            <w:pPr>
              <w:pStyle w:val="TableContents"/>
              <w:spacing w:before="0" w:after="283"/>
              <w:jc w:val="left"/>
              <w:rPr/>
            </w:pPr>
            <w:r>
              <w:rPr/>
              <w:t> </w:t>
            </w:r>
          </w:p>
        </w:tc>
        <w:tc>
          <w:tcPr>
            <w:tcW w:w="1022"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103" w:type="dxa"/>
            <w:tcBorders/>
            <w:shd w:fill="FFFFFF" w:val="clear"/>
            <w:tcMar>
              <w:bottom w:w="0" w:type="dxa"/>
            </w:tcMar>
            <w:vAlign w:val="bottom"/>
          </w:tcPr>
          <w:p>
            <w:pPr>
              <w:pStyle w:val="TableContents"/>
              <w:spacing w:before="0" w:after="283"/>
              <w:jc w:val="left"/>
              <w:rPr/>
            </w:pPr>
            <w:r>
              <w:rPr/>
              <w:t> </w:t>
            </w:r>
          </w:p>
        </w:tc>
        <w:tc>
          <w:tcPr>
            <w:tcW w:w="141" w:type="dxa"/>
            <w:tcBorders/>
            <w:shd w:fill="FFFFFF" w:val="clear"/>
            <w:tcMar>
              <w:bottom w:w="0" w:type="dxa"/>
            </w:tcMar>
            <w:vAlign w:val="bottom"/>
          </w:tcPr>
          <w:p>
            <w:pPr>
              <w:pStyle w:val="TableContents"/>
              <w:spacing w:before="0" w:after="283"/>
              <w:jc w:val="left"/>
              <w:rPr/>
            </w:pPr>
            <w:r>
              <w:rPr/>
              <w:t> </w:t>
            </w:r>
          </w:p>
        </w:tc>
        <w:tc>
          <w:tcPr>
            <w:tcW w:w="961"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9,000</w:t>
            </w:r>
          </w:p>
        </w:tc>
        <w:tc>
          <w:tcPr>
            <w:tcW w:w="103" w:type="dxa"/>
            <w:tcBorders/>
            <w:shd w:fill="FFFFFF" w:val="clear"/>
            <w:tcMar>
              <w:bottom w:w="0" w:type="dxa"/>
            </w:tcMar>
            <w:vAlign w:val="bottom"/>
          </w:tcPr>
          <w:p>
            <w:pPr>
              <w:pStyle w:val="TableContents"/>
              <w:spacing w:before="0" w:after="283"/>
              <w:jc w:val="left"/>
              <w:rPr/>
            </w:pPr>
            <w:r>
              <w:rPr/>
              <w:t> </w:t>
            </w:r>
          </w:p>
        </w:tc>
        <w:tc>
          <w:tcPr>
            <w:tcW w:w="141" w:type="dxa"/>
            <w:tcBorders/>
            <w:shd w:fill="FFFFFF" w:val="clear"/>
            <w:tcMar>
              <w:bottom w:w="0" w:type="dxa"/>
            </w:tcMar>
            <w:vAlign w:val="bottom"/>
          </w:tcPr>
          <w:p>
            <w:pPr>
              <w:pStyle w:val="TableContents"/>
              <w:spacing w:before="0" w:after="283"/>
              <w:jc w:val="left"/>
              <w:rPr/>
            </w:pPr>
            <w:r>
              <w:rPr/>
              <w:t> </w:t>
            </w:r>
          </w:p>
        </w:tc>
        <w:tc>
          <w:tcPr>
            <w:tcW w:w="962"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103" w:type="dxa"/>
            <w:tcBorders/>
            <w:shd w:fill="FFFFFF" w:val="clear"/>
            <w:tcMar>
              <w:bottom w:w="0" w:type="dxa"/>
            </w:tcMar>
            <w:vAlign w:val="bottom"/>
          </w:tcPr>
          <w:p>
            <w:pPr>
              <w:pStyle w:val="TableContents"/>
              <w:spacing w:before="0" w:after="283"/>
              <w:jc w:val="left"/>
              <w:rPr/>
            </w:pPr>
            <w:r>
              <w:rPr/>
              <w:t> </w:t>
            </w:r>
          </w:p>
        </w:tc>
        <w:tc>
          <w:tcPr>
            <w:tcW w:w="163" w:type="dxa"/>
            <w:tcBorders/>
            <w:shd w:fill="FFFFFF" w:val="clear"/>
            <w:tcMar>
              <w:bottom w:w="0" w:type="dxa"/>
            </w:tcMar>
            <w:vAlign w:val="bottom"/>
          </w:tcPr>
          <w:p>
            <w:pPr>
              <w:pStyle w:val="TableContents"/>
              <w:spacing w:before="0" w:after="283"/>
              <w:jc w:val="left"/>
              <w:rPr/>
            </w:pPr>
            <w:r>
              <w:rPr/>
              <w:t> </w:t>
            </w:r>
          </w:p>
        </w:tc>
        <w:tc>
          <w:tcPr>
            <w:tcW w:w="1067"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120" w:type="dxa"/>
            <w:tcBorders/>
            <w:shd w:fill="FFFFFF" w:val="clear"/>
            <w:tcMar>
              <w:bottom w:w="0" w:type="dxa"/>
            </w:tcMar>
            <w:vAlign w:val="bottom"/>
          </w:tcPr>
          <w:p>
            <w:pPr>
              <w:pStyle w:val="TableContents"/>
              <w:spacing w:before="0" w:after="283"/>
              <w:jc w:val="left"/>
              <w:rPr/>
            </w:pPr>
            <w:r>
              <w:rPr/>
              <w:t> </w:t>
            </w:r>
          </w:p>
        </w:tc>
      </w:tr>
      <w:tr>
        <w:trPr/>
        <w:tc>
          <w:tcPr>
            <w:tcW w:w="2594" w:type="dxa"/>
            <w:tcBorders/>
            <w:shd w:fill="CCEEFF" w:val="clear"/>
            <w:tcMar>
              <w:bottom w:w="0" w:type="dxa"/>
            </w:tcMar>
            <w:vAlign w:val="bottom"/>
          </w:tcPr>
          <w:p>
            <w:pPr>
              <w:pStyle w:val="TableContents"/>
              <w:spacing w:lineRule="auto" w:line="300" w:before="0" w:after="0"/>
              <w:ind w:left="360" w:right="0" w:hanging="360"/>
              <w:jc w:val="left"/>
              <w:rPr/>
            </w:pPr>
            <w:r>
              <w:rPr>
                <w:rFonts w:ascii="Times New Roman" w:hAnsi="Times New Roman"/>
                <w:sz w:val="20"/>
              </w:rPr>
              <w:t>Lease obligations</w:t>
            </w:r>
            <w:bookmarkStart w:id="2020" w:name="TAB276"/>
            <w:bookmarkEnd w:id="2020"/>
            <w:r>
              <w:rPr>
                <w:color w:val="000000"/>
                <w:spacing w:val="541"/>
              </w:rPr>
              <w:t> </w:t>
            </w:r>
          </w:p>
        </w:tc>
        <w:tc>
          <w:tcPr>
            <w:tcW w:w="172" w:type="dxa"/>
            <w:tcBorders/>
            <w:shd w:fill="CCEEFF" w:val="clear"/>
            <w:tcMar>
              <w:bottom w:w="0" w:type="dxa"/>
            </w:tcMar>
            <w:vAlign w:val="center"/>
          </w:tcPr>
          <w:p>
            <w:pPr>
              <w:pStyle w:val="TableContents"/>
              <w:spacing w:before="0" w:after="283"/>
              <w:rPr/>
            </w:pPr>
            <w:r>
              <w:rPr/>
              <w:t> </w:t>
            </w:r>
          </w:p>
        </w:tc>
        <w:tc>
          <w:tcPr>
            <w:tcW w:w="141" w:type="dxa"/>
            <w:tcBorders/>
            <w:shd w:fill="CCEEFF" w:val="clear"/>
            <w:tcMar>
              <w:bottom w:w="0" w:type="dxa"/>
            </w:tcMar>
            <w:vAlign w:val="bottom"/>
          </w:tcPr>
          <w:p>
            <w:pPr>
              <w:pStyle w:val="TableContents"/>
              <w:spacing w:before="0" w:after="283"/>
              <w:jc w:val="left"/>
              <w:rPr/>
            </w:pPr>
            <w:r>
              <w:rPr/>
              <w:t> </w:t>
            </w:r>
          </w:p>
        </w:tc>
        <w:tc>
          <w:tcPr>
            <w:tcW w:w="962"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11,482</w:t>
            </w:r>
          </w:p>
        </w:tc>
        <w:tc>
          <w:tcPr>
            <w:tcW w:w="103" w:type="dxa"/>
            <w:tcBorders/>
            <w:shd w:fill="CCEEFF" w:val="clear"/>
            <w:tcMar>
              <w:bottom w:w="0" w:type="dxa"/>
            </w:tcMar>
            <w:vAlign w:val="bottom"/>
          </w:tcPr>
          <w:p>
            <w:pPr>
              <w:pStyle w:val="TableContents"/>
              <w:spacing w:before="0" w:after="283"/>
              <w:jc w:val="left"/>
              <w:rPr/>
            </w:pPr>
            <w:r>
              <w:rPr/>
              <w:t> </w:t>
            </w:r>
          </w:p>
        </w:tc>
        <w:tc>
          <w:tcPr>
            <w:tcW w:w="141" w:type="dxa"/>
            <w:tcBorders/>
            <w:shd w:fill="CCEEFF" w:val="clear"/>
            <w:tcMar>
              <w:bottom w:w="0" w:type="dxa"/>
            </w:tcMar>
            <w:vAlign w:val="bottom"/>
          </w:tcPr>
          <w:p>
            <w:pPr>
              <w:pStyle w:val="TableContents"/>
              <w:spacing w:before="0" w:after="283"/>
              <w:jc w:val="left"/>
              <w:rPr/>
            </w:pPr>
            <w:r>
              <w:rPr/>
              <w:t> </w:t>
            </w:r>
          </w:p>
        </w:tc>
        <w:tc>
          <w:tcPr>
            <w:tcW w:w="962"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10,840</w:t>
            </w:r>
          </w:p>
        </w:tc>
        <w:tc>
          <w:tcPr>
            <w:tcW w:w="103" w:type="dxa"/>
            <w:tcBorders/>
            <w:shd w:fill="CCEEFF" w:val="clear"/>
            <w:tcMar>
              <w:bottom w:w="0" w:type="dxa"/>
            </w:tcMar>
            <w:vAlign w:val="bottom"/>
          </w:tcPr>
          <w:p>
            <w:pPr>
              <w:pStyle w:val="TableContents"/>
              <w:spacing w:before="0" w:after="283"/>
              <w:jc w:val="left"/>
              <w:rPr/>
            </w:pPr>
            <w:r>
              <w:rPr/>
              <w:t> </w:t>
            </w:r>
          </w:p>
        </w:tc>
        <w:tc>
          <w:tcPr>
            <w:tcW w:w="141" w:type="dxa"/>
            <w:tcBorders/>
            <w:shd w:fill="CCEEFF" w:val="clear"/>
            <w:tcMar>
              <w:bottom w:w="0" w:type="dxa"/>
            </w:tcMar>
            <w:vAlign w:val="bottom"/>
          </w:tcPr>
          <w:p>
            <w:pPr>
              <w:pStyle w:val="TableContents"/>
              <w:spacing w:before="0" w:after="283"/>
              <w:jc w:val="left"/>
              <w:rPr/>
            </w:pPr>
            <w:r>
              <w:rPr/>
              <w:t> </w:t>
            </w:r>
          </w:p>
        </w:tc>
        <w:tc>
          <w:tcPr>
            <w:tcW w:w="1022"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10,833</w:t>
            </w:r>
          </w:p>
        </w:tc>
        <w:tc>
          <w:tcPr>
            <w:tcW w:w="103" w:type="dxa"/>
            <w:tcBorders/>
            <w:shd w:fill="CCEEFF" w:val="clear"/>
            <w:tcMar>
              <w:bottom w:w="0" w:type="dxa"/>
            </w:tcMar>
            <w:vAlign w:val="bottom"/>
          </w:tcPr>
          <w:p>
            <w:pPr>
              <w:pStyle w:val="TableContents"/>
              <w:spacing w:before="0" w:after="283"/>
              <w:jc w:val="left"/>
              <w:rPr/>
            </w:pPr>
            <w:r>
              <w:rPr/>
              <w:t> </w:t>
            </w:r>
          </w:p>
        </w:tc>
        <w:tc>
          <w:tcPr>
            <w:tcW w:w="141" w:type="dxa"/>
            <w:tcBorders/>
            <w:shd w:fill="CCEEFF" w:val="clear"/>
            <w:tcMar>
              <w:bottom w:w="0" w:type="dxa"/>
            </w:tcMar>
            <w:vAlign w:val="bottom"/>
          </w:tcPr>
          <w:p>
            <w:pPr>
              <w:pStyle w:val="TableContents"/>
              <w:spacing w:before="0" w:after="283"/>
              <w:jc w:val="left"/>
              <w:rPr/>
            </w:pPr>
            <w:r>
              <w:rPr/>
              <w:t> </w:t>
            </w:r>
          </w:p>
        </w:tc>
        <w:tc>
          <w:tcPr>
            <w:tcW w:w="961"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10,609</w:t>
            </w:r>
          </w:p>
        </w:tc>
        <w:tc>
          <w:tcPr>
            <w:tcW w:w="103" w:type="dxa"/>
            <w:tcBorders/>
            <w:shd w:fill="CCEEFF" w:val="clear"/>
            <w:tcMar>
              <w:bottom w:w="0" w:type="dxa"/>
            </w:tcMar>
            <w:vAlign w:val="bottom"/>
          </w:tcPr>
          <w:p>
            <w:pPr>
              <w:pStyle w:val="TableContents"/>
              <w:spacing w:before="0" w:after="283"/>
              <w:jc w:val="left"/>
              <w:rPr/>
            </w:pPr>
            <w:r>
              <w:rPr/>
              <w:t> </w:t>
            </w:r>
          </w:p>
        </w:tc>
        <w:tc>
          <w:tcPr>
            <w:tcW w:w="141" w:type="dxa"/>
            <w:tcBorders/>
            <w:shd w:fill="CCEEFF" w:val="clear"/>
            <w:tcMar>
              <w:bottom w:w="0" w:type="dxa"/>
            </w:tcMar>
            <w:vAlign w:val="bottom"/>
          </w:tcPr>
          <w:p>
            <w:pPr>
              <w:pStyle w:val="TableContents"/>
              <w:spacing w:before="0" w:after="283"/>
              <w:jc w:val="left"/>
              <w:rPr/>
            </w:pPr>
            <w:r>
              <w:rPr/>
              <w:t> </w:t>
            </w:r>
          </w:p>
        </w:tc>
        <w:tc>
          <w:tcPr>
            <w:tcW w:w="962"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9,928</w:t>
            </w:r>
          </w:p>
        </w:tc>
        <w:tc>
          <w:tcPr>
            <w:tcW w:w="103" w:type="dxa"/>
            <w:tcBorders/>
            <w:shd w:fill="CCEEFF" w:val="clear"/>
            <w:tcMar>
              <w:bottom w:w="0" w:type="dxa"/>
            </w:tcMar>
            <w:vAlign w:val="bottom"/>
          </w:tcPr>
          <w:p>
            <w:pPr>
              <w:pStyle w:val="TableContents"/>
              <w:spacing w:before="0" w:after="283"/>
              <w:jc w:val="left"/>
              <w:rPr/>
            </w:pPr>
            <w:r>
              <w:rPr/>
              <w:t> </w:t>
            </w:r>
          </w:p>
        </w:tc>
        <w:tc>
          <w:tcPr>
            <w:tcW w:w="163" w:type="dxa"/>
            <w:tcBorders/>
            <w:shd w:fill="CCEEFF" w:val="clear"/>
            <w:tcMar>
              <w:bottom w:w="0" w:type="dxa"/>
            </w:tcMar>
            <w:vAlign w:val="bottom"/>
          </w:tcPr>
          <w:p>
            <w:pPr>
              <w:pStyle w:val="TableContents"/>
              <w:spacing w:before="0" w:after="283"/>
              <w:jc w:val="left"/>
              <w:rPr/>
            </w:pPr>
            <w:r>
              <w:rPr/>
              <w:t> </w:t>
            </w:r>
          </w:p>
        </w:tc>
        <w:tc>
          <w:tcPr>
            <w:tcW w:w="1067"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65,290</w:t>
            </w:r>
          </w:p>
        </w:tc>
        <w:tc>
          <w:tcPr>
            <w:tcW w:w="120" w:type="dxa"/>
            <w:tcBorders/>
            <w:shd w:fill="CCEEFF" w:val="clear"/>
            <w:tcMar>
              <w:bottom w:w="0" w:type="dxa"/>
            </w:tcMar>
            <w:vAlign w:val="bottom"/>
          </w:tcPr>
          <w:p>
            <w:pPr>
              <w:pStyle w:val="TableContents"/>
              <w:spacing w:before="0" w:after="283"/>
              <w:jc w:val="left"/>
              <w:rPr/>
            </w:pPr>
            <w:r>
              <w:rPr/>
              <w:t> </w:t>
            </w:r>
          </w:p>
        </w:tc>
      </w:tr>
      <w:tr>
        <w:trPr/>
        <w:tc>
          <w:tcPr>
            <w:tcW w:w="2594" w:type="dxa"/>
            <w:tcBorders>
              <w:bottom w:val="single" w:sz="2" w:space="0" w:color="000000"/>
            </w:tcBorders>
            <w:shd w:fill="FFFFFF" w:val="clear"/>
            <w:vAlign w:val="bottom"/>
          </w:tcPr>
          <w:p>
            <w:pPr>
              <w:pStyle w:val="TableContents"/>
              <w:spacing w:lineRule="auto" w:line="300" w:before="0" w:after="0"/>
              <w:ind w:left="360" w:right="0" w:hanging="360"/>
              <w:jc w:val="left"/>
              <w:rPr>
                <w:rFonts w:ascii="Times New Roman" w:hAnsi="Times New Roman"/>
                <w:sz w:val="20"/>
              </w:rPr>
            </w:pPr>
            <w:r>
              <w:rPr>
                <w:rFonts w:ascii="Times New Roman" w:hAnsi="Times New Roman"/>
                <w:sz w:val="20"/>
              </w:rPr>
              <w:t>Interest on long-term debt</w:t>
            </w:r>
          </w:p>
        </w:tc>
        <w:tc>
          <w:tcPr>
            <w:tcW w:w="172" w:type="dxa"/>
            <w:tcBorders>
              <w:bottom w:val="single" w:sz="2" w:space="0" w:color="FFFFFF"/>
            </w:tcBorders>
            <w:shd w:fill="FFFFFF" w:val="clear"/>
            <w:vAlign w:val="center"/>
          </w:tcPr>
          <w:p>
            <w:pPr>
              <w:pStyle w:val="TableContents"/>
              <w:spacing w:before="0" w:after="283"/>
              <w:rPr/>
            </w:pPr>
            <w:r>
              <w:rPr/>
              <w:t> </w:t>
            </w:r>
          </w:p>
        </w:tc>
        <w:tc>
          <w:tcPr>
            <w:tcW w:w="141" w:type="dxa"/>
            <w:tcBorders>
              <w:bottom w:val="single" w:sz="2" w:space="0" w:color="000000"/>
            </w:tcBorders>
            <w:shd w:fill="FFFFFF" w:val="clear"/>
            <w:vAlign w:val="bottom"/>
          </w:tcPr>
          <w:p>
            <w:pPr>
              <w:pStyle w:val="TableContents"/>
              <w:spacing w:before="0" w:after="283"/>
              <w:jc w:val="left"/>
              <w:rPr/>
            </w:pPr>
            <w:r>
              <w:rPr/>
              <w:t> </w:t>
            </w:r>
          </w:p>
        </w:tc>
        <w:tc>
          <w:tcPr>
            <w:tcW w:w="962"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9,990</w:t>
            </w:r>
          </w:p>
        </w:tc>
        <w:tc>
          <w:tcPr>
            <w:tcW w:w="103" w:type="dxa"/>
            <w:tcBorders>
              <w:bottom w:val="single" w:sz="2" w:space="0" w:color="FFFFFF"/>
            </w:tcBorders>
            <w:shd w:fill="FFFFFF" w:val="clear"/>
            <w:vAlign w:val="bottom"/>
          </w:tcPr>
          <w:p>
            <w:pPr>
              <w:pStyle w:val="TableContents"/>
              <w:spacing w:before="0" w:after="283"/>
              <w:jc w:val="left"/>
              <w:rPr/>
            </w:pPr>
            <w:r>
              <w:rPr/>
              <w:t> </w:t>
            </w:r>
          </w:p>
        </w:tc>
        <w:tc>
          <w:tcPr>
            <w:tcW w:w="141" w:type="dxa"/>
            <w:tcBorders>
              <w:bottom w:val="single" w:sz="2" w:space="0" w:color="000000"/>
            </w:tcBorders>
            <w:shd w:fill="FFFFFF" w:val="clear"/>
            <w:vAlign w:val="bottom"/>
          </w:tcPr>
          <w:p>
            <w:pPr>
              <w:pStyle w:val="TableContents"/>
              <w:spacing w:before="0" w:after="283"/>
              <w:jc w:val="left"/>
              <w:rPr/>
            </w:pPr>
            <w:r>
              <w:rPr/>
              <w:t> </w:t>
            </w:r>
          </w:p>
        </w:tc>
        <w:tc>
          <w:tcPr>
            <w:tcW w:w="962"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9,572</w:t>
            </w:r>
          </w:p>
        </w:tc>
        <w:tc>
          <w:tcPr>
            <w:tcW w:w="103" w:type="dxa"/>
            <w:tcBorders>
              <w:bottom w:val="single" w:sz="2" w:space="0" w:color="FFFFFF"/>
            </w:tcBorders>
            <w:shd w:fill="FFFFFF" w:val="clear"/>
            <w:vAlign w:val="bottom"/>
          </w:tcPr>
          <w:p>
            <w:pPr>
              <w:pStyle w:val="TableContents"/>
              <w:spacing w:before="0" w:after="283"/>
              <w:jc w:val="left"/>
              <w:rPr/>
            </w:pPr>
            <w:r>
              <w:rPr/>
              <w:t> </w:t>
            </w:r>
          </w:p>
        </w:tc>
        <w:tc>
          <w:tcPr>
            <w:tcW w:w="141" w:type="dxa"/>
            <w:tcBorders>
              <w:bottom w:val="single" w:sz="2" w:space="0" w:color="000000"/>
            </w:tcBorders>
            <w:shd w:fill="FFFFFF" w:val="clear"/>
            <w:vAlign w:val="bottom"/>
          </w:tcPr>
          <w:p>
            <w:pPr>
              <w:pStyle w:val="TableContents"/>
              <w:spacing w:before="0" w:after="283"/>
              <w:jc w:val="left"/>
              <w:rPr/>
            </w:pPr>
            <w:r>
              <w:rPr/>
              <w:t> </w:t>
            </w:r>
          </w:p>
        </w:tc>
        <w:tc>
          <w:tcPr>
            <w:tcW w:w="1022"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4,069</w:t>
            </w:r>
          </w:p>
        </w:tc>
        <w:tc>
          <w:tcPr>
            <w:tcW w:w="103" w:type="dxa"/>
            <w:tcBorders>
              <w:bottom w:val="single" w:sz="2" w:space="0" w:color="FFFFFF"/>
            </w:tcBorders>
            <w:shd w:fill="FFFFFF" w:val="clear"/>
            <w:vAlign w:val="bottom"/>
          </w:tcPr>
          <w:p>
            <w:pPr>
              <w:pStyle w:val="TableContents"/>
              <w:spacing w:before="0" w:after="283"/>
              <w:jc w:val="left"/>
              <w:rPr/>
            </w:pPr>
            <w:r>
              <w:rPr/>
              <w:t> </w:t>
            </w:r>
          </w:p>
        </w:tc>
        <w:tc>
          <w:tcPr>
            <w:tcW w:w="141" w:type="dxa"/>
            <w:tcBorders>
              <w:bottom w:val="single" w:sz="2" w:space="0" w:color="000000"/>
            </w:tcBorders>
            <w:shd w:fill="FFFFFF" w:val="clear"/>
            <w:vAlign w:val="bottom"/>
          </w:tcPr>
          <w:p>
            <w:pPr>
              <w:pStyle w:val="TableContents"/>
              <w:spacing w:before="0" w:after="283"/>
              <w:jc w:val="left"/>
              <w:rPr/>
            </w:pPr>
            <w:r>
              <w:rPr/>
              <w:t> </w:t>
            </w:r>
          </w:p>
        </w:tc>
        <w:tc>
          <w:tcPr>
            <w:tcW w:w="961"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743</w:t>
            </w:r>
          </w:p>
        </w:tc>
        <w:tc>
          <w:tcPr>
            <w:tcW w:w="103" w:type="dxa"/>
            <w:tcBorders>
              <w:bottom w:val="single" w:sz="2" w:space="0" w:color="FFFFFF"/>
            </w:tcBorders>
            <w:shd w:fill="FFFFFF" w:val="clear"/>
            <w:vAlign w:val="bottom"/>
          </w:tcPr>
          <w:p>
            <w:pPr>
              <w:pStyle w:val="TableContents"/>
              <w:spacing w:before="0" w:after="283"/>
              <w:jc w:val="left"/>
              <w:rPr/>
            </w:pPr>
            <w:r>
              <w:rPr/>
              <w:t> </w:t>
            </w:r>
          </w:p>
        </w:tc>
        <w:tc>
          <w:tcPr>
            <w:tcW w:w="141" w:type="dxa"/>
            <w:tcBorders>
              <w:bottom w:val="single" w:sz="2" w:space="0" w:color="000000"/>
            </w:tcBorders>
            <w:shd w:fill="FFFFFF" w:val="clear"/>
            <w:vAlign w:val="bottom"/>
          </w:tcPr>
          <w:p>
            <w:pPr>
              <w:pStyle w:val="TableContents"/>
              <w:spacing w:before="0" w:after="283"/>
              <w:jc w:val="left"/>
              <w:rPr/>
            </w:pPr>
            <w:r>
              <w:rPr/>
              <w:t> </w:t>
            </w:r>
          </w:p>
        </w:tc>
        <w:tc>
          <w:tcPr>
            <w:tcW w:w="962"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103" w:type="dxa"/>
            <w:tcBorders>
              <w:bottom w:val="single" w:sz="2" w:space="0" w:color="FFFFFF"/>
            </w:tcBorders>
            <w:shd w:fill="FFFFFF" w:val="clear"/>
            <w:vAlign w:val="bottom"/>
          </w:tcPr>
          <w:p>
            <w:pPr>
              <w:pStyle w:val="TableContents"/>
              <w:spacing w:before="0" w:after="283"/>
              <w:jc w:val="left"/>
              <w:rPr/>
            </w:pPr>
            <w:r>
              <w:rPr/>
              <w:t> </w:t>
            </w:r>
          </w:p>
        </w:tc>
        <w:tc>
          <w:tcPr>
            <w:tcW w:w="163" w:type="dxa"/>
            <w:tcBorders>
              <w:bottom w:val="single" w:sz="2" w:space="0" w:color="000000"/>
            </w:tcBorders>
            <w:shd w:fill="FFFFFF" w:val="clear"/>
            <w:vAlign w:val="bottom"/>
          </w:tcPr>
          <w:p>
            <w:pPr>
              <w:pStyle w:val="TableContents"/>
              <w:spacing w:before="0" w:after="283"/>
              <w:jc w:val="left"/>
              <w:rPr/>
            </w:pPr>
            <w:r>
              <w:rPr/>
              <w:t> </w:t>
            </w:r>
          </w:p>
        </w:tc>
        <w:tc>
          <w:tcPr>
            <w:tcW w:w="1067"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120" w:type="dxa"/>
            <w:tcBorders>
              <w:bottom w:val="single" w:sz="2" w:space="0" w:color="FFFFFF"/>
            </w:tcBorders>
            <w:shd w:fill="FFFFFF" w:val="clear"/>
            <w:vAlign w:val="bottom"/>
          </w:tcPr>
          <w:p>
            <w:pPr>
              <w:pStyle w:val="TableContents"/>
              <w:spacing w:before="0" w:after="283"/>
              <w:jc w:val="left"/>
              <w:rPr/>
            </w:pPr>
            <w:r>
              <w:rPr/>
              <w:t> </w:t>
            </w:r>
          </w:p>
        </w:tc>
      </w:tr>
      <w:tr>
        <w:trPr/>
        <w:tc>
          <w:tcPr>
            <w:tcW w:w="2594" w:type="dxa"/>
            <w:tcBorders>
              <w:bottom w:val="double" w:sz="2" w:space="0" w:color="000000"/>
            </w:tcBorders>
            <w:shd w:fill="CCEEFF" w:val="clear"/>
            <w:vAlign w:val="bottom"/>
          </w:tcPr>
          <w:p>
            <w:pPr>
              <w:pStyle w:val="TableContents"/>
              <w:spacing w:lineRule="auto" w:line="300" w:before="0" w:after="0"/>
              <w:ind w:left="900" w:right="0" w:hanging="360"/>
              <w:jc w:val="left"/>
              <w:rPr/>
            </w:pPr>
            <w:r>
              <w:rPr>
                <w:rFonts w:ascii="Times New Roman" w:hAnsi="Times New Roman"/>
                <w:sz w:val="20"/>
              </w:rPr>
              <w:t>Total</w:t>
            </w:r>
            <w:bookmarkStart w:id="2021" w:name="TAB277"/>
            <w:bookmarkEnd w:id="2021"/>
            <w:r>
              <w:rPr>
                <w:color w:val="000000"/>
                <w:spacing w:val="51"/>
              </w:rPr>
              <w:t> </w:t>
            </w:r>
          </w:p>
        </w:tc>
        <w:tc>
          <w:tcPr>
            <w:tcW w:w="172" w:type="dxa"/>
            <w:tcBorders>
              <w:bottom w:val="single" w:sz="4" w:space="0" w:color="CCEEFF"/>
            </w:tcBorders>
            <w:shd w:fill="CCEEFF" w:val="clear"/>
            <w:vAlign w:val="center"/>
          </w:tcPr>
          <w:p>
            <w:pPr>
              <w:pStyle w:val="TableContents"/>
              <w:spacing w:before="0" w:after="283"/>
              <w:rPr/>
            </w:pPr>
            <w:r>
              <w:rPr/>
              <w:t> </w:t>
            </w:r>
          </w:p>
        </w:tc>
        <w:tc>
          <w:tcPr>
            <w:tcW w:w="141" w:type="dxa"/>
            <w:tcBorders>
              <w:bottom w:val="doub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bookmarkStart w:id="2022" w:name="TAB1723"/>
            <w:bookmarkEnd w:id="2022"/>
            <w:r>
              <w:rPr>
                <w:rFonts w:ascii="Times New Roman" w:hAnsi="Times New Roman"/>
                <w:sz w:val="20"/>
              </w:rPr>
              <w:t>$</w:t>
            </w:r>
          </w:p>
        </w:tc>
        <w:tc>
          <w:tcPr>
            <w:tcW w:w="962" w:type="dxa"/>
            <w:tcBorders>
              <w:bottom w:val="doub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2023" w:name="TAB1724"/>
            <w:bookmarkEnd w:id="2023"/>
            <w:r>
              <w:rPr>
                <w:rFonts w:ascii="Times New Roman" w:hAnsi="Times New Roman"/>
                <w:sz w:val="20"/>
              </w:rPr>
              <w:t>28,709</w:t>
            </w:r>
          </w:p>
        </w:tc>
        <w:tc>
          <w:tcPr>
            <w:tcW w:w="103" w:type="dxa"/>
            <w:tcBorders>
              <w:bottom w:val="single" w:sz="4" w:space="0" w:color="CCEEFF"/>
            </w:tcBorders>
            <w:shd w:fill="CCEEFF" w:val="clear"/>
            <w:vAlign w:val="bottom"/>
          </w:tcPr>
          <w:p>
            <w:pPr>
              <w:pStyle w:val="TableContents"/>
              <w:spacing w:before="0" w:after="283"/>
              <w:jc w:val="left"/>
              <w:rPr/>
            </w:pPr>
            <w:r>
              <w:rPr/>
              <w:t> </w:t>
            </w:r>
          </w:p>
        </w:tc>
        <w:tc>
          <w:tcPr>
            <w:tcW w:w="141" w:type="dxa"/>
            <w:tcBorders>
              <w:bottom w:val="doub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bookmarkStart w:id="2024" w:name="TAB1725"/>
            <w:bookmarkEnd w:id="2024"/>
            <w:r>
              <w:rPr>
                <w:rFonts w:ascii="Times New Roman" w:hAnsi="Times New Roman"/>
                <w:sz w:val="20"/>
              </w:rPr>
              <w:t>$</w:t>
            </w:r>
          </w:p>
        </w:tc>
        <w:tc>
          <w:tcPr>
            <w:tcW w:w="962" w:type="dxa"/>
            <w:tcBorders>
              <w:bottom w:val="doub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2025" w:name="TAB1726"/>
            <w:bookmarkEnd w:id="2025"/>
            <w:r>
              <w:rPr>
                <w:rFonts w:ascii="Times New Roman" w:hAnsi="Times New Roman"/>
                <w:sz w:val="20"/>
              </w:rPr>
              <w:t>20,775</w:t>
            </w:r>
          </w:p>
        </w:tc>
        <w:tc>
          <w:tcPr>
            <w:tcW w:w="103" w:type="dxa"/>
            <w:tcBorders>
              <w:bottom w:val="single" w:sz="4" w:space="0" w:color="CCEEFF"/>
            </w:tcBorders>
            <w:shd w:fill="CCEEFF" w:val="clear"/>
            <w:vAlign w:val="bottom"/>
          </w:tcPr>
          <w:p>
            <w:pPr>
              <w:pStyle w:val="TableContents"/>
              <w:spacing w:before="0" w:after="283"/>
              <w:jc w:val="left"/>
              <w:rPr/>
            </w:pPr>
            <w:r>
              <w:rPr/>
              <w:t> </w:t>
            </w:r>
          </w:p>
        </w:tc>
        <w:tc>
          <w:tcPr>
            <w:tcW w:w="141" w:type="dxa"/>
            <w:tcBorders>
              <w:bottom w:val="doub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bookmarkStart w:id="2026" w:name="TAB1727"/>
            <w:bookmarkEnd w:id="2026"/>
            <w:r>
              <w:rPr>
                <w:rFonts w:ascii="Times New Roman" w:hAnsi="Times New Roman"/>
                <w:sz w:val="20"/>
              </w:rPr>
              <w:t>$</w:t>
            </w:r>
          </w:p>
        </w:tc>
        <w:tc>
          <w:tcPr>
            <w:tcW w:w="1022" w:type="dxa"/>
            <w:tcBorders>
              <w:bottom w:val="doub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2027" w:name="TAB1728"/>
            <w:bookmarkEnd w:id="2027"/>
            <w:r>
              <w:rPr>
                <w:rFonts w:ascii="Times New Roman" w:hAnsi="Times New Roman"/>
                <w:sz w:val="20"/>
              </w:rPr>
              <w:t>121,025</w:t>
            </w:r>
          </w:p>
        </w:tc>
        <w:tc>
          <w:tcPr>
            <w:tcW w:w="103" w:type="dxa"/>
            <w:tcBorders>
              <w:bottom w:val="single" w:sz="4" w:space="0" w:color="CCEEFF"/>
            </w:tcBorders>
            <w:shd w:fill="CCEEFF" w:val="clear"/>
            <w:vAlign w:val="bottom"/>
          </w:tcPr>
          <w:p>
            <w:pPr>
              <w:pStyle w:val="TableContents"/>
              <w:spacing w:before="0" w:after="283"/>
              <w:jc w:val="left"/>
              <w:rPr/>
            </w:pPr>
            <w:r>
              <w:rPr/>
              <w:t> </w:t>
            </w:r>
          </w:p>
        </w:tc>
        <w:tc>
          <w:tcPr>
            <w:tcW w:w="141" w:type="dxa"/>
            <w:tcBorders>
              <w:bottom w:val="doub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bookmarkStart w:id="2028" w:name="TAB1729"/>
            <w:bookmarkEnd w:id="2028"/>
            <w:r>
              <w:rPr>
                <w:rFonts w:ascii="Times New Roman" w:hAnsi="Times New Roman"/>
                <w:sz w:val="20"/>
              </w:rPr>
              <w:t>$</w:t>
            </w:r>
          </w:p>
        </w:tc>
        <w:tc>
          <w:tcPr>
            <w:tcW w:w="961" w:type="dxa"/>
            <w:tcBorders>
              <w:bottom w:val="doub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2029" w:name="TAB1730"/>
            <w:bookmarkEnd w:id="2029"/>
            <w:r>
              <w:rPr>
                <w:rFonts w:ascii="Times New Roman" w:hAnsi="Times New Roman"/>
                <w:sz w:val="20"/>
              </w:rPr>
              <w:t>27,407</w:t>
            </w:r>
          </w:p>
        </w:tc>
        <w:tc>
          <w:tcPr>
            <w:tcW w:w="103" w:type="dxa"/>
            <w:tcBorders>
              <w:bottom w:val="single" w:sz="4" w:space="0" w:color="CCEEFF"/>
            </w:tcBorders>
            <w:shd w:fill="CCEEFF" w:val="clear"/>
            <w:vAlign w:val="bottom"/>
          </w:tcPr>
          <w:p>
            <w:pPr>
              <w:pStyle w:val="TableContents"/>
              <w:spacing w:before="0" w:after="283"/>
              <w:jc w:val="left"/>
              <w:rPr/>
            </w:pPr>
            <w:r>
              <w:rPr/>
              <w:t> </w:t>
            </w:r>
          </w:p>
        </w:tc>
        <w:tc>
          <w:tcPr>
            <w:tcW w:w="141" w:type="dxa"/>
            <w:tcBorders>
              <w:bottom w:val="doub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bookmarkStart w:id="2030" w:name="TAB1731"/>
            <w:bookmarkEnd w:id="2030"/>
            <w:r>
              <w:rPr>
                <w:rFonts w:ascii="Times New Roman" w:hAnsi="Times New Roman"/>
                <w:sz w:val="20"/>
              </w:rPr>
              <w:t>$</w:t>
            </w:r>
          </w:p>
        </w:tc>
        <w:tc>
          <w:tcPr>
            <w:tcW w:w="962" w:type="dxa"/>
            <w:tcBorders>
              <w:bottom w:val="doub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2031" w:name="TAB1732"/>
            <w:bookmarkEnd w:id="2031"/>
            <w:r>
              <w:rPr>
                <w:rFonts w:ascii="Times New Roman" w:hAnsi="Times New Roman"/>
                <w:sz w:val="20"/>
              </w:rPr>
              <w:t>10,086</w:t>
            </w:r>
          </w:p>
        </w:tc>
        <w:tc>
          <w:tcPr>
            <w:tcW w:w="103" w:type="dxa"/>
            <w:tcBorders>
              <w:bottom w:val="single" w:sz="4" w:space="0" w:color="CCEEFF"/>
            </w:tcBorders>
            <w:shd w:fill="CCEEFF" w:val="clear"/>
            <w:vAlign w:val="bottom"/>
          </w:tcPr>
          <w:p>
            <w:pPr>
              <w:pStyle w:val="TableContents"/>
              <w:spacing w:before="0" w:after="283"/>
              <w:jc w:val="left"/>
              <w:rPr/>
            </w:pPr>
            <w:r>
              <w:rPr/>
              <w:t> </w:t>
            </w:r>
          </w:p>
        </w:tc>
        <w:tc>
          <w:tcPr>
            <w:tcW w:w="163" w:type="dxa"/>
            <w:tcBorders>
              <w:bottom w:val="doub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bookmarkStart w:id="2032" w:name="TAB1733"/>
            <w:bookmarkEnd w:id="2032"/>
            <w:r>
              <w:rPr>
                <w:rFonts w:ascii="Times New Roman" w:hAnsi="Times New Roman"/>
                <w:sz w:val="20"/>
              </w:rPr>
              <w:t>$</w:t>
            </w:r>
          </w:p>
        </w:tc>
        <w:tc>
          <w:tcPr>
            <w:tcW w:w="1067" w:type="dxa"/>
            <w:tcBorders>
              <w:bottom w:val="doub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2033" w:name="TAB1734"/>
            <w:bookmarkEnd w:id="2033"/>
            <w:r>
              <w:rPr>
                <w:rFonts w:ascii="Times New Roman" w:hAnsi="Times New Roman"/>
                <w:sz w:val="20"/>
              </w:rPr>
              <w:t>65,566</w:t>
            </w:r>
          </w:p>
        </w:tc>
        <w:tc>
          <w:tcPr>
            <w:tcW w:w="120" w:type="dxa"/>
            <w:tcBorders>
              <w:bottom w:val="single" w:sz="4" w:space="0" w:color="CCEEFF"/>
            </w:tcBorders>
            <w:shd w:fill="CCEEFF" w:val="clear"/>
            <w:vAlign w:val="bottom"/>
          </w:tcPr>
          <w:p>
            <w:pPr>
              <w:pStyle w:val="TableContents"/>
              <w:spacing w:before="0" w:after="283"/>
              <w:jc w:val="left"/>
              <w:rPr/>
            </w:pPr>
            <w:r>
              <w:rPr/>
              <w:t> </w:t>
            </w:r>
          </w:p>
        </w:tc>
      </w:tr>
    </w:tbl>
    <w:p>
      <w:pPr>
        <w:pStyle w:val="TextBody"/>
        <w:spacing w:lineRule="auto" w:line="300" w:before="0" w:after="0"/>
        <w:ind w:left="0" w:right="0" w:hanging="0"/>
        <w:jc w:val="left"/>
        <w:rPr/>
      </w:pPr>
      <w:r>
        <w:rPr/>
      </w:r>
    </w:p>
    <w:p>
      <w:pPr>
        <w:pStyle w:val="TextBody"/>
        <w:spacing w:lineRule="auto" w:line="300" w:before="0" w:after="0"/>
        <w:ind w:left="0" w:right="0" w:hanging="0"/>
        <w:jc w:val="both"/>
        <w:rPr/>
      </w:pPr>
      <w:r>
        <w:rPr>
          <w:rStyle w:val="Emphasis"/>
          <w:rFonts w:ascii="Times New Roman" w:hAnsi="Times New Roman"/>
          <w:sz w:val="20"/>
          <w:u w:val="single"/>
        </w:rPr>
        <w:t>Unconsolidated Joint Venture Debt</w:t>
      </w:r>
    </w:p>
    <w:p>
      <w:pPr>
        <w:pStyle w:val="TextBody"/>
        <w:spacing w:lineRule="auto" w:line="300" w:before="0" w:after="0"/>
        <w:ind w:left="0" w:right="0" w:hanging="0"/>
        <w:jc w:val="both"/>
        <w:rPr/>
      </w:pPr>
      <w:r>
        <w:rPr/>
      </w:r>
    </w:p>
    <w:p>
      <w:pPr>
        <w:pStyle w:val="TextBody"/>
        <w:spacing w:lineRule="auto" w:line="300" w:before="0" w:after="0"/>
        <w:ind w:left="720" w:right="0" w:hanging="0"/>
        <w:jc w:val="both"/>
        <w:rPr>
          <w:rFonts w:ascii="Times New Roman" w:hAnsi="Times New Roman"/>
          <w:sz w:val="20"/>
        </w:rPr>
      </w:pPr>
      <w:bookmarkStart w:id="2034" w:name="TAB1735"/>
      <w:bookmarkEnd w:id="2034"/>
      <w:r>
        <w:rPr>
          <w:rFonts w:ascii="Times New Roman" w:hAnsi="Times New Roman"/>
          <w:sz w:val="20"/>
        </w:rPr>
        <w:t>Total debt of unconsolidated joint ventures was $4.8 million and $69.5 million as of December 31, 2006 and December 31, 2005, respectively. Our share of unconsolidated debt, based on our ownership percentage, was $2.2 million and $20.1 million as of December 31, 2006 and December 31, 2005, respectively. Each loan is without recourse to any assets other than our interests in the individual joint venture.</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pPr>
      <w:r>
        <w:rPr>
          <w:rStyle w:val="Emphasis"/>
          <w:rFonts w:ascii="Times New Roman" w:hAnsi="Times New Roman"/>
          <w:sz w:val="20"/>
          <w:u w:val="single"/>
        </w:rPr>
        <w:t xml:space="preserve">Off-Balance Sheet Arrangements </w:t>
      </w:r>
    </w:p>
    <w:p>
      <w:pPr>
        <w:pStyle w:val="TextBody"/>
        <w:spacing w:lineRule="auto" w:line="300" w:before="0" w:after="0"/>
        <w:ind w:left="0" w:right="0" w:hanging="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There are no off-balance sheet transactions, arrangements or obligations (including contingent obligations) that have, or are reasonably likely to have, a current or future material effect on our financial condition, changes in the financial condition, revenues or expenses, results of operations, liquidity, capital expenditures or capital resources.</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u w:val="single"/>
        </w:rPr>
      </w:pPr>
      <w:r>
        <w:rPr>
          <w:rFonts w:ascii="Times New Roman" w:hAnsi="Times New Roman"/>
          <w:sz w:val="20"/>
          <w:u w:val="single"/>
        </w:rPr>
        <w:t>Financial Risk Management</w:t>
      </w:r>
    </w:p>
    <w:p>
      <w:pPr>
        <w:pStyle w:val="TextBody"/>
        <w:spacing w:lineRule="auto" w:line="300" w:before="0" w:after="0"/>
        <w:ind w:left="0" w:right="0" w:hanging="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 xml:space="preserve">Our internally developed risk management procedure, seeks to minimize the potentially negative effects of changes in foreign exchange rates and interest rates on the results of operations. Our primary exposure to fluctuations in the financial markets is currently due to changes in foreign exchange rates between U.S and Australia and New Zealand, and interest rates. </w:t>
      </w:r>
    </w:p>
    <w:p>
      <w:pPr>
        <w:pStyle w:val="TextBody"/>
        <w:spacing w:lineRule="auto" w:line="300" w:before="0" w:after="0"/>
        <w:ind w:left="0" w:right="0" w:hanging="0"/>
        <w:jc w:val="both"/>
        <w:rPr/>
      </w:pPr>
      <w:r>
        <w:rPr/>
      </w:r>
    </w:p>
    <w:p>
      <w:pPr>
        <w:pStyle w:val="TextBody"/>
        <w:spacing w:lineRule="auto" w:line="300" w:before="0" w:after="0"/>
        <w:ind w:left="720" w:right="0" w:hanging="0"/>
        <w:jc w:val="both"/>
        <w:rPr>
          <w:rFonts w:ascii="Times New Roman" w:hAnsi="Times New Roman"/>
          <w:sz w:val="20"/>
        </w:rPr>
      </w:pPr>
      <w:bookmarkStart w:id="2035" w:name="TAB1736"/>
      <w:bookmarkEnd w:id="2035"/>
      <w:r>
        <w:rPr>
          <w:rFonts w:ascii="Times New Roman" w:hAnsi="Times New Roman"/>
          <w:sz w:val="20"/>
        </w:rPr>
        <w:t xml:space="preserve">In 2006, we determined that it would be beneficial to have a layer of long term fully subordinated debt financing to help support our long term real estate assets. On February 5, 2007 we issued $50.0 million in 20-year fully subordinated notes, interest fixed for five years at 9.22%, to a trust which we control, and which in turn issued $50.0 million in trust preferred securities in a private placement. There are no principal payments until maturity in 2027 when the notes are paid in full. The trust is essentially a pass through, and the transaction is accounted for on our books as the issuance of fully subordinated notes. The placement generated $48.4 million in net proceeds, which were used principally to retire all of our bank indebtedness in New Zealand $34.4 million (NZ$50.0 million) and to retire a portion of our bank indebtedness in Australia $5.8 million (AUS$7.4 million). </w:t>
      </w:r>
    </w:p>
    <w:p>
      <w:pPr>
        <w:pStyle w:val="TextBody"/>
        <w:spacing w:lineRule="auto" w:line="300" w:before="0" w:after="0"/>
        <w:ind w:left="0" w:right="0" w:hanging="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As our operational focus continues to shift to Australia and New Zealand, unrealized foreign currency translation gains and losses could materially affect our financial position. Historically, we managed our currency exposure by creating natural hedges in Australia and New Zealand. This involves local country sourcing of goods and services as well as borrowing in local currencies. However, by paying off our New Zealand debt and paying down on our Australia debt with the proceeds of our Trust Preferred Securities, we have added an increased element of currency risk to our Company. We believe that this currency risk is mitigated by the comparatively favorable interest rate and the long-term nature of the fully subordinated notes.</w:t>
      </w:r>
    </w:p>
    <w:p>
      <w:pPr>
        <w:pStyle w:val="TextBody"/>
        <w:spacing w:lineRule="auto" w:line="300" w:before="0" w:after="0"/>
        <w:ind w:left="0" w:right="0" w:firstLine="72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Our exposure to interest rate risk arises out of our long-term debt obligations. Consistent with our internally developed guidelines, we seek to reduce the negative effects of changes in interest rates by changing the character of the interest rate on our long-term debt, converting a fixed rate into a variable rate and vice versa. Our internal procedures allow us to enter into derivative contracts on certain borrowing transactions to achieve this goal. Our Australian Credit Facility provides for floating interest rates based on the Bank Bill Swap Bid Rate (BBSY bid rate), but requires that not less than 70% of the loan be swapped into fixed rate obligations.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036" w:name="PGBRK64"/>
      <w:bookmarkStart w:id="2037" w:name="PGBRK64"/>
      <w:bookmarkEnd w:id="203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38" w:name="FTR64"/>
      <w:bookmarkStart w:id="2039" w:name="FTR64"/>
      <w:bookmarkEnd w:id="203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40" w:name="GLFTR64"/>
      <w:bookmarkStart w:id="2041" w:name="GLFTR64"/>
      <w:bookmarkEnd w:id="204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2042" w:name="PN64"/>
      <w:bookmarkEnd w:id="2042"/>
      <w:r>
        <w:rPr>
          <w:rFonts w:ascii="Times New Roman" w:hAnsi="Times New Roman"/>
          <w:sz w:val="16"/>
        </w:rPr>
        <w:t>-64-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43" w:name="HDR64"/>
      <w:bookmarkStart w:id="2044" w:name="HDR64"/>
      <w:bookmarkEnd w:id="204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2045" w:name="GLHDR64"/>
        <w:bookmarkEnd w:id="2045"/>
        <w:r>
          <w:rPr>
            <w:rStyle w:val="Emphasis"/>
            <w:rFonts w:ascii="Times New Roman" w:hAnsi="Times New Roman"/>
            <w:color w:val="000000"/>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In accordance with SFAS No. 133, we marked our Australian interest rate swap instruments to market resulting in an $845,000 (AUS$1.1 million) decrease, $171,000 (AUS$180,000) increase, and a $91,000 (AUS$118,000) increase to interest expense during 2006, 2005 and 2004, respectively.</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pPr>
      <w:r>
        <w:rPr>
          <w:rStyle w:val="Emphasis"/>
          <w:rFonts w:ascii="Times New Roman" w:hAnsi="Times New Roman"/>
          <w:sz w:val="20"/>
          <w:u w:val="single"/>
        </w:rPr>
        <w:t>Inflation</w:t>
      </w:r>
    </w:p>
    <w:p>
      <w:pPr>
        <w:pStyle w:val="TextBody"/>
        <w:spacing w:lineRule="auto" w:line="300" w:before="0" w:after="0"/>
        <w:ind w:left="0" w:right="0" w:hanging="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We continually monitor inflation and the effects of changing prices. Inflation increases the cost of goods and services used. Competitive conditions in many of our markets restrict our ability to recover fully the higher costs of acquired goods and services through price increases. We attempt to mitigate the impact of inflation by implementing continuous process improvement solutions to enhance productivity and efficiency and, as a result, lower costs and operating expenses. In our opinion, the effects of inflation have been managed appropriately and as a result, have not had a material impact on our operations and the resulting financial position or liquidity.</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u w:val="single"/>
        </w:rPr>
      </w:pPr>
      <w:r>
        <w:rPr>
          <w:rFonts w:ascii="Times New Roman" w:hAnsi="Times New Roman"/>
          <w:sz w:val="20"/>
          <w:u w:val="single"/>
        </w:rPr>
        <w:t>Recent Accounting Pronouncements</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pPr>
      <w:r>
        <w:rPr>
          <w:rStyle w:val="Emphasis"/>
          <w:rFonts w:ascii="Times New Roman" w:hAnsi="Times New Roman"/>
          <w:sz w:val="20"/>
          <w:u w:val="single"/>
        </w:rPr>
        <w:t>Statement of Financial Accounting Standards No. 157</w:t>
      </w:r>
    </w:p>
    <w:p>
      <w:pPr>
        <w:pStyle w:val="TextBody"/>
        <w:spacing w:lineRule="auto" w:line="300" w:before="0" w:after="0"/>
        <w:ind w:left="0" w:right="0" w:firstLine="720"/>
        <w:jc w:val="both"/>
        <w:rPr/>
      </w:pPr>
      <w:r>
        <w:rPr/>
      </w:r>
    </w:p>
    <w:p>
      <w:pPr>
        <w:pStyle w:val="TextBody"/>
        <w:spacing w:lineRule="auto" w:line="300" w:before="0" w:after="0"/>
        <w:ind w:left="0" w:right="0" w:firstLine="720"/>
        <w:jc w:val="both"/>
        <w:rPr/>
      </w:pPr>
      <w:r>
        <w:rPr>
          <w:rFonts w:ascii="Times New Roman" w:hAnsi="Times New Roman"/>
          <w:sz w:val="20"/>
        </w:rPr>
        <w:t xml:space="preserve">In September 2006, the FASB issued Statement of Financial Accounting Standards No. 157, </w:t>
      </w:r>
      <w:r>
        <w:rPr>
          <w:rStyle w:val="Emphasis"/>
          <w:rFonts w:ascii="Times New Roman" w:hAnsi="Times New Roman"/>
          <w:sz w:val="20"/>
        </w:rPr>
        <w:t>Fair Value Measurement</w:t>
      </w:r>
      <w:r>
        <w:rPr/>
        <w:t xml:space="preserve"> </w:t>
      </w:r>
      <w:r>
        <w:rPr>
          <w:rFonts w:ascii="Times New Roman" w:hAnsi="Times New Roman"/>
          <w:sz w:val="20"/>
        </w:rPr>
        <w:t>(SFAS 157). SFAS 157 defines fair value, establishes a framework for measuring fair value in accordance with Generally Accepted Accounting Principles (GAAP), and expands disclosures about fair value measurements. The provisions of SFAS 157 are effective for fiscal years beginning after November 15, 2007. We do not anticipate the application of this pronouncement will have a material impact on our results of operations or financial condition.</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pPr>
      <w:r>
        <w:rPr>
          <w:rStyle w:val="Emphasis"/>
          <w:rFonts w:ascii="Times New Roman" w:hAnsi="Times New Roman"/>
          <w:sz w:val="20"/>
          <w:u w:val="single"/>
        </w:rPr>
        <w:t>Financial Interpretation No. 48</w:t>
      </w:r>
    </w:p>
    <w:p>
      <w:pPr>
        <w:pStyle w:val="TextBody"/>
        <w:spacing w:lineRule="auto" w:line="300" w:before="0" w:after="0"/>
        <w:ind w:left="0" w:right="0" w:hanging="0"/>
        <w:jc w:val="both"/>
        <w:rPr/>
      </w:pPr>
      <w:r>
        <w:rPr/>
      </w:r>
    </w:p>
    <w:p>
      <w:pPr>
        <w:pStyle w:val="TextBody"/>
        <w:spacing w:lineRule="auto" w:line="300" w:before="0" w:after="0"/>
        <w:ind w:left="720" w:right="0" w:hanging="0"/>
        <w:jc w:val="both"/>
        <w:rPr/>
      </w:pPr>
      <w:bookmarkStart w:id="2046" w:name="TAB1737"/>
      <w:bookmarkEnd w:id="2046"/>
      <w:r>
        <w:rPr>
          <w:rFonts w:ascii="Times New Roman" w:hAnsi="Times New Roman"/>
          <w:sz w:val="20"/>
        </w:rPr>
        <w:t xml:space="preserve">In June 2006, the FASB issued Financial Interpretation No. 48 </w:t>
      </w:r>
      <w:r>
        <w:rPr>
          <w:rStyle w:val="Emphasis"/>
          <w:rFonts w:ascii="Times New Roman" w:hAnsi="Times New Roman"/>
          <w:sz w:val="20"/>
        </w:rPr>
        <w:t>Accounting for Uncertainty in Income Taxes—an Interpretation of FASB Statement No. 109</w:t>
      </w:r>
      <w:r>
        <w:rPr>
          <w:rFonts w:ascii="Times New Roman" w:hAnsi="Times New Roman"/>
          <w:sz w:val="20"/>
        </w:rPr>
        <w:t>. This Interpretation clarifies the accounting for uncertainty in income taxes recognized in an enterprise’s financial statements in accordance with FASB Statement No. 109, Accounting for Income Taxes. This Interpretation prescribes a recognition threshold and measurement attribute for the financial statement recognition and measurement of a tax position taken or expected to be taken in a tax return. The benefit of a tax position may be recognized if there is a more likely than not probability that the position will be sustained on its merits when examined by the taxing authorities. If a benefit is thus recognized, the amount of benefit is measured as the largest tax benefit that is more than 50 percent probable of being secured upon ultimate settlement.</w:t>
      </w:r>
    </w:p>
    <w:p>
      <w:pPr>
        <w:pStyle w:val="TextBody"/>
        <w:spacing w:lineRule="auto" w:line="300" w:before="0" w:after="0"/>
        <w:ind w:left="0" w:right="0" w:hanging="0"/>
        <w:jc w:val="both"/>
        <w:rPr/>
      </w:pPr>
      <w:r>
        <w:rPr/>
      </w:r>
    </w:p>
    <w:p>
      <w:pPr>
        <w:pStyle w:val="TextBody"/>
        <w:spacing w:lineRule="auto" w:line="300" w:before="0" w:after="0"/>
        <w:ind w:left="720" w:right="0" w:hanging="0"/>
        <w:jc w:val="both"/>
        <w:rPr>
          <w:rFonts w:ascii="Times New Roman" w:hAnsi="Times New Roman"/>
          <w:sz w:val="20"/>
        </w:rPr>
      </w:pPr>
      <w:bookmarkStart w:id="2047" w:name="TAB1738"/>
      <w:bookmarkEnd w:id="2047"/>
      <w:r>
        <w:rPr>
          <w:rFonts w:ascii="Times New Roman" w:hAnsi="Times New Roman"/>
          <w:sz w:val="20"/>
        </w:rPr>
        <w:t>The provisions of FIN 48 are effective for years beginning after December 15, 2006. We estimate the application of FIN 48 will result in a cumulative charge to retained earnings as of January 1. 2007 between $400,000 and $900,000.</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pPr>
      <w:r>
        <w:rPr>
          <w:rStyle w:val="Emphasis"/>
          <w:rFonts w:ascii="Times New Roman" w:hAnsi="Times New Roman"/>
          <w:sz w:val="20"/>
          <w:u w:val="single"/>
        </w:rPr>
        <w:t>Staff Accounting Bulletin (SAB) 108</w:t>
      </w:r>
    </w:p>
    <w:p>
      <w:pPr>
        <w:pStyle w:val="TextBody"/>
        <w:spacing w:lineRule="auto" w:line="300" w:before="0" w:after="0"/>
        <w:ind w:left="0" w:right="0" w:firstLine="72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In September 2006, the SEC released Staff Accounting Bulletin No. 108 (“SAB 108”) to address diversity in practice regarding consideration of the effects of prior year errors when quantifying misstatements in current year financial statements. The SEC staff concluded that registrants should quantify financial statement errors using both a balance sheet approach and an income statement approach and evaluate whether either approach results in quantifying a misstatement that, when all relevant quantitative and qualitative factors are considered, is material. SAB 108 states that if correcting an error in the current year materially affects the current year’s income statement, the prior period financial statements must be restated. SAB 108 is effective for fiscal years ending after November 15, 2006. The adoption of SAB 108 did not have a material impact on our consolidated financial statements.</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pPr>
      <w:r>
        <w:rPr>
          <w:rStyle w:val="Emphasis"/>
          <w:rFonts w:ascii="Times New Roman" w:hAnsi="Times New Roman"/>
          <w:sz w:val="20"/>
          <w:u w:val="single"/>
        </w:rPr>
        <w:t>Statement of Financial Accounting Standards No. 123(R)</w:t>
      </w:r>
    </w:p>
    <w:p>
      <w:pPr>
        <w:pStyle w:val="TextBody"/>
        <w:spacing w:lineRule="auto" w:line="300" w:before="0" w:after="0"/>
        <w:ind w:left="0" w:right="0" w:hanging="0"/>
        <w:jc w:val="both"/>
        <w:rPr/>
      </w:pPr>
      <w:r>
        <w:rPr/>
      </w:r>
    </w:p>
    <w:p>
      <w:pPr>
        <w:pStyle w:val="TextBody"/>
        <w:spacing w:lineRule="auto" w:line="300" w:before="0" w:after="0"/>
        <w:ind w:left="720" w:right="0" w:hanging="0"/>
        <w:jc w:val="both"/>
        <w:rPr/>
      </w:pPr>
      <w:bookmarkStart w:id="2048" w:name="TAB1739"/>
      <w:bookmarkEnd w:id="2048"/>
      <w:r>
        <w:rPr>
          <w:rFonts w:ascii="Times New Roman" w:hAnsi="Times New Roman"/>
          <w:sz w:val="20"/>
        </w:rPr>
        <w:t xml:space="preserve">In December 2004, the FASB issued SFAS No. 123 - Revised, </w:t>
      </w:r>
      <w:r>
        <w:rPr>
          <w:rStyle w:val="Emphasis"/>
          <w:rFonts w:ascii="Times New Roman" w:hAnsi="Times New Roman"/>
          <w:sz w:val="20"/>
        </w:rPr>
        <w:t>Share Based Payment</w:t>
      </w:r>
      <w:r>
        <w:rPr>
          <w:rFonts w:ascii="Times New Roman" w:hAnsi="Times New Roman"/>
          <w:sz w:val="20"/>
        </w:rPr>
        <w:t>. The statement establishes the standards for the accounting for transactions in which an entity exchanges its equity instruments for goods and services. The statement focuses primarily on accounting for transactions in which an entity obtains employee services in share-based payment transactions. Public companies may apply the standard on a modified prospective method. Under this method, a company records compensation expense for all awards it grants after the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049" w:name="PGBRK65"/>
      <w:bookmarkStart w:id="2050" w:name="PGBRK65"/>
      <w:bookmarkEnd w:id="205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51" w:name="FTR65"/>
      <w:bookmarkStart w:id="2052" w:name="FTR65"/>
      <w:bookmarkEnd w:id="205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53" w:name="GLFTR65"/>
      <w:bookmarkStart w:id="2054" w:name="GLFTR65"/>
      <w:bookmarkEnd w:id="205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2055" w:name="PN65"/>
      <w:bookmarkEnd w:id="2055"/>
      <w:r>
        <w:rPr>
          <w:rFonts w:ascii="Times New Roman" w:hAnsi="Times New Roman"/>
          <w:sz w:val="16"/>
        </w:rPr>
        <w:t>-65-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56" w:name="HDR65"/>
      <w:bookmarkStart w:id="2057" w:name="HDR65"/>
      <w:bookmarkEnd w:id="205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2058" w:name="GLHDR65"/>
        <w:bookmarkEnd w:id="2058"/>
        <w:r>
          <w:rPr>
            <w:rStyle w:val="Emphasis"/>
            <w:rFonts w:ascii="Times New Roman" w:hAnsi="Times New Roman"/>
            <w:color w:val="000000"/>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date it adopts the standard. In addition, public companies are required to record compensation expense for the unvested portion of previously granted awards that remain outstanding at the date of adoption. During 2005, the Securities and Exchange Commission deferred the effective date of this statement until the first annual period beginning after June 15, 2005. The adoption of this statement in 2006 did not have a material impact on our financial position or results of operations.</w:t>
      </w:r>
    </w:p>
    <w:p>
      <w:pPr>
        <w:pStyle w:val="TextBody"/>
        <w:spacing w:lineRule="auto" w:line="300" w:before="0" w:after="0"/>
        <w:ind w:left="0" w:right="0" w:firstLine="720"/>
        <w:jc w:val="both"/>
        <w:rPr/>
      </w:pPr>
      <w:r>
        <w:rPr/>
      </w:r>
    </w:p>
    <w:p>
      <w:pPr>
        <w:pStyle w:val="TextBody"/>
        <w:spacing w:lineRule="auto" w:line="300" w:before="0" w:after="0"/>
        <w:ind w:left="0" w:right="0" w:firstLine="720"/>
        <w:jc w:val="both"/>
        <w:rPr/>
      </w:pPr>
      <w:r>
        <w:rPr/>
      </w:r>
    </w:p>
    <w:p>
      <w:pPr>
        <w:pStyle w:val="TextBody"/>
        <w:spacing w:lineRule="auto" w:line="300" w:before="0" w:after="0"/>
        <w:ind w:left="0" w:right="0" w:hanging="0"/>
        <w:jc w:val="left"/>
        <w:rPr/>
      </w:pPr>
      <w:r>
        <w:rPr>
          <w:rStyle w:val="StrongEmphasis"/>
          <w:rFonts w:ascii="Times New Roman" w:hAnsi="Times New Roman"/>
          <w:sz w:val="20"/>
          <w:u w:val="single"/>
        </w:rPr>
        <w:t>Forward-Looking Statements</w:t>
      </w:r>
    </w:p>
    <w:p>
      <w:pPr>
        <w:pStyle w:val="TextBody"/>
        <w:spacing w:lineRule="auto" w:line="300" w:before="0" w:after="0"/>
        <w:ind w:left="0" w:right="0" w:hanging="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Our statements in this annual report contain a variety of forward-looking statements as defined by the Securities Litigation Reform Act of 1995. Forward-looking statements reflect only our expectations regarding future events and operating performance and necessarily speak only as of the date the information was prepared. No guarantees can be given that our expectation will in fact be realized, in whole or in part. You can recognize these statements by our use of words such as, by way of example, “may,” “will,” “expect,” “believe,” and “anticipate” or other similar terminology.</w:t>
      </w:r>
    </w:p>
    <w:p>
      <w:pPr>
        <w:pStyle w:val="TextBody"/>
        <w:spacing w:lineRule="auto" w:line="300" w:before="0" w:after="0"/>
        <w:ind w:left="720" w:right="0" w:hanging="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These forward-looking statements reflect our expectation after having considered a variety of risks and uncertainties. However, they are necessarily the product of internal discussion and do not necessarily completely reflect the views of individual members of our Board of Directors or of our management team. Individual Board members and individual members of our management team may have different view as to the risks and uncertainties involved, and may have different views as to future events or our operating performance.</w:t>
      </w:r>
    </w:p>
    <w:p>
      <w:pPr>
        <w:pStyle w:val="TextBody"/>
        <w:spacing w:lineRule="auto" w:line="300" w:before="0" w:after="0"/>
        <w:ind w:left="720" w:right="0" w:hanging="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Among the factors that could cause actual results to differ materially from those expressed in or underlying our forward-looking statements are the following:</w:t>
      </w:r>
    </w:p>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2059" w:name="hangingindent270"/>
      <w:bookmarkStart w:id="2060" w:name="hangingindent270"/>
      <w:bookmarkEnd w:id="2060"/>
    </w:p>
    <w:tbl>
      <w:tblPr>
        <w:tblW w:w="5000" w:type="pct"/>
        <w:jc w:val="center"/>
        <w:tblInd w:w="0" w:type="dxa"/>
        <w:tblCellMar>
          <w:top w:w="0" w:type="dxa"/>
          <w:left w:w="0" w:type="dxa"/>
          <w:bottom w:w="0" w:type="dxa"/>
          <w:right w:w="0" w:type="dxa"/>
        </w:tblCellMar>
      </w:tblPr>
      <w:tblGrid>
        <w:gridCol w:w="187"/>
        <w:gridCol w:w="297"/>
        <w:gridCol w:w="9721"/>
      </w:tblGrid>
      <w:tr>
        <w:trPr/>
        <w:tc>
          <w:tcPr>
            <w:tcW w:w="187" w:type="dxa"/>
            <w:tcBorders/>
            <w:shd w:fill="auto" w:val="clear"/>
          </w:tcPr>
          <w:p>
            <w:pPr>
              <w:pStyle w:val="TableContents"/>
              <w:spacing w:before="0" w:after="283"/>
              <w:rPr/>
            </w:pPr>
            <w:r>
              <w:rPr/>
              <w:t> </w:t>
            </w:r>
          </w:p>
        </w:tc>
        <w:tc>
          <w:tcPr>
            <w:tcW w:w="297"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972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with respect to our cinema operations:</w:t>
            </w:r>
          </w:p>
        </w:tc>
      </w:tr>
    </w:tbl>
    <w:p>
      <w:pPr>
        <w:pStyle w:val="TextBody"/>
        <w:spacing w:lineRule="auto" w:line="300" w:before="0" w:after="0"/>
        <w:ind w:left="0" w:right="0" w:hanging="0"/>
        <w:jc w:val="both"/>
        <w:rPr/>
      </w:pPr>
      <w:r>
        <w:rPr/>
        <w:t> </w:t>
      </w:r>
    </w:p>
    <w:p>
      <w:pPr>
        <w:pStyle w:val="Normal"/>
        <w:spacing w:lineRule="auto" w:line="300" w:before="0" w:after="0"/>
        <w:jc w:val="both"/>
        <w:rPr>
          <w:sz w:val="4"/>
          <w:szCs w:val="4"/>
        </w:rPr>
      </w:pPr>
      <w:r>
        <w:rPr>
          <w:sz w:val="4"/>
          <w:szCs w:val="4"/>
        </w:rPr>
      </w:r>
      <w:bookmarkStart w:id="2061" w:name="hangingindent271"/>
      <w:bookmarkStart w:id="2062" w:name="hangingindent271"/>
      <w:bookmarkEnd w:id="2062"/>
    </w:p>
    <w:tbl>
      <w:tblPr>
        <w:tblW w:w="5000" w:type="pct"/>
        <w:jc w:val="center"/>
        <w:tblInd w:w="0" w:type="dxa"/>
        <w:tblCellMar>
          <w:top w:w="0" w:type="dxa"/>
          <w:left w:w="0" w:type="dxa"/>
          <w:bottom w:w="0" w:type="dxa"/>
          <w:right w:w="0" w:type="dxa"/>
        </w:tblCellMar>
      </w:tblPr>
      <w:tblGrid>
        <w:gridCol w:w="87"/>
        <w:gridCol w:w="183"/>
        <w:gridCol w:w="9935"/>
      </w:tblGrid>
      <w:tr>
        <w:trPr/>
        <w:tc>
          <w:tcPr>
            <w:tcW w:w="87" w:type="dxa"/>
            <w:tcBorders/>
            <w:shd w:fill="auto" w:val="clear"/>
          </w:tcPr>
          <w:p>
            <w:pPr>
              <w:pStyle w:val="TableContents"/>
              <w:spacing w:before="0" w:after="283"/>
              <w:rPr/>
            </w:pPr>
            <w:r>
              <w:rPr/>
              <w:t> </w:t>
            </w:r>
          </w:p>
        </w:tc>
        <w:tc>
          <w:tcPr>
            <w:tcW w:w="18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o</w:t>
            </w:r>
          </w:p>
        </w:tc>
        <w:tc>
          <w:tcPr>
            <w:tcW w:w="993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number and attractiveness to movie goers of the films released in future periods;</w:t>
            </w:r>
          </w:p>
        </w:tc>
      </w:tr>
    </w:tbl>
    <w:p>
      <w:pPr>
        <w:pStyle w:val="TextBody"/>
        <w:spacing w:lineRule="auto" w:line="300" w:before="0" w:after="0"/>
        <w:ind w:left="0" w:right="0" w:hanging="0"/>
        <w:jc w:val="both"/>
        <w:rPr/>
      </w:pPr>
      <w:r>
        <w:rPr/>
        <w:t> </w:t>
      </w:r>
    </w:p>
    <w:p>
      <w:pPr>
        <w:pStyle w:val="Normal"/>
        <w:spacing w:lineRule="auto" w:line="300" w:before="0" w:after="0"/>
        <w:jc w:val="both"/>
        <w:rPr>
          <w:sz w:val="4"/>
          <w:szCs w:val="4"/>
        </w:rPr>
      </w:pPr>
      <w:r>
        <w:rPr>
          <w:sz w:val="4"/>
          <w:szCs w:val="4"/>
        </w:rPr>
      </w:r>
      <w:bookmarkStart w:id="2063" w:name="hangingindent272"/>
      <w:bookmarkStart w:id="2064" w:name="hangingindent272"/>
      <w:bookmarkEnd w:id="2064"/>
    </w:p>
    <w:tbl>
      <w:tblPr>
        <w:tblW w:w="5000" w:type="pct"/>
        <w:jc w:val="center"/>
        <w:tblInd w:w="0" w:type="dxa"/>
        <w:tblCellMar>
          <w:top w:w="0" w:type="dxa"/>
          <w:left w:w="0" w:type="dxa"/>
          <w:bottom w:w="0" w:type="dxa"/>
          <w:right w:w="0" w:type="dxa"/>
        </w:tblCellMar>
      </w:tblPr>
      <w:tblGrid>
        <w:gridCol w:w="90"/>
        <w:gridCol w:w="189"/>
        <w:gridCol w:w="9926"/>
      </w:tblGrid>
      <w:tr>
        <w:trPr/>
        <w:tc>
          <w:tcPr>
            <w:tcW w:w="90" w:type="dxa"/>
            <w:tcBorders/>
            <w:shd w:fill="auto" w:val="clear"/>
          </w:tcPr>
          <w:p>
            <w:pPr>
              <w:pStyle w:val="TableContents"/>
              <w:spacing w:before="0" w:after="283"/>
              <w:rPr/>
            </w:pPr>
            <w:r>
              <w:rPr/>
              <w:t> </w:t>
            </w:r>
          </w:p>
        </w:tc>
        <w:tc>
          <w:tcPr>
            <w:tcW w:w="18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o</w:t>
            </w:r>
          </w:p>
        </w:tc>
        <w:tc>
          <w:tcPr>
            <w:tcW w:w="992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amount of money spent by film distributors to promote their motion pictures;</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2065" w:name="hangingindent273"/>
      <w:bookmarkStart w:id="2066" w:name="hangingindent273"/>
      <w:bookmarkEnd w:id="2066"/>
    </w:p>
    <w:tbl>
      <w:tblPr>
        <w:tblW w:w="5000" w:type="pct"/>
        <w:jc w:val="center"/>
        <w:tblInd w:w="0" w:type="dxa"/>
        <w:tblCellMar>
          <w:top w:w="0" w:type="dxa"/>
          <w:left w:w="0" w:type="dxa"/>
          <w:bottom w:w="0" w:type="dxa"/>
          <w:right w:w="0" w:type="dxa"/>
        </w:tblCellMar>
      </w:tblPr>
      <w:tblGrid>
        <w:gridCol w:w="62"/>
        <w:gridCol w:w="131"/>
        <w:gridCol w:w="10012"/>
      </w:tblGrid>
      <w:tr>
        <w:trPr/>
        <w:tc>
          <w:tcPr>
            <w:tcW w:w="62" w:type="dxa"/>
            <w:tcBorders/>
            <w:shd w:fill="auto" w:val="clear"/>
          </w:tcPr>
          <w:p>
            <w:pPr>
              <w:pStyle w:val="TableContents"/>
              <w:spacing w:before="0" w:after="283"/>
              <w:rPr/>
            </w:pPr>
            <w:r>
              <w:rPr/>
              <w:t> </w:t>
            </w:r>
          </w:p>
        </w:tc>
        <w:tc>
          <w:tcPr>
            <w:tcW w:w="13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o</w:t>
            </w:r>
          </w:p>
        </w:tc>
        <w:tc>
          <w:tcPr>
            <w:tcW w:w="1001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licensing fees and terms required by film distributors from motion picture exhibitors in order to exhibit their films;</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2067" w:name="hangingindent274"/>
      <w:bookmarkStart w:id="2068" w:name="hangingindent274"/>
      <w:bookmarkEnd w:id="2068"/>
    </w:p>
    <w:tbl>
      <w:tblPr>
        <w:tblW w:w="5000" w:type="pct"/>
        <w:jc w:val="center"/>
        <w:tblInd w:w="0" w:type="dxa"/>
        <w:tblCellMar>
          <w:top w:w="0" w:type="dxa"/>
          <w:left w:w="0" w:type="dxa"/>
          <w:bottom w:w="0" w:type="dxa"/>
          <w:right w:w="0" w:type="dxa"/>
        </w:tblCellMar>
      </w:tblPr>
      <w:tblGrid>
        <w:gridCol w:w="59"/>
        <w:gridCol w:w="125"/>
        <w:gridCol w:w="10021"/>
      </w:tblGrid>
      <w:tr>
        <w:trPr/>
        <w:tc>
          <w:tcPr>
            <w:tcW w:w="59" w:type="dxa"/>
            <w:tcBorders/>
            <w:shd w:fill="auto" w:val="clear"/>
          </w:tcPr>
          <w:p>
            <w:pPr>
              <w:pStyle w:val="TableContents"/>
              <w:spacing w:before="0" w:after="283"/>
              <w:rPr/>
            </w:pPr>
            <w:r>
              <w:rPr/>
              <w:t> </w:t>
            </w:r>
          </w:p>
        </w:tc>
        <w:tc>
          <w:tcPr>
            <w:tcW w:w="12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o</w:t>
            </w:r>
          </w:p>
        </w:tc>
        <w:tc>
          <w:tcPr>
            <w:tcW w:w="1002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comparative attractiveness of motion pictures as a source of entertainment and willingness and/or ability of consumers (i) to spend their dollars on entertainment and (ii) to spend their entertainment dollars on movies in an outside the home environment; and</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2069" w:name="hangingindent275"/>
      <w:bookmarkStart w:id="2070" w:name="hangingindent275"/>
      <w:bookmarkEnd w:id="2070"/>
    </w:p>
    <w:tbl>
      <w:tblPr>
        <w:tblW w:w="5000" w:type="pct"/>
        <w:jc w:val="center"/>
        <w:tblInd w:w="0" w:type="dxa"/>
        <w:tblCellMar>
          <w:top w:w="0" w:type="dxa"/>
          <w:left w:w="0" w:type="dxa"/>
          <w:bottom w:w="0" w:type="dxa"/>
          <w:right w:w="0" w:type="dxa"/>
        </w:tblCellMar>
      </w:tblPr>
      <w:tblGrid>
        <w:gridCol w:w="59"/>
        <w:gridCol w:w="125"/>
        <w:gridCol w:w="10021"/>
      </w:tblGrid>
      <w:tr>
        <w:trPr/>
        <w:tc>
          <w:tcPr>
            <w:tcW w:w="59" w:type="dxa"/>
            <w:tcBorders/>
            <w:shd w:fill="auto" w:val="clear"/>
          </w:tcPr>
          <w:p>
            <w:pPr>
              <w:pStyle w:val="TableContents"/>
              <w:spacing w:before="0" w:after="283"/>
              <w:rPr/>
            </w:pPr>
            <w:r>
              <w:rPr/>
              <w:t> </w:t>
            </w:r>
          </w:p>
        </w:tc>
        <w:tc>
          <w:tcPr>
            <w:tcW w:w="12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o</w:t>
            </w:r>
          </w:p>
        </w:tc>
        <w:tc>
          <w:tcPr>
            <w:tcW w:w="1002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extent to which we encounter competition from other cinema exhibitors, from other sources of outside of the home entertainment, and from inside the home entertainment options, such as “home theaters” and competitive film product distribution technology such as, by way of example, cable, satellite broadcast, DVD and VHS rentals and sales, and so called “movies on demand;”</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2071" w:name="hangingindent276"/>
      <w:bookmarkStart w:id="2072" w:name="hangingindent276"/>
      <w:bookmarkEnd w:id="2072"/>
    </w:p>
    <w:tbl>
      <w:tblPr>
        <w:tblW w:w="5000" w:type="pct"/>
        <w:jc w:val="center"/>
        <w:tblInd w:w="0" w:type="dxa"/>
        <w:tblCellMar>
          <w:top w:w="0" w:type="dxa"/>
          <w:left w:w="0" w:type="dxa"/>
          <w:bottom w:w="0" w:type="dxa"/>
          <w:right w:w="0" w:type="dxa"/>
        </w:tblCellMar>
      </w:tblPr>
      <w:tblGrid>
        <w:gridCol w:w="108"/>
        <w:gridCol w:w="171"/>
        <w:gridCol w:w="9926"/>
      </w:tblGrid>
      <w:tr>
        <w:trPr/>
        <w:tc>
          <w:tcPr>
            <w:tcW w:w="108" w:type="dxa"/>
            <w:tcBorders/>
            <w:shd w:fill="auto" w:val="clear"/>
          </w:tcPr>
          <w:p>
            <w:pPr>
              <w:pStyle w:val="TableContents"/>
              <w:spacing w:before="0" w:after="283"/>
              <w:rPr/>
            </w:pPr>
            <w:r>
              <w:rPr/>
              <w:t> </w:t>
            </w:r>
          </w:p>
        </w:tc>
        <w:tc>
          <w:tcPr>
            <w:tcW w:w="171"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992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with respect to our real estate development and operation activities:</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2073" w:name="hangingindent277"/>
      <w:bookmarkStart w:id="2074" w:name="hangingindent277"/>
      <w:bookmarkEnd w:id="2074"/>
    </w:p>
    <w:tbl>
      <w:tblPr>
        <w:tblW w:w="5000" w:type="pct"/>
        <w:jc w:val="center"/>
        <w:tblInd w:w="0" w:type="dxa"/>
        <w:tblCellMar>
          <w:top w:w="0" w:type="dxa"/>
          <w:left w:w="0" w:type="dxa"/>
          <w:bottom w:w="0" w:type="dxa"/>
          <w:right w:w="0" w:type="dxa"/>
        </w:tblCellMar>
      </w:tblPr>
      <w:tblGrid>
        <w:gridCol w:w="59"/>
        <w:gridCol w:w="125"/>
        <w:gridCol w:w="10021"/>
      </w:tblGrid>
      <w:tr>
        <w:trPr/>
        <w:tc>
          <w:tcPr>
            <w:tcW w:w="59" w:type="dxa"/>
            <w:tcBorders/>
            <w:shd w:fill="auto" w:val="clear"/>
          </w:tcPr>
          <w:p>
            <w:pPr>
              <w:pStyle w:val="TableContents"/>
              <w:spacing w:before="0" w:after="283"/>
              <w:rPr/>
            </w:pPr>
            <w:r>
              <w:rPr/>
              <w:t> </w:t>
            </w:r>
          </w:p>
        </w:tc>
        <w:tc>
          <w:tcPr>
            <w:tcW w:w="12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o</w:t>
            </w:r>
          </w:p>
        </w:tc>
        <w:tc>
          <w:tcPr>
            <w:tcW w:w="1002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rental rates and capitalization rates applicable to the markets in which we operate and the quality of properties that we own;</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2075" w:name="hangingindent278"/>
      <w:bookmarkStart w:id="2076" w:name="hangingindent278"/>
      <w:bookmarkEnd w:id="2076"/>
    </w:p>
    <w:tbl>
      <w:tblPr>
        <w:tblW w:w="5000" w:type="pct"/>
        <w:jc w:val="center"/>
        <w:tblInd w:w="0" w:type="dxa"/>
        <w:tblCellMar>
          <w:top w:w="0" w:type="dxa"/>
          <w:left w:w="0" w:type="dxa"/>
          <w:bottom w:w="0" w:type="dxa"/>
          <w:right w:w="0" w:type="dxa"/>
        </w:tblCellMar>
      </w:tblPr>
      <w:tblGrid>
        <w:gridCol w:w="59"/>
        <w:gridCol w:w="125"/>
        <w:gridCol w:w="10021"/>
      </w:tblGrid>
      <w:tr>
        <w:trPr/>
        <w:tc>
          <w:tcPr>
            <w:tcW w:w="59" w:type="dxa"/>
            <w:tcBorders/>
            <w:shd w:fill="auto" w:val="clear"/>
          </w:tcPr>
          <w:p>
            <w:pPr>
              <w:pStyle w:val="TableContents"/>
              <w:spacing w:before="0" w:after="283"/>
              <w:rPr/>
            </w:pPr>
            <w:r>
              <w:rPr/>
              <w:t> </w:t>
            </w:r>
          </w:p>
        </w:tc>
        <w:tc>
          <w:tcPr>
            <w:tcW w:w="12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o</w:t>
            </w:r>
          </w:p>
        </w:tc>
        <w:tc>
          <w:tcPr>
            <w:tcW w:w="1002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extent to which we can obtain on a timely basis the various land use approvals and entitlements needed to develop our properties;</w:t>
            </w:r>
          </w:p>
        </w:tc>
      </w:tr>
    </w:tbl>
    <w:p>
      <w:pPr>
        <w:pStyle w:val="TextBody"/>
        <w:spacing w:lineRule="auto" w:line="300" w:before="0" w:after="0"/>
        <w:ind w:left="0" w:right="0" w:hanging="0"/>
        <w:jc w:val="both"/>
        <w:rPr/>
      </w:pPr>
      <w:r>
        <w:rPr/>
        <w:t> </w:t>
      </w:r>
    </w:p>
    <w:p>
      <w:pPr>
        <w:pStyle w:val="Normal"/>
        <w:spacing w:before="0" w:after="0"/>
        <w:ind w:left="0" w:right="0" w:hanging="0"/>
        <w:rPr>
          <w:sz w:val="4"/>
          <w:szCs w:val="4"/>
        </w:rPr>
      </w:pPr>
      <w:r>
        <w:rPr>
          <w:sz w:val="4"/>
          <w:szCs w:val="4"/>
        </w:rPr>
      </w:r>
      <w:bookmarkStart w:id="2077" w:name="hangingindent279"/>
      <w:bookmarkStart w:id="2078" w:name="hangingindent279"/>
      <w:bookmarkEnd w:id="2078"/>
    </w:p>
    <w:tbl>
      <w:tblPr>
        <w:tblW w:w="5000" w:type="pct"/>
        <w:jc w:val="center"/>
        <w:tblInd w:w="0" w:type="dxa"/>
        <w:tblCellMar>
          <w:top w:w="0" w:type="dxa"/>
          <w:left w:w="0" w:type="dxa"/>
          <w:bottom w:w="0" w:type="dxa"/>
          <w:right w:w="0" w:type="dxa"/>
        </w:tblCellMar>
      </w:tblPr>
      <w:tblGrid>
        <w:gridCol w:w="108"/>
        <w:gridCol w:w="226"/>
        <w:gridCol w:w="9871"/>
      </w:tblGrid>
      <w:tr>
        <w:trPr/>
        <w:tc>
          <w:tcPr>
            <w:tcW w:w="108" w:type="dxa"/>
            <w:tcBorders/>
            <w:shd w:fill="auto" w:val="clear"/>
          </w:tcPr>
          <w:p>
            <w:pPr>
              <w:pStyle w:val="TableContents"/>
              <w:spacing w:before="0" w:after="283"/>
              <w:rPr/>
            </w:pPr>
            <w:r>
              <w:rPr/>
              <w:t> </w:t>
            </w:r>
          </w:p>
        </w:tc>
        <w:tc>
          <w:tcPr>
            <w:tcW w:w="22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o</w:t>
            </w:r>
          </w:p>
        </w:tc>
        <w:tc>
          <w:tcPr>
            <w:tcW w:w="987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risks and uncertainties associated with real estate development;</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2079" w:name="hangingindent280"/>
      <w:bookmarkStart w:id="2080" w:name="hangingindent280"/>
      <w:bookmarkEnd w:id="2080"/>
    </w:p>
    <w:tbl>
      <w:tblPr>
        <w:tblW w:w="5000" w:type="pct"/>
        <w:jc w:val="center"/>
        <w:tblInd w:w="0" w:type="dxa"/>
        <w:tblCellMar>
          <w:top w:w="0" w:type="dxa"/>
          <w:left w:w="0" w:type="dxa"/>
          <w:bottom w:w="0" w:type="dxa"/>
          <w:right w:w="0" w:type="dxa"/>
        </w:tblCellMar>
      </w:tblPr>
      <w:tblGrid>
        <w:gridCol w:w="150"/>
        <w:gridCol w:w="313"/>
        <w:gridCol w:w="9742"/>
      </w:tblGrid>
      <w:tr>
        <w:trPr/>
        <w:tc>
          <w:tcPr>
            <w:tcW w:w="150" w:type="dxa"/>
            <w:tcBorders/>
            <w:shd w:fill="auto" w:val="clear"/>
          </w:tcPr>
          <w:p>
            <w:pPr>
              <w:pStyle w:val="TableContents"/>
              <w:spacing w:before="0" w:after="283"/>
              <w:rPr/>
            </w:pPr>
            <w:r>
              <w:rPr/>
              <w:t> </w:t>
            </w:r>
          </w:p>
        </w:tc>
        <w:tc>
          <w:tcPr>
            <w:tcW w:w="31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o</w:t>
            </w:r>
          </w:p>
        </w:tc>
        <w:tc>
          <w:tcPr>
            <w:tcW w:w="974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the availability and cost of labor and materials; </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2081" w:name="hangingindent281"/>
      <w:bookmarkStart w:id="2082" w:name="hangingindent281"/>
      <w:bookmarkEnd w:id="2082"/>
    </w:p>
    <w:tbl>
      <w:tblPr>
        <w:tblW w:w="5000" w:type="pct"/>
        <w:jc w:val="center"/>
        <w:tblInd w:w="0" w:type="dxa"/>
        <w:tblCellMar>
          <w:top w:w="0" w:type="dxa"/>
          <w:left w:w="0" w:type="dxa"/>
          <w:bottom w:w="0" w:type="dxa"/>
          <w:right w:w="0" w:type="dxa"/>
        </w:tblCellMar>
      </w:tblPr>
      <w:tblGrid>
        <w:gridCol w:w="140"/>
        <w:gridCol w:w="292"/>
        <w:gridCol w:w="9773"/>
      </w:tblGrid>
      <w:tr>
        <w:trPr/>
        <w:tc>
          <w:tcPr>
            <w:tcW w:w="140" w:type="dxa"/>
            <w:tcBorders/>
            <w:shd w:fill="auto" w:val="clear"/>
          </w:tcPr>
          <w:p>
            <w:pPr>
              <w:pStyle w:val="TableContents"/>
              <w:spacing w:before="0" w:after="283"/>
              <w:rPr/>
            </w:pPr>
            <w:r>
              <w:rPr/>
              <w:t> </w:t>
            </w:r>
          </w:p>
        </w:tc>
        <w:tc>
          <w:tcPr>
            <w:tcW w:w="29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o</w:t>
            </w:r>
          </w:p>
        </w:tc>
        <w:tc>
          <w:tcPr>
            <w:tcW w:w="977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competition for development sites and tenants; and</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2083" w:name="hangingindent282"/>
      <w:bookmarkStart w:id="2084" w:name="hangingindent282"/>
      <w:bookmarkEnd w:id="2084"/>
    </w:p>
    <w:tbl>
      <w:tblPr>
        <w:tblW w:w="5000" w:type="pct"/>
        <w:jc w:val="center"/>
        <w:tblInd w:w="0" w:type="dxa"/>
        <w:tblCellMar>
          <w:top w:w="0" w:type="dxa"/>
          <w:left w:w="0" w:type="dxa"/>
          <w:bottom w:w="0" w:type="dxa"/>
          <w:right w:w="0" w:type="dxa"/>
        </w:tblCellMar>
      </w:tblPr>
      <w:tblGrid>
        <w:gridCol w:w="59"/>
        <w:gridCol w:w="125"/>
        <w:gridCol w:w="10021"/>
      </w:tblGrid>
      <w:tr>
        <w:trPr/>
        <w:tc>
          <w:tcPr>
            <w:tcW w:w="59" w:type="dxa"/>
            <w:tcBorders/>
            <w:shd w:fill="auto" w:val="clear"/>
          </w:tcPr>
          <w:p>
            <w:pPr>
              <w:pStyle w:val="TableContents"/>
              <w:spacing w:before="0" w:after="283"/>
              <w:rPr/>
            </w:pPr>
            <w:r>
              <w:rPr/>
              <w:t> </w:t>
            </w:r>
          </w:p>
        </w:tc>
        <w:tc>
          <w:tcPr>
            <w:tcW w:w="12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o</w:t>
            </w:r>
          </w:p>
        </w:tc>
        <w:tc>
          <w:tcPr>
            <w:tcW w:w="1002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extent to which our cinemas can continue to serve as an anchor tenant which will, in turn, be influenced by the same factors as will influence generally the results of our cinema operations; and</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2085" w:name="hangingindent283"/>
      <w:bookmarkStart w:id="2086" w:name="hangingindent283"/>
      <w:bookmarkEnd w:id="2086"/>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with respect to our operations generally as an international company involved in both the development and operation of cinemas and the development and operation of real estate; and previously engaged for many years in the railroad business in the United States:</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2087" w:name="hangingindent284"/>
      <w:bookmarkStart w:id="2088" w:name="hangingindent284"/>
      <w:bookmarkEnd w:id="2088"/>
    </w:p>
    <w:tbl>
      <w:tblPr>
        <w:tblW w:w="5000" w:type="pct"/>
        <w:jc w:val="center"/>
        <w:tblInd w:w="0" w:type="dxa"/>
        <w:tblCellMar>
          <w:top w:w="0" w:type="dxa"/>
          <w:left w:w="0" w:type="dxa"/>
          <w:bottom w:w="0" w:type="dxa"/>
          <w:right w:w="0" w:type="dxa"/>
        </w:tblCellMar>
      </w:tblPr>
      <w:tblGrid>
        <w:gridCol w:w="59"/>
        <w:gridCol w:w="125"/>
        <w:gridCol w:w="10021"/>
      </w:tblGrid>
      <w:tr>
        <w:trPr/>
        <w:tc>
          <w:tcPr>
            <w:tcW w:w="59" w:type="dxa"/>
            <w:tcBorders/>
            <w:shd w:fill="auto" w:val="clear"/>
          </w:tcPr>
          <w:p>
            <w:pPr>
              <w:pStyle w:val="TableContents"/>
              <w:spacing w:before="0" w:after="283"/>
              <w:rPr/>
            </w:pPr>
            <w:r>
              <w:rPr/>
              <w:t> </w:t>
            </w:r>
          </w:p>
        </w:tc>
        <w:tc>
          <w:tcPr>
            <w:tcW w:w="12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o</w:t>
            </w:r>
          </w:p>
        </w:tc>
        <w:tc>
          <w:tcPr>
            <w:tcW w:w="1002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our ongoing access to borrowed funds and capital and the interest that must be paid on that debt and the returns that must be paid on such capital; </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089" w:name="PGBRK66"/>
      <w:bookmarkStart w:id="2090" w:name="PGBRK66"/>
      <w:bookmarkEnd w:id="209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91" w:name="FTR66"/>
      <w:bookmarkStart w:id="2092" w:name="FTR66"/>
      <w:bookmarkEnd w:id="20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93" w:name="GLFTR66"/>
      <w:bookmarkStart w:id="2094" w:name="GLFTR66"/>
      <w:bookmarkEnd w:id="209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2095" w:name="PN66"/>
      <w:bookmarkEnd w:id="2095"/>
      <w:r>
        <w:rPr>
          <w:rFonts w:ascii="Times New Roman" w:hAnsi="Times New Roman"/>
          <w:sz w:val="16"/>
        </w:rPr>
        <w:t>-66-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96" w:name="HDR66"/>
      <w:bookmarkStart w:id="2097" w:name="HDR66"/>
      <w:bookmarkEnd w:id="209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2098" w:name="GLHDR66"/>
        <w:bookmarkEnd w:id="2098"/>
        <w:r>
          <w:rPr>
            <w:rStyle w:val="Emphasis"/>
            <w:rFonts w:ascii="Times New Roman" w:hAnsi="Times New Roman"/>
            <w:color w:val="000000"/>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pStyle w:val="Normal"/>
        <w:spacing w:before="0" w:after="0"/>
        <w:rPr>
          <w:sz w:val="4"/>
          <w:szCs w:val="4"/>
        </w:rPr>
      </w:pPr>
      <w:r>
        <w:rPr>
          <w:sz w:val="4"/>
          <w:szCs w:val="4"/>
        </w:rPr>
      </w:r>
      <w:bookmarkStart w:id="2099" w:name="hangingindent285"/>
      <w:bookmarkStart w:id="2100" w:name="hangingindent285"/>
      <w:bookmarkEnd w:id="2100"/>
    </w:p>
    <w:tbl>
      <w:tblPr>
        <w:tblW w:w="5000" w:type="pct"/>
        <w:jc w:val="center"/>
        <w:tblInd w:w="0" w:type="dxa"/>
        <w:tblCellMar>
          <w:top w:w="0" w:type="dxa"/>
          <w:left w:w="0" w:type="dxa"/>
          <w:bottom w:w="0" w:type="dxa"/>
          <w:right w:w="0" w:type="dxa"/>
        </w:tblCellMar>
      </w:tblPr>
      <w:tblGrid>
        <w:gridCol w:w="95"/>
        <w:gridCol w:w="199"/>
        <w:gridCol w:w="9911"/>
      </w:tblGrid>
      <w:tr>
        <w:trPr/>
        <w:tc>
          <w:tcPr>
            <w:tcW w:w="95" w:type="dxa"/>
            <w:tcBorders/>
            <w:shd w:fill="auto" w:val="clear"/>
          </w:tcPr>
          <w:p>
            <w:pPr>
              <w:pStyle w:val="TableContents"/>
              <w:spacing w:before="0" w:after="283"/>
              <w:rPr/>
            </w:pPr>
            <w:r>
              <w:rPr/>
              <w:t> </w:t>
            </w:r>
          </w:p>
        </w:tc>
        <w:tc>
          <w:tcPr>
            <w:tcW w:w="19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o</w:t>
            </w:r>
          </w:p>
        </w:tc>
        <w:tc>
          <w:tcPr>
            <w:tcW w:w="991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relative values of the currency used in the countries in which we operate;</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2101" w:name="hangingindent286"/>
      <w:bookmarkStart w:id="2102" w:name="hangingindent286"/>
      <w:bookmarkEnd w:id="2102"/>
    </w:p>
    <w:tbl>
      <w:tblPr>
        <w:tblW w:w="5000" w:type="pct"/>
        <w:jc w:val="center"/>
        <w:tblInd w:w="0" w:type="dxa"/>
        <w:tblCellMar>
          <w:top w:w="0" w:type="dxa"/>
          <w:left w:w="0" w:type="dxa"/>
          <w:bottom w:w="0" w:type="dxa"/>
          <w:right w:w="0" w:type="dxa"/>
        </w:tblCellMar>
      </w:tblPr>
      <w:tblGrid>
        <w:gridCol w:w="59"/>
        <w:gridCol w:w="125"/>
        <w:gridCol w:w="10021"/>
      </w:tblGrid>
      <w:tr>
        <w:trPr/>
        <w:tc>
          <w:tcPr>
            <w:tcW w:w="59" w:type="dxa"/>
            <w:tcBorders/>
            <w:shd w:fill="auto" w:val="clear"/>
          </w:tcPr>
          <w:p>
            <w:pPr>
              <w:pStyle w:val="TableContents"/>
              <w:spacing w:before="0" w:after="283"/>
              <w:rPr/>
            </w:pPr>
            <w:r>
              <w:rPr/>
              <w:t> </w:t>
            </w:r>
          </w:p>
        </w:tc>
        <w:tc>
          <w:tcPr>
            <w:tcW w:w="12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o</w:t>
            </w:r>
          </w:p>
        </w:tc>
        <w:tc>
          <w:tcPr>
            <w:tcW w:w="1002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changes in government regulation, including by way of example, the costs resulting from the implementation of the requirements of Sarbanes-Oxley;</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2103" w:name="hangingindent287"/>
      <w:bookmarkStart w:id="2104" w:name="hangingindent287"/>
      <w:bookmarkEnd w:id="2104"/>
    </w:p>
    <w:tbl>
      <w:tblPr>
        <w:tblW w:w="5000" w:type="pct"/>
        <w:jc w:val="center"/>
        <w:tblInd w:w="0" w:type="dxa"/>
        <w:tblCellMar>
          <w:top w:w="0" w:type="dxa"/>
          <w:left w:w="0" w:type="dxa"/>
          <w:bottom w:w="0" w:type="dxa"/>
          <w:right w:w="0" w:type="dxa"/>
        </w:tblCellMar>
      </w:tblPr>
      <w:tblGrid>
        <w:gridCol w:w="59"/>
        <w:gridCol w:w="125"/>
        <w:gridCol w:w="10021"/>
      </w:tblGrid>
      <w:tr>
        <w:trPr/>
        <w:tc>
          <w:tcPr>
            <w:tcW w:w="59" w:type="dxa"/>
            <w:tcBorders/>
            <w:shd w:fill="auto" w:val="clear"/>
          </w:tcPr>
          <w:p>
            <w:pPr>
              <w:pStyle w:val="TableContents"/>
              <w:spacing w:before="0" w:after="283"/>
              <w:rPr/>
            </w:pPr>
            <w:r>
              <w:rPr/>
              <w:t> </w:t>
            </w:r>
          </w:p>
        </w:tc>
        <w:tc>
          <w:tcPr>
            <w:tcW w:w="12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o</w:t>
            </w:r>
          </w:p>
        </w:tc>
        <w:tc>
          <w:tcPr>
            <w:tcW w:w="1002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our labor relations and costs of labor (including future government requirements with respect to pension liabilities, disability insurance and health coverage, and vacations and leave);</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2105" w:name="hangingindent288"/>
      <w:bookmarkStart w:id="2106" w:name="hangingindent288"/>
      <w:bookmarkEnd w:id="2106"/>
    </w:p>
    <w:tbl>
      <w:tblPr>
        <w:tblW w:w="5000" w:type="pct"/>
        <w:jc w:val="center"/>
        <w:tblInd w:w="0" w:type="dxa"/>
        <w:tblCellMar>
          <w:top w:w="0" w:type="dxa"/>
          <w:left w:w="0" w:type="dxa"/>
          <w:bottom w:w="0" w:type="dxa"/>
          <w:right w:w="0" w:type="dxa"/>
        </w:tblCellMar>
      </w:tblPr>
      <w:tblGrid>
        <w:gridCol w:w="59"/>
        <w:gridCol w:w="125"/>
        <w:gridCol w:w="10021"/>
      </w:tblGrid>
      <w:tr>
        <w:trPr/>
        <w:tc>
          <w:tcPr>
            <w:tcW w:w="59" w:type="dxa"/>
            <w:tcBorders/>
            <w:shd w:fill="auto" w:val="clear"/>
          </w:tcPr>
          <w:p>
            <w:pPr>
              <w:pStyle w:val="TableContents"/>
              <w:spacing w:before="0" w:after="283"/>
              <w:rPr/>
            </w:pPr>
            <w:r>
              <w:rPr/>
              <w:t> </w:t>
            </w:r>
          </w:p>
        </w:tc>
        <w:tc>
          <w:tcPr>
            <w:tcW w:w="12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o</w:t>
            </w:r>
          </w:p>
        </w:tc>
        <w:tc>
          <w:tcPr>
            <w:tcW w:w="1002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our exposure from time to time to legal claims and to uninsurable risks such as those related to our historic railroad operations, including potential environmental claims and health related claims relating to alleged exposure to asbestos or other substances now or in the future recognized as being possible causes of cancer or other health related problems;</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2107" w:name="hangingindent289"/>
      <w:bookmarkStart w:id="2108" w:name="hangingindent289"/>
      <w:bookmarkEnd w:id="2108"/>
    </w:p>
    <w:tbl>
      <w:tblPr>
        <w:tblW w:w="5000" w:type="pct"/>
        <w:jc w:val="center"/>
        <w:tblInd w:w="0" w:type="dxa"/>
        <w:tblCellMar>
          <w:top w:w="0" w:type="dxa"/>
          <w:left w:w="0" w:type="dxa"/>
          <w:bottom w:w="0" w:type="dxa"/>
          <w:right w:w="0" w:type="dxa"/>
        </w:tblCellMar>
      </w:tblPr>
      <w:tblGrid>
        <w:gridCol w:w="59"/>
        <w:gridCol w:w="125"/>
        <w:gridCol w:w="10021"/>
      </w:tblGrid>
      <w:tr>
        <w:trPr/>
        <w:tc>
          <w:tcPr>
            <w:tcW w:w="59" w:type="dxa"/>
            <w:tcBorders/>
            <w:shd w:fill="auto" w:val="clear"/>
          </w:tcPr>
          <w:p>
            <w:pPr>
              <w:pStyle w:val="TableContents"/>
              <w:spacing w:before="0" w:after="283"/>
              <w:rPr/>
            </w:pPr>
            <w:r>
              <w:rPr/>
              <w:t> </w:t>
            </w:r>
          </w:p>
        </w:tc>
        <w:tc>
          <w:tcPr>
            <w:tcW w:w="12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o</w:t>
            </w:r>
          </w:p>
        </w:tc>
        <w:tc>
          <w:tcPr>
            <w:tcW w:w="1002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changes in future effective tax rates and the results of currently ongoing and future potential audits by taxing authorities having jurisdiction over our various companies; and </w:t>
            </w:r>
          </w:p>
        </w:tc>
      </w:tr>
    </w:tbl>
    <w:p>
      <w:pPr>
        <w:pStyle w:val="TextBody"/>
        <w:spacing w:lineRule="auto" w:line="300" w:before="0" w:after="0"/>
        <w:ind w:left="0" w:right="0" w:hanging="0"/>
        <w:jc w:val="both"/>
        <w:rPr/>
      </w:pPr>
      <w:r>
        <w:rPr/>
        <w:t> </w:t>
      </w:r>
    </w:p>
    <w:p>
      <w:pPr>
        <w:pStyle w:val="Normal"/>
        <w:spacing w:lineRule="auto" w:line="300" w:before="0" w:after="0"/>
        <w:jc w:val="both"/>
        <w:rPr>
          <w:sz w:val="4"/>
          <w:szCs w:val="4"/>
        </w:rPr>
      </w:pPr>
      <w:r>
        <w:rPr>
          <w:sz w:val="4"/>
          <w:szCs w:val="4"/>
        </w:rPr>
      </w:r>
      <w:bookmarkStart w:id="2109" w:name="hangingindent290"/>
      <w:bookmarkStart w:id="2110" w:name="hangingindent290"/>
      <w:bookmarkEnd w:id="2110"/>
    </w:p>
    <w:tbl>
      <w:tblPr>
        <w:tblW w:w="5000" w:type="pct"/>
        <w:jc w:val="center"/>
        <w:tblInd w:w="0" w:type="dxa"/>
        <w:tblCellMar>
          <w:top w:w="0" w:type="dxa"/>
          <w:left w:w="0" w:type="dxa"/>
          <w:bottom w:w="0" w:type="dxa"/>
          <w:right w:w="0" w:type="dxa"/>
        </w:tblCellMar>
      </w:tblPr>
      <w:tblGrid>
        <w:gridCol w:w="128"/>
        <w:gridCol w:w="266"/>
        <w:gridCol w:w="9811"/>
      </w:tblGrid>
      <w:tr>
        <w:trPr/>
        <w:tc>
          <w:tcPr>
            <w:tcW w:w="128" w:type="dxa"/>
            <w:tcBorders/>
            <w:shd w:fill="auto" w:val="clear"/>
          </w:tcPr>
          <w:p>
            <w:pPr>
              <w:pStyle w:val="TableContents"/>
              <w:spacing w:before="0" w:after="283"/>
              <w:rPr/>
            </w:pPr>
            <w:r>
              <w:rPr/>
              <w:t> </w:t>
            </w:r>
          </w:p>
        </w:tc>
        <w:tc>
          <w:tcPr>
            <w:tcW w:w="26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o</w:t>
            </w:r>
          </w:p>
        </w:tc>
        <w:tc>
          <w:tcPr>
            <w:tcW w:w="981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changes in applicable accounting policies and practices.</w:t>
            </w:r>
          </w:p>
        </w:tc>
      </w:tr>
    </w:tbl>
    <w:p>
      <w:pPr>
        <w:pStyle w:val="TextBody"/>
        <w:spacing w:lineRule="auto" w:line="300" w:before="0" w:after="0"/>
        <w:ind w:left="720" w:right="0" w:hanging="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The above list is not necessarily exhaustive, as business is by definition unpredictable and risky, and subject to influence by numerous factors outside of our control such as changes in government regulation or policy, competition, interest rates, supply, technological innovation, changes in consumer taste and fancy, weather, and the extent to which consumers in our markets have the economic wherewithal to spend money on beyond-the-home entertainment.</w:t>
      </w:r>
    </w:p>
    <w:p>
      <w:pPr>
        <w:pStyle w:val="TextBody"/>
        <w:spacing w:lineRule="auto" w:line="300" w:before="0" w:after="0"/>
        <w:ind w:left="720" w:right="0" w:hanging="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Given the variety and unpredictability of the factors that will ultimately influence our businesses and our results of operation, it naturally follows that no guarantees can be given that any of our forward-looking statements will ultimately prove to be correct. Actual results will undoubtedly vary and there is no guarantee as to how our securities will perform either when considered in isolation or when compared to other securities or investment opportunities.</w:t>
      </w:r>
    </w:p>
    <w:p>
      <w:pPr>
        <w:pStyle w:val="TextBody"/>
        <w:spacing w:lineRule="auto" w:line="300" w:before="0" w:after="0"/>
        <w:ind w:left="720" w:right="0" w:hanging="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Finally, please understand that we undertake no obligation to update publicly or to revise any of our forward-looking statements, whether as a result of new information, future events or otherwise, except as may be required under applicable law. Accordingly, you should always note the date to which our forward-looking statements speak.</w:t>
      </w:r>
    </w:p>
    <w:p>
      <w:pPr>
        <w:pStyle w:val="TextBody"/>
        <w:spacing w:lineRule="auto" w:line="300" w:before="0" w:after="0"/>
        <w:ind w:left="720" w:right="0" w:hanging="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Additionally, certain of the presentations included in this annual report may contain “pro forma” information or “non-GAAP financial measures.” In such case, a reconciliation of this information to our GAAP financial statements will be made available in connection with such statements.</w:t>
      </w:r>
    </w:p>
    <w:p>
      <w:pPr>
        <w:pStyle w:val="TextBody"/>
        <w:spacing w:lineRule="auto" w:line="300"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111" w:name="PGBRK67"/>
      <w:bookmarkStart w:id="2112" w:name="PGBRK67"/>
      <w:bookmarkEnd w:id="211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13" w:name="FTR67"/>
      <w:bookmarkStart w:id="2114" w:name="FTR67"/>
      <w:bookmarkEnd w:id="211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15" w:name="GLFTR67"/>
      <w:bookmarkStart w:id="2116" w:name="GLFTR67"/>
      <w:bookmarkEnd w:id="21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2117" w:name="PN67"/>
      <w:bookmarkEnd w:id="2117"/>
      <w:r>
        <w:rPr>
          <w:rFonts w:ascii="Times New Roman" w:hAnsi="Times New Roman"/>
          <w:sz w:val="16"/>
        </w:rPr>
        <w:t>-67-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18" w:name="HDR67"/>
      <w:bookmarkStart w:id="2119" w:name="HDR67"/>
      <w:bookmarkEnd w:id="21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2120" w:name="GLHDR67"/>
        <w:bookmarkEnd w:id="2120"/>
        <w:r>
          <w:rPr>
            <w:rStyle w:val="Emphasis"/>
            <w:rFonts w:ascii="Times New Roman" w:hAnsi="Times New Roman"/>
            <w:color w:val="000000"/>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300" w:before="0" w:after="0"/>
        <w:ind w:left="0" w:right="0" w:hanging="0"/>
        <w:jc w:val="center"/>
        <w:rPr/>
      </w:pPr>
      <w:bookmarkStart w:id="2121" w:name="item7a"/>
      <w:bookmarkEnd w:id="2121"/>
      <w:r>
        <w:rPr>
          <w:rStyle w:val="StrongEmphasis"/>
          <w:rFonts w:ascii="Times New Roman" w:hAnsi="Times New Roman"/>
          <w:sz w:val="20"/>
          <w:u w:val="single"/>
        </w:rPr>
        <w:t>Item 7A - Quantitative and Qualitative Disclosure about Market Risk</w:t>
      </w:r>
    </w:p>
    <w:p>
      <w:pPr>
        <w:pStyle w:val="TextBody"/>
        <w:spacing w:lineRule="auto" w:line="300" w:before="0" w:after="0"/>
        <w:ind w:left="0" w:right="0" w:hanging="0"/>
        <w:jc w:val="left"/>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The Securities and Exchange Commission requires that registrants include information about potential effects of changes in currency exchange and interest rates in their Form 10-K filings. Several alternatives, all with some limitations, have been offered. The following discussion is based on a sensitivity analysis, which models the effects of fluctuations in currency exchange rates and interest rates. This analysis is constrained by several factors, including the following:</w:t>
      </w:r>
    </w:p>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2122" w:name="hangingindent291"/>
      <w:bookmarkStart w:id="2123" w:name="hangingindent291"/>
      <w:bookmarkEnd w:id="2123"/>
    </w:p>
    <w:tbl>
      <w:tblPr>
        <w:tblW w:w="5000" w:type="pct"/>
        <w:jc w:val="center"/>
        <w:tblInd w:w="0" w:type="dxa"/>
        <w:tblCellMar>
          <w:top w:w="0" w:type="dxa"/>
          <w:left w:w="0" w:type="dxa"/>
          <w:bottom w:w="0" w:type="dxa"/>
          <w:right w:w="0" w:type="dxa"/>
        </w:tblCellMar>
      </w:tblPr>
      <w:tblGrid>
        <w:gridCol w:w="200"/>
        <w:gridCol w:w="317"/>
        <w:gridCol w:w="9688"/>
      </w:tblGrid>
      <w:tr>
        <w:trPr/>
        <w:tc>
          <w:tcPr>
            <w:tcW w:w="200" w:type="dxa"/>
            <w:tcBorders/>
            <w:shd w:fill="auto" w:val="clear"/>
          </w:tcPr>
          <w:p>
            <w:pPr>
              <w:pStyle w:val="TableContents"/>
              <w:spacing w:before="0" w:after="283"/>
              <w:rPr/>
            </w:pPr>
            <w:r>
              <w:rPr/>
              <w:t> </w:t>
            </w:r>
          </w:p>
        </w:tc>
        <w:tc>
          <w:tcPr>
            <w:tcW w:w="317"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968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it is based on a single point in time.</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2124" w:name="hangingindent292"/>
      <w:bookmarkStart w:id="2125" w:name="hangingindent292"/>
      <w:bookmarkEnd w:id="2125"/>
    </w:p>
    <w:tbl>
      <w:tblPr>
        <w:tblW w:w="5000" w:type="pct"/>
        <w:jc w:val="center"/>
        <w:tblInd w:w="0" w:type="dxa"/>
        <w:tblCellMar>
          <w:top w:w="0" w:type="dxa"/>
          <w:left w:w="0" w:type="dxa"/>
          <w:bottom w:w="0" w:type="dxa"/>
          <w:right w:w="0" w:type="dxa"/>
        </w:tblCellMar>
      </w:tblPr>
      <w:tblGrid>
        <w:gridCol w:w="68"/>
        <w:gridCol w:w="109"/>
        <w:gridCol w:w="10028"/>
      </w:tblGrid>
      <w:tr>
        <w:trPr/>
        <w:tc>
          <w:tcPr>
            <w:tcW w:w="68" w:type="dxa"/>
            <w:tcBorders/>
            <w:shd w:fill="auto" w:val="clear"/>
          </w:tcPr>
          <w:p>
            <w:pPr>
              <w:pStyle w:val="TableContents"/>
              <w:spacing w:before="0" w:after="283"/>
              <w:rPr/>
            </w:pPr>
            <w:r>
              <w:rPr/>
              <w:t> </w:t>
            </w:r>
          </w:p>
        </w:tc>
        <w:tc>
          <w:tcPr>
            <w:tcW w:w="109"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2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it does not include the effects of other complex market reactions that would arise from the changes modeled.</w:t>
            </w:r>
          </w:p>
        </w:tc>
      </w:tr>
    </w:tbl>
    <w:p>
      <w:pPr>
        <w:pStyle w:val="TextBody"/>
        <w:spacing w:lineRule="auto" w:line="300" w:before="0" w:after="0"/>
        <w:ind w:left="720" w:right="0" w:hanging="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 xml:space="preserve">Although the results of such an analysis may be useful as a benchmark, they should not be viewed as forecasts. </w:t>
      </w:r>
    </w:p>
    <w:p>
      <w:pPr>
        <w:pStyle w:val="TextBody"/>
        <w:spacing w:lineRule="auto" w:line="300" w:before="0" w:after="0"/>
        <w:ind w:left="0" w:right="0" w:hanging="0"/>
        <w:jc w:val="both"/>
        <w:rPr/>
      </w:pPr>
      <w:r>
        <w:rPr/>
      </w:r>
    </w:p>
    <w:p>
      <w:pPr>
        <w:pStyle w:val="TextBody"/>
        <w:spacing w:lineRule="auto" w:line="300" w:before="0" w:after="0"/>
        <w:ind w:left="720" w:right="0" w:hanging="0"/>
        <w:jc w:val="both"/>
        <w:rPr>
          <w:rFonts w:ascii="Times New Roman" w:hAnsi="Times New Roman"/>
          <w:sz w:val="20"/>
        </w:rPr>
      </w:pPr>
      <w:bookmarkStart w:id="2126" w:name="TAB1740"/>
      <w:bookmarkEnd w:id="2126"/>
      <w:r>
        <w:rPr>
          <w:rFonts w:ascii="Times New Roman" w:hAnsi="Times New Roman"/>
          <w:sz w:val="20"/>
        </w:rPr>
        <w:t xml:space="preserve">At December 31, 2006, approximately 49% and 23% of our assets (determined by the book value of such assets) were invested in assets denominated in Australian dollars (Reading Australia) and New Zealand dollars (Reading New Zealand), respectively, including approximately $9.0 million in cash and cash equivalents. At December 31, 2005, approximately 50% and 23% of our assets were invested in assets denominated in Australian and New Zealand dollars, respectively, including approximately $9.3 million in cash and cash equivalents. </w:t>
      </w:r>
    </w:p>
    <w:p>
      <w:pPr>
        <w:pStyle w:val="TextBody"/>
        <w:spacing w:lineRule="auto" w:line="300" w:before="0" w:after="0"/>
        <w:ind w:left="0" w:right="0" w:hanging="0"/>
        <w:jc w:val="both"/>
        <w:rPr/>
      </w:pPr>
      <w:r>
        <w:rPr/>
      </w:r>
    </w:p>
    <w:p>
      <w:pPr>
        <w:pStyle w:val="TextBody"/>
        <w:spacing w:lineRule="auto" w:line="300" w:before="0" w:after="0"/>
        <w:ind w:left="720" w:right="0" w:hanging="0"/>
        <w:jc w:val="both"/>
        <w:rPr>
          <w:rFonts w:ascii="Times New Roman" w:hAnsi="Times New Roman"/>
          <w:sz w:val="20"/>
        </w:rPr>
      </w:pPr>
      <w:bookmarkStart w:id="2127" w:name="TAB1741"/>
      <w:bookmarkEnd w:id="2127"/>
      <w:r>
        <w:rPr>
          <w:rFonts w:ascii="Times New Roman" w:hAnsi="Times New Roman"/>
          <w:sz w:val="20"/>
        </w:rPr>
        <w:t>Our policy in Australia and New Zealand is to match revenue and expenses, whenever possible, in local currencies. As a result, a majority of our expenses in Australia and New Zealand have been procured in local currencies. Due to the developing nature of our operations in Australia and New Zealand, our revenue is not yet significantly greater than our operating expense. The resulting natural operating hedge has led to a negligible foreign currency effect on our earnings. As we continue to progress our acquisition and development activities in Australia and New Zealand, we cannot assure you that the foreign currency effect on our earnings will be insignificant in the future.</w:t>
      </w:r>
    </w:p>
    <w:p>
      <w:pPr>
        <w:pStyle w:val="TextBody"/>
        <w:spacing w:lineRule="auto" w:line="300" w:before="0" w:after="0"/>
        <w:ind w:left="0" w:right="0" w:hanging="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Historically, our policy has been to borrow in local currencies to finance the development and construction of our entertainment complexes in Australia and New Zealand whenever possible. As a result, the borrowings in local currencies have provided somewhat of a natural hedge against the foreign currency exchange exposure. Even so, approximately 45% and 28% of our Australian and New Zealand assets (based on book value), respectively, remain subject to such exposure unless we elect to hedge our foreign currency exchange between the U.S. and Australian and New Zealand dollars. If the foreign currency rates were to fluctuate by 10% the resulting change in Australian and New Zealand assets would be $6.4 million and $1.8 million, respectively, and the change in annual net income would be $472,000 and $341,000, respectively. At the present time, we have no plan to hedge such exposure. On February 5, 2007 we issued $50.0 million in 20-year fully subordinated notes and paid off our bank indebtedness in New Zealand $34.4 million (NZ$50.0 million) and retired a portion of our bank indebtedness in Australia $5.8 million (AUS$7.4 million). By paying off our New Zealand debt and paying down on our Australia debt with the proceeds of our Trust Preferred Securities, we have added an increased element of currency risk to our Company. We believe that this currency risk is mitigated by the comparatively favorable interest rate and the long-term nature of the fully subordinated notes.</w:t>
      </w:r>
    </w:p>
    <w:p>
      <w:pPr>
        <w:pStyle w:val="TextBody"/>
        <w:spacing w:lineRule="auto" w:line="300" w:before="0" w:after="0"/>
        <w:ind w:left="1440" w:right="0" w:hanging="1440"/>
        <w:jc w:val="both"/>
        <w:rPr/>
      </w:pPr>
      <w:r>
        <w:rPr/>
      </w:r>
    </w:p>
    <w:p>
      <w:pPr>
        <w:pStyle w:val="TextBody"/>
        <w:spacing w:lineRule="auto" w:line="300" w:before="0" w:after="0"/>
        <w:ind w:left="720" w:right="0" w:hanging="0"/>
        <w:jc w:val="both"/>
        <w:rPr>
          <w:rFonts w:ascii="Times New Roman" w:hAnsi="Times New Roman"/>
          <w:sz w:val="20"/>
        </w:rPr>
      </w:pPr>
      <w:bookmarkStart w:id="2128" w:name="TAB1742"/>
      <w:bookmarkEnd w:id="2128"/>
      <w:r>
        <w:rPr>
          <w:rFonts w:ascii="Times New Roman" w:hAnsi="Times New Roman"/>
          <w:sz w:val="20"/>
        </w:rPr>
        <w:t>We record unrealized foreign currency translation gains or losses which could materially affect our financial position. We have accumulated unrealized foreign currency translation gains of approximately $33.4 million and $28.6 million as of December 31, 2006 and 2005, respectively.</w:t>
      </w:r>
    </w:p>
    <w:p>
      <w:pPr>
        <w:pStyle w:val="TextBody"/>
        <w:spacing w:lineRule="auto" w:line="300" w:before="0" w:after="0"/>
        <w:ind w:left="0" w:right="0" w:hanging="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 xml:space="preserve">Historically, we maintained most of our cash and cash equivalent balances in short-term money market instruments with original maturities of six months or less. Some of our money market investments may decline in value if interest rates increase. Due to the short-term nature of such investments, a change of 1% in short-term interest rates would not have a material effect on our financial condition. </w:t>
      </w:r>
    </w:p>
    <w:p>
      <w:pPr>
        <w:pStyle w:val="TextBody"/>
        <w:spacing w:lineRule="auto" w:line="300" w:before="0" w:after="0"/>
        <w:ind w:left="0" w:right="0" w:firstLine="72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The majority of our U.S. bank loans have fixed interest rates; however, one of our domestic loans has a variable interest rate and a change of approximately 1% in short-term interest rates would have resulted in approximately $5,000 increase or decrease in our 2006 interest expense.</w:t>
      </w:r>
    </w:p>
    <w:p>
      <w:pPr>
        <w:pStyle w:val="TextBody"/>
        <w:spacing w:lineRule="auto" w:line="300" w:before="0" w:after="0"/>
        <w:ind w:left="0" w:right="0" w:firstLine="72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129" w:name="PGBRK68"/>
      <w:bookmarkStart w:id="2130" w:name="PGBRK68"/>
      <w:bookmarkEnd w:id="213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31" w:name="FTR68"/>
      <w:bookmarkStart w:id="2132" w:name="FTR68"/>
      <w:bookmarkEnd w:id="21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33" w:name="GLFTR68"/>
      <w:bookmarkStart w:id="2134" w:name="GLFTR68"/>
      <w:bookmarkEnd w:id="213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2135" w:name="PN68"/>
      <w:bookmarkEnd w:id="2135"/>
      <w:r>
        <w:rPr>
          <w:rFonts w:ascii="Times New Roman" w:hAnsi="Times New Roman"/>
          <w:sz w:val="16"/>
        </w:rPr>
        <w:t>-68-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36" w:name="HDR68"/>
      <w:bookmarkStart w:id="2137" w:name="HDR68"/>
      <w:bookmarkEnd w:id="213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2138" w:name="GLHDR68"/>
        <w:bookmarkEnd w:id="2138"/>
        <w:r>
          <w:rPr>
            <w:rStyle w:val="Emphasis"/>
            <w:rFonts w:ascii="Times New Roman" w:hAnsi="Times New Roman"/>
            <w:color w:val="000000"/>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300" w:before="0" w:after="0"/>
        <w:ind w:left="0" w:right="0" w:firstLine="720"/>
        <w:jc w:val="both"/>
        <w:rPr/>
      </w:pPr>
      <w:r>
        <w:rPr>
          <w:rFonts w:ascii="Times New Roman" w:hAnsi="Times New Roman"/>
          <w:sz w:val="20"/>
        </w:rPr>
        <w:t>While we have typically used fixed rate financing (secured by first mortgages) in the U.S., fixed rate financing is typically not available to corporate borrowers in Australia and New Zealand. The majority of our Australian and New Zealand bank loans have variable rates. The Australian facilities provide for floating interest rates, but require that not less than a certain percentage of the loans be swapped into fixed rate obligations (see</w:t>
      </w:r>
      <w:r>
        <w:rPr>
          <w:rStyle w:val="Emphasis"/>
        </w:rPr>
        <w:t xml:space="preserve"> </w:t>
      </w:r>
      <w:r>
        <w:rPr>
          <w:rStyle w:val="Emphasis"/>
          <w:rFonts w:ascii="Times New Roman" w:hAnsi="Times New Roman"/>
          <w:sz w:val="20"/>
        </w:rPr>
        <w:t xml:space="preserve">Financial Risk Management </w:t>
      </w:r>
      <w:r>
        <w:rPr>
          <w:rFonts w:ascii="Times New Roman" w:hAnsi="Times New Roman"/>
          <w:sz w:val="20"/>
        </w:rPr>
        <w:t>above). If we consider the interest rate swaps, a 1% increase in short-term interest rates would have resulted in approximately $81,000 increase in 2006 Australian and New Zealand interest expense while a 1% decrease in short-term interest rates would have resulted in approximately $83,000 decrease 2006 Australian and New Zealand interest expense.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139" w:name="PGBRK69"/>
      <w:bookmarkStart w:id="2140" w:name="PGBRK69"/>
      <w:bookmarkEnd w:id="214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41" w:name="FTR69"/>
      <w:bookmarkStart w:id="2142" w:name="FTR69"/>
      <w:bookmarkEnd w:id="214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43" w:name="GLFTR69"/>
      <w:bookmarkStart w:id="2144" w:name="GLFTR69"/>
      <w:bookmarkEnd w:id="214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2145" w:name="PN69"/>
      <w:bookmarkEnd w:id="2145"/>
      <w:r>
        <w:rPr>
          <w:rFonts w:ascii="Times New Roman" w:hAnsi="Times New Roman"/>
          <w:sz w:val="16"/>
        </w:rPr>
        <w:t>-69-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46" w:name="HDR69"/>
      <w:bookmarkStart w:id="2147" w:name="HDR69"/>
      <w:bookmarkEnd w:id="214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2148" w:name="GLHDR69"/>
        <w:bookmarkEnd w:id="2148"/>
        <w:r>
          <w:rPr>
            <w:rStyle w:val="Emphasis"/>
            <w:rFonts w:ascii="Times New Roman" w:hAnsi="Times New Roman"/>
            <w:color w:val="000000"/>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pStyle w:val="TextBody"/>
        <w:spacing w:lineRule="auto" w:line="300" w:before="0" w:after="0"/>
        <w:ind w:left="0" w:right="0" w:hanging="0"/>
        <w:jc w:val="center"/>
        <w:rPr/>
      </w:pPr>
      <w:bookmarkStart w:id="2149" w:name="item8"/>
      <w:bookmarkEnd w:id="2149"/>
      <w:r>
        <w:rPr>
          <w:rStyle w:val="StrongEmphasis"/>
          <w:rFonts w:ascii="Times New Roman" w:hAnsi="Times New Roman"/>
          <w:sz w:val="20"/>
          <w:u w:val="single"/>
        </w:rPr>
        <w:t>Item 8 - Financial Statements and Supplementary Data</w:t>
      </w:r>
    </w:p>
    <w:p>
      <w:pPr>
        <w:pStyle w:val="TextBody"/>
        <w:spacing w:lineRule="auto" w:line="300" w:before="0" w:after="0"/>
        <w:ind w:left="0" w:right="0" w:hanging="0"/>
        <w:jc w:val="left"/>
        <w:rPr/>
      </w:pPr>
      <w:r>
        <w:rPr/>
        <w:t> </w:t>
      </w:r>
    </w:p>
    <w:p>
      <w:pPr>
        <w:pStyle w:val="TextBody"/>
        <w:spacing w:lineRule="auto" w:line="300" w:before="0" w:after="0"/>
        <w:ind w:left="0" w:right="90" w:hanging="0"/>
        <w:jc w:val="center"/>
        <w:rPr>
          <w:rFonts w:ascii="Times New Roman" w:hAnsi="Times New Roman"/>
          <w:sz w:val="20"/>
          <w:u w:val="single"/>
        </w:rPr>
      </w:pPr>
      <w:r>
        <w:rPr>
          <w:rFonts w:ascii="Times New Roman" w:hAnsi="Times New Roman"/>
          <w:sz w:val="20"/>
          <w:u w:val="single"/>
        </w:rPr>
        <w:t>TABLE OF CONTENTS</w:t>
      </w:r>
    </w:p>
    <w:p>
      <w:pPr>
        <w:pStyle w:val="TextBody"/>
        <w:spacing w:before="0" w:after="0"/>
        <w:ind w:left="0" w:right="90" w:hanging="0"/>
        <w:rPr/>
      </w:pPr>
      <w:r>
        <w:rPr/>
      </w:r>
    </w:p>
    <w:tbl>
      <w:tblPr>
        <w:tblW w:w="5000" w:type="pct"/>
        <w:jc w:val="left"/>
        <w:tblInd w:w="0" w:type="dxa"/>
        <w:tblCellMar>
          <w:top w:w="0" w:type="dxa"/>
          <w:left w:w="0" w:type="dxa"/>
          <w:bottom w:w="0" w:type="dxa"/>
          <w:right w:w="0" w:type="dxa"/>
        </w:tblCellMar>
      </w:tblPr>
      <w:tblGrid>
        <w:gridCol w:w="9516"/>
        <w:gridCol w:w="689"/>
      </w:tblGrid>
      <w:tr>
        <w:trPr/>
        <w:tc>
          <w:tcPr>
            <w:tcW w:w="9516" w:type="dxa"/>
            <w:tcBorders/>
            <w:shd w:fill="auto" w:val="clear"/>
            <w:vAlign w:val="bottom"/>
          </w:tcPr>
          <w:p>
            <w:pPr>
              <w:pStyle w:val="TableContents"/>
              <w:spacing w:lineRule="auto" w:line="300" w:before="0" w:after="0"/>
              <w:ind w:left="0" w:right="0" w:hanging="0"/>
              <w:jc w:val="both"/>
              <w:rPr/>
            </w:pPr>
            <w:r>
              <w:rPr/>
              <w:t> </w:t>
            </w:r>
          </w:p>
          <w:p>
            <w:pPr>
              <w:pStyle w:val="TableContents"/>
              <w:spacing w:lineRule="auto" w:line="300" w:before="0" w:after="0"/>
              <w:ind w:left="720" w:right="0" w:hanging="720"/>
              <w:jc w:val="left"/>
              <w:rPr/>
            </w:pPr>
            <w:hyperlink w:anchor="reportofindependent">
              <w:r>
                <w:rPr>
                  <w:rStyle w:val="InternetLink"/>
                  <w:rFonts w:ascii="Times New Roman" w:hAnsi="Times New Roman"/>
                  <w:sz w:val="20"/>
                </w:rPr>
                <w:t>Report of Independent Registered Public Accountants</w:t>
              </w:r>
            </w:hyperlink>
          </w:p>
        </w:tc>
        <w:tc>
          <w:tcPr>
            <w:tcW w:w="689" w:type="dxa"/>
            <w:tcBorders/>
            <w:shd w:fill="auto" w:val="clear"/>
            <w:vAlign w:val="bottom"/>
          </w:tcPr>
          <w:p>
            <w:pPr>
              <w:pStyle w:val="TableContents"/>
              <w:spacing w:lineRule="auto" w:line="300" w:before="0" w:after="0"/>
              <w:ind w:left="0" w:right="0" w:hanging="0"/>
              <w:jc w:val="right"/>
              <w:rPr/>
            </w:pPr>
            <w:hyperlink w:anchor="reportofindependent">
              <w:r>
                <w:rPr>
                  <w:rStyle w:val="InternetLink"/>
                  <w:rFonts w:ascii="Times New Roman" w:hAnsi="Times New Roman"/>
                  <w:sz w:val="20"/>
                </w:rPr>
                <w:t>71</w:t>
              </w:r>
            </w:hyperlink>
          </w:p>
        </w:tc>
      </w:tr>
      <w:tr>
        <w:trPr/>
        <w:tc>
          <w:tcPr>
            <w:tcW w:w="9516" w:type="dxa"/>
            <w:tcBorders/>
            <w:shd w:fill="auto" w:val="clear"/>
            <w:vAlign w:val="bottom"/>
          </w:tcPr>
          <w:p>
            <w:pPr>
              <w:pStyle w:val="TableContents"/>
              <w:spacing w:lineRule="auto" w:line="300" w:before="0" w:after="0"/>
              <w:ind w:left="0" w:right="0" w:hanging="0"/>
              <w:jc w:val="both"/>
              <w:rPr/>
            </w:pPr>
            <w:r>
              <w:rPr/>
              <w:t> </w:t>
            </w:r>
          </w:p>
          <w:p>
            <w:pPr>
              <w:pStyle w:val="TableContents"/>
              <w:spacing w:lineRule="auto" w:line="300" w:before="0" w:after="0"/>
              <w:ind w:left="720" w:right="0" w:hanging="720"/>
              <w:jc w:val="left"/>
              <w:rPr/>
            </w:pPr>
            <w:hyperlink w:anchor="balancesheet">
              <w:r>
                <w:rPr>
                  <w:rStyle w:val="InternetLink"/>
                  <w:rFonts w:ascii="Times New Roman" w:hAnsi="Times New Roman"/>
                  <w:sz w:val="20"/>
                </w:rPr>
                <w:t>Consolidated Balance Sheets as of December 31, 2006 and 2005</w:t>
              </w:r>
            </w:hyperlink>
          </w:p>
        </w:tc>
        <w:tc>
          <w:tcPr>
            <w:tcW w:w="689" w:type="dxa"/>
            <w:tcBorders/>
            <w:shd w:fill="auto" w:val="clear"/>
            <w:vAlign w:val="bottom"/>
          </w:tcPr>
          <w:p>
            <w:pPr>
              <w:pStyle w:val="TableContents"/>
              <w:spacing w:lineRule="auto" w:line="300" w:before="0" w:after="0"/>
              <w:ind w:left="0" w:right="0" w:hanging="0"/>
              <w:jc w:val="right"/>
              <w:rPr/>
            </w:pPr>
            <w:hyperlink w:anchor="balancesheet">
              <w:r>
                <w:rPr>
                  <w:rStyle w:val="InternetLink"/>
                  <w:rFonts w:ascii="Times New Roman" w:hAnsi="Times New Roman"/>
                  <w:sz w:val="20"/>
                </w:rPr>
                <w:t>72</w:t>
              </w:r>
            </w:hyperlink>
          </w:p>
        </w:tc>
      </w:tr>
      <w:tr>
        <w:trPr/>
        <w:tc>
          <w:tcPr>
            <w:tcW w:w="9516" w:type="dxa"/>
            <w:tcBorders/>
            <w:shd w:fill="auto" w:val="clear"/>
            <w:vAlign w:val="bottom"/>
          </w:tcPr>
          <w:p>
            <w:pPr>
              <w:pStyle w:val="TableContents"/>
              <w:spacing w:lineRule="auto" w:line="300" w:before="0" w:after="0"/>
              <w:ind w:left="0" w:right="0" w:hanging="0"/>
              <w:jc w:val="both"/>
              <w:rPr/>
            </w:pPr>
            <w:r>
              <w:rPr/>
              <w:t> </w:t>
            </w:r>
          </w:p>
          <w:p>
            <w:pPr>
              <w:pStyle w:val="TableContents"/>
              <w:spacing w:lineRule="auto" w:line="300" w:before="0" w:after="0"/>
              <w:ind w:left="720" w:right="0" w:hanging="720"/>
              <w:jc w:val="left"/>
              <w:rPr/>
            </w:pPr>
            <w:hyperlink w:anchor="statementofoperations">
              <w:r>
                <w:rPr>
                  <w:rStyle w:val="InternetLink"/>
                  <w:rFonts w:ascii="Times New Roman" w:hAnsi="Times New Roman"/>
                  <w:sz w:val="20"/>
                </w:rPr>
                <w:t>Consolidated Statements of Operations for the Three Years Ended December 31, 2006</w:t>
              </w:r>
            </w:hyperlink>
          </w:p>
        </w:tc>
        <w:tc>
          <w:tcPr>
            <w:tcW w:w="689" w:type="dxa"/>
            <w:tcBorders/>
            <w:shd w:fill="auto" w:val="clear"/>
            <w:vAlign w:val="bottom"/>
          </w:tcPr>
          <w:p>
            <w:pPr>
              <w:pStyle w:val="TableContents"/>
              <w:spacing w:lineRule="auto" w:line="300" w:before="0" w:after="0"/>
              <w:ind w:left="0" w:right="0" w:hanging="0"/>
              <w:jc w:val="right"/>
              <w:rPr/>
            </w:pPr>
            <w:hyperlink w:anchor="statementofoperations">
              <w:r>
                <w:rPr>
                  <w:rStyle w:val="InternetLink"/>
                  <w:rFonts w:ascii="Times New Roman" w:hAnsi="Times New Roman"/>
                  <w:sz w:val="20"/>
                </w:rPr>
                <w:t>73</w:t>
              </w:r>
            </w:hyperlink>
          </w:p>
        </w:tc>
      </w:tr>
      <w:tr>
        <w:trPr/>
        <w:tc>
          <w:tcPr>
            <w:tcW w:w="9516" w:type="dxa"/>
            <w:tcBorders/>
            <w:shd w:fill="auto" w:val="clear"/>
            <w:vAlign w:val="bottom"/>
          </w:tcPr>
          <w:p>
            <w:pPr>
              <w:pStyle w:val="TableContents"/>
              <w:spacing w:lineRule="auto" w:line="300" w:before="0" w:after="0"/>
              <w:ind w:left="0" w:right="0" w:hanging="0"/>
              <w:jc w:val="both"/>
              <w:rPr/>
            </w:pPr>
            <w:r>
              <w:rPr/>
              <w:t> </w:t>
            </w:r>
          </w:p>
          <w:p>
            <w:pPr>
              <w:pStyle w:val="TableContents"/>
              <w:spacing w:lineRule="auto" w:line="300" w:before="0" w:after="0"/>
              <w:ind w:left="720" w:right="0" w:hanging="720"/>
              <w:jc w:val="left"/>
              <w:rPr/>
            </w:pPr>
            <w:hyperlink w:anchor="stockholderequity">
              <w:r>
                <w:rPr>
                  <w:rStyle w:val="InternetLink"/>
                  <w:rFonts w:ascii="Times New Roman" w:hAnsi="Times New Roman"/>
                  <w:sz w:val="20"/>
                </w:rPr>
                <w:t>Consolidated Statements of Stockholders’ Equity for the Three Years Ended December 31, 2006</w:t>
              </w:r>
            </w:hyperlink>
          </w:p>
        </w:tc>
        <w:tc>
          <w:tcPr>
            <w:tcW w:w="689" w:type="dxa"/>
            <w:tcBorders/>
            <w:shd w:fill="auto" w:val="clear"/>
            <w:vAlign w:val="bottom"/>
          </w:tcPr>
          <w:p>
            <w:pPr>
              <w:pStyle w:val="TableContents"/>
              <w:spacing w:lineRule="auto" w:line="300" w:before="0" w:after="0"/>
              <w:ind w:left="0" w:right="0" w:hanging="0"/>
              <w:jc w:val="right"/>
              <w:rPr/>
            </w:pPr>
            <w:hyperlink w:anchor="stockholderequity">
              <w:r>
                <w:rPr>
                  <w:rStyle w:val="InternetLink"/>
                  <w:rFonts w:ascii="Times New Roman" w:hAnsi="Times New Roman"/>
                  <w:sz w:val="20"/>
                </w:rPr>
                <w:t>74</w:t>
              </w:r>
            </w:hyperlink>
          </w:p>
        </w:tc>
      </w:tr>
      <w:tr>
        <w:trPr/>
        <w:tc>
          <w:tcPr>
            <w:tcW w:w="9516" w:type="dxa"/>
            <w:tcBorders/>
            <w:shd w:fill="auto" w:val="clear"/>
            <w:vAlign w:val="bottom"/>
          </w:tcPr>
          <w:p>
            <w:pPr>
              <w:pStyle w:val="TableContents"/>
              <w:spacing w:lineRule="auto" w:line="300" w:before="0" w:after="0"/>
              <w:ind w:left="0" w:right="0" w:hanging="0"/>
              <w:jc w:val="both"/>
              <w:rPr/>
            </w:pPr>
            <w:r>
              <w:rPr/>
              <w:t> </w:t>
            </w:r>
          </w:p>
          <w:p>
            <w:pPr>
              <w:pStyle w:val="TableContents"/>
              <w:spacing w:lineRule="auto" w:line="300" w:before="0" w:after="0"/>
              <w:ind w:left="720" w:right="0" w:hanging="720"/>
              <w:jc w:val="left"/>
              <w:rPr/>
            </w:pPr>
            <w:hyperlink w:anchor="cashflow">
              <w:r>
                <w:rPr>
                  <w:rStyle w:val="InternetLink"/>
                  <w:rFonts w:ascii="Times New Roman" w:hAnsi="Times New Roman"/>
                  <w:sz w:val="20"/>
                </w:rPr>
                <w:t>Consolidated Statements of Cash Flows for the Three Years Ended December 31, 2006</w:t>
              </w:r>
            </w:hyperlink>
          </w:p>
        </w:tc>
        <w:tc>
          <w:tcPr>
            <w:tcW w:w="689" w:type="dxa"/>
            <w:tcBorders/>
            <w:shd w:fill="auto" w:val="clear"/>
            <w:vAlign w:val="bottom"/>
          </w:tcPr>
          <w:p>
            <w:pPr>
              <w:pStyle w:val="TableContents"/>
              <w:spacing w:lineRule="auto" w:line="300" w:before="0" w:after="0"/>
              <w:ind w:left="0" w:right="0" w:hanging="0"/>
              <w:jc w:val="right"/>
              <w:rPr/>
            </w:pPr>
            <w:hyperlink w:anchor="cashflow">
              <w:r>
                <w:rPr>
                  <w:rStyle w:val="InternetLink"/>
                  <w:rFonts w:ascii="Times New Roman" w:hAnsi="Times New Roman"/>
                  <w:sz w:val="20"/>
                </w:rPr>
                <w:t>75</w:t>
              </w:r>
            </w:hyperlink>
          </w:p>
        </w:tc>
      </w:tr>
      <w:tr>
        <w:trPr/>
        <w:tc>
          <w:tcPr>
            <w:tcW w:w="9516" w:type="dxa"/>
            <w:tcBorders/>
            <w:shd w:fill="auto" w:val="clear"/>
            <w:vAlign w:val="bottom"/>
          </w:tcPr>
          <w:p>
            <w:pPr>
              <w:pStyle w:val="TableContents"/>
              <w:spacing w:lineRule="auto" w:line="300" w:before="0" w:after="0"/>
              <w:ind w:left="0" w:right="0" w:hanging="0"/>
              <w:jc w:val="both"/>
              <w:rPr/>
            </w:pPr>
            <w:r>
              <w:rPr/>
              <w:t> </w:t>
            </w:r>
          </w:p>
          <w:p>
            <w:pPr>
              <w:pStyle w:val="TableContents"/>
              <w:spacing w:lineRule="auto" w:line="300" w:before="0" w:after="0"/>
              <w:ind w:left="720" w:right="0" w:hanging="720"/>
              <w:jc w:val="left"/>
              <w:rPr/>
            </w:pPr>
            <w:hyperlink w:anchor="notes">
              <w:r>
                <w:rPr>
                  <w:rStyle w:val="InternetLink"/>
                  <w:rFonts w:ascii="Times New Roman" w:hAnsi="Times New Roman"/>
                  <w:sz w:val="20"/>
                </w:rPr>
                <w:t>Notes to Consolidated Financial Statements</w:t>
              </w:r>
            </w:hyperlink>
          </w:p>
        </w:tc>
        <w:tc>
          <w:tcPr>
            <w:tcW w:w="689" w:type="dxa"/>
            <w:tcBorders/>
            <w:shd w:fill="auto" w:val="clear"/>
            <w:vAlign w:val="bottom"/>
          </w:tcPr>
          <w:p>
            <w:pPr>
              <w:pStyle w:val="TableContents"/>
              <w:spacing w:lineRule="auto" w:line="300" w:before="0" w:after="0"/>
              <w:ind w:left="0" w:right="0" w:hanging="0"/>
              <w:jc w:val="right"/>
              <w:rPr/>
            </w:pPr>
            <w:hyperlink w:anchor="notes">
              <w:r>
                <w:rPr>
                  <w:rStyle w:val="InternetLink"/>
                  <w:rFonts w:ascii="Times New Roman" w:hAnsi="Times New Roman"/>
                  <w:sz w:val="20"/>
                </w:rPr>
                <w:t>76</w:t>
              </w:r>
            </w:hyperlink>
          </w:p>
        </w:tc>
      </w:tr>
    </w:tbl>
    <w:p>
      <w:pPr>
        <w:pStyle w:val="TextBody"/>
        <w:spacing w:lineRule="auto" w:line="300"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150" w:name="PGBRK70"/>
      <w:bookmarkStart w:id="2151" w:name="PGBRK70"/>
      <w:bookmarkEnd w:id="215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52" w:name="FTR70"/>
      <w:bookmarkStart w:id="2153" w:name="FTR70"/>
      <w:bookmarkEnd w:id="215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54" w:name="GLFTR70"/>
      <w:bookmarkStart w:id="2155" w:name="GLFTR70"/>
      <w:bookmarkEnd w:id="215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2156" w:name="PN70"/>
      <w:bookmarkEnd w:id="2156"/>
      <w:r>
        <w:rPr>
          <w:rFonts w:ascii="Times New Roman" w:hAnsi="Times New Roman"/>
          <w:sz w:val="16"/>
        </w:rPr>
        <w:t>-70-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57" w:name="HDR70"/>
      <w:bookmarkStart w:id="2158" w:name="HDR70"/>
      <w:bookmarkEnd w:id="215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2159" w:name="GLHDR70"/>
        <w:bookmarkEnd w:id="2159"/>
        <w:r>
          <w:rPr>
            <w:rStyle w:val="Emphasis"/>
            <w:rFonts w:ascii="Times New Roman" w:hAnsi="Times New Roman"/>
            <w:color w:val="000000"/>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300" w:before="0" w:after="0"/>
        <w:ind w:left="0" w:right="0" w:hanging="0"/>
        <w:jc w:val="center"/>
        <w:rPr/>
      </w:pPr>
      <w:bookmarkStart w:id="2160" w:name="reportofindependent1"/>
      <w:bookmarkEnd w:id="2160"/>
      <w:r>
        <w:rPr>
          <w:rStyle w:val="StrongEmphasis"/>
          <w:rFonts w:ascii="Times New Roman" w:hAnsi="Times New Roman"/>
          <w:sz w:val="20"/>
        </w:rPr>
        <w:t>Report</w:t>
      </w:r>
      <w:bookmarkStart w:id="2161" w:name="reportofindependent"/>
      <w:bookmarkEnd w:id="2161"/>
      <w:r>
        <w:rPr>
          <w:rStyle w:val="StrongEmphasis"/>
        </w:rPr>
        <w:t xml:space="preserve"> </w:t>
      </w:r>
      <w:r>
        <w:rPr>
          <w:rStyle w:val="StrongEmphasis"/>
          <w:rFonts w:ascii="Times New Roman" w:hAnsi="Times New Roman"/>
          <w:sz w:val="20"/>
        </w:rPr>
        <w:t>of Independent Registered Public Accountants</w:t>
      </w:r>
    </w:p>
    <w:p>
      <w:pPr>
        <w:pStyle w:val="TextBody"/>
        <w:spacing w:lineRule="auto" w:line="300" w:before="0" w:after="0"/>
        <w:ind w:left="0" w:right="0" w:hanging="0"/>
        <w:jc w:val="both"/>
        <w:rPr/>
      </w:pPr>
      <w:r>
        <w:rPr/>
        <w:t> </w:t>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To the Board of Directors and Stockholders of</w:t>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Reading International, Inc.</w:t>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Los Angeles, California:</w:t>
      </w:r>
    </w:p>
    <w:p>
      <w:pPr>
        <w:pStyle w:val="TextBody"/>
        <w:spacing w:lineRule="auto" w:line="300" w:before="0" w:after="0"/>
        <w:ind w:left="0" w:right="0" w:hanging="0"/>
        <w:jc w:val="both"/>
        <w:rPr/>
      </w:pPr>
      <w:r>
        <w:rPr/>
        <w:t> </w:t>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We have audited the accompanying consolidated balance sheets of Reading International, Inc., and subsidiaries (the “Company”) as of December 31, 2006 and 2005, and the related consolidated statements of operations, stockholders’ equity and cash flows for each of the three years in the period ended December 31, 2006. Our audits also included the financial statement schedule listed in the index at Item 15. These financial statements and the financial statement schedule are the responsibility of the Company’s management.  Our responsibility is to express an opinion on these consolidated financial statements based on our audits.</w:t>
      </w:r>
    </w:p>
    <w:p>
      <w:pPr>
        <w:pStyle w:val="TextBody"/>
        <w:spacing w:lineRule="auto" w:line="300" w:before="0" w:after="0"/>
        <w:ind w:left="0" w:right="0" w:hanging="0"/>
        <w:jc w:val="both"/>
        <w:rPr/>
      </w:pPr>
      <w:r>
        <w:rPr/>
        <w:t> </w:t>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pStyle w:val="TextBody"/>
        <w:spacing w:lineRule="auto" w:line="300" w:before="0" w:after="0"/>
        <w:ind w:left="0" w:right="0" w:hanging="0"/>
        <w:jc w:val="both"/>
        <w:rPr/>
      </w:pPr>
      <w:r>
        <w:rPr/>
        <w:t> </w:t>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In our opinion, such consolidated financial statements present fairly, in all material respects, the financial position of Reading International, Inc., and subsidiaries as of December 31, 2006 and 2005, and the results of their operations and their cash flows for each of the three years in the period ended December 31, 2006, in conformity with accounting principles generally accepted in the United States of America. Also in our opinion, such financial statement schedule, when considered in relation to the basic consolidated financial statements taken as a whole, presents fairly, in all material respects, the information set forth therein.</w:t>
      </w:r>
    </w:p>
    <w:p>
      <w:pPr>
        <w:pStyle w:val="TextBody"/>
        <w:spacing w:lineRule="auto" w:line="300" w:before="0" w:after="0"/>
        <w:ind w:left="0" w:right="0" w:hanging="0"/>
        <w:jc w:val="both"/>
        <w:rPr/>
      </w:pPr>
      <w:r>
        <w:rPr/>
        <w:t> </w:t>
      </w:r>
    </w:p>
    <w:p>
      <w:pPr>
        <w:pStyle w:val="TextBody"/>
        <w:spacing w:lineRule="auto" w:line="300" w:before="0" w:after="0"/>
        <w:ind w:left="0" w:right="0" w:firstLine="720"/>
        <w:jc w:val="both"/>
        <w:rPr/>
      </w:pPr>
      <w:r>
        <w:rPr>
          <w:rFonts w:ascii="Times New Roman" w:hAnsi="Times New Roman"/>
          <w:sz w:val="20"/>
        </w:rPr>
        <w:t xml:space="preserve">We have also audited, in accordance with the standards of the Public Company Accounting Oversight Board (United States), the effectiveness of the Company’s internal control over financial reporting as of December 31, 2006, based on the criteria established in </w:t>
      </w:r>
      <w:r>
        <w:rPr>
          <w:rStyle w:val="Emphasis"/>
          <w:rFonts w:ascii="Times New Roman" w:hAnsi="Times New Roman"/>
          <w:sz w:val="20"/>
        </w:rPr>
        <w:t>Internal Control—Integrated Framework</w:t>
      </w:r>
      <w:r>
        <w:rPr/>
        <w:t xml:space="preserve"> </w:t>
      </w:r>
      <w:r>
        <w:rPr>
          <w:rFonts w:ascii="Times New Roman" w:hAnsi="Times New Roman"/>
          <w:sz w:val="20"/>
        </w:rPr>
        <w:t>issued by the Committee of Sponsoring Organizations of the Treadway Commission and our report dated March 29, 2007 expressed an unqualified opinion on management’s assessment of the effectiveness of the Company’s internal control over financial reporting and an adverse opinion on the effectiveness of the Company’s internal control over financial reporting because of a material weakness.</w:t>
      </w:r>
    </w:p>
    <w:p>
      <w:pPr>
        <w:pStyle w:val="TextBody"/>
        <w:spacing w:lineRule="auto" w:line="300" w:before="0" w:after="0"/>
        <w:ind w:left="0" w:right="0" w:hanging="0"/>
        <w:jc w:val="both"/>
        <w:rPr/>
      </w:pPr>
      <w:r>
        <w:rPr/>
        <w:t> </w:t>
      </w:r>
    </w:p>
    <w:p>
      <w:pPr>
        <w:pStyle w:val="TextBody"/>
        <w:spacing w:lineRule="auto" w:line="300" w:before="0" w:after="0"/>
        <w:ind w:left="0" w:right="0" w:hanging="0"/>
        <w:jc w:val="both"/>
        <w:rPr/>
      </w:pPr>
      <w:r>
        <w:rPr/>
        <w:t> </w:t>
      </w:r>
    </w:p>
    <w:p>
      <w:pPr>
        <w:pStyle w:val="TextBody"/>
        <w:spacing w:lineRule="auto" w:line="300" w:before="0" w:after="0"/>
        <w:ind w:left="0" w:right="0" w:hanging="0"/>
        <w:jc w:val="left"/>
        <w:rPr/>
      </w:pPr>
      <w:r>
        <w:rPr>
          <w:rStyle w:val="Emphasis"/>
          <w:rFonts w:ascii="Times New Roman" w:hAnsi="Times New Roman"/>
          <w:sz w:val="20"/>
        </w:rPr>
        <w:t>DELOITTE &amp; TOUCHE LLP</w:t>
      </w:r>
    </w:p>
    <w:p>
      <w:pPr>
        <w:pStyle w:val="TextBody"/>
        <w:spacing w:lineRule="auto" w:line="300" w:before="0" w:after="0"/>
        <w:ind w:left="0" w:right="0" w:hanging="0"/>
        <w:jc w:val="both"/>
        <w:rPr/>
      </w:pPr>
      <w:r>
        <w:rPr/>
        <w:t> </w:t>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Los Angeles, California</w:t>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March 29, 2007</w:t>
      </w:r>
    </w:p>
    <w:p>
      <w:pPr>
        <w:pStyle w:val="TextBody"/>
        <w:spacing w:before="0" w:after="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162" w:name="PGBRK71"/>
      <w:bookmarkStart w:id="2163" w:name="PGBRK71"/>
      <w:bookmarkEnd w:id="216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0"/>
        <w:ind w:left="0" w:right="0" w:hanging="0"/>
        <w:jc w:val="center"/>
        <w:rPr/>
      </w:pPr>
      <w:bookmarkStart w:id="2164" w:name="FTR71"/>
      <w:bookmarkEnd w:id="2164"/>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65" w:name="GLFTR71"/>
      <w:bookmarkStart w:id="2166" w:name="GLFTR71"/>
      <w:bookmarkEnd w:id="216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2167" w:name="PN71"/>
      <w:bookmarkEnd w:id="2167"/>
      <w:r>
        <w:rPr>
          <w:rFonts w:ascii="Times New Roman" w:hAnsi="Times New Roman"/>
          <w:sz w:val="16"/>
        </w:rPr>
        <w:t>-71-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68" w:name="HDR71"/>
      <w:bookmarkStart w:id="2169" w:name="HDR71"/>
      <w:bookmarkEnd w:id="216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2170" w:name="GLHDR71"/>
        <w:bookmarkEnd w:id="2170"/>
        <w:r>
          <w:rPr>
            <w:rStyle w:val="Emphasis"/>
            <w:rFonts w:ascii="Times New Roman" w:hAnsi="Times New Roman"/>
            <w:color w:val="000000"/>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pStyle w:val="TextBody"/>
        <w:spacing w:lineRule="auto" w:line="300" w:before="0" w:after="0"/>
        <w:ind w:left="0" w:right="0" w:hanging="0"/>
        <w:jc w:val="left"/>
        <w:rPr/>
      </w:pPr>
      <w:bookmarkStart w:id="2171" w:name="balancesheet"/>
      <w:bookmarkEnd w:id="2171"/>
      <w:r>
        <w:rPr>
          <w:rStyle w:val="StrongEmphasis"/>
          <w:rFonts w:ascii="Times New Roman" w:hAnsi="Times New Roman"/>
          <w:sz w:val="20"/>
        </w:rPr>
        <w:t>Reading International, Inc. and Subsidiaries</w:t>
      </w:r>
    </w:p>
    <w:p>
      <w:pPr>
        <w:pStyle w:val="TextBody"/>
        <w:spacing w:lineRule="auto" w:line="300" w:before="0" w:after="0"/>
        <w:ind w:left="0" w:right="0" w:hanging="0"/>
        <w:jc w:val="left"/>
        <w:rPr/>
      </w:pPr>
      <w:r>
        <w:rPr>
          <w:rStyle w:val="StrongEmphasis"/>
          <w:rFonts w:ascii="Times New Roman" w:hAnsi="Times New Roman"/>
          <w:sz w:val="20"/>
        </w:rPr>
        <w:t>Consolidated Balance Sheets as of December 31, 2006 and 2005</w:t>
      </w:r>
    </w:p>
    <w:p>
      <w:pPr>
        <w:pStyle w:val="TextBody"/>
        <w:spacing w:lineRule="auto" w:line="300" w:before="0" w:after="0"/>
        <w:ind w:left="0" w:right="0" w:hanging="0"/>
        <w:jc w:val="left"/>
        <w:rPr/>
      </w:pPr>
      <w:r>
        <w:rPr>
          <w:rStyle w:val="StrongEmphasis"/>
          <w:rFonts w:ascii="Times New Roman" w:hAnsi="Times New Roman"/>
          <w:sz w:val="20"/>
        </w:rPr>
        <w:t>(U.S. dollars in thousands)</w:t>
      </w:r>
    </w:p>
    <w:p>
      <w:pPr>
        <w:pStyle w:val="TextBody"/>
        <w:spacing w:lineRule="auto" w:line="300" w:before="0" w:after="0"/>
        <w:ind w:left="0" w:right="0" w:hanging="0"/>
        <w:jc w:val="left"/>
        <w:rPr/>
      </w:pPr>
      <w:r>
        <w:rPr/>
        <w:t> </w:t>
      </w:r>
    </w:p>
    <w:p>
      <w:pPr>
        <w:pStyle w:val="Normal"/>
        <w:spacing w:before="0" w:after="0"/>
        <w:rPr>
          <w:sz w:val="4"/>
          <w:szCs w:val="4"/>
        </w:rPr>
      </w:pPr>
      <w:r>
        <w:rPr>
          <w:sz w:val="4"/>
          <w:szCs w:val="4"/>
        </w:rPr>
      </w:r>
      <w:bookmarkStart w:id="2172" w:name="ftable13"/>
      <w:bookmarkStart w:id="2173" w:name="ftable13"/>
      <w:bookmarkEnd w:id="2173"/>
    </w:p>
    <w:tbl>
      <w:tblPr>
        <w:tblW w:w="5000" w:type="pct"/>
        <w:jc w:val="left"/>
        <w:tblInd w:w="0" w:type="dxa"/>
        <w:tblCellMar>
          <w:top w:w="0" w:type="dxa"/>
          <w:left w:w="0" w:type="dxa"/>
          <w:bottom w:w="28" w:type="dxa"/>
          <w:right w:w="0" w:type="dxa"/>
        </w:tblCellMar>
      </w:tblPr>
      <w:tblGrid>
        <w:gridCol w:w="7067"/>
        <w:gridCol w:w="194"/>
        <w:gridCol w:w="126"/>
        <w:gridCol w:w="1185"/>
        <w:gridCol w:w="200"/>
        <w:gridCol w:w="126"/>
        <w:gridCol w:w="1185"/>
        <w:gridCol w:w="122"/>
      </w:tblGrid>
      <w:tr>
        <w:trPr/>
        <w:tc>
          <w:tcPr>
            <w:tcW w:w="7067" w:type="dxa"/>
            <w:tcBorders>
              <w:bottom w:val="single" w:sz="4" w:space="0" w:color="FFFFFF"/>
            </w:tcBorders>
            <w:shd w:fill="auto" w:val="clear"/>
            <w:vAlign w:val="bottom"/>
          </w:tcPr>
          <w:p>
            <w:pPr>
              <w:pStyle w:val="TableContents"/>
              <w:spacing w:before="0" w:after="283"/>
              <w:jc w:val="left"/>
              <w:rPr/>
            </w:pPr>
            <w:r>
              <w:rPr/>
              <w:t> </w:t>
            </w:r>
          </w:p>
        </w:tc>
        <w:tc>
          <w:tcPr>
            <w:tcW w:w="194" w:type="dxa"/>
            <w:tcBorders>
              <w:bottom w:val="single" w:sz="2" w:space="0" w:color="FFFFFF"/>
            </w:tcBorders>
            <w:shd w:fill="auto" w:val="clear"/>
            <w:vAlign w:val="center"/>
          </w:tcPr>
          <w:p>
            <w:pPr>
              <w:pStyle w:val="TableContents"/>
              <w:spacing w:before="0" w:after="283"/>
              <w:rPr/>
            </w:pPr>
            <w:r>
              <w:rPr/>
              <w:t> </w:t>
            </w:r>
          </w:p>
        </w:tc>
        <w:tc>
          <w:tcPr>
            <w:tcW w:w="2822" w:type="dxa"/>
            <w:gridSpan w:val="5"/>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December 31,</w:t>
            </w:r>
          </w:p>
        </w:tc>
        <w:tc>
          <w:tcPr>
            <w:tcW w:w="122" w:type="dxa"/>
            <w:tcBorders>
              <w:bottom w:val="single" w:sz="2" w:space="0" w:color="FFFFFF"/>
            </w:tcBorders>
            <w:shd w:fill="auto" w:val="clear"/>
            <w:vAlign w:val="bottom"/>
          </w:tcPr>
          <w:p>
            <w:pPr>
              <w:pStyle w:val="TableContents"/>
              <w:spacing w:before="0" w:after="283"/>
              <w:jc w:val="left"/>
              <w:rPr/>
            </w:pPr>
            <w:r>
              <w:rPr/>
              <w:t> </w:t>
            </w:r>
          </w:p>
        </w:tc>
      </w:tr>
      <w:tr>
        <w:trPr/>
        <w:tc>
          <w:tcPr>
            <w:tcW w:w="7067" w:type="dxa"/>
            <w:tcBorders>
              <w:bottom w:val="double" w:sz="2" w:space="0" w:color="000000"/>
            </w:tcBorders>
            <w:shd w:fill="auto" w:val="clear"/>
            <w:vAlign w:val="bottom"/>
          </w:tcPr>
          <w:p>
            <w:pPr>
              <w:pStyle w:val="TableContents"/>
              <w:spacing w:before="0" w:after="283"/>
              <w:jc w:val="left"/>
              <w:rPr/>
            </w:pPr>
            <w:r>
              <w:rPr/>
              <w:t> </w:t>
            </w:r>
          </w:p>
        </w:tc>
        <w:tc>
          <w:tcPr>
            <w:tcW w:w="194" w:type="dxa"/>
            <w:tcBorders>
              <w:bottom w:val="single" w:sz="4" w:space="0" w:color="FFFFFF"/>
            </w:tcBorders>
            <w:shd w:fill="auto" w:val="clear"/>
            <w:vAlign w:val="center"/>
          </w:tcPr>
          <w:p>
            <w:pPr>
              <w:pStyle w:val="TableContents"/>
              <w:spacing w:before="0" w:after="283"/>
              <w:rPr/>
            </w:pPr>
            <w:r>
              <w:rPr/>
              <w:t> </w:t>
            </w:r>
          </w:p>
        </w:tc>
        <w:tc>
          <w:tcPr>
            <w:tcW w:w="1311"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2006</w:t>
            </w:r>
          </w:p>
        </w:tc>
        <w:tc>
          <w:tcPr>
            <w:tcW w:w="200" w:type="dxa"/>
            <w:tcBorders>
              <w:bottom w:val="single" w:sz="4" w:space="0" w:color="FFFFFF"/>
            </w:tcBorders>
            <w:shd w:fill="auto" w:val="clear"/>
            <w:vAlign w:val="bottom"/>
          </w:tcPr>
          <w:p>
            <w:pPr>
              <w:pStyle w:val="TableContents"/>
              <w:spacing w:before="0" w:after="283"/>
              <w:jc w:val="left"/>
              <w:rPr/>
            </w:pPr>
            <w:r>
              <w:rPr/>
              <w:t> </w:t>
            </w:r>
          </w:p>
        </w:tc>
        <w:tc>
          <w:tcPr>
            <w:tcW w:w="1311"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2005</w:t>
            </w:r>
          </w:p>
        </w:tc>
        <w:tc>
          <w:tcPr>
            <w:tcW w:w="122" w:type="dxa"/>
            <w:tcBorders>
              <w:bottom w:val="single" w:sz="4" w:space="0" w:color="FFFFFF"/>
            </w:tcBorders>
            <w:shd w:fill="auto" w:val="clear"/>
            <w:vAlign w:val="bottom"/>
          </w:tcPr>
          <w:p>
            <w:pPr>
              <w:pStyle w:val="TableContents"/>
              <w:spacing w:before="0" w:after="283"/>
              <w:jc w:val="left"/>
              <w:rPr/>
            </w:pPr>
            <w:r>
              <w:rPr/>
              <w:t> </w:t>
            </w:r>
          </w:p>
        </w:tc>
      </w:tr>
      <w:tr>
        <w:trPr/>
        <w:tc>
          <w:tcPr>
            <w:tcW w:w="7067" w:type="dxa"/>
            <w:tcBorders/>
            <w:shd w:fill="auto" w:val="clear"/>
            <w:tcMar>
              <w:bottom w:w="0" w:type="dxa"/>
            </w:tcMar>
            <w:vAlign w:val="bottom"/>
          </w:tcPr>
          <w:p>
            <w:pPr>
              <w:pStyle w:val="TableContents"/>
              <w:spacing w:lineRule="auto" w:line="300" w:before="0" w:after="0"/>
              <w:ind w:left="0" w:right="0" w:hanging="0"/>
              <w:jc w:val="left"/>
              <w:rPr/>
            </w:pPr>
            <w:r>
              <w:rPr>
                <w:rStyle w:val="StrongEmphasis"/>
                <w:rFonts w:ascii="Times New Roman" w:hAnsi="Times New Roman"/>
                <w:sz w:val="20"/>
              </w:rPr>
              <w:t>ASSETS</w:t>
            </w:r>
          </w:p>
        </w:tc>
        <w:tc>
          <w:tcPr>
            <w:tcW w:w="194" w:type="dxa"/>
            <w:tcBorders/>
            <w:shd w:fill="auto" w:val="clear"/>
            <w:tcMar>
              <w:bottom w:w="0" w:type="dxa"/>
            </w:tcMar>
            <w:vAlign w:val="center"/>
          </w:tcPr>
          <w:p>
            <w:pPr>
              <w:pStyle w:val="TableContents"/>
              <w:spacing w:before="0" w:after="283"/>
              <w:rPr/>
            </w:pPr>
            <w:r>
              <w:rPr/>
              <w:t> </w:t>
            </w:r>
          </w:p>
        </w:tc>
        <w:tc>
          <w:tcPr>
            <w:tcW w:w="2944" w:type="dxa"/>
            <w:gridSpan w:val="6"/>
            <w:tcBorders/>
            <w:shd w:fill="auto" w:val="clear"/>
            <w:tcMar>
              <w:bottom w:w="0" w:type="dxa"/>
            </w:tcMar>
            <w:vAlign w:val="bottom"/>
          </w:tcPr>
          <w:p>
            <w:pPr>
              <w:pStyle w:val="TableContents"/>
              <w:spacing w:before="0" w:after="283"/>
              <w:jc w:val="right"/>
              <w:rPr/>
            </w:pPr>
            <w:r>
              <w:rPr/>
              <w:t> </w:t>
            </w:r>
          </w:p>
        </w:tc>
      </w:tr>
      <w:tr>
        <w:trPr/>
        <w:tc>
          <w:tcPr>
            <w:tcW w:w="7067" w:type="dxa"/>
            <w:tcBorders/>
            <w:shd w:fill="auto" w:val="clear"/>
            <w:tcMar>
              <w:bottom w:w="0" w:type="dxa"/>
            </w:tcMar>
            <w:vAlign w:val="bottom"/>
          </w:tcPr>
          <w:p>
            <w:pPr>
              <w:pStyle w:val="TableContents"/>
              <w:spacing w:lineRule="auto" w:line="300" w:before="0" w:after="0"/>
              <w:ind w:left="0" w:right="0" w:hanging="0"/>
              <w:jc w:val="left"/>
              <w:rPr/>
            </w:pPr>
            <w:r>
              <w:rPr>
                <w:rStyle w:val="StrongEmphasis"/>
                <w:rFonts w:ascii="Times New Roman" w:hAnsi="Times New Roman"/>
                <w:sz w:val="20"/>
              </w:rPr>
              <w:t>Current Assets:</w:t>
            </w:r>
          </w:p>
        </w:tc>
        <w:tc>
          <w:tcPr>
            <w:tcW w:w="194" w:type="dxa"/>
            <w:tcBorders/>
            <w:shd w:fill="auto" w:val="clear"/>
            <w:tcMar>
              <w:bottom w:w="0" w:type="dxa"/>
            </w:tcMar>
            <w:vAlign w:val="center"/>
          </w:tcPr>
          <w:p>
            <w:pPr>
              <w:pStyle w:val="TableContents"/>
              <w:spacing w:before="0" w:after="283"/>
              <w:rPr/>
            </w:pPr>
            <w:r>
              <w:rPr/>
              <w:t> </w:t>
            </w:r>
          </w:p>
        </w:tc>
        <w:tc>
          <w:tcPr>
            <w:tcW w:w="126" w:type="dxa"/>
            <w:tcBorders/>
            <w:shd w:fill="auto" w:val="clear"/>
            <w:tcMar>
              <w:bottom w:w="0" w:type="dxa"/>
            </w:tcMar>
            <w:vAlign w:val="bottom"/>
          </w:tcPr>
          <w:p>
            <w:pPr>
              <w:pStyle w:val="TableContents"/>
              <w:spacing w:before="0" w:after="283"/>
              <w:jc w:val="left"/>
              <w:rPr/>
            </w:pPr>
            <w:r>
              <w:rPr/>
              <w:t> </w:t>
            </w:r>
          </w:p>
        </w:tc>
        <w:tc>
          <w:tcPr>
            <w:tcW w:w="1185" w:type="dxa"/>
            <w:tcBorders/>
            <w:shd w:fill="auto" w:val="clear"/>
            <w:tcMar>
              <w:bottom w:w="0" w:type="dxa"/>
            </w:tcMar>
            <w:vAlign w:val="bottom"/>
          </w:tcPr>
          <w:p>
            <w:pPr>
              <w:pStyle w:val="TableContents"/>
              <w:spacing w:before="0" w:after="283"/>
              <w:jc w:val="right"/>
              <w:rPr/>
            </w:pPr>
            <w:r>
              <w:rPr/>
              <w:t> </w:t>
            </w:r>
          </w:p>
        </w:tc>
        <w:tc>
          <w:tcPr>
            <w:tcW w:w="200" w:type="dxa"/>
            <w:tcBorders/>
            <w:shd w:fill="auto" w:val="clear"/>
            <w:tcMar>
              <w:bottom w:w="0" w:type="dxa"/>
            </w:tcMar>
            <w:vAlign w:val="bottom"/>
          </w:tcPr>
          <w:p>
            <w:pPr>
              <w:pStyle w:val="TableContents"/>
              <w:spacing w:before="0" w:after="283"/>
              <w:jc w:val="left"/>
              <w:rPr/>
            </w:pPr>
            <w:r>
              <w:rPr/>
              <w:t> </w:t>
            </w:r>
          </w:p>
        </w:tc>
        <w:tc>
          <w:tcPr>
            <w:tcW w:w="126" w:type="dxa"/>
            <w:tcBorders/>
            <w:shd w:fill="auto" w:val="clear"/>
            <w:tcMar>
              <w:bottom w:w="0" w:type="dxa"/>
            </w:tcMar>
            <w:vAlign w:val="bottom"/>
          </w:tcPr>
          <w:p>
            <w:pPr>
              <w:pStyle w:val="TableContents"/>
              <w:spacing w:before="0" w:after="283"/>
              <w:jc w:val="left"/>
              <w:rPr/>
            </w:pPr>
            <w:r>
              <w:rPr/>
              <w:t> </w:t>
            </w:r>
          </w:p>
        </w:tc>
        <w:tc>
          <w:tcPr>
            <w:tcW w:w="1185" w:type="dxa"/>
            <w:tcBorders/>
            <w:shd w:fill="auto" w:val="clear"/>
            <w:tcMar>
              <w:bottom w:w="0" w:type="dxa"/>
            </w:tcMar>
            <w:vAlign w:val="bottom"/>
          </w:tcPr>
          <w:p>
            <w:pPr>
              <w:pStyle w:val="TableContents"/>
              <w:spacing w:before="0" w:after="283"/>
              <w:jc w:val="right"/>
              <w:rPr/>
            </w:pPr>
            <w:r>
              <w:rPr/>
              <w:t> </w:t>
            </w:r>
          </w:p>
        </w:tc>
        <w:tc>
          <w:tcPr>
            <w:tcW w:w="122" w:type="dxa"/>
            <w:tcBorders/>
            <w:shd w:fill="auto" w:val="clear"/>
            <w:tcMar>
              <w:bottom w:w="0" w:type="dxa"/>
            </w:tcMar>
            <w:vAlign w:val="bottom"/>
          </w:tcPr>
          <w:p>
            <w:pPr>
              <w:pStyle w:val="TableContents"/>
              <w:spacing w:before="0" w:after="283"/>
              <w:jc w:val="left"/>
              <w:rPr/>
            </w:pPr>
            <w:r>
              <w:rPr/>
              <w:t> </w:t>
            </w:r>
          </w:p>
        </w:tc>
      </w:tr>
      <w:tr>
        <w:trPr/>
        <w:tc>
          <w:tcPr>
            <w:tcW w:w="7067"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Cash and cash equivalents</w:t>
            </w:r>
          </w:p>
        </w:tc>
        <w:tc>
          <w:tcPr>
            <w:tcW w:w="194" w:type="dxa"/>
            <w:tcBorders/>
            <w:shd w:fill="CCEEFF" w:val="clear"/>
            <w:tcMar>
              <w:bottom w:w="0" w:type="dxa"/>
            </w:tcMar>
            <w:vAlign w:val="center"/>
          </w:tcPr>
          <w:p>
            <w:pPr>
              <w:pStyle w:val="TableContents"/>
              <w:spacing w:before="0" w:after="283"/>
              <w:rPr/>
            </w:pPr>
            <w:r>
              <w:rPr/>
              <w:t> </w:t>
            </w:r>
          </w:p>
        </w:tc>
        <w:tc>
          <w:tcPr>
            <w:tcW w:w="126"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2174" w:name="TAB1743"/>
            <w:bookmarkEnd w:id="2174"/>
            <w:r>
              <w:rPr>
                <w:rFonts w:ascii="Times New Roman" w:hAnsi="Times New Roman"/>
                <w:sz w:val="20"/>
              </w:rPr>
              <w:t>$</w:t>
            </w:r>
          </w:p>
        </w:tc>
        <w:tc>
          <w:tcPr>
            <w:tcW w:w="1185"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2175" w:name="TAB1744"/>
            <w:bookmarkEnd w:id="2175"/>
            <w:r>
              <w:rPr>
                <w:rFonts w:ascii="Times New Roman" w:hAnsi="Times New Roman"/>
                <w:sz w:val="20"/>
              </w:rPr>
              <w:t>11,008</w:t>
            </w:r>
          </w:p>
        </w:tc>
        <w:tc>
          <w:tcPr>
            <w:tcW w:w="200" w:type="dxa"/>
            <w:tcBorders/>
            <w:shd w:fill="CCEEFF" w:val="clear"/>
            <w:tcMar>
              <w:bottom w:w="0" w:type="dxa"/>
            </w:tcMar>
            <w:vAlign w:val="bottom"/>
          </w:tcPr>
          <w:p>
            <w:pPr>
              <w:pStyle w:val="TableContents"/>
              <w:spacing w:before="0" w:after="283"/>
              <w:jc w:val="left"/>
              <w:rPr/>
            </w:pPr>
            <w:r>
              <w:rPr/>
              <w:t> </w:t>
            </w:r>
          </w:p>
        </w:tc>
        <w:tc>
          <w:tcPr>
            <w:tcW w:w="126"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2176" w:name="TAB1745"/>
            <w:bookmarkEnd w:id="2176"/>
            <w:r>
              <w:rPr>
                <w:rFonts w:ascii="Times New Roman" w:hAnsi="Times New Roman"/>
                <w:sz w:val="20"/>
              </w:rPr>
              <w:t>$</w:t>
            </w:r>
          </w:p>
        </w:tc>
        <w:tc>
          <w:tcPr>
            <w:tcW w:w="1185"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2177" w:name="TAB1746"/>
            <w:bookmarkEnd w:id="2177"/>
            <w:r>
              <w:rPr>
                <w:rFonts w:ascii="Times New Roman" w:hAnsi="Times New Roman"/>
                <w:sz w:val="20"/>
              </w:rPr>
              <w:t>8,548</w:t>
            </w:r>
          </w:p>
        </w:tc>
        <w:tc>
          <w:tcPr>
            <w:tcW w:w="122" w:type="dxa"/>
            <w:tcBorders/>
            <w:shd w:fill="CCEEFF" w:val="clear"/>
            <w:tcMar>
              <w:bottom w:w="0" w:type="dxa"/>
            </w:tcMar>
            <w:vAlign w:val="bottom"/>
          </w:tcPr>
          <w:p>
            <w:pPr>
              <w:pStyle w:val="TableContents"/>
              <w:spacing w:before="0" w:after="283"/>
              <w:jc w:val="left"/>
              <w:rPr/>
            </w:pPr>
            <w:r>
              <w:rPr/>
              <w:t> </w:t>
            </w:r>
          </w:p>
        </w:tc>
      </w:tr>
      <w:tr>
        <w:trPr/>
        <w:tc>
          <w:tcPr>
            <w:tcW w:w="7067"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Receivables</w:t>
            </w:r>
          </w:p>
        </w:tc>
        <w:tc>
          <w:tcPr>
            <w:tcW w:w="194" w:type="dxa"/>
            <w:tcBorders/>
            <w:shd w:fill="FFFFFF" w:val="clear"/>
            <w:tcMar>
              <w:bottom w:w="0" w:type="dxa"/>
            </w:tcMar>
            <w:vAlign w:val="center"/>
          </w:tcPr>
          <w:p>
            <w:pPr>
              <w:pStyle w:val="TableContents"/>
              <w:spacing w:before="0" w:after="283"/>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185"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6,612</w:t>
            </w:r>
          </w:p>
        </w:tc>
        <w:tc>
          <w:tcPr>
            <w:tcW w:w="200" w:type="dxa"/>
            <w:tcBorders/>
            <w:shd w:fill="FFFFFF" w:val="clear"/>
            <w:tcMar>
              <w:bottom w:w="0" w:type="dxa"/>
            </w:tcMar>
            <w:vAlign w:val="bottom"/>
          </w:tcPr>
          <w:p>
            <w:pPr>
              <w:pStyle w:val="TableContents"/>
              <w:spacing w:before="0" w:after="283"/>
              <w:jc w:val="left"/>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185"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5,272</w:t>
            </w:r>
          </w:p>
        </w:tc>
        <w:tc>
          <w:tcPr>
            <w:tcW w:w="122" w:type="dxa"/>
            <w:tcBorders/>
            <w:shd w:fill="FFFFFF" w:val="clear"/>
            <w:tcMar>
              <w:bottom w:w="0" w:type="dxa"/>
            </w:tcMar>
            <w:vAlign w:val="bottom"/>
          </w:tcPr>
          <w:p>
            <w:pPr>
              <w:pStyle w:val="TableContents"/>
              <w:spacing w:before="0" w:after="283"/>
              <w:jc w:val="left"/>
              <w:rPr/>
            </w:pPr>
            <w:r>
              <w:rPr/>
              <w:t> </w:t>
            </w:r>
          </w:p>
        </w:tc>
      </w:tr>
      <w:tr>
        <w:trPr/>
        <w:tc>
          <w:tcPr>
            <w:tcW w:w="7067"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Inventory</w:t>
            </w:r>
          </w:p>
        </w:tc>
        <w:tc>
          <w:tcPr>
            <w:tcW w:w="194" w:type="dxa"/>
            <w:tcBorders/>
            <w:shd w:fill="CCEEFF" w:val="clear"/>
            <w:tcMar>
              <w:bottom w:w="0" w:type="dxa"/>
            </w:tcMar>
            <w:vAlign w:val="center"/>
          </w:tcPr>
          <w:p>
            <w:pPr>
              <w:pStyle w:val="TableContents"/>
              <w:spacing w:before="0" w:after="283"/>
              <w:rPr/>
            </w:pPr>
            <w:r>
              <w:rPr/>
              <w:t> </w:t>
            </w:r>
          </w:p>
        </w:tc>
        <w:tc>
          <w:tcPr>
            <w:tcW w:w="126" w:type="dxa"/>
            <w:tcBorders/>
            <w:shd w:fill="CCEEFF" w:val="clear"/>
            <w:tcMar>
              <w:bottom w:w="0" w:type="dxa"/>
            </w:tcMar>
            <w:vAlign w:val="bottom"/>
          </w:tcPr>
          <w:p>
            <w:pPr>
              <w:pStyle w:val="TableContents"/>
              <w:spacing w:before="0" w:after="283"/>
              <w:jc w:val="left"/>
              <w:rPr/>
            </w:pPr>
            <w:r>
              <w:rPr/>
              <w:t> </w:t>
            </w:r>
          </w:p>
        </w:tc>
        <w:tc>
          <w:tcPr>
            <w:tcW w:w="1185"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606</w:t>
            </w:r>
          </w:p>
        </w:tc>
        <w:tc>
          <w:tcPr>
            <w:tcW w:w="200" w:type="dxa"/>
            <w:tcBorders/>
            <w:shd w:fill="CCEEFF" w:val="clear"/>
            <w:tcMar>
              <w:bottom w:w="0" w:type="dxa"/>
            </w:tcMar>
            <w:vAlign w:val="bottom"/>
          </w:tcPr>
          <w:p>
            <w:pPr>
              <w:pStyle w:val="TableContents"/>
              <w:spacing w:before="0" w:after="283"/>
              <w:jc w:val="left"/>
              <w:rPr/>
            </w:pPr>
            <w:r>
              <w:rPr/>
              <w:t> </w:t>
            </w:r>
          </w:p>
        </w:tc>
        <w:tc>
          <w:tcPr>
            <w:tcW w:w="126" w:type="dxa"/>
            <w:tcBorders/>
            <w:shd w:fill="CCEEFF" w:val="clear"/>
            <w:tcMar>
              <w:bottom w:w="0" w:type="dxa"/>
            </w:tcMar>
            <w:vAlign w:val="bottom"/>
          </w:tcPr>
          <w:p>
            <w:pPr>
              <w:pStyle w:val="TableContents"/>
              <w:spacing w:before="0" w:after="283"/>
              <w:jc w:val="left"/>
              <w:rPr/>
            </w:pPr>
            <w:r>
              <w:rPr/>
              <w:t> </w:t>
            </w:r>
          </w:p>
        </w:tc>
        <w:tc>
          <w:tcPr>
            <w:tcW w:w="1185"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468</w:t>
            </w:r>
          </w:p>
        </w:tc>
        <w:tc>
          <w:tcPr>
            <w:tcW w:w="122" w:type="dxa"/>
            <w:tcBorders/>
            <w:shd w:fill="CCEEFF" w:val="clear"/>
            <w:tcMar>
              <w:bottom w:w="0" w:type="dxa"/>
            </w:tcMar>
            <w:vAlign w:val="bottom"/>
          </w:tcPr>
          <w:p>
            <w:pPr>
              <w:pStyle w:val="TableContents"/>
              <w:spacing w:before="0" w:after="283"/>
              <w:jc w:val="left"/>
              <w:rPr/>
            </w:pPr>
            <w:r>
              <w:rPr/>
              <w:t> </w:t>
            </w:r>
          </w:p>
        </w:tc>
      </w:tr>
      <w:tr>
        <w:trPr/>
        <w:tc>
          <w:tcPr>
            <w:tcW w:w="7067"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 xml:space="preserve">Investment in marketable securities </w:t>
            </w:r>
          </w:p>
        </w:tc>
        <w:tc>
          <w:tcPr>
            <w:tcW w:w="194" w:type="dxa"/>
            <w:tcBorders/>
            <w:shd w:fill="FFFFFF" w:val="clear"/>
            <w:tcMar>
              <w:bottom w:w="0" w:type="dxa"/>
            </w:tcMar>
            <w:vAlign w:val="center"/>
          </w:tcPr>
          <w:p>
            <w:pPr>
              <w:pStyle w:val="TableContents"/>
              <w:spacing w:before="0" w:after="283"/>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185"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8,436</w:t>
            </w:r>
          </w:p>
        </w:tc>
        <w:tc>
          <w:tcPr>
            <w:tcW w:w="200" w:type="dxa"/>
            <w:tcBorders/>
            <w:shd w:fill="FFFFFF" w:val="clear"/>
            <w:tcMar>
              <w:bottom w:w="0" w:type="dxa"/>
            </w:tcMar>
            <w:vAlign w:val="bottom"/>
          </w:tcPr>
          <w:p>
            <w:pPr>
              <w:pStyle w:val="TableContents"/>
              <w:spacing w:before="0" w:after="283"/>
              <w:jc w:val="left"/>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185"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401</w:t>
            </w:r>
          </w:p>
        </w:tc>
        <w:tc>
          <w:tcPr>
            <w:tcW w:w="122" w:type="dxa"/>
            <w:tcBorders/>
            <w:shd w:fill="FFFFFF" w:val="clear"/>
            <w:tcMar>
              <w:bottom w:w="0" w:type="dxa"/>
            </w:tcMar>
            <w:vAlign w:val="bottom"/>
          </w:tcPr>
          <w:p>
            <w:pPr>
              <w:pStyle w:val="TableContents"/>
              <w:spacing w:before="0" w:after="283"/>
              <w:jc w:val="left"/>
              <w:rPr/>
            </w:pPr>
            <w:r>
              <w:rPr/>
              <w:t> </w:t>
            </w:r>
          </w:p>
        </w:tc>
      </w:tr>
      <w:tr>
        <w:trPr/>
        <w:tc>
          <w:tcPr>
            <w:tcW w:w="7067"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Restricted cash</w:t>
            </w:r>
          </w:p>
        </w:tc>
        <w:tc>
          <w:tcPr>
            <w:tcW w:w="194" w:type="dxa"/>
            <w:tcBorders/>
            <w:shd w:fill="CCEEFF" w:val="clear"/>
            <w:tcMar>
              <w:bottom w:w="0" w:type="dxa"/>
            </w:tcMar>
            <w:vAlign w:val="center"/>
          </w:tcPr>
          <w:p>
            <w:pPr>
              <w:pStyle w:val="TableContents"/>
              <w:spacing w:before="0" w:after="283"/>
              <w:rPr/>
            </w:pPr>
            <w:r>
              <w:rPr/>
              <w:t> </w:t>
            </w:r>
          </w:p>
        </w:tc>
        <w:tc>
          <w:tcPr>
            <w:tcW w:w="126" w:type="dxa"/>
            <w:tcBorders/>
            <w:shd w:fill="CCEEFF" w:val="clear"/>
            <w:tcMar>
              <w:bottom w:w="0" w:type="dxa"/>
            </w:tcMar>
            <w:vAlign w:val="bottom"/>
          </w:tcPr>
          <w:p>
            <w:pPr>
              <w:pStyle w:val="TableContents"/>
              <w:spacing w:before="0" w:after="283"/>
              <w:jc w:val="left"/>
              <w:rPr/>
            </w:pPr>
            <w:r>
              <w:rPr/>
              <w:t> </w:t>
            </w:r>
          </w:p>
        </w:tc>
        <w:tc>
          <w:tcPr>
            <w:tcW w:w="1185"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1,040</w:t>
            </w:r>
          </w:p>
        </w:tc>
        <w:tc>
          <w:tcPr>
            <w:tcW w:w="200" w:type="dxa"/>
            <w:tcBorders/>
            <w:shd w:fill="CCEEFF" w:val="clear"/>
            <w:tcMar>
              <w:bottom w:w="0" w:type="dxa"/>
            </w:tcMar>
            <w:vAlign w:val="bottom"/>
          </w:tcPr>
          <w:p>
            <w:pPr>
              <w:pStyle w:val="TableContents"/>
              <w:spacing w:before="0" w:after="283"/>
              <w:jc w:val="left"/>
              <w:rPr/>
            </w:pPr>
            <w:r>
              <w:rPr/>
              <w:t> </w:t>
            </w:r>
          </w:p>
        </w:tc>
        <w:tc>
          <w:tcPr>
            <w:tcW w:w="126" w:type="dxa"/>
            <w:tcBorders/>
            <w:shd w:fill="CCEEFF" w:val="clear"/>
            <w:tcMar>
              <w:bottom w:w="0" w:type="dxa"/>
            </w:tcMar>
            <w:vAlign w:val="bottom"/>
          </w:tcPr>
          <w:p>
            <w:pPr>
              <w:pStyle w:val="TableContents"/>
              <w:spacing w:before="0" w:after="283"/>
              <w:jc w:val="left"/>
              <w:rPr/>
            </w:pPr>
            <w:r>
              <w:rPr/>
              <w:t> </w:t>
            </w:r>
          </w:p>
        </w:tc>
        <w:tc>
          <w:tcPr>
            <w:tcW w:w="1185"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122" w:type="dxa"/>
            <w:tcBorders/>
            <w:shd w:fill="CCEEFF" w:val="clear"/>
            <w:tcMar>
              <w:bottom w:w="0" w:type="dxa"/>
            </w:tcMar>
            <w:vAlign w:val="bottom"/>
          </w:tcPr>
          <w:p>
            <w:pPr>
              <w:pStyle w:val="TableContents"/>
              <w:spacing w:before="0" w:after="283"/>
              <w:jc w:val="left"/>
              <w:rPr/>
            </w:pPr>
            <w:r>
              <w:rPr/>
              <w:t> </w:t>
            </w:r>
          </w:p>
        </w:tc>
      </w:tr>
      <w:tr>
        <w:trPr/>
        <w:tc>
          <w:tcPr>
            <w:tcW w:w="7067" w:type="dxa"/>
            <w:tcBorders>
              <w:bottom w:val="sing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Prepaid and other current assets</w:t>
            </w:r>
          </w:p>
        </w:tc>
        <w:tc>
          <w:tcPr>
            <w:tcW w:w="194" w:type="dxa"/>
            <w:tcBorders>
              <w:bottom w:val="single" w:sz="4" w:space="0" w:color="FFFFFF"/>
            </w:tcBorders>
            <w:shd w:fill="FFFFFF" w:val="clear"/>
            <w:vAlign w:val="center"/>
          </w:tcPr>
          <w:p>
            <w:pPr>
              <w:pStyle w:val="TableContents"/>
              <w:spacing w:before="0" w:after="283"/>
              <w:rPr/>
            </w:pPr>
            <w:r>
              <w:rPr/>
              <w:t> </w:t>
            </w:r>
          </w:p>
        </w:tc>
        <w:tc>
          <w:tcPr>
            <w:tcW w:w="126" w:type="dxa"/>
            <w:tcBorders>
              <w:bottom w:val="single" w:sz="2" w:space="0" w:color="000000"/>
            </w:tcBorders>
            <w:shd w:fill="FFFFFF" w:val="clear"/>
            <w:vAlign w:val="bottom"/>
          </w:tcPr>
          <w:p>
            <w:pPr>
              <w:pStyle w:val="TableContents"/>
              <w:spacing w:before="0" w:after="283"/>
              <w:jc w:val="left"/>
              <w:rPr/>
            </w:pPr>
            <w:r>
              <w:rPr/>
              <w:t> </w:t>
            </w:r>
          </w:p>
        </w:tc>
        <w:tc>
          <w:tcPr>
            <w:tcW w:w="1185"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2,589</w:t>
            </w:r>
          </w:p>
        </w:tc>
        <w:tc>
          <w:tcPr>
            <w:tcW w:w="200" w:type="dxa"/>
            <w:tcBorders>
              <w:bottom w:val="single" w:sz="4" w:space="0" w:color="FFFFFF"/>
            </w:tcBorders>
            <w:shd w:fill="FFFFFF" w:val="clear"/>
            <w:vAlign w:val="bottom"/>
          </w:tcPr>
          <w:p>
            <w:pPr>
              <w:pStyle w:val="TableContents"/>
              <w:spacing w:before="0" w:after="283"/>
              <w:jc w:val="left"/>
              <w:rPr/>
            </w:pPr>
            <w:r>
              <w:rPr/>
              <w:t> </w:t>
            </w:r>
          </w:p>
        </w:tc>
        <w:tc>
          <w:tcPr>
            <w:tcW w:w="126" w:type="dxa"/>
            <w:tcBorders>
              <w:bottom w:val="single" w:sz="2" w:space="0" w:color="000000"/>
            </w:tcBorders>
            <w:shd w:fill="FFFFFF" w:val="clear"/>
            <w:vAlign w:val="bottom"/>
          </w:tcPr>
          <w:p>
            <w:pPr>
              <w:pStyle w:val="TableContents"/>
              <w:spacing w:before="0" w:after="283"/>
              <w:jc w:val="left"/>
              <w:rPr/>
            </w:pPr>
            <w:r>
              <w:rPr/>
              <w:t> </w:t>
            </w:r>
          </w:p>
        </w:tc>
        <w:tc>
          <w:tcPr>
            <w:tcW w:w="1185"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996</w:t>
            </w:r>
          </w:p>
        </w:tc>
        <w:tc>
          <w:tcPr>
            <w:tcW w:w="122" w:type="dxa"/>
            <w:tcBorders>
              <w:bottom w:val="single" w:sz="4" w:space="0" w:color="FFFFFF"/>
            </w:tcBorders>
            <w:shd w:fill="FFFFFF" w:val="clear"/>
            <w:vAlign w:val="bottom"/>
          </w:tcPr>
          <w:p>
            <w:pPr>
              <w:pStyle w:val="TableContents"/>
              <w:spacing w:before="0" w:after="283"/>
              <w:jc w:val="left"/>
              <w:rPr/>
            </w:pPr>
            <w:r>
              <w:rPr/>
              <w:t> </w:t>
            </w:r>
          </w:p>
        </w:tc>
      </w:tr>
      <w:tr>
        <w:trPr/>
        <w:tc>
          <w:tcPr>
            <w:tcW w:w="7067" w:type="dxa"/>
            <w:tcBorders/>
            <w:shd w:fill="CCEEFF" w:val="clear"/>
            <w:tcMar>
              <w:bottom w:w="0" w:type="dxa"/>
            </w:tcMar>
            <w:vAlign w:val="bottom"/>
          </w:tcPr>
          <w:p>
            <w:pPr>
              <w:pStyle w:val="TableContents"/>
              <w:spacing w:lineRule="auto" w:line="300" w:before="0" w:after="0"/>
              <w:ind w:left="0" w:right="0" w:firstLine="360"/>
              <w:jc w:val="left"/>
              <w:rPr/>
            </w:pPr>
            <w:r>
              <w:rPr>
                <w:rStyle w:val="StrongEmphasis"/>
                <w:rFonts w:ascii="Times New Roman" w:hAnsi="Times New Roman"/>
                <w:sz w:val="20"/>
              </w:rPr>
              <w:t>Total current assets</w:t>
            </w:r>
          </w:p>
        </w:tc>
        <w:tc>
          <w:tcPr>
            <w:tcW w:w="194" w:type="dxa"/>
            <w:tcBorders/>
            <w:shd w:fill="CCEEFF" w:val="clear"/>
            <w:tcMar>
              <w:bottom w:w="0" w:type="dxa"/>
            </w:tcMar>
            <w:vAlign w:val="center"/>
          </w:tcPr>
          <w:p>
            <w:pPr>
              <w:pStyle w:val="TableContents"/>
              <w:spacing w:before="0" w:after="283"/>
              <w:rPr/>
            </w:pPr>
            <w:r>
              <w:rPr/>
              <w:t> </w:t>
            </w:r>
          </w:p>
        </w:tc>
        <w:tc>
          <w:tcPr>
            <w:tcW w:w="126" w:type="dxa"/>
            <w:tcBorders/>
            <w:shd w:fill="CCEEFF" w:val="clear"/>
            <w:tcMar>
              <w:bottom w:w="0" w:type="dxa"/>
            </w:tcMar>
            <w:vAlign w:val="bottom"/>
          </w:tcPr>
          <w:p>
            <w:pPr>
              <w:pStyle w:val="TableContents"/>
              <w:spacing w:before="0" w:after="283"/>
              <w:jc w:val="left"/>
              <w:rPr/>
            </w:pPr>
            <w:r>
              <w:rPr/>
              <w:t> </w:t>
            </w:r>
          </w:p>
        </w:tc>
        <w:tc>
          <w:tcPr>
            <w:tcW w:w="1185"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30,291</w:t>
            </w:r>
          </w:p>
        </w:tc>
        <w:tc>
          <w:tcPr>
            <w:tcW w:w="200" w:type="dxa"/>
            <w:tcBorders/>
            <w:shd w:fill="CCEEFF" w:val="clear"/>
            <w:tcMar>
              <w:bottom w:w="0" w:type="dxa"/>
            </w:tcMar>
            <w:vAlign w:val="bottom"/>
          </w:tcPr>
          <w:p>
            <w:pPr>
              <w:pStyle w:val="TableContents"/>
              <w:spacing w:before="0" w:after="283"/>
              <w:jc w:val="left"/>
              <w:rPr/>
            </w:pPr>
            <w:r>
              <w:rPr/>
              <w:t> </w:t>
            </w:r>
          </w:p>
        </w:tc>
        <w:tc>
          <w:tcPr>
            <w:tcW w:w="126" w:type="dxa"/>
            <w:tcBorders/>
            <w:shd w:fill="CCEEFF" w:val="clear"/>
            <w:tcMar>
              <w:bottom w:w="0" w:type="dxa"/>
            </w:tcMar>
            <w:vAlign w:val="bottom"/>
          </w:tcPr>
          <w:p>
            <w:pPr>
              <w:pStyle w:val="TableContents"/>
              <w:spacing w:before="0" w:after="283"/>
              <w:jc w:val="left"/>
              <w:rPr/>
            </w:pPr>
            <w:r>
              <w:rPr/>
              <w:t> </w:t>
            </w:r>
          </w:p>
        </w:tc>
        <w:tc>
          <w:tcPr>
            <w:tcW w:w="1185"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15,685</w:t>
            </w:r>
          </w:p>
        </w:tc>
        <w:tc>
          <w:tcPr>
            <w:tcW w:w="122" w:type="dxa"/>
            <w:tcBorders/>
            <w:shd w:fill="CCEEFF" w:val="clear"/>
            <w:tcMar>
              <w:bottom w:w="0" w:type="dxa"/>
            </w:tcMar>
            <w:vAlign w:val="bottom"/>
          </w:tcPr>
          <w:p>
            <w:pPr>
              <w:pStyle w:val="TableContents"/>
              <w:spacing w:before="0" w:after="283"/>
              <w:jc w:val="left"/>
              <w:rPr/>
            </w:pPr>
            <w:r>
              <w:rPr/>
              <w:t> </w:t>
            </w:r>
          </w:p>
        </w:tc>
      </w:tr>
      <w:tr>
        <w:trPr/>
        <w:tc>
          <w:tcPr>
            <w:tcW w:w="7067"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Property held for development</w:t>
            </w:r>
          </w:p>
        </w:tc>
        <w:tc>
          <w:tcPr>
            <w:tcW w:w="194" w:type="dxa"/>
            <w:tcBorders/>
            <w:shd w:fill="FFFFFF" w:val="clear"/>
            <w:tcMar>
              <w:bottom w:w="0" w:type="dxa"/>
            </w:tcMar>
            <w:vAlign w:val="center"/>
          </w:tcPr>
          <w:p>
            <w:pPr>
              <w:pStyle w:val="TableContents"/>
              <w:spacing w:before="0" w:after="283"/>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185"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1,598</w:t>
            </w:r>
          </w:p>
        </w:tc>
        <w:tc>
          <w:tcPr>
            <w:tcW w:w="200" w:type="dxa"/>
            <w:tcBorders/>
            <w:shd w:fill="FFFFFF" w:val="clear"/>
            <w:tcMar>
              <w:bottom w:w="0" w:type="dxa"/>
            </w:tcMar>
            <w:vAlign w:val="bottom"/>
          </w:tcPr>
          <w:p>
            <w:pPr>
              <w:pStyle w:val="TableContents"/>
              <w:spacing w:before="0" w:after="283"/>
              <w:jc w:val="left"/>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185"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6,889</w:t>
            </w:r>
          </w:p>
        </w:tc>
        <w:tc>
          <w:tcPr>
            <w:tcW w:w="122" w:type="dxa"/>
            <w:tcBorders/>
            <w:shd w:fill="FFFFFF" w:val="clear"/>
            <w:tcMar>
              <w:bottom w:w="0" w:type="dxa"/>
            </w:tcMar>
            <w:vAlign w:val="bottom"/>
          </w:tcPr>
          <w:p>
            <w:pPr>
              <w:pStyle w:val="TableContents"/>
              <w:spacing w:before="0" w:after="283"/>
              <w:jc w:val="left"/>
              <w:rPr/>
            </w:pPr>
            <w:r>
              <w:rPr/>
              <w:t> </w:t>
            </w:r>
          </w:p>
        </w:tc>
      </w:tr>
      <w:tr>
        <w:trPr/>
        <w:tc>
          <w:tcPr>
            <w:tcW w:w="7067"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Property under development</w:t>
            </w:r>
          </w:p>
        </w:tc>
        <w:tc>
          <w:tcPr>
            <w:tcW w:w="194" w:type="dxa"/>
            <w:tcBorders/>
            <w:shd w:fill="CCEEFF" w:val="clear"/>
            <w:tcMar>
              <w:bottom w:w="0" w:type="dxa"/>
            </w:tcMar>
            <w:vAlign w:val="center"/>
          </w:tcPr>
          <w:p>
            <w:pPr>
              <w:pStyle w:val="TableContents"/>
              <w:spacing w:before="0" w:after="283"/>
              <w:rPr/>
            </w:pPr>
            <w:r>
              <w:rPr/>
              <w:t> </w:t>
            </w:r>
          </w:p>
        </w:tc>
        <w:tc>
          <w:tcPr>
            <w:tcW w:w="126" w:type="dxa"/>
            <w:tcBorders/>
            <w:shd w:fill="CCEEFF" w:val="clear"/>
            <w:tcMar>
              <w:bottom w:w="0" w:type="dxa"/>
            </w:tcMar>
            <w:vAlign w:val="bottom"/>
          </w:tcPr>
          <w:p>
            <w:pPr>
              <w:pStyle w:val="TableContents"/>
              <w:spacing w:before="0" w:after="283"/>
              <w:jc w:val="left"/>
              <w:rPr/>
            </w:pPr>
            <w:r>
              <w:rPr/>
              <w:t> </w:t>
            </w:r>
          </w:p>
        </w:tc>
        <w:tc>
          <w:tcPr>
            <w:tcW w:w="1185"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38,876</w:t>
            </w:r>
          </w:p>
        </w:tc>
        <w:tc>
          <w:tcPr>
            <w:tcW w:w="200" w:type="dxa"/>
            <w:tcBorders/>
            <w:shd w:fill="CCEEFF" w:val="clear"/>
            <w:tcMar>
              <w:bottom w:w="0" w:type="dxa"/>
            </w:tcMar>
            <w:vAlign w:val="bottom"/>
          </w:tcPr>
          <w:p>
            <w:pPr>
              <w:pStyle w:val="TableContents"/>
              <w:spacing w:before="0" w:after="283"/>
              <w:jc w:val="left"/>
              <w:rPr/>
            </w:pPr>
            <w:r>
              <w:rPr/>
              <w:t> </w:t>
            </w:r>
          </w:p>
        </w:tc>
        <w:tc>
          <w:tcPr>
            <w:tcW w:w="126" w:type="dxa"/>
            <w:tcBorders/>
            <w:shd w:fill="CCEEFF" w:val="clear"/>
            <w:tcMar>
              <w:bottom w:w="0" w:type="dxa"/>
            </w:tcMar>
            <w:vAlign w:val="bottom"/>
          </w:tcPr>
          <w:p>
            <w:pPr>
              <w:pStyle w:val="TableContents"/>
              <w:spacing w:before="0" w:after="283"/>
              <w:jc w:val="left"/>
              <w:rPr/>
            </w:pPr>
            <w:r>
              <w:rPr/>
              <w:t> </w:t>
            </w:r>
          </w:p>
        </w:tc>
        <w:tc>
          <w:tcPr>
            <w:tcW w:w="1185"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23,069</w:t>
            </w:r>
          </w:p>
        </w:tc>
        <w:tc>
          <w:tcPr>
            <w:tcW w:w="122" w:type="dxa"/>
            <w:tcBorders/>
            <w:shd w:fill="CCEEFF" w:val="clear"/>
            <w:tcMar>
              <w:bottom w:w="0" w:type="dxa"/>
            </w:tcMar>
            <w:vAlign w:val="bottom"/>
          </w:tcPr>
          <w:p>
            <w:pPr>
              <w:pStyle w:val="TableContents"/>
              <w:spacing w:before="0" w:after="283"/>
              <w:jc w:val="left"/>
              <w:rPr/>
            </w:pPr>
            <w:r>
              <w:rPr/>
              <w:t> </w:t>
            </w:r>
          </w:p>
        </w:tc>
      </w:tr>
      <w:tr>
        <w:trPr/>
        <w:tc>
          <w:tcPr>
            <w:tcW w:w="7067"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Property &amp; equipment, net</w:t>
            </w:r>
          </w:p>
        </w:tc>
        <w:tc>
          <w:tcPr>
            <w:tcW w:w="194" w:type="dxa"/>
            <w:tcBorders/>
            <w:shd w:fill="FFFFFF" w:val="clear"/>
            <w:tcMar>
              <w:bottom w:w="0" w:type="dxa"/>
            </w:tcMar>
            <w:vAlign w:val="center"/>
          </w:tcPr>
          <w:p>
            <w:pPr>
              <w:pStyle w:val="TableContents"/>
              <w:spacing w:before="0" w:after="283"/>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185"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170,667</w:t>
            </w:r>
          </w:p>
        </w:tc>
        <w:tc>
          <w:tcPr>
            <w:tcW w:w="200" w:type="dxa"/>
            <w:tcBorders/>
            <w:shd w:fill="FFFFFF" w:val="clear"/>
            <w:tcMar>
              <w:bottom w:w="0" w:type="dxa"/>
            </w:tcMar>
            <w:vAlign w:val="bottom"/>
          </w:tcPr>
          <w:p>
            <w:pPr>
              <w:pStyle w:val="TableContents"/>
              <w:spacing w:before="0" w:after="283"/>
              <w:jc w:val="left"/>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185"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167,389</w:t>
            </w:r>
          </w:p>
        </w:tc>
        <w:tc>
          <w:tcPr>
            <w:tcW w:w="122" w:type="dxa"/>
            <w:tcBorders/>
            <w:shd w:fill="FFFFFF" w:val="clear"/>
            <w:tcMar>
              <w:bottom w:w="0" w:type="dxa"/>
            </w:tcMar>
            <w:vAlign w:val="bottom"/>
          </w:tcPr>
          <w:p>
            <w:pPr>
              <w:pStyle w:val="TableContents"/>
              <w:spacing w:before="0" w:after="283"/>
              <w:jc w:val="left"/>
              <w:rPr/>
            </w:pPr>
            <w:r>
              <w:rPr/>
              <w:t> </w:t>
            </w:r>
          </w:p>
        </w:tc>
      </w:tr>
      <w:tr>
        <w:trPr/>
        <w:tc>
          <w:tcPr>
            <w:tcW w:w="7067"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Investment in unconsolidated joint ventures and entities</w:t>
            </w:r>
          </w:p>
        </w:tc>
        <w:tc>
          <w:tcPr>
            <w:tcW w:w="194" w:type="dxa"/>
            <w:tcBorders/>
            <w:shd w:fill="CCEEFF" w:val="clear"/>
            <w:tcMar>
              <w:bottom w:w="0" w:type="dxa"/>
            </w:tcMar>
            <w:vAlign w:val="center"/>
          </w:tcPr>
          <w:p>
            <w:pPr>
              <w:pStyle w:val="TableContents"/>
              <w:spacing w:before="0" w:after="283"/>
              <w:rPr/>
            </w:pPr>
            <w:r>
              <w:rPr/>
              <w:t> </w:t>
            </w:r>
          </w:p>
        </w:tc>
        <w:tc>
          <w:tcPr>
            <w:tcW w:w="126" w:type="dxa"/>
            <w:tcBorders/>
            <w:shd w:fill="CCEEFF" w:val="clear"/>
            <w:tcMar>
              <w:bottom w:w="0" w:type="dxa"/>
            </w:tcMar>
            <w:vAlign w:val="bottom"/>
          </w:tcPr>
          <w:p>
            <w:pPr>
              <w:pStyle w:val="TableContents"/>
              <w:spacing w:before="0" w:after="283"/>
              <w:jc w:val="left"/>
              <w:rPr/>
            </w:pPr>
            <w:r>
              <w:rPr/>
              <w:t> </w:t>
            </w:r>
          </w:p>
        </w:tc>
        <w:tc>
          <w:tcPr>
            <w:tcW w:w="1185"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19,067</w:t>
            </w:r>
          </w:p>
        </w:tc>
        <w:tc>
          <w:tcPr>
            <w:tcW w:w="200" w:type="dxa"/>
            <w:tcBorders/>
            <w:shd w:fill="CCEEFF" w:val="clear"/>
            <w:tcMar>
              <w:bottom w:w="0" w:type="dxa"/>
            </w:tcMar>
            <w:vAlign w:val="bottom"/>
          </w:tcPr>
          <w:p>
            <w:pPr>
              <w:pStyle w:val="TableContents"/>
              <w:spacing w:before="0" w:after="283"/>
              <w:jc w:val="left"/>
              <w:rPr/>
            </w:pPr>
            <w:r>
              <w:rPr/>
              <w:t> </w:t>
            </w:r>
          </w:p>
        </w:tc>
        <w:tc>
          <w:tcPr>
            <w:tcW w:w="126" w:type="dxa"/>
            <w:tcBorders/>
            <w:shd w:fill="CCEEFF" w:val="clear"/>
            <w:tcMar>
              <w:bottom w:w="0" w:type="dxa"/>
            </w:tcMar>
            <w:vAlign w:val="bottom"/>
          </w:tcPr>
          <w:p>
            <w:pPr>
              <w:pStyle w:val="TableContents"/>
              <w:spacing w:before="0" w:after="283"/>
              <w:jc w:val="left"/>
              <w:rPr/>
            </w:pPr>
            <w:r>
              <w:rPr/>
              <w:t> </w:t>
            </w:r>
          </w:p>
        </w:tc>
        <w:tc>
          <w:tcPr>
            <w:tcW w:w="1185"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14,025</w:t>
            </w:r>
          </w:p>
        </w:tc>
        <w:tc>
          <w:tcPr>
            <w:tcW w:w="122" w:type="dxa"/>
            <w:tcBorders/>
            <w:shd w:fill="CCEEFF" w:val="clear"/>
            <w:tcMar>
              <w:bottom w:w="0" w:type="dxa"/>
            </w:tcMar>
            <w:vAlign w:val="bottom"/>
          </w:tcPr>
          <w:p>
            <w:pPr>
              <w:pStyle w:val="TableContents"/>
              <w:spacing w:before="0" w:after="283"/>
              <w:jc w:val="left"/>
              <w:rPr/>
            </w:pPr>
            <w:r>
              <w:rPr/>
              <w:t> </w:t>
            </w:r>
          </w:p>
        </w:tc>
      </w:tr>
      <w:tr>
        <w:trPr/>
        <w:tc>
          <w:tcPr>
            <w:tcW w:w="7067"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Capitalized leasing costs</w:t>
            </w:r>
          </w:p>
        </w:tc>
        <w:tc>
          <w:tcPr>
            <w:tcW w:w="194" w:type="dxa"/>
            <w:tcBorders/>
            <w:shd w:fill="FFFFFF" w:val="clear"/>
            <w:tcMar>
              <w:bottom w:w="0" w:type="dxa"/>
            </w:tcMar>
            <w:vAlign w:val="center"/>
          </w:tcPr>
          <w:p>
            <w:pPr>
              <w:pStyle w:val="TableContents"/>
              <w:spacing w:before="0" w:after="283"/>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185"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10</w:t>
            </w:r>
          </w:p>
        </w:tc>
        <w:tc>
          <w:tcPr>
            <w:tcW w:w="200" w:type="dxa"/>
            <w:tcBorders/>
            <w:shd w:fill="FFFFFF" w:val="clear"/>
            <w:tcMar>
              <w:bottom w:w="0" w:type="dxa"/>
            </w:tcMar>
            <w:vAlign w:val="bottom"/>
          </w:tcPr>
          <w:p>
            <w:pPr>
              <w:pStyle w:val="TableContents"/>
              <w:spacing w:before="0" w:after="283"/>
              <w:jc w:val="left"/>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185"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15</w:t>
            </w:r>
          </w:p>
        </w:tc>
        <w:tc>
          <w:tcPr>
            <w:tcW w:w="122" w:type="dxa"/>
            <w:tcBorders/>
            <w:shd w:fill="FFFFFF" w:val="clear"/>
            <w:tcMar>
              <w:bottom w:w="0" w:type="dxa"/>
            </w:tcMar>
            <w:vAlign w:val="bottom"/>
          </w:tcPr>
          <w:p>
            <w:pPr>
              <w:pStyle w:val="TableContents"/>
              <w:spacing w:before="0" w:after="283"/>
              <w:jc w:val="left"/>
              <w:rPr/>
            </w:pPr>
            <w:r>
              <w:rPr/>
              <w:t> </w:t>
            </w:r>
          </w:p>
        </w:tc>
      </w:tr>
      <w:tr>
        <w:trPr/>
        <w:tc>
          <w:tcPr>
            <w:tcW w:w="7067"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Goodwill</w:t>
            </w:r>
          </w:p>
        </w:tc>
        <w:tc>
          <w:tcPr>
            <w:tcW w:w="194" w:type="dxa"/>
            <w:tcBorders/>
            <w:shd w:fill="CCEEFF" w:val="clear"/>
            <w:tcMar>
              <w:bottom w:w="0" w:type="dxa"/>
            </w:tcMar>
            <w:vAlign w:val="center"/>
          </w:tcPr>
          <w:p>
            <w:pPr>
              <w:pStyle w:val="TableContents"/>
              <w:spacing w:before="0" w:after="283"/>
              <w:rPr/>
            </w:pPr>
            <w:r>
              <w:rPr/>
              <w:t> </w:t>
            </w:r>
          </w:p>
        </w:tc>
        <w:tc>
          <w:tcPr>
            <w:tcW w:w="126" w:type="dxa"/>
            <w:tcBorders/>
            <w:shd w:fill="CCEEFF" w:val="clear"/>
            <w:tcMar>
              <w:bottom w:w="0" w:type="dxa"/>
            </w:tcMar>
            <w:vAlign w:val="bottom"/>
          </w:tcPr>
          <w:p>
            <w:pPr>
              <w:pStyle w:val="TableContents"/>
              <w:spacing w:before="0" w:after="283"/>
              <w:jc w:val="left"/>
              <w:rPr/>
            </w:pPr>
            <w:r>
              <w:rPr/>
              <w:t> </w:t>
            </w:r>
          </w:p>
        </w:tc>
        <w:tc>
          <w:tcPr>
            <w:tcW w:w="1185"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17,919</w:t>
            </w:r>
          </w:p>
        </w:tc>
        <w:tc>
          <w:tcPr>
            <w:tcW w:w="200" w:type="dxa"/>
            <w:tcBorders/>
            <w:shd w:fill="CCEEFF" w:val="clear"/>
            <w:tcMar>
              <w:bottom w:w="0" w:type="dxa"/>
            </w:tcMar>
            <w:vAlign w:val="bottom"/>
          </w:tcPr>
          <w:p>
            <w:pPr>
              <w:pStyle w:val="TableContents"/>
              <w:spacing w:before="0" w:after="283"/>
              <w:jc w:val="left"/>
              <w:rPr/>
            </w:pPr>
            <w:r>
              <w:rPr/>
              <w:t> </w:t>
            </w:r>
          </w:p>
        </w:tc>
        <w:tc>
          <w:tcPr>
            <w:tcW w:w="126" w:type="dxa"/>
            <w:tcBorders/>
            <w:shd w:fill="CCEEFF" w:val="clear"/>
            <w:tcMar>
              <w:bottom w:w="0" w:type="dxa"/>
            </w:tcMar>
            <w:vAlign w:val="bottom"/>
          </w:tcPr>
          <w:p>
            <w:pPr>
              <w:pStyle w:val="TableContents"/>
              <w:spacing w:before="0" w:after="283"/>
              <w:jc w:val="left"/>
              <w:rPr/>
            </w:pPr>
            <w:r>
              <w:rPr/>
              <w:t> </w:t>
            </w:r>
          </w:p>
        </w:tc>
        <w:tc>
          <w:tcPr>
            <w:tcW w:w="1185"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14,653</w:t>
            </w:r>
          </w:p>
        </w:tc>
        <w:tc>
          <w:tcPr>
            <w:tcW w:w="122" w:type="dxa"/>
            <w:tcBorders/>
            <w:shd w:fill="CCEEFF" w:val="clear"/>
            <w:tcMar>
              <w:bottom w:w="0" w:type="dxa"/>
            </w:tcMar>
            <w:vAlign w:val="bottom"/>
          </w:tcPr>
          <w:p>
            <w:pPr>
              <w:pStyle w:val="TableContents"/>
              <w:spacing w:before="0" w:after="283"/>
              <w:jc w:val="left"/>
              <w:rPr/>
            </w:pPr>
            <w:r>
              <w:rPr/>
              <w:t> </w:t>
            </w:r>
          </w:p>
        </w:tc>
      </w:tr>
      <w:tr>
        <w:trPr/>
        <w:tc>
          <w:tcPr>
            <w:tcW w:w="7067"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Intangible assets, net</w:t>
            </w:r>
          </w:p>
        </w:tc>
        <w:tc>
          <w:tcPr>
            <w:tcW w:w="194" w:type="dxa"/>
            <w:tcBorders/>
            <w:shd w:fill="FFFFFF" w:val="clear"/>
            <w:tcMar>
              <w:bottom w:w="0" w:type="dxa"/>
            </w:tcMar>
            <w:vAlign w:val="center"/>
          </w:tcPr>
          <w:p>
            <w:pPr>
              <w:pStyle w:val="TableContents"/>
              <w:spacing w:before="0" w:after="283"/>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185"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7,954</w:t>
            </w:r>
          </w:p>
        </w:tc>
        <w:tc>
          <w:tcPr>
            <w:tcW w:w="200" w:type="dxa"/>
            <w:tcBorders/>
            <w:shd w:fill="FFFFFF" w:val="clear"/>
            <w:tcMar>
              <w:bottom w:w="0" w:type="dxa"/>
            </w:tcMar>
            <w:vAlign w:val="bottom"/>
          </w:tcPr>
          <w:p>
            <w:pPr>
              <w:pStyle w:val="TableContents"/>
              <w:spacing w:before="0" w:after="283"/>
              <w:jc w:val="left"/>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185"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8,788</w:t>
            </w:r>
          </w:p>
        </w:tc>
        <w:tc>
          <w:tcPr>
            <w:tcW w:w="122" w:type="dxa"/>
            <w:tcBorders/>
            <w:shd w:fill="FFFFFF" w:val="clear"/>
            <w:tcMar>
              <w:bottom w:w="0" w:type="dxa"/>
            </w:tcMar>
            <w:vAlign w:val="bottom"/>
          </w:tcPr>
          <w:p>
            <w:pPr>
              <w:pStyle w:val="TableContents"/>
              <w:spacing w:before="0" w:after="283"/>
              <w:jc w:val="left"/>
              <w:rPr/>
            </w:pPr>
            <w:r>
              <w:rPr/>
              <w:t> </w:t>
            </w:r>
          </w:p>
        </w:tc>
      </w:tr>
      <w:tr>
        <w:trPr/>
        <w:tc>
          <w:tcPr>
            <w:tcW w:w="7067" w:type="dxa"/>
            <w:tcBorders>
              <w:bottom w:val="sing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Other assets</w:t>
            </w:r>
          </w:p>
        </w:tc>
        <w:tc>
          <w:tcPr>
            <w:tcW w:w="194" w:type="dxa"/>
            <w:tcBorders>
              <w:bottom w:val="single" w:sz="2" w:space="0" w:color="CCEEFF"/>
            </w:tcBorders>
            <w:shd w:fill="CCEEFF" w:val="clear"/>
            <w:vAlign w:val="center"/>
          </w:tcPr>
          <w:p>
            <w:pPr>
              <w:pStyle w:val="TableContents"/>
              <w:spacing w:before="0" w:after="283"/>
              <w:rPr/>
            </w:pPr>
            <w:r>
              <w:rPr/>
              <w:t> </w:t>
            </w:r>
          </w:p>
        </w:tc>
        <w:tc>
          <w:tcPr>
            <w:tcW w:w="126" w:type="dxa"/>
            <w:tcBorders>
              <w:bottom w:val="single" w:sz="2" w:space="0" w:color="000000"/>
            </w:tcBorders>
            <w:shd w:fill="CCEEFF" w:val="clear"/>
            <w:vAlign w:val="bottom"/>
          </w:tcPr>
          <w:p>
            <w:pPr>
              <w:pStyle w:val="TableContents"/>
              <w:spacing w:before="0" w:after="283"/>
              <w:jc w:val="left"/>
              <w:rPr/>
            </w:pPr>
            <w:r>
              <w:rPr/>
              <w:t> </w:t>
            </w:r>
          </w:p>
        </w:tc>
        <w:tc>
          <w:tcPr>
            <w:tcW w:w="1185"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2,849</w:t>
            </w:r>
          </w:p>
        </w:tc>
        <w:tc>
          <w:tcPr>
            <w:tcW w:w="200" w:type="dxa"/>
            <w:tcBorders>
              <w:bottom w:val="single" w:sz="2" w:space="0" w:color="CCEEFF"/>
            </w:tcBorders>
            <w:shd w:fill="CCEEFF" w:val="clear"/>
            <w:vAlign w:val="bottom"/>
          </w:tcPr>
          <w:p>
            <w:pPr>
              <w:pStyle w:val="TableContents"/>
              <w:spacing w:before="0" w:after="283"/>
              <w:jc w:val="left"/>
              <w:rPr/>
            </w:pPr>
            <w:r>
              <w:rPr/>
              <w:t> </w:t>
            </w:r>
          </w:p>
        </w:tc>
        <w:tc>
          <w:tcPr>
            <w:tcW w:w="126" w:type="dxa"/>
            <w:tcBorders>
              <w:bottom w:val="single" w:sz="2" w:space="0" w:color="000000"/>
            </w:tcBorders>
            <w:shd w:fill="CCEEFF" w:val="clear"/>
            <w:vAlign w:val="bottom"/>
          </w:tcPr>
          <w:p>
            <w:pPr>
              <w:pStyle w:val="TableContents"/>
              <w:spacing w:before="0" w:after="283"/>
              <w:jc w:val="left"/>
              <w:rPr/>
            </w:pPr>
            <w:r>
              <w:rPr/>
              <w:t> </w:t>
            </w:r>
          </w:p>
        </w:tc>
        <w:tc>
          <w:tcPr>
            <w:tcW w:w="1185"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2,544</w:t>
            </w:r>
          </w:p>
        </w:tc>
        <w:tc>
          <w:tcPr>
            <w:tcW w:w="122" w:type="dxa"/>
            <w:tcBorders>
              <w:bottom w:val="single" w:sz="2" w:space="0" w:color="CCEEFF"/>
            </w:tcBorders>
            <w:shd w:fill="CCEEFF" w:val="clear"/>
            <w:vAlign w:val="bottom"/>
          </w:tcPr>
          <w:p>
            <w:pPr>
              <w:pStyle w:val="TableContents"/>
              <w:spacing w:before="0" w:after="283"/>
              <w:jc w:val="left"/>
              <w:rPr/>
            </w:pPr>
            <w:r>
              <w:rPr/>
              <w:t> </w:t>
            </w:r>
          </w:p>
        </w:tc>
      </w:tr>
      <w:tr>
        <w:trPr/>
        <w:tc>
          <w:tcPr>
            <w:tcW w:w="7067" w:type="dxa"/>
            <w:tcBorders>
              <w:bottom w:val="double" w:sz="2" w:space="0" w:color="000000"/>
            </w:tcBorders>
            <w:shd w:fill="FFFFFF" w:val="clear"/>
            <w:vAlign w:val="bottom"/>
          </w:tcPr>
          <w:p>
            <w:pPr>
              <w:pStyle w:val="TableContents"/>
              <w:spacing w:lineRule="auto" w:line="300" w:before="0" w:after="0"/>
              <w:ind w:left="0" w:right="0" w:firstLine="1440"/>
              <w:jc w:val="left"/>
              <w:rPr/>
            </w:pPr>
            <w:r>
              <w:rPr>
                <w:rStyle w:val="StrongEmphasis"/>
                <w:rFonts w:ascii="Times New Roman" w:hAnsi="Times New Roman"/>
                <w:sz w:val="20"/>
              </w:rPr>
              <w:t>Total assets</w:t>
            </w:r>
          </w:p>
        </w:tc>
        <w:tc>
          <w:tcPr>
            <w:tcW w:w="194" w:type="dxa"/>
            <w:tcBorders>
              <w:bottom w:val="single" w:sz="4" w:space="0" w:color="FFFFFF"/>
            </w:tcBorders>
            <w:shd w:fill="FFFFFF" w:val="clear"/>
            <w:vAlign w:val="center"/>
          </w:tcPr>
          <w:p>
            <w:pPr>
              <w:pStyle w:val="TableContents"/>
              <w:spacing w:before="0" w:after="283"/>
              <w:rPr/>
            </w:pPr>
            <w:r>
              <w:rPr/>
              <w:t> </w:t>
            </w:r>
          </w:p>
        </w:tc>
        <w:tc>
          <w:tcPr>
            <w:tcW w:w="126" w:type="dxa"/>
            <w:tcBorders>
              <w:bottom w:val="doub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bookmarkStart w:id="2178" w:name="TAB1747"/>
            <w:bookmarkEnd w:id="2178"/>
            <w:r>
              <w:rPr>
                <w:rFonts w:ascii="Times New Roman" w:hAnsi="Times New Roman"/>
                <w:sz w:val="20"/>
              </w:rPr>
              <w:t>$</w:t>
            </w:r>
          </w:p>
        </w:tc>
        <w:tc>
          <w:tcPr>
            <w:tcW w:w="1185"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2179" w:name="TAB1748"/>
            <w:bookmarkEnd w:id="2179"/>
            <w:r>
              <w:rPr>
                <w:rFonts w:ascii="Times New Roman" w:hAnsi="Times New Roman"/>
                <w:sz w:val="20"/>
              </w:rPr>
              <w:t>289,231</w:t>
            </w:r>
          </w:p>
        </w:tc>
        <w:tc>
          <w:tcPr>
            <w:tcW w:w="200" w:type="dxa"/>
            <w:tcBorders>
              <w:bottom w:val="single" w:sz="4" w:space="0" w:color="FFFFFF"/>
            </w:tcBorders>
            <w:shd w:fill="FFFFFF" w:val="clear"/>
            <w:vAlign w:val="bottom"/>
          </w:tcPr>
          <w:p>
            <w:pPr>
              <w:pStyle w:val="TableContents"/>
              <w:spacing w:before="0" w:after="283"/>
              <w:jc w:val="left"/>
              <w:rPr/>
            </w:pPr>
            <w:r>
              <w:rPr/>
              <w:t> </w:t>
            </w:r>
          </w:p>
        </w:tc>
        <w:tc>
          <w:tcPr>
            <w:tcW w:w="126" w:type="dxa"/>
            <w:tcBorders>
              <w:bottom w:val="doub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bookmarkStart w:id="2180" w:name="TAB1749"/>
            <w:bookmarkEnd w:id="2180"/>
            <w:r>
              <w:rPr>
                <w:rFonts w:ascii="Times New Roman" w:hAnsi="Times New Roman"/>
                <w:sz w:val="20"/>
              </w:rPr>
              <w:t>$</w:t>
            </w:r>
          </w:p>
        </w:tc>
        <w:tc>
          <w:tcPr>
            <w:tcW w:w="1185"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2181" w:name="TAB1750"/>
            <w:bookmarkEnd w:id="2181"/>
            <w:r>
              <w:rPr>
                <w:rFonts w:ascii="Times New Roman" w:hAnsi="Times New Roman"/>
                <w:sz w:val="20"/>
              </w:rPr>
              <w:t>253,057</w:t>
            </w:r>
          </w:p>
        </w:tc>
        <w:tc>
          <w:tcPr>
            <w:tcW w:w="122" w:type="dxa"/>
            <w:tcBorders>
              <w:bottom w:val="single" w:sz="4" w:space="0" w:color="FFFFFF"/>
            </w:tcBorders>
            <w:shd w:fill="FFFFFF" w:val="clear"/>
            <w:vAlign w:val="bottom"/>
          </w:tcPr>
          <w:p>
            <w:pPr>
              <w:pStyle w:val="TableContents"/>
              <w:spacing w:before="0" w:after="283"/>
              <w:jc w:val="left"/>
              <w:rPr/>
            </w:pPr>
            <w:r>
              <w:rPr/>
              <w:t> </w:t>
            </w:r>
          </w:p>
        </w:tc>
      </w:tr>
      <w:tr>
        <w:trPr/>
        <w:tc>
          <w:tcPr>
            <w:tcW w:w="7067" w:type="dxa"/>
            <w:tcBorders/>
            <w:shd w:fill="CCEEFF" w:val="clear"/>
            <w:tcMar>
              <w:bottom w:w="0" w:type="dxa"/>
            </w:tcMar>
            <w:vAlign w:val="bottom"/>
          </w:tcPr>
          <w:p>
            <w:pPr>
              <w:pStyle w:val="TableContents"/>
              <w:spacing w:before="0" w:after="283"/>
              <w:jc w:val="left"/>
              <w:rPr/>
            </w:pPr>
            <w:r>
              <w:rPr/>
              <w:t> </w:t>
            </w:r>
          </w:p>
        </w:tc>
        <w:tc>
          <w:tcPr>
            <w:tcW w:w="194" w:type="dxa"/>
            <w:tcBorders/>
            <w:shd w:fill="CCEEFF" w:val="clear"/>
            <w:tcMar>
              <w:bottom w:w="0" w:type="dxa"/>
            </w:tcMar>
            <w:vAlign w:val="center"/>
          </w:tcPr>
          <w:p>
            <w:pPr>
              <w:pStyle w:val="TableContents"/>
              <w:spacing w:before="0" w:after="283"/>
              <w:rPr/>
            </w:pPr>
            <w:r>
              <w:rPr/>
              <w:t> </w:t>
            </w:r>
          </w:p>
        </w:tc>
        <w:tc>
          <w:tcPr>
            <w:tcW w:w="126" w:type="dxa"/>
            <w:tcBorders/>
            <w:shd w:fill="CCEEFF" w:val="clear"/>
            <w:tcMar>
              <w:bottom w:w="0" w:type="dxa"/>
            </w:tcMar>
            <w:vAlign w:val="bottom"/>
          </w:tcPr>
          <w:p>
            <w:pPr>
              <w:pStyle w:val="TableContents"/>
              <w:spacing w:before="0" w:after="283"/>
              <w:jc w:val="left"/>
              <w:rPr/>
            </w:pPr>
            <w:r>
              <w:rPr/>
              <w:t> </w:t>
            </w:r>
          </w:p>
        </w:tc>
        <w:tc>
          <w:tcPr>
            <w:tcW w:w="1185" w:type="dxa"/>
            <w:tcBorders/>
            <w:shd w:fill="CCEEFF" w:val="clear"/>
            <w:tcMar>
              <w:bottom w:w="0" w:type="dxa"/>
            </w:tcMar>
            <w:vAlign w:val="bottom"/>
          </w:tcPr>
          <w:p>
            <w:pPr>
              <w:pStyle w:val="TableContents"/>
              <w:spacing w:before="0" w:after="283"/>
              <w:jc w:val="right"/>
              <w:rPr/>
            </w:pPr>
            <w:r>
              <w:rPr/>
              <w:t> </w:t>
            </w:r>
          </w:p>
        </w:tc>
        <w:tc>
          <w:tcPr>
            <w:tcW w:w="200" w:type="dxa"/>
            <w:tcBorders/>
            <w:shd w:fill="CCEEFF" w:val="clear"/>
            <w:tcMar>
              <w:bottom w:w="0" w:type="dxa"/>
            </w:tcMar>
            <w:vAlign w:val="bottom"/>
          </w:tcPr>
          <w:p>
            <w:pPr>
              <w:pStyle w:val="TableContents"/>
              <w:spacing w:before="0" w:after="283"/>
              <w:jc w:val="left"/>
              <w:rPr/>
            </w:pPr>
            <w:r>
              <w:rPr/>
              <w:t> </w:t>
            </w:r>
          </w:p>
        </w:tc>
        <w:tc>
          <w:tcPr>
            <w:tcW w:w="126" w:type="dxa"/>
            <w:tcBorders/>
            <w:shd w:fill="CCEEFF" w:val="clear"/>
            <w:tcMar>
              <w:bottom w:w="0" w:type="dxa"/>
            </w:tcMar>
            <w:vAlign w:val="bottom"/>
          </w:tcPr>
          <w:p>
            <w:pPr>
              <w:pStyle w:val="TableContents"/>
              <w:spacing w:before="0" w:after="283"/>
              <w:jc w:val="left"/>
              <w:rPr/>
            </w:pPr>
            <w:r>
              <w:rPr/>
              <w:t> </w:t>
            </w:r>
          </w:p>
        </w:tc>
        <w:tc>
          <w:tcPr>
            <w:tcW w:w="1185" w:type="dxa"/>
            <w:tcBorders/>
            <w:shd w:fill="CCEEFF" w:val="clear"/>
            <w:tcMar>
              <w:bottom w:w="0" w:type="dxa"/>
            </w:tcMar>
            <w:vAlign w:val="bottom"/>
          </w:tcPr>
          <w:p>
            <w:pPr>
              <w:pStyle w:val="TableContents"/>
              <w:spacing w:before="0" w:after="283"/>
              <w:jc w:val="right"/>
              <w:rPr/>
            </w:pPr>
            <w:r>
              <w:rPr/>
              <w:t> </w:t>
            </w:r>
          </w:p>
        </w:tc>
        <w:tc>
          <w:tcPr>
            <w:tcW w:w="122" w:type="dxa"/>
            <w:tcBorders/>
            <w:shd w:fill="CCEEFF" w:val="clear"/>
            <w:tcMar>
              <w:bottom w:w="0" w:type="dxa"/>
            </w:tcMar>
            <w:vAlign w:val="bottom"/>
          </w:tcPr>
          <w:p>
            <w:pPr>
              <w:pStyle w:val="TableContents"/>
              <w:spacing w:before="0" w:after="283"/>
              <w:jc w:val="left"/>
              <w:rPr/>
            </w:pPr>
            <w:r>
              <w:rPr/>
              <w:t> </w:t>
            </w:r>
          </w:p>
        </w:tc>
      </w:tr>
      <w:tr>
        <w:trPr/>
        <w:tc>
          <w:tcPr>
            <w:tcW w:w="7067" w:type="dxa"/>
            <w:tcBorders/>
            <w:shd w:fill="FFFFFF" w:val="clear"/>
            <w:tcMar>
              <w:bottom w:w="0" w:type="dxa"/>
            </w:tcMar>
            <w:vAlign w:val="bottom"/>
          </w:tcPr>
          <w:p>
            <w:pPr>
              <w:pStyle w:val="TableContents"/>
              <w:spacing w:lineRule="auto" w:line="300" w:before="0" w:after="0"/>
              <w:ind w:left="0" w:right="0" w:hanging="0"/>
              <w:jc w:val="left"/>
              <w:rPr/>
            </w:pPr>
            <w:r>
              <w:rPr>
                <w:rStyle w:val="StrongEmphasis"/>
                <w:rFonts w:ascii="Times New Roman" w:hAnsi="Times New Roman"/>
                <w:sz w:val="20"/>
              </w:rPr>
              <w:t>LIABILITIES AND STOCKHOLDERS' EQUITY</w:t>
            </w:r>
          </w:p>
        </w:tc>
        <w:tc>
          <w:tcPr>
            <w:tcW w:w="194" w:type="dxa"/>
            <w:tcBorders/>
            <w:shd w:fill="FFFFFF" w:val="clear"/>
            <w:tcMar>
              <w:bottom w:w="0" w:type="dxa"/>
            </w:tcMar>
            <w:vAlign w:val="center"/>
          </w:tcPr>
          <w:p>
            <w:pPr>
              <w:pStyle w:val="TableContents"/>
              <w:spacing w:before="0" w:after="283"/>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185" w:type="dxa"/>
            <w:tcBorders/>
            <w:shd w:fill="FFFFFF" w:val="clear"/>
            <w:tcMar>
              <w:bottom w:w="0" w:type="dxa"/>
            </w:tcMar>
            <w:vAlign w:val="bottom"/>
          </w:tcPr>
          <w:p>
            <w:pPr>
              <w:pStyle w:val="TableContents"/>
              <w:spacing w:before="0" w:after="283"/>
              <w:jc w:val="right"/>
              <w:rPr/>
            </w:pPr>
            <w:r>
              <w:rPr/>
              <w:t> </w:t>
            </w:r>
          </w:p>
        </w:tc>
        <w:tc>
          <w:tcPr>
            <w:tcW w:w="200" w:type="dxa"/>
            <w:tcBorders/>
            <w:shd w:fill="FFFFFF" w:val="clear"/>
            <w:tcMar>
              <w:bottom w:w="0" w:type="dxa"/>
            </w:tcMar>
            <w:vAlign w:val="bottom"/>
          </w:tcPr>
          <w:p>
            <w:pPr>
              <w:pStyle w:val="TableContents"/>
              <w:spacing w:before="0" w:after="283"/>
              <w:jc w:val="left"/>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185" w:type="dxa"/>
            <w:tcBorders/>
            <w:shd w:fill="FFFFFF" w:val="clear"/>
            <w:tcMar>
              <w:bottom w:w="0" w:type="dxa"/>
            </w:tcMar>
            <w:vAlign w:val="bottom"/>
          </w:tcPr>
          <w:p>
            <w:pPr>
              <w:pStyle w:val="TableContents"/>
              <w:spacing w:before="0" w:after="283"/>
              <w:jc w:val="right"/>
              <w:rPr/>
            </w:pPr>
            <w:r>
              <w:rPr/>
              <w:t> </w:t>
            </w:r>
          </w:p>
        </w:tc>
        <w:tc>
          <w:tcPr>
            <w:tcW w:w="122" w:type="dxa"/>
            <w:tcBorders/>
            <w:shd w:fill="FFFFFF" w:val="clear"/>
            <w:tcMar>
              <w:bottom w:w="0" w:type="dxa"/>
            </w:tcMar>
            <w:vAlign w:val="bottom"/>
          </w:tcPr>
          <w:p>
            <w:pPr>
              <w:pStyle w:val="TableContents"/>
              <w:spacing w:before="0" w:after="283"/>
              <w:jc w:val="left"/>
              <w:rPr/>
            </w:pPr>
            <w:r>
              <w:rPr/>
              <w:t> </w:t>
            </w:r>
          </w:p>
        </w:tc>
      </w:tr>
      <w:tr>
        <w:trPr/>
        <w:tc>
          <w:tcPr>
            <w:tcW w:w="7067" w:type="dxa"/>
            <w:tcBorders/>
            <w:shd w:fill="CCEEFF" w:val="clear"/>
            <w:tcMar>
              <w:bottom w:w="0" w:type="dxa"/>
            </w:tcMar>
            <w:vAlign w:val="bottom"/>
          </w:tcPr>
          <w:p>
            <w:pPr>
              <w:pStyle w:val="TableContents"/>
              <w:spacing w:lineRule="auto" w:line="300" w:before="0" w:after="0"/>
              <w:ind w:left="0" w:right="0" w:hanging="0"/>
              <w:jc w:val="left"/>
              <w:rPr/>
            </w:pPr>
            <w:r>
              <w:rPr>
                <w:rStyle w:val="StrongEmphasis"/>
                <w:rFonts w:ascii="Times New Roman" w:hAnsi="Times New Roman"/>
                <w:sz w:val="20"/>
              </w:rPr>
              <w:t>Current Liabilities:</w:t>
            </w:r>
          </w:p>
        </w:tc>
        <w:tc>
          <w:tcPr>
            <w:tcW w:w="194" w:type="dxa"/>
            <w:tcBorders/>
            <w:shd w:fill="CCEEFF" w:val="clear"/>
            <w:tcMar>
              <w:bottom w:w="0" w:type="dxa"/>
            </w:tcMar>
            <w:vAlign w:val="center"/>
          </w:tcPr>
          <w:p>
            <w:pPr>
              <w:pStyle w:val="TableContents"/>
              <w:spacing w:before="0" w:after="283"/>
              <w:rPr/>
            </w:pPr>
            <w:r>
              <w:rPr/>
              <w:t> </w:t>
            </w:r>
          </w:p>
        </w:tc>
        <w:tc>
          <w:tcPr>
            <w:tcW w:w="126" w:type="dxa"/>
            <w:tcBorders/>
            <w:shd w:fill="CCEEFF" w:val="clear"/>
            <w:tcMar>
              <w:bottom w:w="0" w:type="dxa"/>
            </w:tcMar>
            <w:vAlign w:val="bottom"/>
          </w:tcPr>
          <w:p>
            <w:pPr>
              <w:pStyle w:val="TableContents"/>
              <w:spacing w:before="0" w:after="283"/>
              <w:jc w:val="left"/>
              <w:rPr/>
            </w:pPr>
            <w:r>
              <w:rPr/>
              <w:t> </w:t>
            </w:r>
          </w:p>
        </w:tc>
        <w:tc>
          <w:tcPr>
            <w:tcW w:w="1185" w:type="dxa"/>
            <w:tcBorders/>
            <w:shd w:fill="CCEEFF" w:val="clear"/>
            <w:tcMar>
              <w:bottom w:w="0" w:type="dxa"/>
            </w:tcMar>
            <w:vAlign w:val="bottom"/>
          </w:tcPr>
          <w:p>
            <w:pPr>
              <w:pStyle w:val="TableContents"/>
              <w:spacing w:before="0" w:after="283"/>
              <w:jc w:val="right"/>
              <w:rPr/>
            </w:pPr>
            <w:r>
              <w:rPr/>
              <w:t> </w:t>
            </w:r>
          </w:p>
        </w:tc>
        <w:tc>
          <w:tcPr>
            <w:tcW w:w="200" w:type="dxa"/>
            <w:tcBorders/>
            <w:shd w:fill="CCEEFF" w:val="clear"/>
            <w:tcMar>
              <w:bottom w:w="0" w:type="dxa"/>
            </w:tcMar>
            <w:vAlign w:val="bottom"/>
          </w:tcPr>
          <w:p>
            <w:pPr>
              <w:pStyle w:val="TableContents"/>
              <w:spacing w:before="0" w:after="283"/>
              <w:jc w:val="left"/>
              <w:rPr/>
            </w:pPr>
            <w:r>
              <w:rPr/>
              <w:t> </w:t>
            </w:r>
          </w:p>
        </w:tc>
        <w:tc>
          <w:tcPr>
            <w:tcW w:w="126" w:type="dxa"/>
            <w:tcBorders/>
            <w:shd w:fill="CCEEFF" w:val="clear"/>
            <w:tcMar>
              <w:bottom w:w="0" w:type="dxa"/>
            </w:tcMar>
            <w:vAlign w:val="bottom"/>
          </w:tcPr>
          <w:p>
            <w:pPr>
              <w:pStyle w:val="TableContents"/>
              <w:spacing w:before="0" w:after="283"/>
              <w:jc w:val="left"/>
              <w:rPr/>
            </w:pPr>
            <w:r>
              <w:rPr/>
              <w:t> </w:t>
            </w:r>
          </w:p>
        </w:tc>
        <w:tc>
          <w:tcPr>
            <w:tcW w:w="1185" w:type="dxa"/>
            <w:tcBorders/>
            <w:shd w:fill="CCEEFF" w:val="clear"/>
            <w:tcMar>
              <w:bottom w:w="0" w:type="dxa"/>
            </w:tcMar>
            <w:vAlign w:val="bottom"/>
          </w:tcPr>
          <w:p>
            <w:pPr>
              <w:pStyle w:val="TableContents"/>
              <w:spacing w:before="0" w:after="283"/>
              <w:jc w:val="right"/>
              <w:rPr/>
            </w:pPr>
            <w:r>
              <w:rPr/>
              <w:t> </w:t>
            </w:r>
          </w:p>
        </w:tc>
        <w:tc>
          <w:tcPr>
            <w:tcW w:w="122" w:type="dxa"/>
            <w:tcBorders/>
            <w:shd w:fill="CCEEFF" w:val="clear"/>
            <w:tcMar>
              <w:bottom w:w="0" w:type="dxa"/>
            </w:tcMar>
            <w:vAlign w:val="bottom"/>
          </w:tcPr>
          <w:p>
            <w:pPr>
              <w:pStyle w:val="TableContents"/>
              <w:spacing w:before="0" w:after="283"/>
              <w:jc w:val="left"/>
              <w:rPr/>
            </w:pPr>
            <w:r>
              <w:rPr/>
              <w:t> </w:t>
            </w:r>
          </w:p>
        </w:tc>
      </w:tr>
      <w:tr>
        <w:trPr/>
        <w:tc>
          <w:tcPr>
            <w:tcW w:w="7067"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Accounts payable and accrued liabilities</w:t>
            </w:r>
          </w:p>
        </w:tc>
        <w:tc>
          <w:tcPr>
            <w:tcW w:w="194" w:type="dxa"/>
            <w:tcBorders/>
            <w:shd w:fill="FFFFFF" w:val="clear"/>
            <w:tcMar>
              <w:bottom w:w="0" w:type="dxa"/>
            </w:tcMar>
            <w:vAlign w:val="center"/>
          </w:tcPr>
          <w:p>
            <w:pPr>
              <w:pStyle w:val="TableContents"/>
              <w:spacing w:before="0" w:after="283"/>
              <w:rPr/>
            </w:pPr>
            <w:r>
              <w:rPr/>
              <w:t> </w:t>
            </w:r>
          </w:p>
        </w:tc>
        <w:tc>
          <w:tcPr>
            <w:tcW w:w="126"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2182" w:name="TAB1751"/>
            <w:bookmarkEnd w:id="2182"/>
            <w:r>
              <w:rPr>
                <w:rFonts w:ascii="Times New Roman" w:hAnsi="Times New Roman"/>
                <w:sz w:val="20"/>
              </w:rPr>
              <w:t>$</w:t>
            </w:r>
          </w:p>
        </w:tc>
        <w:tc>
          <w:tcPr>
            <w:tcW w:w="1185"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2183" w:name="TAB1752"/>
            <w:bookmarkEnd w:id="2183"/>
            <w:r>
              <w:rPr>
                <w:rFonts w:ascii="Times New Roman" w:hAnsi="Times New Roman"/>
                <w:sz w:val="20"/>
              </w:rPr>
              <w:t>13,539</w:t>
            </w:r>
          </w:p>
        </w:tc>
        <w:tc>
          <w:tcPr>
            <w:tcW w:w="200" w:type="dxa"/>
            <w:tcBorders/>
            <w:shd w:fill="FFFFFF" w:val="clear"/>
            <w:tcMar>
              <w:bottom w:w="0" w:type="dxa"/>
            </w:tcMar>
            <w:vAlign w:val="bottom"/>
          </w:tcPr>
          <w:p>
            <w:pPr>
              <w:pStyle w:val="TableContents"/>
              <w:spacing w:before="0" w:after="283"/>
              <w:jc w:val="left"/>
              <w:rPr/>
            </w:pPr>
            <w:r>
              <w:rPr/>
              <w:t> </w:t>
            </w:r>
          </w:p>
        </w:tc>
        <w:tc>
          <w:tcPr>
            <w:tcW w:w="126"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2184" w:name="TAB1753"/>
            <w:bookmarkEnd w:id="2184"/>
            <w:r>
              <w:rPr>
                <w:rFonts w:ascii="Times New Roman" w:hAnsi="Times New Roman"/>
                <w:sz w:val="20"/>
              </w:rPr>
              <w:t>$</w:t>
            </w:r>
          </w:p>
        </w:tc>
        <w:tc>
          <w:tcPr>
            <w:tcW w:w="1185"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2185" w:name="TAB1754"/>
            <w:bookmarkEnd w:id="2185"/>
            <w:r>
              <w:rPr>
                <w:rFonts w:ascii="Times New Roman" w:hAnsi="Times New Roman"/>
                <w:sz w:val="20"/>
              </w:rPr>
              <w:t>13,538</w:t>
            </w:r>
          </w:p>
        </w:tc>
        <w:tc>
          <w:tcPr>
            <w:tcW w:w="122" w:type="dxa"/>
            <w:tcBorders/>
            <w:shd w:fill="FFFFFF" w:val="clear"/>
            <w:tcMar>
              <w:bottom w:w="0" w:type="dxa"/>
            </w:tcMar>
            <w:vAlign w:val="bottom"/>
          </w:tcPr>
          <w:p>
            <w:pPr>
              <w:pStyle w:val="TableContents"/>
              <w:spacing w:before="0" w:after="283"/>
              <w:jc w:val="left"/>
              <w:rPr/>
            </w:pPr>
            <w:r>
              <w:rPr/>
              <w:t> </w:t>
            </w:r>
          </w:p>
        </w:tc>
      </w:tr>
      <w:tr>
        <w:trPr/>
        <w:tc>
          <w:tcPr>
            <w:tcW w:w="7067"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Film rent payable</w:t>
            </w:r>
          </w:p>
        </w:tc>
        <w:tc>
          <w:tcPr>
            <w:tcW w:w="194" w:type="dxa"/>
            <w:tcBorders/>
            <w:shd w:fill="CCEEFF" w:val="clear"/>
            <w:tcMar>
              <w:bottom w:w="0" w:type="dxa"/>
            </w:tcMar>
            <w:vAlign w:val="center"/>
          </w:tcPr>
          <w:p>
            <w:pPr>
              <w:pStyle w:val="TableContents"/>
              <w:spacing w:before="0" w:after="283"/>
              <w:rPr/>
            </w:pPr>
            <w:r>
              <w:rPr/>
              <w:t> </w:t>
            </w:r>
          </w:p>
        </w:tc>
        <w:tc>
          <w:tcPr>
            <w:tcW w:w="126" w:type="dxa"/>
            <w:tcBorders/>
            <w:shd w:fill="CCEEFF" w:val="clear"/>
            <w:tcMar>
              <w:bottom w:w="0" w:type="dxa"/>
            </w:tcMar>
            <w:vAlign w:val="bottom"/>
          </w:tcPr>
          <w:p>
            <w:pPr>
              <w:pStyle w:val="TableContents"/>
              <w:spacing w:before="0" w:after="283"/>
              <w:jc w:val="left"/>
              <w:rPr/>
            </w:pPr>
            <w:r>
              <w:rPr/>
              <w:t> </w:t>
            </w:r>
          </w:p>
        </w:tc>
        <w:tc>
          <w:tcPr>
            <w:tcW w:w="1185"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4,642</w:t>
            </w:r>
          </w:p>
        </w:tc>
        <w:tc>
          <w:tcPr>
            <w:tcW w:w="200" w:type="dxa"/>
            <w:tcBorders/>
            <w:shd w:fill="CCEEFF" w:val="clear"/>
            <w:tcMar>
              <w:bottom w:w="0" w:type="dxa"/>
            </w:tcMar>
            <w:vAlign w:val="bottom"/>
          </w:tcPr>
          <w:p>
            <w:pPr>
              <w:pStyle w:val="TableContents"/>
              <w:spacing w:before="0" w:after="283"/>
              <w:jc w:val="left"/>
              <w:rPr/>
            </w:pPr>
            <w:r>
              <w:rPr/>
              <w:t> </w:t>
            </w:r>
          </w:p>
        </w:tc>
        <w:tc>
          <w:tcPr>
            <w:tcW w:w="126" w:type="dxa"/>
            <w:tcBorders/>
            <w:shd w:fill="CCEEFF" w:val="clear"/>
            <w:tcMar>
              <w:bottom w:w="0" w:type="dxa"/>
            </w:tcMar>
            <w:vAlign w:val="bottom"/>
          </w:tcPr>
          <w:p>
            <w:pPr>
              <w:pStyle w:val="TableContents"/>
              <w:spacing w:before="0" w:after="283"/>
              <w:jc w:val="left"/>
              <w:rPr/>
            </w:pPr>
            <w:r>
              <w:rPr/>
              <w:t> </w:t>
            </w:r>
          </w:p>
        </w:tc>
        <w:tc>
          <w:tcPr>
            <w:tcW w:w="1185"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4,580</w:t>
            </w:r>
          </w:p>
        </w:tc>
        <w:tc>
          <w:tcPr>
            <w:tcW w:w="122" w:type="dxa"/>
            <w:tcBorders/>
            <w:shd w:fill="CCEEFF" w:val="clear"/>
            <w:tcMar>
              <w:bottom w:w="0" w:type="dxa"/>
            </w:tcMar>
            <w:vAlign w:val="bottom"/>
          </w:tcPr>
          <w:p>
            <w:pPr>
              <w:pStyle w:val="TableContents"/>
              <w:spacing w:before="0" w:after="283"/>
              <w:jc w:val="left"/>
              <w:rPr/>
            </w:pPr>
            <w:r>
              <w:rPr/>
              <w:t> </w:t>
            </w:r>
          </w:p>
        </w:tc>
      </w:tr>
      <w:tr>
        <w:trPr/>
        <w:tc>
          <w:tcPr>
            <w:tcW w:w="7067"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Notes payable - current portion</w:t>
            </w:r>
          </w:p>
        </w:tc>
        <w:tc>
          <w:tcPr>
            <w:tcW w:w="194" w:type="dxa"/>
            <w:tcBorders/>
            <w:shd w:fill="FFFFFF" w:val="clear"/>
            <w:tcMar>
              <w:bottom w:w="0" w:type="dxa"/>
            </w:tcMar>
            <w:vAlign w:val="center"/>
          </w:tcPr>
          <w:p>
            <w:pPr>
              <w:pStyle w:val="TableContents"/>
              <w:spacing w:before="0" w:after="283"/>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185"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2,237</w:t>
            </w:r>
          </w:p>
        </w:tc>
        <w:tc>
          <w:tcPr>
            <w:tcW w:w="200" w:type="dxa"/>
            <w:tcBorders/>
            <w:shd w:fill="FFFFFF" w:val="clear"/>
            <w:tcMar>
              <w:bottom w:w="0" w:type="dxa"/>
            </w:tcMar>
            <w:vAlign w:val="bottom"/>
          </w:tcPr>
          <w:p>
            <w:pPr>
              <w:pStyle w:val="TableContents"/>
              <w:spacing w:before="0" w:after="283"/>
              <w:jc w:val="left"/>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185"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1,776</w:t>
            </w:r>
          </w:p>
        </w:tc>
        <w:tc>
          <w:tcPr>
            <w:tcW w:w="122" w:type="dxa"/>
            <w:tcBorders/>
            <w:shd w:fill="FFFFFF" w:val="clear"/>
            <w:tcMar>
              <w:bottom w:w="0" w:type="dxa"/>
            </w:tcMar>
            <w:vAlign w:val="bottom"/>
          </w:tcPr>
          <w:p>
            <w:pPr>
              <w:pStyle w:val="TableContents"/>
              <w:spacing w:before="0" w:after="283"/>
              <w:jc w:val="left"/>
              <w:rPr/>
            </w:pPr>
            <w:r>
              <w:rPr/>
              <w:t> </w:t>
            </w:r>
          </w:p>
        </w:tc>
      </w:tr>
      <w:tr>
        <w:trPr/>
        <w:tc>
          <w:tcPr>
            <w:tcW w:w="7067"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Note payable to related party - current portion</w:t>
            </w:r>
          </w:p>
        </w:tc>
        <w:tc>
          <w:tcPr>
            <w:tcW w:w="194" w:type="dxa"/>
            <w:tcBorders/>
            <w:shd w:fill="CCEEFF" w:val="clear"/>
            <w:tcMar>
              <w:bottom w:w="0" w:type="dxa"/>
            </w:tcMar>
            <w:vAlign w:val="center"/>
          </w:tcPr>
          <w:p>
            <w:pPr>
              <w:pStyle w:val="TableContents"/>
              <w:spacing w:before="0" w:after="283"/>
              <w:rPr/>
            </w:pPr>
            <w:r>
              <w:rPr/>
              <w:t> </w:t>
            </w:r>
          </w:p>
        </w:tc>
        <w:tc>
          <w:tcPr>
            <w:tcW w:w="126" w:type="dxa"/>
            <w:tcBorders/>
            <w:shd w:fill="CCEEFF" w:val="clear"/>
            <w:tcMar>
              <w:bottom w:w="0" w:type="dxa"/>
            </w:tcMar>
            <w:vAlign w:val="bottom"/>
          </w:tcPr>
          <w:p>
            <w:pPr>
              <w:pStyle w:val="TableContents"/>
              <w:spacing w:before="0" w:after="283"/>
              <w:jc w:val="left"/>
              <w:rPr/>
            </w:pPr>
            <w:r>
              <w:rPr/>
              <w:t> </w:t>
            </w:r>
          </w:p>
        </w:tc>
        <w:tc>
          <w:tcPr>
            <w:tcW w:w="1185"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5,000</w:t>
            </w:r>
          </w:p>
        </w:tc>
        <w:tc>
          <w:tcPr>
            <w:tcW w:w="200" w:type="dxa"/>
            <w:tcBorders/>
            <w:shd w:fill="CCEEFF" w:val="clear"/>
            <w:tcMar>
              <w:bottom w:w="0" w:type="dxa"/>
            </w:tcMar>
            <w:vAlign w:val="bottom"/>
          </w:tcPr>
          <w:p>
            <w:pPr>
              <w:pStyle w:val="TableContents"/>
              <w:spacing w:before="0" w:after="283"/>
              <w:jc w:val="left"/>
              <w:rPr/>
            </w:pPr>
            <w:r>
              <w:rPr/>
              <w:t> </w:t>
            </w:r>
          </w:p>
        </w:tc>
        <w:tc>
          <w:tcPr>
            <w:tcW w:w="126" w:type="dxa"/>
            <w:tcBorders/>
            <w:shd w:fill="CCEEFF" w:val="clear"/>
            <w:tcMar>
              <w:bottom w:w="0" w:type="dxa"/>
            </w:tcMar>
            <w:vAlign w:val="bottom"/>
          </w:tcPr>
          <w:p>
            <w:pPr>
              <w:pStyle w:val="TableContents"/>
              <w:spacing w:before="0" w:after="283"/>
              <w:jc w:val="left"/>
              <w:rPr/>
            </w:pPr>
            <w:r>
              <w:rPr/>
              <w:t> </w:t>
            </w:r>
          </w:p>
        </w:tc>
        <w:tc>
          <w:tcPr>
            <w:tcW w:w="1185"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122" w:type="dxa"/>
            <w:tcBorders/>
            <w:shd w:fill="CCEEFF" w:val="clear"/>
            <w:tcMar>
              <w:bottom w:w="0" w:type="dxa"/>
            </w:tcMar>
            <w:vAlign w:val="bottom"/>
          </w:tcPr>
          <w:p>
            <w:pPr>
              <w:pStyle w:val="TableContents"/>
              <w:spacing w:before="0" w:after="283"/>
              <w:jc w:val="left"/>
              <w:rPr/>
            </w:pPr>
            <w:r>
              <w:rPr/>
              <w:t> </w:t>
            </w:r>
          </w:p>
        </w:tc>
      </w:tr>
      <w:tr>
        <w:trPr/>
        <w:tc>
          <w:tcPr>
            <w:tcW w:w="7067"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Taxes payable</w:t>
            </w:r>
          </w:p>
        </w:tc>
        <w:tc>
          <w:tcPr>
            <w:tcW w:w="194" w:type="dxa"/>
            <w:tcBorders/>
            <w:shd w:fill="FFFFFF" w:val="clear"/>
            <w:tcMar>
              <w:bottom w:w="0" w:type="dxa"/>
            </w:tcMar>
            <w:vAlign w:val="center"/>
          </w:tcPr>
          <w:p>
            <w:pPr>
              <w:pStyle w:val="TableContents"/>
              <w:spacing w:before="0" w:after="283"/>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185"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9,128</w:t>
            </w:r>
          </w:p>
        </w:tc>
        <w:tc>
          <w:tcPr>
            <w:tcW w:w="200" w:type="dxa"/>
            <w:tcBorders/>
            <w:shd w:fill="FFFFFF" w:val="clear"/>
            <w:tcMar>
              <w:bottom w:w="0" w:type="dxa"/>
            </w:tcMar>
            <w:vAlign w:val="bottom"/>
          </w:tcPr>
          <w:p>
            <w:pPr>
              <w:pStyle w:val="TableContents"/>
              <w:spacing w:before="0" w:after="283"/>
              <w:jc w:val="left"/>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185"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7,504</w:t>
            </w:r>
          </w:p>
        </w:tc>
        <w:tc>
          <w:tcPr>
            <w:tcW w:w="122" w:type="dxa"/>
            <w:tcBorders/>
            <w:shd w:fill="FFFFFF" w:val="clear"/>
            <w:tcMar>
              <w:bottom w:w="0" w:type="dxa"/>
            </w:tcMar>
            <w:vAlign w:val="bottom"/>
          </w:tcPr>
          <w:p>
            <w:pPr>
              <w:pStyle w:val="TableContents"/>
              <w:spacing w:before="0" w:after="283"/>
              <w:jc w:val="left"/>
              <w:rPr/>
            </w:pPr>
            <w:r>
              <w:rPr/>
              <w:t> </w:t>
            </w:r>
          </w:p>
        </w:tc>
      </w:tr>
      <w:tr>
        <w:trPr/>
        <w:tc>
          <w:tcPr>
            <w:tcW w:w="7067"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Deferred current revenue</w:t>
            </w:r>
          </w:p>
        </w:tc>
        <w:tc>
          <w:tcPr>
            <w:tcW w:w="194" w:type="dxa"/>
            <w:tcBorders/>
            <w:shd w:fill="CCEEFF" w:val="clear"/>
            <w:tcMar>
              <w:bottom w:w="0" w:type="dxa"/>
            </w:tcMar>
            <w:vAlign w:val="center"/>
          </w:tcPr>
          <w:p>
            <w:pPr>
              <w:pStyle w:val="TableContents"/>
              <w:spacing w:before="0" w:after="283"/>
              <w:rPr/>
            </w:pPr>
            <w:r>
              <w:rPr/>
              <w:t> </w:t>
            </w:r>
          </w:p>
        </w:tc>
        <w:tc>
          <w:tcPr>
            <w:tcW w:w="126" w:type="dxa"/>
            <w:tcBorders/>
            <w:shd w:fill="CCEEFF" w:val="clear"/>
            <w:tcMar>
              <w:bottom w:w="0" w:type="dxa"/>
            </w:tcMar>
            <w:vAlign w:val="bottom"/>
          </w:tcPr>
          <w:p>
            <w:pPr>
              <w:pStyle w:val="TableContents"/>
              <w:spacing w:before="0" w:after="283"/>
              <w:jc w:val="left"/>
              <w:rPr/>
            </w:pPr>
            <w:r>
              <w:rPr/>
              <w:t> </w:t>
            </w:r>
          </w:p>
        </w:tc>
        <w:tc>
          <w:tcPr>
            <w:tcW w:w="1185"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2,565</w:t>
            </w:r>
          </w:p>
        </w:tc>
        <w:tc>
          <w:tcPr>
            <w:tcW w:w="200" w:type="dxa"/>
            <w:tcBorders/>
            <w:shd w:fill="CCEEFF" w:val="clear"/>
            <w:tcMar>
              <w:bottom w:w="0" w:type="dxa"/>
            </w:tcMar>
            <w:vAlign w:val="bottom"/>
          </w:tcPr>
          <w:p>
            <w:pPr>
              <w:pStyle w:val="TableContents"/>
              <w:spacing w:before="0" w:after="283"/>
              <w:jc w:val="left"/>
              <w:rPr/>
            </w:pPr>
            <w:r>
              <w:rPr/>
              <w:t> </w:t>
            </w:r>
          </w:p>
        </w:tc>
        <w:tc>
          <w:tcPr>
            <w:tcW w:w="126" w:type="dxa"/>
            <w:tcBorders/>
            <w:shd w:fill="CCEEFF" w:val="clear"/>
            <w:tcMar>
              <w:bottom w:w="0" w:type="dxa"/>
            </w:tcMar>
            <w:vAlign w:val="bottom"/>
          </w:tcPr>
          <w:p>
            <w:pPr>
              <w:pStyle w:val="TableContents"/>
              <w:spacing w:before="0" w:after="283"/>
              <w:jc w:val="left"/>
              <w:rPr/>
            </w:pPr>
            <w:r>
              <w:rPr/>
              <w:t> </w:t>
            </w:r>
          </w:p>
        </w:tc>
        <w:tc>
          <w:tcPr>
            <w:tcW w:w="1185"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2,319</w:t>
            </w:r>
          </w:p>
        </w:tc>
        <w:tc>
          <w:tcPr>
            <w:tcW w:w="122" w:type="dxa"/>
            <w:tcBorders/>
            <w:shd w:fill="CCEEFF" w:val="clear"/>
            <w:tcMar>
              <w:bottom w:w="0" w:type="dxa"/>
            </w:tcMar>
            <w:vAlign w:val="bottom"/>
          </w:tcPr>
          <w:p>
            <w:pPr>
              <w:pStyle w:val="TableContents"/>
              <w:spacing w:before="0" w:after="283"/>
              <w:jc w:val="left"/>
              <w:rPr/>
            </w:pPr>
            <w:r>
              <w:rPr/>
              <w:t> </w:t>
            </w:r>
          </w:p>
        </w:tc>
      </w:tr>
      <w:tr>
        <w:trPr/>
        <w:tc>
          <w:tcPr>
            <w:tcW w:w="7067" w:type="dxa"/>
            <w:tcBorders>
              <w:bottom w:val="sing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Other current liabilities</w:t>
            </w:r>
          </w:p>
        </w:tc>
        <w:tc>
          <w:tcPr>
            <w:tcW w:w="194" w:type="dxa"/>
            <w:tcBorders>
              <w:bottom w:val="single" w:sz="2" w:space="0" w:color="FFFFFF"/>
            </w:tcBorders>
            <w:shd w:fill="FFFFFF" w:val="clear"/>
            <w:vAlign w:val="center"/>
          </w:tcPr>
          <w:p>
            <w:pPr>
              <w:pStyle w:val="TableContents"/>
              <w:spacing w:before="0" w:after="283"/>
              <w:rPr/>
            </w:pPr>
            <w:r>
              <w:rPr/>
              <w:t> </w:t>
            </w:r>
          </w:p>
        </w:tc>
        <w:tc>
          <w:tcPr>
            <w:tcW w:w="126" w:type="dxa"/>
            <w:tcBorders>
              <w:bottom w:val="single" w:sz="2" w:space="0" w:color="000000"/>
            </w:tcBorders>
            <w:shd w:fill="FFFFFF" w:val="clear"/>
            <w:vAlign w:val="bottom"/>
          </w:tcPr>
          <w:p>
            <w:pPr>
              <w:pStyle w:val="TableContents"/>
              <w:spacing w:before="0" w:after="283"/>
              <w:jc w:val="left"/>
              <w:rPr/>
            </w:pPr>
            <w:r>
              <w:rPr/>
              <w:t> </w:t>
            </w:r>
          </w:p>
        </w:tc>
        <w:tc>
          <w:tcPr>
            <w:tcW w:w="1185"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177</w:t>
            </w:r>
          </w:p>
        </w:tc>
        <w:tc>
          <w:tcPr>
            <w:tcW w:w="200" w:type="dxa"/>
            <w:tcBorders>
              <w:bottom w:val="single" w:sz="2" w:space="0" w:color="FFFFFF"/>
            </w:tcBorders>
            <w:shd w:fill="FFFFFF" w:val="clear"/>
            <w:vAlign w:val="bottom"/>
          </w:tcPr>
          <w:p>
            <w:pPr>
              <w:pStyle w:val="TableContents"/>
              <w:spacing w:before="0" w:after="283"/>
              <w:jc w:val="left"/>
              <w:rPr/>
            </w:pPr>
            <w:r>
              <w:rPr/>
              <w:t> </w:t>
            </w:r>
          </w:p>
        </w:tc>
        <w:tc>
          <w:tcPr>
            <w:tcW w:w="126" w:type="dxa"/>
            <w:tcBorders>
              <w:bottom w:val="single" w:sz="2" w:space="0" w:color="000000"/>
            </w:tcBorders>
            <w:shd w:fill="FFFFFF" w:val="clear"/>
            <w:vAlign w:val="bottom"/>
          </w:tcPr>
          <w:p>
            <w:pPr>
              <w:pStyle w:val="TableContents"/>
              <w:spacing w:before="0" w:after="283"/>
              <w:jc w:val="left"/>
              <w:rPr/>
            </w:pPr>
            <w:r>
              <w:rPr/>
              <w:t> </w:t>
            </w:r>
          </w:p>
        </w:tc>
        <w:tc>
          <w:tcPr>
            <w:tcW w:w="1185"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250</w:t>
            </w:r>
          </w:p>
        </w:tc>
        <w:tc>
          <w:tcPr>
            <w:tcW w:w="122" w:type="dxa"/>
            <w:tcBorders>
              <w:bottom w:val="single" w:sz="2" w:space="0" w:color="FFFFFF"/>
            </w:tcBorders>
            <w:shd w:fill="FFFFFF" w:val="clear"/>
            <w:vAlign w:val="bottom"/>
          </w:tcPr>
          <w:p>
            <w:pPr>
              <w:pStyle w:val="TableContents"/>
              <w:spacing w:before="0" w:after="283"/>
              <w:jc w:val="left"/>
              <w:rPr/>
            </w:pPr>
            <w:r>
              <w:rPr/>
              <w:t> </w:t>
            </w:r>
          </w:p>
        </w:tc>
      </w:tr>
      <w:tr>
        <w:trPr/>
        <w:tc>
          <w:tcPr>
            <w:tcW w:w="7067" w:type="dxa"/>
            <w:tcBorders/>
            <w:shd w:fill="CCEEFF" w:val="clear"/>
            <w:tcMar>
              <w:bottom w:w="0" w:type="dxa"/>
            </w:tcMar>
            <w:vAlign w:val="bottom"/>
          </w:tcPr>
          <w:p>
            <w:pPr>
              <w:pStyle w:val="TableContents"/>
              <w:spacing w:lineRule="auto" w:line="300" w:before="0" w:after="0"/>
              <w:ind w:left="0" w:right="0" w:firstLine="360"/>
              <w:jc w:val="left"/>
              <w:rPr/>
            </w:pPr>
            <w:r>
              <w:rPr>
                <w:rStyle w:val="StrongEmphasis"/>
                <w:rFonts w:ascii="Times New Roman" w:hAnsi="Times New Roman"/>
                <w:sz w:val="20"/>
              </w:rPr>
              <w:t>Total current liabilities</w:t>
            </w:r>
          </w:p>
        </w:tc>
        <w:tc>
          <w:tcPr>
            <w:tcW w:w="194" w:type="dxa"/>
            <w:tcBorders/>
            <w:shd w:fill="CCEEFF" w:val="clear"/>
            <w:tcMar>
              <w:bottom w:w="0" w:type="dxa"/>
            </w:tcMar>
            <w:vAlign w:val="center"/>
          </w:tcPr>
          <w:p>
            <w:pPr>
              <w:pStyle w:val="TableContents"/>
              <w:spacing w:before="0" w:after="283"/>
              <w:rPr/>
            </w:pPr>
            <w:r>
              <w:rPr/>
              <w:t> </w:t>
            </w:r>
          </w:p>
        </w:tc>
        <w:tc>
          <w:tcPr>
            <w:tcW w:w="126" w:type="dxa"/>
            <w:tcBorders/>
            <w:shd w:fill="CCEEFF" w:val="clear"/>
            <w:tcMar>
              <w:bottom w:w="0" w:type="dxa"/>
            </w:tcMar>
            <w:vAlign w:val="bottom"/>
          </w:tcPr>
          <w:p>
            <w:pPr>
              <w:pStyle w:val="TableContents"/>
              <w:spacing w:before="0" w:after="283"/>
              <w:jc w:val="left"/>
              <w:rPr/>
            </w:pPr>
            <w:r>
              <w:rPr/>
              <w:t> </w:t>
            </w:r>
          </w:p>
        </w:tc>
        <w:tc>
          <w:tcPr>
            <w:tcW w:w="1185"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37,288</w:t>
            </w:r>
          </w:p>
        </w:tc>
        <w:tc>
          <w:tcPr>
            <w:tcW w:w="200" w:type="dxa"/>
            <w:tcBorders/>
            <w:shd w:fill="CCEEFF" w:val="clear"/>
            <w:tcMar>
              <w:bottom w:w="0" w:type="dxa"/>
            </w:tcMar>
            <w:vAlign w:val="bottom"/>
          </w:tcPr>
          <w:p>
            <w:pPr>
              <w:pStyle w:val="TableContents"/>
              <w:spacing w:before="0" w:after="283"/>
              <w:jc w:val="left"/>
              <w:rPr/>
            </w:pPr>
            <w:r>
              <w:rPr/>
              <w:t> </w:t>
            </w:r>
          </w:p>
        </w:tc>
        <w:tc>
          <w:tcPr>
            <w:tcW w:w="126" w:type="dxa"/>
            <w:tcBorders/>
            <w:shd w:fill="CCEEFF" w:val="clear"/>
            <w:tcMar>
              <w:bottom w:w="0" w:type="dxa"/>
            </w:tcMar>
            <w:vAlign w:val="bottom"/>
          </w:tcPr>
          <w:p>
            <w:pPr>
              <w:pStyle w:val="TableContents"/>
              <w:spacing w:before="0" w:after="283"/>
              <w:jc w:val="left"/>
              <w:rPr/>
            </w:pPr>
            <w:r>
              <w:rPr/>
              <w:t> </w:t>
            </w:r>
          </w:p>
        </w:tc>
        <w:tc>
          <w:tcPr>
            <w:tcW w:w="1185"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29,967</w:t>
            </w:r>
          </w:p>
        </w:tc>
        <w:tc>
          <w:tcPr>
            <w:tcW w:w="122" w:type="dxa"/>
            <w:tcBorders/>
            <w:shd w:fill="CCEEFF" w:val="clear"/>
            <w:tcMar>
              <w:bottom w:w="0" w:type="dxa"/>
            </w:tcMar>
            <w:vAlign w:val="bottom"/>
          </w:tcPr>
          <w:p>
            <w:pPr>
              <w:pStyle w:val="TableContents"/>
              <w:spacing w:before="0" w:after="283"/>
              <w:jc w:val="left"/>
              <w:rPr/>
            </w:pPr>
            <w:r>
              <w:rPr/>
              <w:t> </w:t>
            </w:r>
          </w:p>
        </w:tc>
      </w:tr>
      <w:tr>
        <w:trPr/>
        <w:tc>
          <w:tcPr>
            <w:tcW w:w="7067"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Notes payable - long-term portion</w:t>
            </w:r>
          </w:p>
        </w:tc>
        <w:tc>
          <w:tcPr>
            <w:tcW w:w="194" w:type="dxa"/>
            <w:tcBorders/>
            <w:shd w:fill="FFFFFF" w:val="clear"/>
            <w:tcMar>
              <w:bottom w:w="0" w:type="dxa"/>
            </w:tcMar>
            <w:vAlign w:val="center"/>
          </w:tcPr>
          <w:p>
            <w:pPr>
              <w:pStyle w:val="TableContents"/>
              <w:spacing w:before="0" w:after="283"/>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185"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113,975</w:t>
            </w:r>
          </w:p>
        </w:tc>
        <w:tc>
          <w:tcPr>
            <w:tcW w:w="200" w:type="dxa"/>
            <w:tcBorders/>
            <w:shd w:fill="FFFFFF" w:val="clear"/>
            <w:tcMar>
              <w:bottom w:w="0" w:type="dxa"/>
            </w:tcMar>
            <w:vAlign w:val="bottom"/>
          </w:tcPr>
          <w:p>
            <w:pPr>
              <w:pStyle w:val="TableContents"/>
              <w:spacing w:before="0" w:after="283"/>
              <w:jc w:val="left"/>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185"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93,544</w:t>
            </w:r>
          </w:p>
        </w:tc>
        <w:tc>
          <w:tcPr>
            <w:tcW w:w="122" w:type="dxa"/>
            <w:tcBorders/>
            <w:shd w:fill="FFFFFF" w:val="clear"/>
            <w:tcMar>
              <w:bottom w:w="0" w:type="dxa"/>
            </w:tcMar>
            <w:vAlign w:val="bottom"/>
          </w:tcPr>
          <w:p>
            <w:pPr>
              <w:pStyle w:val="TableContents"/>
              <w:spacing w:before="0" w:after="283"/>
              <w:jc w:val="left"/>
              <w:rPr/>
            </w:pPr>
            <w:r>
              <w:rPr/>
              <w:t> </w:t>
            </w:r>
          </w:p>
        </w:tc>
      </w:tr>
      <w:tr>
        <w:trPr/>
        <w:tc>
          <w:tcPr>
            <w:tcW w:w="7067"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Notes payable to related party - long-term portion</w:t>
            </w:r>
          </w:p>
        </w:tc>
        <w:tc>
          <w:tcPr>
            <w:tcW w:w="194" w:type="dxa"/>
            <w:tcBorders/>
            <w:shd w:fill="CCEEFF" w:val="clear"/>
            <w:tcMar>
              <w:bottom w:w="0" w:type="dxa"/>
            </w:tcMar>
            <w:vAlign w:val="center"/>
          </w:tcPr>
          <w:p>
            <w:pPr>
              <w:pStyle w:val="TableContents"/>
              <w:spacing w:before="0" w:after="283"/>
              <w:rPr/>
            </w:pPr>
            <w:r>
              <w:rPr/>
              <w:t> </w:t>
            </w:r>
          </w:p>
        </w:tc>
        <w:tc>
          <w:tcPr>
            <w:tcW w:w="126" w:type="dxa"/>
            <w:tcBorders/>
            <w:shd w:fill="CCEEFF" w:val="clear"/>
            <w:tcMar>
              <w:bottom w:w="0" w:type="dxa"/>
            </w:tcMar>
            <w:vAlign w:val="bottom"/>
          </w:tcPr>
          <w:p>
            <w:pPr>
              <w:pStyle w:val="TableContents"/>
              <w:spacing w:before="0" w:after="283"/>
              <w:jc w:val="left"/>
              <w:rPr/>
            </w:pPr>
            <w:r>
              <w:rPr/>
              <w:t> </w:t>
            </w:r>
          </w:p>
        </w:tc>
        <w:tc>
          <w:tcPr>
            <w:tcW w:w="1185"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9,000</w:t>
            </w:r>
          </w:p>
        </w:tc>
        <w:tc>
          <w:tcPr>
            <w:tcW w:w="200" w:type="dxa"/>
            <w:tcBorders/>
            <w:shd w:fill="CCEEFF" w:val="clear"/>
            <w:tcMar>
              <w:bottom w:w="0" w:type="dxa"/>
            </w:tcMar>
            <w:vAlign w:val="bottom"/>
          </w:tcPr>
          <w:p>
            <w:pPr>
              <w:pStyle w:val="TableContents"/>
              <w:spacing w:before="0" w:after="283"/>
              <w:jc w:val="left"/>
              <w:rPr/>
            </w:pPr>
            <w:r>
              <w:rPr/>
              <w:t> </w:t>
            </w:r>
          </w:p>
        </w:tc>
        <w:tc>
          <w:tcPr>
            <w:tcW w:w="126" w:type="dxa"/>
            <w:tcBorders/>
            <w:shd w:fill="CCEEFF" w:val="clear"/>
            <w:tcMar>
              <w:bottom w:w="0" w:type="dxa"/>
            </w:tcMar>
            <w:vAlign w:val="bottom"/>
          </w:tcPr>
          <w:p>
            <w:pPr>
              <w:pStyle w:val="TableContents"/>
              <w:spacing w:before="0" w:after="283"/>
              <w:jc w:val="left"/>
              <w:rPr/>
            </w:pPr>
            <w:r>
              <w:rPr/>
              <w:t> </w:t>
            </w:r>
          </w:p>
        </w:tc>
        <w:tc>
          <w:tcPr>
            <w:tcW w:w="1185"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14,000</w:t>
            </w:r>
          </w:p>
        </w:tc>
        <w:tc>
          <w:tcPr>
            <w:tcW w:w="122" w:type="dxa"/>
            <w:tcBorders/>
            <w:shd w:fill="CCEEFF" w:val="clear"/>
            <w:tcMar>
              <w:bottom w:w="0" w:type="dxa"/>
            </w:tcMar>
            <w:vAlign w:val="bottom"/>
          </w:tcPr>
          <w:p>
            <w:pPr>
              <w:pStyle w:val="TableContents"/>
              <w:spacing w:before="0" w:after="283"/>
              <w:jc w:val="left"/>
              <w:rPr/>
            </w:pPr>
            <w:r>
              <w:rPr/>
              <w:t> </w:t>
            </w:r>
          </w:p>
        </w:tc>
      </w:tr>
      <w:tr>
        <w:trPr/>
        <w:tc>
          <w:tcPr>
            <w:tcW w:w="7067"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Deferred non-current revenue</w:t>
            </w:r>
          </w:p>
        </w:tc>
        <w:tc>
          <w:tcPr>
            <w:tcW w:w="194" w:type="dxa"/>
            <w:tcBorders/>
            <w:shd w:fill="FFFFFF" w:val="clear"/>
            <w:tcMar>
              <w:bottom w:w="0" w:type="dxa"/>
            </w:tcMar>
            <w:vAlign w:val="center"/>
          </w:tcPr>
          <w:p>
            <w:pPr>
              <w:pStyle w:val="TableContents"/>
              <w:spacing w:before="0" w:after="283"/>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185"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528</w:t>
            </w:r>
          </w:p>
        </w:tc>
        <w:tc>
          <w:tcPr>
            <w:tcW w:w="200" w:type="dxa"/>
            <w:tcBorders/>
            <w:shd w:fill="FFFFFF" w:val="clear"/>
            <w:tcMar>
              <w:bottom w:w="0" w:type="dxa"/>
            </w:tcMar>
            <w:vAlign w:val="bottom"/>
          </w:tcPr>
          <w:p>
            <w:pPr>
              <w:pStyle w:val="TableContents"/>
              <w:spacing w:before="0" w:after="283"/>
              <w:jc w:val="left"/>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185"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554</w:t>
            </w:r>
          </w:p>
        </w:tc>
        <w:tc>
          <w:tcPr>
            <w:tcW w:w="122" w:type="dxa"/>
            <w:tcBorders/>
            <w:shd w:fill="FFFFFF" w:val="clear"/>
            <w:tcMar>
              <w:bottom w:w="0" w:type="dxa"/>
            </w:tcMar>
            <w:vAlign w:val="bottom"/>
          </w:tcPr>
          <w:p>
            <w:pPr>
              <w:pStyle w:val="TableContents"/>
              <w:spacing w:before="0" w:after="283"/>
              <w:jc w:val="left"/>
              <w:rPr/>
            </w:pPr>
            <w:r>
              <w:rPr/>
              <w:t> </w:t>
            </w:r>
          </w:p>
        </w:tc>
      </w:tr>
      <w:tr>
        <w:trPr/>
        <w:tc>
          <w:tcPr>
            <w:tcW w:w="7067" w:type="dxa"/>
            <w:tcBorders>
              <w:bottom w:val="sing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Other liabilities</w:t>
            </w:r>
          </w:p>
        </w:tc>
        <w:tc>
          <w:tcPr>
            <w:tcW w:w="194" w:type="dxa"/>
            <w:tcBorders>
              <w:bottom w:val="single" w:sz="2" w:space="0" w:color="CCEEFF"/>
            </w:tcBorders>
            <w:shd w:fill="CCEEFF" w:val="clear"/>
            <w:vAlign w:val="center"/>
          </w:tcPr>
          <w:p>
            <w:pPr>
              <w:pStyle w:val="TableContents"/>
              <w:spacing w:before="0" w:after="283"/>
              <w:rPr/>
            </w:pPr>
            <w:r>
              <w:rPr/>
              <w:t> </w:t>
            </w:r>
          </w:p>
        </w:tc>
        <w:tc>
          <w:tcPr>
            <w:tcW w:w="126" w:type="dxa"/>
            <w:tcBorders>
              <w:bottom w:val="single" w:sz="2" w:space="0" w:color="000000"/>
            </w:tcBorders>
            <w:shd w:fill="CCEEFF" w:val="clear"/>
            <w:vAlign w:val="bottom"/>
          </w:tcPr>
          <w:p>
            <w:pPr>
              <w:pStyle w:val="TableContents"/>
              <w:spacing w:before="0" w:after="283"/>
              <w:jc w:val="left"/>
              <w:rPr/>
            </w:pPr>
            <w:r>
              <w:rPr/>
              <w:t> </w:t>
            </w:r>
          </w:p>
        </w:tc>
        <w:tc>
          <w:tcPr>
            <w:tcW w:w="1185"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18,178</w:t>
            </w:r>
          </w:p>
        </w:tc>
        <w:tc>
          <w:tcPr>
            <w:tcW w:w="200" w:type="dxa"/>
            <w:tcBorders>
              <w:bottom w:val="single" w:sz="2" w:space="0" w:color="CCEEFF"/>
            </w:tcBorders>
            <w:shd w:fill="CCEEFF" w:val="clear"/>
            <w:vAlign w:val="bottom"/>
          </w:tcPr>
          <w:p>
            <w:pPr>
              <w:pStyle w:val="TableContents"/>
              <w:spacing w:before="0" w:after="283"/>
              <w:jc w:val="left"/>
              <w:rPr/>
            </w:pPr>
            <w:r>
              <w:rPr/>
              <w:t> </w:t>
            </w:r>
          </w:p>
        </w:tc>
        <w:tc>
          <w:tcPr>
            <w:tcW w:w="126" w:type="dxa"/>
            <w:tcBorders>
              <w:bottom w:val="single" w:sz="2" w:space="0" w:color="000000"/>
            </w:tcBorders>
            <w:shd w:fill="CCEEFF" w:val="clear"/>
            <w:vAlign w:val="bottom"/>
          </w:tcPr>
          <w:p>
            <w:pPr>
              <w:pStyle w:val="TableContents"/>
              <w:spacing w:before="0" w:after="283"/>
              <w:jc w:val="left"/>
              <w:rPr/>
            </w:pPr>
            <w:r>
              <w:rPr/>
              <w:t> </w:t>
            </w:r>
          </w:p>
        </w:tc>
        <w:tc>
          <w:tcPr>
            <w:tcW w:w="1185"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12,509</w:t>
            </w:r>
          </w:p>
        </w:tc>
        <w:tc>
          <w:tcPr>
            <w:tcW w:w="122" w:type="dxa"/>
            <w:tcBorders>
              <w:bottom w:val="single" w:sz="2" w:space="0" w:color="CCEEFF"/>
            </w:tcBorders>
            <w:shd w:fill="CCEEFF" w:val="clear"/>
            <w:vAlign w:val="bottom"/>
          </w:tcPr>
          <w:p>
            <w:pPr>
              <w:pStyle w:val="TableContents"/>
              <w:spacing w:before="0" w:after="283"/>
              <w:jc w:val="left"/>
              <w:rPr/>
            </w:pPr>
            <w:r>
              <w:rPr/>
              <w:t> </w:t>
            </w:r>
          </w:p>
        </w:tc>
      </w:tr>
      <w:tr>
        <w:trPr/>
        <w:tc>
          <w:tcPr>
            <w:tcW w:w="7067" w:type="dxa"/>
            <w:tcBorders>
              <w:bottom w:val="single" w:sz="2" w:space="0" w:color="000000"/>
            </w:tcBorders>
            <w:shd w:fill="FFFFFF" w:val="clear"/>
            <w:vAlign w:val="bottom"/>
          </w:tcPr>
          <w:p>
            <w:pPr>
              <w:pStyle w:val="TableContents"/>
              <w:spacing w:lineRule="auto" w:line="300" w:before="0" w:after="0"/>
              <w:ind w:left="0" w:right="0" w:firstLine="720"/>
              <w:jc w:val="left"/>
              <w:rPr/>
            </w:pPr>
            <w:r>
              <w:rPr>
                <w:rStyle w:val="StrongEmphasis"/>
                <w:rFonts w:ascii="Times New Roman" w:hAnsi="Times New Roman"/>
                <w:sz w:val="20"/>
              </w:rPr>
              <w:t>Total liabilities</w:t>
            </w:r>
          </w:p>
        </w:tc>
        <w:tc>
          <w:tcPr>
            <w:tcW w:w="194" w:type="dxa"/>
            <w:tcBorders>
              <w:bottom w:val="single" w:sz="2" w:space="0" w:color="FFFFFF"/>
            </w:tcBorders>
            <w:shd w:fill="FFFFFF" w:val="clear"/>
            <w:vAlign w:val="center"/>
          </w:tcPr>
          <w:p>
            <w:pPr>
              <w:pStyle w:val="TableContents"/>
              <w:spacing w:before="0" w:after="283"/>
              <w:rPr/>
            </w:pPr>
            <w:r>
              <w:rPr/>
              <w:t> </w:t>
            </w:r>
          </w:p>
        </w:tc>
        <w:tc>
          <w:tcPr>
            <w:tcW w:w="126" w:type="dxa"/>
            <w:tcBorders>
              <w:bottom w:val="single" w:sz="2" w:space="0" w:color="000000"/>
            </w:tcBorders>
            <w:shd w:fill="FFFFFF" w:val="clear"/>
            <w:vAlign w:val="bottom"/>
          </w:tcPr>
          <w:p>
            <w:pPr>
              <w:pStyle w:val="TableContents"/>
              <w:spacing w:before="0" w:after="283"/>
              <w:jc w:val="left"/>
              <w:rPr/>
            </w:pPr>
            <w:r>
              <w:rPr/>
              <w:t> </w:t>
            </w:r>
          </w:p>
        </w:tc>
        <w:tc>
          <w:tcPr>
            <w:tcW w:w="1185"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2186" w:name="TAB1755"/>
            <w:bookmarkEnd w:id="2186"/>
            <w:r>
              <w:rPr>
                <w:rFonts w:ascii="Times New Roman" w:hAnsi="Times New Roman"/>
                <w:sz w:val="20"/>
              </w:rPr>
              <w:t>178,969</w:t>
            </w:r>
          </w:p>
        </w:tc>
        <w:tc>
          <w:tcPr>
            <w:tcW w:w="200" w:type="dxa"/>
            <w:tcBorders>
              <w:bottom w:val="single" w:sz="2" w:space="0" w:color="FFFFFF"/>
            </w:tcBorders>
            <w:shd w:fill="FFFFFF" w:val="clear"/>
            <w:vAlign w:val="bottom"/>
          </w:tcPr>
          <w:p>
            <w:pPr>
              <w:pStyle w:val="TableContents"/>
              <w:spacing w:before="0" w:after="283"/>
              <w:jc w:val="left"/>
              <w:rPr/>
            </w:pPr>
            <w:r>
              <w:rPr/>
              <w:t> </w:t>
            </w:r>
          </w:p>
        </w:tc>
        <w:tc>
          <w:tcPr>
            <w:tcW w:w="126" w:type="dxa"/>
            <w:tcBorders>
              <w:bottom w:val="single" w:sz="2" w:space="0" w:color="000000"/>
            </w:tcBorders>
            <w:shd w:fill="FFFFFF" w:val="clear"/>
            <w:vAlign w:val="bottom"/>
          </w:tcPr>
          <w:p>
            <w:pPr>
              <w:pStyle w:val="TableContents"/>
              <w:spacing w:before="0" w:after="283"/>
              <w:jc w:val="left"/>
              <w:rPr/>
            </w:pPr>
            <w:r>
              <w:rPr/>
              <w:t> </w:t>
            </w:r>
          </w:p>
        </w:tc>
        <w:tc>
          <w:tcPr>
            <w:tcW w:w="1185"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2187" w:name="TAB1756"/>
            <w:bookmarkEnd w:id="2187"/>
            <w:r>
              <w:rPr>
                <w:rFonts w:ascii="Times New Roman" w:hAnsi="Times New Roman"/>
                <w:sz w:val="20"/>
              </w:rPr>
              <w:t>150,574</w:t>
            </w:r>
          </w:p>
        </w:tc>
        <w:tc>
          <w:tcPr>
            <w:tcW w:w="122" w:type="dxa"/>
            <w:tcBorders>
              <w:bottom w:val="single" w:sz="2" w:space="0" w:color="FFFFFF"/>
            </w:tcBorders>
            <w:shd w:fill="FFFFFF" w:val="clear"/>
            <w:vAlign w:val="bottom"/>
          </w:tcPr>
          <w:p>
            <w:pPr>
              <w:pStyle w:val="TableContents"/>
              <w:spacing w:before="0" w:after="283"/>
              <w:jc w:val="left"/>
              <w:rPr/>
            </w:pPr>
            <w:r>
              <w:rPr/>
              <w:t> </w:t>
            </w:r>
          </w:p>
        </w:tc>
      </w:tr>
      <w:tr>
        <w:trPr/>
        <w:tc>
          <w:tcPr>
            <w:tcW w:w="7067" w:type="dxa"/>
            <w:tcBorders/>
            <w:shd w:fill="CCEEFF" w:val="clear"/>
            <w:tcMar>
              <w:bottom w:w="0" w:type="dxa"/>
            </w:tcMar>
            <w:vAlign w:val="bottom"/>
          </w:tcPr>
          <w:p>
            <w:pPr>
              <w:pStyle w:val="TableContents"/>
              <w:spacing w:lineRule="auto" w:line="300" w:before="0" w:after="0"/>
              <w:ind w:left="0" w:right="0" w:hanging="0"/>
              <w:jc w:val="left"/>
              <w:rPr/>
            </w:pPr>
            <w:r>
              <w:rPr>
                <w:rStyle w:val="StrongEmphasis"/>
                <w:rFonts w:ascii="Times New Roman" w:hAnsi="Times New Roman"/>
                <w:sz w:val="20"/>
              </w:rPr>
              <w:t>Commitments and contingencies (Note 18)</w:t>
            </w:r>
          </w:p>
        </w:tc>
        <w:tc>
          <w:tcPr>
            <w:tcW w:w="194" w:type="dxa"/>
            <w:tcBorders/>
            <w:shd w:fill="CCEEFF" w:val="clear"/>
            <w:tcMar>
              <w:bottom w:w="0" w:type="dxa"/>
            </w:tcMar>
            <w:vAlign w:val="center"/>
          </w:tcPr>
          <w:p>
            <w:pPr>
              <w:pStyle w:val="TableContents"/>
              <w:spacing w:before="0" w:after="283"/>
              <w:rPr/>
            </w:pPr>
            <w:r>
              <w:rPr/>
              <w:t> </w:t>
            </w:r>
          </w:p>
        </w:tc>
        <w:tc>
          <w:tcPr>
            <w:tcW w:w="126" w:type="dxa"/>
            <w:tcBorders/>
            <w:shd w:fill="CCEEFF" w:val="clear"/>
            <w:tcMar>
              <w:bottom w:w="0" w:type="dxa"/>
            </w:tcMar>
            <w:vAlign w:val="bottom"/>
          </w:tcPr>
          <w:p>
            <w:pPr>
              <w:pStyle w:val="TableContents"/>
              <w:spacing w:before="0" w:after="283"/>
              <w:jc w:val="left"/>
              <w:rPr/>
            </w:pPr>
            <w:r>
              <w:rPr/>
              <w:t> </w:t>
            </w:r>
          </w:p>
        </w:tc>
        <w:tc>
          <w:tcPr>
            <w:tcW w:w="1185" w:type="dxa"/>
            <w:tcBorders/>
            <w:shd w:fill="CCEEFF" w:val="clear"/>
            <w:tcMar>
              <w:bottom w:w="0" w:type="dxa"/>
            </w:tcMar>
            <w:vAlign w:val="bottom"/>
          </w:tcPr>
          <w:p>
            <w:pPr>
              <w:pStyle w:val="TableContents"/>
              <w:spacing w:before="0" w:after="283"/>
              <w:jc w:val="right"/>
              <w:rPr/>
            </w:pPr>
            <w:r>
              <w:rPr/>
              <w:t> </w:t>
            </w:r>
          </w:p>
        </w:tc>
        <w:tc>
          <w:tcPr>
            <w:tcW w:w="200" w:type="dxa"/>
            <w:tcBorders/>
            <w:shd w:fill="CCEEFF" w:val="clear"/>
            <w:tcMar>
              <w:bottom w:w="0" w:type="dxa"/>
            </w:tcMar>
            <w:vAlign w:val="bottom"/>
          </w:tcPr>
          <w:p>
            <w:pPr>
              <w:pStyle w:val="TableContents"/>
              <w:spacing w:before="0" w:after="283"/>
              <w:jc w:val="left"/>
              <w:rPr/>
            </w:pPr>
            <w:r>
              <w:rPr/>
              <w:t> </w:t>
            </w:r>
          </w:p>
        </w:tc>
        <w:tc>
          <w:tcPr>
            <w:tcW w:w="126" w:type="dxa"/>
            <w:tcBorders/>
            <w:shd w:fill="CCEEFF" w:val="clear"/>
            <w:tcMar>
              <w:bottom w:w="0" w:type="dxa"/>
            </w:tcMar>
            <w:vAlign w:val="bottom"/>
          </w:tcPr>
          <w:p>
            <w:pPr>
              <w:pStyle w:val="TableContents"/>
              <w:spacing w:before="0" w:after="283"/>
              <w:jc w:val="left"/>
              <w:rPr/>
            </w:pPr>
            <w:r>
              <w:rPr/>
              <w:t> </w:t>
            </w:r>
          </w:p>
        </w:tc>
        <w:tc>
          <w:tcPr>
            <w:tcW w:w="1185" w:type="dxa"/>
            <w:tcBorders/>
            <w:shd w:fill="CCEEFF" w:val="clear"/>
            <w:tcMar>
              <w:bottom w:w="0" w:type="dxa"/>
            </w:tcMar>
            <w:vAlign w:val="bottom"/>
          </w:tcPr>
          <w:p>
            <w:pPr>
              <w:pStyle w:val="TableContents"/>
              <w:spacing w:before="0" w:after="283"/>
              <w:jc w:val="right"/>
              <w:rPr/>
            </w:pPr>
            <w:r>
              <w:rPr/>
              <w:t> </w:t>
            </w:r>
          </w:p>
        </w:tc>
        <w:tc>
          <w:tcPr>
            <w:tcW w:w="122" w:type="dxa"/>
            <w:tcBorders/>
            <w:shd w:fill="CCEEFF" w:val="clear"/>
            <w:tcMar>
              <w:bottom w:w="0" w:type="dxa"/>
            </w:tcMar>
            <w:vAlign w:val="bottom"/>
          </w:tcPr>
          <w:p>
            <w:pPr>
              <w:pStyle w:val="TableContents"/>
              <w:spacing w:before="0" w:after="283"/>
              <w:jc w:val="left"/>
              <w:rPr/>
            </w:pPr>
            <w:r>
              <w:rPr/>
              <w:t> </w:t>
            </w:r>
          </w:p>
        </w:tc>
      </w:tr>
      <w:tr>
        <w:trPr/>
        <w:tc>
          <w:tcPr>
            <w:tcW w:w="7067" w:type="dxa"/>
            <w:tcBorders/>
            <w:shd w:fill="FFFFFF" w:val="clear"/>
            <w:tcMar>
              <w:bottom w:w="0" w:type="dxa"/>
            </w:tcMar>
            <w:vAlign w:val="bottom"/>
          </w:tcPr>
          <w:p>
            <w:pPr>
              <w:pStyle w:val="TableContents"/>
              <w:spacing w:lineRule="auto" w:line="300" w:before="0" w:after="0"/>
              <w:ind w:left="0" w:right="0" w:hanging="0"/>
              <w:jc w:val="left"/>
              <w:rPr/>
            </w:pPr>
            <w:r>
              <w:rPr>
                <w:rStyle w:val="StrongEmphasis"/>
                <w:rFonts w:ascii="Times New Roman" w:hAnsi="Times New Roman"/>
                <w:sz w:val="20"/>
              </w:rPr>
              <w:t>Minority interest in consolidated affiliates</w:t>
            </w:r>
          </w:p>
        </w:tc>
        <w:tc>
          <w:tcPr>
            <w:tcW w:w="194" w:type="dxa"/>
            <w:tcBorders/>
            <w:shd w:fill="FFFFFF" w:val="clear"/>
            <w:tcMar>
              <w:bottom w:w="0" w:type="dxa"/>
            </w:tcMar>
            <w:vAlign w:val="center"/>
          </w:tcPr>
          <w:p>
            <w:pPr>
              <w:pStyle w:val="TableContents"/>
              <w:spacing w:before="0" w:after="283"/>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185"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2,603</w:t>
            </w:r>
          </w:p>
        </w:tc>
        <w:tc>
          <w:tcPr>
            <w:tcW w:w="200" w:type="dxa"/>
            <w:tcBorders/>
            <w:shd w:fill="FFFFFF" w:val="clear"/>
            <w:tcMar>
              <w:bottom w:w="0" w:type="dxa"/>
            </w:tcMar>
            <w:vAlign w:val="bottom"/>
          </w:tcPr>
          <w:p>
            <w:pPr>
              <w:pStyle w:val="TableContents"/>
              <w:spacing w:before="0" w:after="283"/>
              <w:jc w:val="left"/>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185"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3,079</w:t>
            </w:r>
          </w:p>
        </w:tc>
        <w:tc>
          <w:tcPr>
            <w:tcW w:w="122" w:type="dxa"/>
            <w:tcBorders/>
            <w:shd w:fill="FFFFFF" w:val="clear"/>
            <w:tcMar>
              <w:bottom w:w="0" w:type="dxa"/>
            </w:tcMar>
            <w:vAlign w:val="bottom"/>
          </w:tcPr>
          <w:p>
            <w:pPr>
              <w:pStyle w:val="TableContents"/>
              <w:spacing w:before="0" w:after="283"/>
              <w:jc w:val="left"/>
              <w:rPr/>
            </w:pPr>
            <w:r>
              <w:rPr/>
              <w:t> </w:t>
            </w:r>
          </w:p>
        </w:tc>
      </w:tr>
      <w:tr>
        <w:trPr/>
        <w:tc>
          <w:tcPr>
            <w:tcW w:w="7067" w:type="dxa"/>
            <w:tcBorders/>
            <w:shd w:fill="CCEEFF" w:val="clear"/>
            <w:tcMar>
              <w:bottom w:w="0" w:type="dxa"/>
            </w:tcMar>
            <w:vAlign w:val="bottom"/>
          </w:tcPr>
          <w:p>
            <w:pPr>
              <w:pStyle w:val="TableContents"/>
              <w:spacing w:lineRule="auto" w:line="300" w:before="0" w:after="0"/>
              <w:ind w:left="0" w:right="0" w:hanging="0"/>
              <w:jc w:val="left"/>
              <w:rPr/>
            </w:pPr>
            <w:r>
              <w:rPr>
                <w:rStyle w:val="StrongEmphasis"/>
                <w:rFonts w:ascii="Times New Roman" w:hAnsi="Times New Roman"/>
                <w:sz w:val="20"/>
              </w:rPr>
              <w:t>Stockholders' equity:</w:t>
            </w:r>
          </w:p>
        </w:tc>
        <w:tc>
          <w:tcPr>
            <w:tcW w:w="194" w:type="dxa"/>
            <w:tcBorders/>
            <w:shd w:fill="CCEEFF" w:val="clear"/>
            <w:tcMar>
              <w:bottom w:w="0" w:type="dxa"/>
            </w:tcMar>
            <w:vAlign w:val="center"/>
          </w:tcPr>
          <w:p>
            <w:pPr>
              <w:pStyle w:val="TableContents"/>
              <w:spacing w:before="0" w:after="283"/>
              <w:rPr/>
            </w:pPr>
            <w:r>
              <w:rPr/>
              <w:t> </w:t>
            </w:r>
          </w:p>
        </w:tc>
        <w:tc>
          <w:tcPr>
            <w:tcW w:w="126" w:type="dxa"/>
            <w:tcBorders/>
            <w:shd w:fill="CCEEFF" w:val="clear"/>
            <w:tcMar>
              <w:bottom w:w="0" w:type="dxa"/>
            </w:tcMar>
            <w:vAlign w:val="bottom"/>
          </w:tcPr>
          <w:p>
            <w:pPr>
              <w:pStyle w:val="TableContents"/>
              <w:spacing w:before="0" w:after="283"/>
              <w:jc w:val="left"/>
              <w:rPr/>
            </w:pPr>
            <w:r>
              <w:rPr/>
              <w:t> </w:t>
            </w:r>
          </w:p>
        </w:tc>
        <w:tc>
          <w:tcPr>
            <w:tcW w:w="1185" w:type="dxa"/>
            <w:tcBorders/>
            <w:shd w:fill="CCEEFF" w:val="clear"/>
            <w:tcMar>
              <w:bottom w:w="0" w:type="dxa"/>
            </w:tcMar>
            <w:vAlign w:val="bottom"/>
          </w:tcPr>
          <w:p>
            <w:pPr>
              <w:pStyle w:val="TableContents"/>
              <w:spacing w:before="0" w:after="283"/>
              <w:jc w:val="right"/>
              <w:rPr/>
            </w:pPr>
            <w:r>
              <w:rPr/>
              <w:t> </w:t>
            </w:r>
          </w:p>
        </w:tc>
        <w:tc>
          <w:tcPr>
            <w:tcW w:w="200" w:type="dxa"/>
            <w:tcBorders/>
            <w:shd w:fill="CCEEFF" w:val="clear"/>
            <w:tcMar>
              <w:bottom w:w="0" w:type="dxa"/>
            </w:tcMar>
            <w:vAlign w:val="bottom"/>
          </w:tcPr>
          <w:p>
            <w:pPr>
              <w:pStyle w:val="TableContents"/>
              <w:spacing w:before="0" w:after="283"/>
              <w:jc w:val="left"/>
              <w:rPr/>
            </w:pPr>
            <w:r>
              <w:rPr/>
              <w:t> </w:t>
            </w:r>
          </w:p>
        </w:tc>
        <w:tc>
          <w:tcPr>
            <w:tcW w:w="126" w:type="dxa"/>
            <w:tcBorders/>
            <w:shd w:fill="CCEEFF" w:val="clear"/>
            <w:tcMar>
              <w:bottom w:w="0" w:type="dxa"/>
            </w:tcMar>
            <w:vAlign w:val="bottom"/>
          </w:tcPr>
          <w:p>
            <w:pPr>
              <w:pStyle w:val="TableContents"/>
              <w:spacing w:before="0" w:after="283"/>
              <w:jc w:val="left"/>
              <w:rPr/>
            </w:pPr>
            <w:r>
              <w:rPr/>
              <w:t> </w:t>
            </w:r>
          </w:p>
        </w:tc>
        <w:tc>
          <w:tcPr>
            <w:tcW w:w="1185" w:type="dxa"/>
            <w:tcBorders/>
            <w:shd w:fill="CCEEFF" w:val="clear"/>
            <w:tcMar>
              <w:bottom w:w="0" w:type="dxa"/>
            </w:tcMar>
            <w:vAlign w:val="bottom"/>
          </w:tcPr>
          <w:p>
            <w:pPr>
              <w:pStyle w:val="TableContents"/>
              <w:spacing w:before="0" w:after="283"/>
              <w:jc w:val="right"/>
              <w:rPr/>
            </w:pPr>
            <w:r>
              <w:rPr/>
              <w:t> </w:t>
            </w:r>
          </w:p>
        </w:tc>
        <w:tc>
          <w:tcPr>
            <w:tcW w:w="122" w:type="dxa"/>
            <w:tcBorders/>
            <w:shd w:fill="CCEEFF" w:val="clear"/>
            <w:tcMar>
              <w:bottom w:w="0" w:type="dxa"/>
            </w:tcMar>
            <w:vAlign w:val="bottom"/>
          </w:tcPr>
          <w:p>
            <w:pPr>
              <w:pStyle w:val="TableContents"/>
              <w:spacing w:before="0" w:after="283"/>
              <w:jc w:val="left"/>
              <w:rPr/>
            </w:pPr>
            <w:r>
              <w:rPr/>
              <w:t> </w:t>
            </w:r>
          </w:p>
        </w:tc>
      </w:tr>
      <w:tr>
        <w:trPr/>
        <w:tc>
          <w:tcPr>
            <w:tcW w:w="7067" w:type="dxa"/>
            <w:tcBorders/>
            <w:shd w:fill="FFFFFF" w:val="clear"/>
            <w:tcMar>
              <w:bottom w:w="0" w:type="dxa"/>
            </w:tcMar>
            <w:vAlign w:val="bottom"/>
          </w:tcPr>
          <w:p>
            <w:pPr>
              <w:pStyle w:val="TableContents"/>
              <w:spacing w:lineRule="auto" w:line="300" w:before="0" w:after="0"/>
              <w:ind w:left="180" w:right="0" w:hanging="180"/>
              <w:jc w:val="left"/>
              <w:rPr>
                <w:rFonts w:ascii="Times New Roman" w:hAnsi="Times New Roman"/>
                <w:sz w:val="20"/>
              </w:rPr>
            </w:pPr>
            <w:r>
              <w:rPr>
                <w:rFonts w:ascii="Times New Roman" w:hAnsi="Times New Roman"/>
                <w:sz w:val="20"/>
              </w:rPr>
              <w:t>Class A Nonvoting Common Stock, par value $0.01, 100,000,000 shares authorized, 35,558,089 issued and 20,980,865 outstanding at December 31, 2006 and 35,468,733 issued and 20,990,458 outstanding at December 31, 2005</w:t>
            </w:r>
          </w:p>
        </w:tc>
        <w:tc>
          <w:tcPr>
            <w:tcW w:w="194" w:type="dxa"/>
            <w:tcBorders/>
            <w:shd w:fill="FFFFFF" w:val="clear"/>
            <w:tcMar>
              <w:bottom w:w="0" w:type="dxa"/>
            </w:tcMar>
            <w:vAlign w:val="center"/>
          </w:tcPr>
          <w:p>
            <w:pPr>
              <w:pStyle w:val="TableContents"/>
              <w:spacing w:before="0" w:after="283"/>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185"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216</w:t>
            </w:r>
          </w:p>
        </w:tc>
        <w:tc>
          <w:tcPr>
            <w:tcW w:w="200" w:type="dxa"/>
            <w:tcBorders/>
            <w:shd w:fill="FFFFFF" w:val="clear"/>
            <w:tcMar>
              <w:bottom w:w="0" w:type="dxa"/>
            </w:tcMar>
            <w:vAlign w:val="bottom"/>
          </w:tcPr>
          <w:p>
            <w:pPr>
              <w:pStyle w:val="TableContents"/>
              <w:spacing w:before="0" w:after="283"/>
              <w:jc w:val="left"/>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185"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215</w:t>
            </w:r>
          </w:p>
        </w:tc>
        <w:tc>
          <w:tcPr>
            <w:tcW w:w="122" w:type="dxa"/>
            <w:tcBorders/>
            <w:shd w:fill="FFFFFF" w:val="clear"/>
            <w:tcMar>
              <w:bottom w:w="0" w:type="dxa"/>
            </w:tcMar>
            <w:vAlign w:val="bottom"/>
          </w:tcPr>
          <w:p>
            <w:pPr>
              <w:pStyle w:val="TableContents"/>
              <w:spacing w:before="0" w:after="283"/>
              <w:jc w:val="left"/>
              <w:rPr/>
            </w:pPr>
            <w:r>
              <w:rPr/>
              <w:t> </w:t>
            </w:r>
          </w:p>
        </w:tc>
      </w:tr>
      <w:tr>
        <w:trPr/>
        <w:tc>
          <w:tcPr>
            <w:tcW w:w="7067" w:type="dxa"/>
            <w:tcBorders/>
            <w:shd w:fill="CCEEFF" w:val="clear"/>
            <w:tcMar>
              <w:bottom w:w="0" w:type="dxa"/>
            </w:tcMar>
            <w:vAlign w:val="bottom"/>
          </w:tcPr>
          <w:p>
            <w:pPr>
              <w:pStyle w:val="TableContents"/>
              <w:spacing w:lineRule="auto" w:line="300" w:before="0" w:after="0"/>
              <w:ind w:left="180" w:right="0" w:hanging="180"/>
              <w:jc w:val="left"/>
              <w:rPr>
                <w:rFonts w:ascii="Times New Roman" w:hAnsi="Times New Roman"/>
                <w:sz w:val="20"/>
              </w:rPr>
            </w:pPr>
            <w:r>
              <w:rPr>
                <w:rFonts w:ascii="Times New Roman" w:hAnsi="Times New Roman"/>
                <w:sz w:val="20"/>
              </w:rPr>
              <w:t>Class B Voting Common Stock, par value $0.01, 20,000,000 shares authorized and 1,495,490 issued and outstanding at December 31, 2006 and at December 31, 2005</w:t>
            </w:r>
          </w:p>
        </w:tc>
        <w:tc>
          <w:tcPr>
            <w:tcW w:w="194" w:type="dxa"/>
            <w:tcBorders/>
            <w:shd w:fill="CCEEFF" w:val="clear"/>
            <w:tcMar>
              <w:bottom w:w="0" w:type="dxa"/>
            </w:tcMar>
            <w:vAlign w:val="center"/>
          </w:tcPr>
          <w:p>
            <w:pPr>
              <w:pStyle w:val="TableContents"/>
              <w:spacing w:before="0" w:after="283"/>
              <w:rPr/>
            </w:pPr>
            <w:r>
              <w:rPr/>
              <w:t> </w:t>
            </w:r>
          </w:p>
        </w:tc>
        <w:tc>
          <w:tcPr>
            <w:tcW w:w="126" w:type="dxa"/>
            <w:tcBorders/>
            <w:shd w:fill="CCEEFF" w:val="clear"/>
            <w:tcMar>
              <w:bottom w:w="0" w:type="dxa"/>
            </w:tcMar>
            <w:vAlign w:val="bottom"/>
          </w:tcPr>
          <w:p>
            <w:pPr>
              <w:pStyle w:val="TableContents"/>
              <w:spacing w:before="0" w:after="283"/>
              <w:jc w:val="left"/>
              <w:rPr/>
            </w:pPr>
            <w:r>
              <w:rPr/>
              <w:t> </w:t>
            </w:r>
          </w:p>
        </w:tc>
        <w:tc>
          <w:tcPr>
            <w:tcW w:w="1185"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15</w:t>
            </w:r>
          </w:p>
        </w:tc>
        <w:tc>
          <w:tcPr>
            <w:tcW w:w="200" w:type="dxa"/>
            <w:tcBorders/>
            <w:shd w:fill="CCEEFF" w:val="clear"/>
            <w:tcMar>
              <w:bottom w:w="0" w:type="dxa"/>
            </w:tcMar>
            <w:vAlign w:val="bottom"/>
          </w:tcPr>
          <w:p>
            <w:pPr>
              <w:pStyle w:val="TableContents"/>
              <w:spacing w:before="0" w:after="283"/>
              <w:jc w:val="left"/>
              <w:rPr/>
            </w:pPr>
            <w:r>
              <w:rPr/>
              <w:t> </w:t>
            </w:r>
          </w:p>
        </w:tc>
        <w:tc>
          <w:tcPr>
            <w:tcW w:w="126" w:type="dxa"/>
            <w:tcBorders/>
            <w:shd w:fill="CCEEFF" w:val="clear"/>
            <w:tcMar>
              <w:bottom w:w="0" w:type="dxa"/>
            </w:tcMar>
            <w:vAlign w:val="bottom"/>
          </w:tcPr>
          <w:p>
            <w:pPr>
              <w:pStyle w:val="TableContents"/>
              <w:spacing w:before="0" w:after="283"/>
              <w:jc w:val="left"/>
              <w:rPr/>
            </w:pPr>
            <w:r>
              <w:rPr/>
              <w:t> </w:t>
            </w:r>
          </w:p>
        </w:tc>
        <w:tc>
          <w:tcPr>
            <w:tcW w:w="1185"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15</w:t>
            </w:r>
          </w:p>
        </w:tc>
        <w:tc>
          <w:tcPr>
            <w:tcW w:w="122" w:type="dxa"/>
            <w:tcBorders/>
            <w:shd w:fill="CCEEFF" w:val="clear"/>
            <w:tcMar>
              <w:bottom w:w="0" w:type="dxa"/>
            </w:tcMar>
            <w:vAlign w:val="bottom"/>
          </w:tcPr>
          <w:p>
            <w:pPr>
              <w:pStyle w:val="TableContents"/>
              <w:spacing w:before="0" w:after="283"/>
              <w:jc w:val="left"/>
              <w:rPr/>
            </w:pPr>
            <w:r>
              <w:rPr/>
              <w:t> </w:t>
            </w:r>
          </w:p>
        </w:tc>
      </w:tr>
      <w:tr>
        <w:trPr/>
        <w:tc>
          <w:tcPr>
            <w:tcW w:w="7067" w:type="dxa"/>
            <w:tcBorders/>
            <w:shd w:fill="FFFFFF" w:val="clear"/>
            <w:tcMar>
              <w:bottom w:w="0" w:type="dxa"/>
            </w:tcMar>
            <w:vAlign w:val="bottom"/>
          </w:tcPr>
          <w:p>
            <w:pPr>
              <w:pStyle w:val="TableContents"/>
              <w:spacing w:lineRule="auto" w:line="300" w:before="0" w:after="0"/>
              <w:ind w:left="180" w:right="0" w:hanging="180"/>
              <w:jc w:val="left"/>
              <w:rPr>
                <w:rFonts w:ascii="Times New Roman" w:hAnsi="Times New Roman"/>
                <w:sz w:val="20"/>
              </w:rPr>
            </w:pPr>
            <w:r>
              <w:rPr>
                <w:rFonts w:ascii="Times New Roman" w:hAnsi="Times New Roman"/>
                <w:sz w:val="20"/>
              </w:rPr>
              <w:t>Nonvoting Preferred Stock, par value $0.01, 12,000 shares authorized and no outstanding shares at December 31, 2006 and 2005</w:t>
            </w:r>
          </w:p>
        </w:tc>
        <w:tc>
          <w:tcPr>
            <w:tcW w:w="194" w:type="dxa"/>
            <w:tcBorders/>
            <w:shd w:fill="FFFFFF" w:val="clear"/>
            <w:tcMar>
              <w:bottom w:w="0" w:type="dxa"/>
            </w:tcMar>
            <w:vAlign w:val="center"/>
          </w:tcPr>
          <w:p>
            <w:pPr>
              <w:pStyle w:val="TableContents"/>
              <w:spacing w:before="0" w:after="283"/>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185"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200" w:type="dxa"/>
            <w:tcBorders/>
            <w:shd w:fill="FFFFFF" w:val="clear"/>
            <w:tcMar>
              <w:bottom w:w="0" w:type="dxa"/>
            </w:tcMar>
            <w:vAlign w:val="bottom"/>
          </w:tcPr>
          <w:p>
            <w:pPr>
              <w:pStyle w:val="TableContents"/>
              <w:spacing w:before="0" w:after="283"/>
              <w:jc w:val="left"/>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185"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122" w:type="dxa"/>
            <w:tcBorders/>
            <w:shd w:fill="FFFFFF" w:val="clear"/>
            <w:tcMar>
              <w:bottom w:w="0" w:type="dxa"/>
            </w:tcMar>
            <w:vAlign w:val="bottom"/>
          </w:tcPr>
          <w:p>
            <w:pPr>
              <w:pStyle w:val="TableContents"/>
              <w:spacing w:before="0" w:after="283"/>
              <w:jc w:val="left"/>
              <w:rPr/>
            </w:pPr>
            <w:r>
              <w:rPr/>
              <w:t> </w:t>
            </w:r>
          </w:p>
        </w:tc>
      </w:tr>
      <w:tr>
        <w:trPr/>
        <w:tc>
          <w:tcPr>
            <w:tcW w:w="7067" w:type="dxa"/>
            <w:tcBorders/>
            <w:shd w:fill="CCEEFF" w:val="clear"/>
            <w:tcMar>
              <w:bottom w:w="0" w:type="dxa"/>
            </w:tcMar>
            <w:vAlign w:val="bottom"/>
          </w:tcPr>
          <w:p>
            <w:pPr>
              <w:pStyle w:val="TableContents"/>
              <w:spacing w:lineRule="auto" w:line="300" w:before="0" w:after="0"/>
              <w:ind w:left="540" w:right="0" w:hanging="540"/>
              <w:jc w:val="left"/>
              <w:rPr>
                <w:rFonts w:ascii="Times New Roman" w:hAnsi="Times New Roman"/>
                <w:sz w:val="20"/>
              </w:rPr>
            </w:pPr>
            <w:r>
              <w:rPr>
                <w:rFonts w:ascii="Times New Roman" w:hAnsi="Times New Roman"/>
                <w:sz w:val="20"/>
              </w:rPr>
              <w:t>Additional paid-in capital</w:t>
            </w:r>
          </w:p>
        </w:tc>
        <w:tc>
          <w:tcPr>
            <w:tcW w:w="194" w:type="dxa"/>
            <w:tcBorders/>
            <w:shd w:fill="CCEEFF" w:val="clear"/>
            <w:tcMar>
              <w:bottom w:w="0" w:type="dxa"/>
            </w:tcMar>
            <w:vAlign w:val="center"/>
          </w:tcPr>
          <w:p>
            <w:pPr>
              <w:pStyle w:val="TableContents"/>
              <w:spacing w:before="0" w:after="283"/>
              <w:rPr/>
            </w:pPr>
            <w:r>
              <w:rPr/>
              <w:t> </w:t>
            </w:r>
          </w:p>
        </w:tc>
        <w:tc>
          <w:tcPr>
            <w:tcW w:w="126" w:type="dxa"/>
            <w:tcBorders/>
            <w:shd w:fill="CCEEFF" w:val="clear"/>
            <w:tcMar>
              <w:bottom w:w="0" w:type="dxa"/>
            </w:tcMar>
            <w:vAlign w:val="bottom"/>
          </w:tcPr>
          <w:p>
            <w:pPr>
              <w:pStyle w:val="TableContents"/>
              <w:spacing w:before="0" w:after="283"/>
              <w:jc w:val="left"/>
              <w:rPr/>
            </w:pPr>
            <w:r>
              <w:rPr/>
              <w:t> </w:t>
            </w:r>
          </w:p>
        </w:tc>
        <w:tc>
          <w:tcPr>
            <w:tcW w:w="1185"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128,399</w:t>
            </w:r>
          </w:p>
        </w:tc>
        <w:tc>
          <w:tcPr>
            <w:tcW w:w="200" w:type="dxa"/>
            <w:tcBorders/>
            <w:shd w:fill="CCEEFF" w:val="clear"/>
            <w:tcMar>
              <w:bottom w:w="0" w:type="dxa"/>
            </w:tcMar>
            <w:vAlign w:val="bottom"/>
          </w:tcPr>
          <w:p>
            <w:pPr>
              <w:pStyle w:val="TableContents"/>
              <w:spacing w:before="0" w:after="283"/>
              <w:jc w:val="left"/>
              <w:rPr/>
            </w:pPr>
            <w:r>
              <w:rPr/>
              <w:t> </w:t>
            </w:r>
          </w:p>
        </w:tc>
        <w:tc>
          <w:tcPr>
            <w:tcW w:w="126" w:type="dxa"/>
            <w:tcBorders/>
            <w:shd w:fill="CCEEFF" w:val="clear"/>
            <w:tcMar>
              <w:bottom w:w="0" w:type="dxa"/>
            </w:tcMar>
            <w:vAlign w:val="bottom"/>
          </w:tcPr>
          <w:p>
            <w:pPr>
              <w:pStyle w:val="TableContents"/>
              <w:spacing w:before="0" w:after="283"/>
              <w:jc w:val="left"/>
              <w:rPr/>
            </w:pPr>
            <w:r>
              <w:rPr/>
              <w:t> </w:t>
            </w:r>
          </w:p>
        </w:tc>
        <w:tc>
          <w:tcPr>
            <w:tcW w:w="1185"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128,028</w:t>
            </w:r>
          </w:p>
        </w:tc>
        <w:tc>
          <w:tcPr>
            <w:tcW w:w="122" w:type="dxa"/>
            <w:tcBorders/>
            <w:shd w:fill="CCEEFF" w:val="clear"/>
            <w:tcMar>
              <w:bottom w:w="0" w:type="dxa"/>
            </w:tcMar>
            <w:vAlign w:val="bottom"/>
          </w:tcPr>
          <w:p>
            <w:pPr>
              <w:pStyle w:val="TableContents"/>
              <w:spacing w:before="0" w:after="283"/>
              <w:jc w:val="left"/>
              <w:rPr/>
            </w:pPr>
            <w:r>
              <w:rPr/>
              <w:t> </w:t>
            </w:r>
          </w:p>
        </w:tc>
      </w:tr>
      <w:tr>
        <w:trPr/>
        <w:tc>
          <w:tcPr>
            <w:tcW w:w="7067" w:type="dxa"/>
            <w:tcBorders/>
            <w:shd w:fill="FFFFFF" w:val="clear"/>
            <w:tcMar>
              <w:bottom w:w="0" w:type="dxa"/>
            </w:tcMar>
            <w:vAlign w:val="bottom"/>
          </w:tcPr>
          <w:p>
            <w:pPr>
              <w:pStyle w:val="TableContents"/>
              <w:spacing w:lineRule="auto" w:line="300" w:before="0" w:after="0"/>
              <w:ind w:left="540" w:right="0" w:hanging="540"/>
              <w:jc w:val="left"/>
              <w:rPr>
                <w:rFonts w:ascii="Times New Roman" w:hAnsi="Times New Roman"/>
                <w:sz w:val="20"/>
              </w:rPr>
            </w:pPr>
            <w:r>
              <w:rPr>
                <w:rFonts w:ascii="Times New Roman" w:hAnsi="Times New Roman"/>
                <w:sz w:val="20"/>
              </w:rPr>
              <w:t>Accumulated deficit</w:t>
            </w:r>
          </w:p>
        </w:tc>
        <w:tc>
          <w:tcPr>
            <w:tcW w:w="194" w:type="dxa"/>
            <w:tcBorders/>
            <w:shd w:fill="FFFFFF" w:val="clear"/>
            <w:tcMar>
              <w:bottom w:w="0" w:type="dxa"/>
            </w:tcMar>
            <w:vAlign w:val="center"/>
          </w:tcPr>
          <w:p>
            <w:pPr>
              <w:pStyle w:val="TableContents"/>
              <w:spacing w:before="0" w:after="283"/>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185"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(50,058</w:t>
            </w:r>
          </w:p>
        </w:tc>
        <w:tc>
          <w:tcPr>
            <w:tcW w:w="200"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26" w:type="dxa"/>
            <w:tcBorders/>
            <w:shd w:fill="FFFFFF" w:val="clear"/>
            <w:tcMar>
              <w:bottom w:w="0" w:type="dxa"/>
            </w:tcMar>
            <w:vAlign w:val="bottom"/>
          </w:tcPr>
          <w:p>
            <w:pPr>
              <w:pStyle w:val="TableContents"/>
              <w:spacing w:before="0" w:after="283"/>
              <w:jc w:val="left"/>
              <w:rPr/>
            </w:pPr>
            <w:r>
              <w:rPr/>
              <w:t> </w:t>
            </w:r>
          </w:p>
        </w:tc>
        <w:tc>
          <w:tcPr>
            <w:tcW w:w="1185"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(53,914</w:t>
            </w:r>
          </w:p>
        </w:tc>
        <w:tc>
          <w:tcPr>
            <w:tcW w:w="122"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r>
      <w:tr>
        <w:trPr/>
        <w:tc>
          <w:tcPr>
            <w:tcW w:w="7067" w:type="dxa"/>
            <w:tcBorders/>
            <w:shd w:fill="CCEEFF" w:val="clear"/>
            <w:tcMar>
              <w:bottom w:w="0" w:type="dxa"/>
            </w:tcMar>
            <w:vAlign w:val="bottom"/>
          </w:tcPr>
          <w:p>
            <w:pPr>
              <w:pStyle w:val="TableContents"/>
              <w:spacing w:lineRule="auto" w:line="300" w:before="0" w:after="0"/>
              <w:ind w:left="540" w:right="0" w:hanging="540"/>
              <w:jc w:val="left"/>
              <w:rPr>
                <w:rFonts w:ascii="Times New Roman" w:hAnsi="Times New Roman"/>
                <w:sz w:val="20"/>
              </w:rPr>
            </w:pPr>
            <w:r>
              <w:rPr>
                <w:rFonts w:ascii="Times New Roman" w:hAnsi="Times New Roman"/>
                <w:sz w:val="20"/>
              </w:rPr>
              <w:t>Treasury shares</w:t>
            </w:r>
          </w:p>
        </w:tc>
        <w:tc>
          <w:tcPr>
            <w:tcW w:w="194" w:type="dxa"/>
            <w:tcBorders/>
            <w:shd w:fill="CCEEFF" w:val="clear"/>
            <w:tcMar>
              <w:bottom w:w="0" w:type="dxa"/>
            </w:tcMar>
            <w:vAlign w:val="center"/>
          </w:tcPr>
          <w:p>
            <w:pPr>
              <w:pStyle w:val="TableContents"/>
              <w:spacing w:before="0" w:after="283"/>
              <w:rPr/>
            </w:pPr>
            <w:r>
              <w:rPr/>
              <w:t> </w:t>
            </w:r>
          </w:p>
        </w:tc>
        <w:tc>
          <w:tcPr>
            <w:tcW w:w="126" w:type="dxa"/>
            <w:tcBorders/>
            <w:shd w:fill="CCEEFF" w:val="clear"/>
            <w:tcMar>
              <w:bottom w:w="0" w:type="dxa"/>
            </w:tcMar>
            <w:vAlign w:val="bottom"/>
          </w:tcPr>
          <w:p>
            <w:pPr>
              <w:pStyle w:val="TableContents"/>
              <w:spacing w:before="0" w:after="283"/>
              <w:jc w:val="left"/>
              <w:rPr/>
            </w:pPr>
            <w:r>
              <w:rPr/>
              <w:t> </w:t>
            </w:r>
          </w:p>
        </w:tc>
        <w:tc>
          <w:tcPr>
            <w:tcW w:w="1185"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(4,306</w:t>
            </w:r>
          </w:p>
        </w:tc>
        <w:tc>
          <w:tcPr>
            <w:tcW w:w="200"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26" w:type="dxa"/>
            <w:tcBorders/>
            <w:shd w:fill="CCEEFF" w:val="clear"/>
            <w:tcMar>
              <w:bottom w:w="0" w:type="dxa"/>
            </w:tcMar>
            <w:vAlign w:val="bottom"/>
          </w:tcPr>
          <w:p>
            <w:pPr>
              <w:pStyle w:val="TableContents"/>
              <w:spacing w:before="0" w:after="283"/>
              <w:jc w:val="left"/>
              <w:rPr/>
            </w:pPr>
            <w:r>
              <w:rPr/>
              <w:t> </w:t>
            </w:r>
          </w:p>
        </w:tc>
        <w:tc>
          <w:tcPr>
            <w:tcW w:w="1185"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(3,515</w:t>
            </w:r>
          </w:p>
        </w:tc>
        <w:tc>
          <w:tcPr>
            <w:tcW w:w="122"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r>
      <w:tr>
        <w:trPr/>
        <w:tc>
          <w:tcPr>
            <w:tcW w:w="7067" w:type="dxa"/>
            <w:tcBorders/>
            <w:shd w:fill="FFFFFF" w:val="clear"/>
            <w:tcMar>
              <w:bottom w:w="0" w:type="dxa"/>
            </w:tcMar>
            <w:vAlign w:val="bottom"/>
          </w:tcPr>
          <w:p>
            <w:pPr>
              <w:pStyle w:val="TableContents"/>
              <w:spacing w:lineRule="auto" w:line="300" w:before="0" w:after="0"/>
              <w:ind w:left="540" w:right="0" w:hanging="540"/>
              <w:jc w:val="left"/>
              <w:rPr>
                <w:rFonts w:ascii="Times New Roman" w:hAnsi="Times New Roman"/>
                <w:sz w:val="20"/>
              </w:rPr>
            </w:pPr>
            <w:r>
              <w:rPr>
                <w:rFonts w:ascii="Times New Roman" w:hAnsi="Times New Roman"/>
                <w:sz w:val="20"/>
              </w:rPr>
              <w:t>Accumulated other comprehensive income</w:t>
            </w:r>
          </w:p>
        </w:tc>
        <w:tc>
          <w:tcPr>
            <w:tcW w:w="194" w:type="dxa"/>
            <w:tcBorders/>
            <w:shd w:fill="FFFFFF" w:val="clear"/>
            <w:tcMar>
              <w:bottom w:w="0" w:type="dxa"/>
            </w:tcMar>
            <w:vAlign w:val="center"/>
          </w:tcPr>
          <w:p>
            <w:pPr>
              <w:pStyle w:val="TableContents"/>
              <w:spacing w:before="0" w:after="283"/>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185"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33,393</w:t>
            </w:r>
          </w:p>
        </w:tc>
        <w:tc>
          <w:tcPr>
            <w:tcW w:w="200" w:type="dxa"/>
            <w:tcBorders/>
            <w:shd w:fill="FFFFFF" w:val="clear"/>
            <w:tcMar>
              <w:bottom w:w="0" w:type="dxa"/>
            </w:tcMar>
            <w:vAlign w:val="bottom"/>
          </w:tcPr>
          <w:p>
            <w:pPr>
              <w:pStyle w:val="TableContents"/>
              <w:spacing w:before="0" w:after="283"/>
              <w:jc w:val="left"/>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185"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28,575</w:t>
            </w:r>
          </w:p>
        </w:tc>
        <w:tc>
          <w:tcPr>
            <w:tcW w:w="122" w:type="dxa"/>
            <w:tcBorders/>
            <w:shd w:fill="FFFFFF" w:val="clear"/>
            <w:tcMar>
              <w:bottom w:w="0" w:type="dxa"/>
            </w:tcMar>
            <w:vAlign w:val="bottom"/>
          </w:tcPr>
          <w:p>
            <w:pPr>
              <w:pStyle w:val="TableContents"/>
              <w:spacing w:before="0" w:after="283"/>
              <w:jc w:val="left"/>
              <w:rPr/>
            </w:pPr>
            <w:r>
              <w:rPr/>
              <w:t> </w:t>
            </w:r>
          </w:p>
        </w:tc>
      </w:tr>
      <w:tr>
        <w:trPr/>
        <w:tc>
          <w:tcPr>
            <w:tcW w:w="7067" w:type="dxa"/>
            <w:tcBorders>
              <w:bottom w:val="single" w:sz="2" w:space="0" w:color="000000"/>
            </w:tcBorders>
            <w:shd w:fill="CCEEFF" w:val="clear"/>
            <w:vAlign w:val="bottom"/>
          </w:tcPr>
          <w:p>
            <w:pPr>
              <w:pStyle w:val="TableContents"/>
              <w:spacing w:lineRule="auto" w:line="300" w:before="0" w:after="0"/>
              <w:ind w:left="0" w:right="0" w:firstLine="720"/>
              <w:jc w:val="left"/>
              <w:rPr/>
            </w:pPr>
            <w:r>
              <w:rPr>
                <w:rStyle w:val="StrongEmphasis"/>
                <w:rFonts w:ascii="Times New Roman" w:hAnsi="Times New Roman"/>
                <w:sz w:val="20"/>
              </w:rPr>
              <w:t>Total stockholders' equity</w:t>
            </w:r>
          </w:p>
        </w:tc>
        <w:tc>
          <w:tcPr>
            <w:tcW w:w="194" w:type="dxa"/>
            <w:tcBorders>
              <w:bottom w:val="single" w:sz="2" w:space="0" w:color="CCEEFF"/>
            </w:tcBorders>
            <w:shd w:fill="CCEEFF" w:val="clear"/>
            <w:vAlign w:val="center"/>
          </w:tcPr>
          <w:p>
            <w:pPr>
              <w:pStyle w:val="TableContents"/>
              <w:spacing w:before="0" w:after="283"/>
              <w:rPr/>
            </w:pPr>
            <w:r>
              <w:rPr/>
              <w:t> </w:t>
            </w:r>
          </w:p>
        </w:tc>
        <w:tc>
          <w:tcPr>
            <w:tcW w:w="126" w:type="dxa"/>
            <w:tcBorders>
              <w:bottom w:val="single" w:sz="2" w:space="0" w:color="000000"/>
            </w:tcBorders>
            <w:shd w:fill="CCEEFF" w:val="clear"/>
            <w:vAlign w:val="bottom"/>
          </w:tcPr>
          <w:p>
            <w:pPr>
              <w:pStyle w:val="TableContents"/>
              <w:spacing w:before="0" w:after="283"/>
              <w:jc w:val="left"/>
              <w:rPr/>
            </w:pPr>
            <w:r>
              <w:rPr/>
              <w:t> </w:t>
            </w:r>
          </w:p>
        </w:tc>
        <w:tc>
          <w:tcPr>
            <w:tcW w:w="1185"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107,659</w:t>
            </w:r>
          </w:p>
        </w:tc>
        <w:tc>
          <w:tcPr>
            <w:tcW w:w="200" w:type="dxa"/>
            <w:tcBorders>
              <w:bottom w:val="single" w:sz="2" w:space="0" w:color="CCEEFF"/>
            </w:tcBorders>
            <w:shd w:fill="CCEEFF" w:val="clear"/>
            <w:vAlign w:val="bottom"/>
          </w:tcPr>
          <w:p>
            <w:pPr>
              <w:pStyle w:val="TableContents"/>
              <w:spacing w:before="0" w:after="283"/>
              <w:jc w:val="left"/>
              <w:rPr/>
            </w:pPr>
            <w:r>
              <w:rPr/>
              <w:t> </w:t>
            </w:r>
          </w:p>
        </w:tc>
        <w:tc>
          <w:tcPr>
            <w:tcW w:w="126" w:type="dxa"/>
            <w:tcBorders>
              <w:bottom w:val="single" w:sz="2" w:space="0" w:color="000000"/>
            </w:tcBorders>
            <w:shd w:fill="CCEEFF" w:val="clear"/>
            <w:vAlign w:val="bottom"/>
          </w:tcPr>
          <w:p>
            <w:pPr>
              <w:pStyle w:val="TableContents"/>
              <w:spacing w:before="0" w:after="283"/>
              <w:jc w:val="left"/>
              <w:rPr/>
            </w:pPr>
            <w:r>
              <w:rPr/>
              <w:t> </w:t>
            </w:r>
          </w:p>
        </w:tc>
        <w:tc>
          <w:tcPr>
            <w:tcW w:w="1185"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99,404</w:t>
            </w:r>
          </w:p>
        </w:tc>
        <w:tc>
          <w:tcPr>
            <w:tcW w:w="122" w:type="dxa"/>
            <w:tcBorders>
              <w:bottom w:val="single" w:sz="2" w:space="0" w:color="CCEEFF"/>
            </w:tcBorders>
            <w:shd w:fill="CCEEFF" w:val="clear"/>
            <w:vAlign w:val="bottom"/>
          </w:tcPr>
          <w:p>
            <w:pPr>
              <w:pStyle w:val="TableContents"/>
              <w:spacing w:before="0" w:after="283"/>
              <w:jc w:val="left"/>
              <w:rPr/>
            </w:pPr>
            <w:r>
              <w:rPr/>
              <w:t> </w:t>
            </w:r>
          </w:p>
        </w:tc>
      </w:tr>
      <w:tr>
        <w:trPr/>
        <w:tc>
          <w:tcPr>
            <w:tcW w:w="7067" w:type="dxa"/>
            <w:tcBorders>
              <w:bottom w:val="double" w:sz="2" w:space="0" w:color="000000"/>
            </w:tcBorders>
            <w:shd w:fill="FFFFFF" w:val="clear"/>
            <w:vAlign w:val="bottom"/>
          </w:tcPr>
          <w:p>
            <w:pPr>
              <w:pStyle w:val="TableContents"/>
              <w:spacing w:lineRule="auto" w:line="300" w:before="0" w:after="0"/>
              <w:ind w:left="0" w:right="0" w:firstLine="1440"/>
              <w:jc w:val="left"/>
              <w:rPr/>
            </w:pPr>
            <w:r>
              <w:rPr>
                <w:rStyle w:val="StrongEmphasis"/>
                <w:rFonts w:ascii="Times New Roman" w:hAnsi="Times New Roman"/>
                <w:sz w:val="20"/>
              </w:rPr>
              <w:t>Total liabilities and stockholders' equity</w:t>
            </w:r>
          </w:p>
        </w:tc>
        <w:tc>
          <w:tcPr>
            <w:tcW w:w="194" w:type="dxa"/>
            <w:tcBorders>
              <w:bottom w:val="single" w:sz="4" w:space="0" w:color="FFFFFF"/>
            </w:tcBorders>
            <w:shd w:fill="FFFFFF" w:val="clear"/>
            <w:vAlign w:val="center"/>
          </w:tcPr>
          <w:p>
            <w:pPr>
              <w:pStyle w:val="TableContents"/>
              <w:spacing w:before="0" w:after="283"/>
              <w:rPr/>
            </w:pPr>
            <w:r>
              <w:rPr/>
              <w:t> </w:t>
            </w:r>
          </w:p>
        </w:tc>
        <w:tc>
          <w:tcPr>
            <w:tcW w:w="126" w:type="dxa"/>
            <w:tcBorders>
              <w:bottom w:val="doub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bookmarkStart w:id="2188" w:name="TAB1757"/>
            <w:bookmarkEnd w:id="2188"/>
            <w:r>
              <w:rPr>
                <w:rFonts w:ascii="Times New Roman" w:hAnsi="Times New Roman"/>
                <w:sz w:val="20"/>
              </w:rPr>
              <w:t>$</w:t>
            </w:r>
          </w:p>
        </w:tc>
        <w:tc>
          <w:tcPr>
            <w:tcW w:w="1185"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2189" w:name="TAB1758"/>
            <w:bookmarkEnd w:id="2189"/>
            <w:r>
              <w:rPr>
                <w:rFonts w:ascii="Times New Roman" w:hAnsi="Times New Roman"/>
                <w:sz w:val="20"/>
              </w:rPr>
              <w:t>289,231</w:t>
            </w:r>
          </w:p>
        </w:tc>
        <w:tc>
          <w:tcPr>
            <w:tcW w:w="200" w:type="dxa"/>
            <w:tcBorders>
              <w:bottom w:val="single" w:sz="4" w:space="0" w:color="FFFFFF"/>
            </w:tcBorders>
            <w:shd w:fill="FFFFFF" w:val="clear"/>
            <w:vAlign w:val="bottom"/>
          </w:tcPr>
          <w:p>
            <w:pPr>
              <w:pStyle w:val="TableContents"/>
              <w:spacing w:before="0" w:after="283"/>
              <w:jc w:val="left"/>
              <w:rPr/>
            </w:pPr>
            <w:r>
              <w:rPr/>
              <w:t> </w:t>
            </w:r>
          </w:p>
        </w:tc>
        <w:tc>
          <w:tcPr>
            <w:tcW w:w="126" w:type="dxa"/>
            <w:tcBorders>
              <w:bottom w:val="doub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bookmarkStart w:id="2190" w:name="TAB1759"/>
            <w:bookmarkEnd w:id="2190"/>
            <w:r>
              <w:rPr>
                <w:rFonts w:ascii="Times New Roman" w:hAnsi="Times New Roman"/>
                <w:sz w:val="20"/>
              </w:rPr>
              <w:t>$</w:t>
            </w:r>
          </w:p>
        </w:tc>
        <w:tc>
          <w:tcPr>
            <w:tcW w:w="1185"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2191" w:name="TAB1760"/>
            <w:bookmarkEnd w:id="2191"/>
            <w:r>
              <w:rPr>
                <w:rFonts w:ascii="Times New Roman" w:hAnsi="Times New Roman"/>
                <w:sz w:val="20"/>
              </w:rPr>
              <w:t>253,057</w:t>
            </w:r>
          </w:p>
        </w:tc>
        <w:tc>
          <w:tcPr>
            <w:tcW w:w="122" w:type="dxa"/>
            <w:tcBorders>
              <w:bottom w:val="single" w:sz="4" w:space="0" w:color="FFFFFF"/>
            </w:tcBorders>
            <w:shd w:fill="FFFFFF" w:val="clear"/>
            <w:vAlign w:val="bottom"/>
          </w:tcPr>
          <w:p>
            <w:pPr>
              <w:pStyle w:val="TableContents"/>
              <w:spacing w:before="0" w:after="283"/>
              <w:jc w:val="left"/>
              <w:rPr/>
            </w:pPr>
            <w:r>
              <w:rPr/>
              <w:t> </w:t>
            </w:r>
          </w:p>
        </w:tc>
      </w:tr>
    </w:tbl>
    <w:p>
      <w:pPr>
        <w:pStyle w:val="TextBody"/>
        <w:spacing w:lineRule="auto" w:line="300" w:before="0" w:after="0"/>
        <w:ind w:left="0" w:right="0" w:hanging="0"/>
        <w:jc w:val="center"/>
        <w:rPr/>
      </w:pPr>
      <w:r>
        <w:rPr/>
      </w:r>
    </w:p>
    <w:p>
      <w:pPr>
        <w:pStyle w:val="TextBody"/>
        <w:spacing w:lineRule="auto" w:line="300" w:before="0" w:after="0"/>
        <w:ind w:left="0" w:right="0" w:hanging="0"/>
        <w:jc w:val="center"/>
        <w:rPr>
          <w:rFonts w:ascii="Times New Roman" w:hAnsi="Times New Roman"/>
          <w:sz w:val="20"/>
        </w:rPr>
      </w:pPr>
      <w:r>
        <w:rPr>
          <w:rFonts w:ascii="Times New Roman" w:hAnsi="Times New Roman"/>
          <w:sz w:val="20"/>
        </w:rPr>
        <w:t>See accompanying notes to consolidated financial statements.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192" w:name="PGBRK72"/>
      <w:bookmarkStart w:id="2193" w:name="PGBRK72"/>
      <w:bookmarkEnd w:id="219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94" w:name="FTR72"/>
      <w:bookmarkStart w:id="2195" w:name="FTR72"/>
      <w:bookmarkEnd w:id="219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96" w:name="GLFTR72"/>
      <w:bookmarkStart w:id="2197" w:name="GLFTR72"/>
      <w:bookmarkEnd w:id="219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2198" w:name="PN72"/>
      <w:bookmarkEnd w:id="2198"/>
      <w:r>
        <w:rPr>
          <w:rFonts w:ascii="Times New Roman" w:hAnsi="Times New Roman"/>
          <w:sz w:val="16"/>
        </w:rPr>
        <w:t>-72-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99" w:name="HDR72"/>
      <w:bookmarkStart w:id="2200" w:name="HDR72"/>
      <w:bookmarkEnd w:id="220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2201" w:name="GLHDR72"/>
        <w:bookmarkEnd w:id="2201"/>
        <w:r>
          <w:rPr>
            <w:rStyle w:val="Emphasis"/>
            <w:rFonts w:ascii="Times New Roman" w:hAnsi="Times New Roman"/>
            <w:color w:val="000000"/>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300" w:before="0" w:after="0"/>
        <w:ind w:left="0" w:right="0" w:hanging="0"/>
        <w:jc w:val="left"/>
        <w:rPr/>
      </w:pPr>
      <w:bookmarkStart w:id="2202" w:name="statementofoperations"/>
      <w:bookmarkEnd w:id="2202"/>
      <w:r>
        <w:rPr>
          <w:rStyle w:val="StrongEmphasis"/>
          <w:rFonts w:ascii="Times New Roman" w:hAnsi="Times New Roman"/>
          <w:sz w:val="20"/>
        </w:rPr>
        <w:t>Reading International, Inc. and Subsidiaries</w:t>
      </w:r>
    </w:p>
    <w:p>
      <w:pPr>
        <w:pStyle w:val="TextBody"/>
        <w:spacing w:lineRule="auto" w:line="300" w:before="0" w:after="0"/>
        <w:ind w:left="0" w:right="0" w:hanging="0"/>
        <w:jc w:val="left"/>
        <w:rPr/>
      </w:pPr>
      <w:r>
        <w:rPr>
          <w:rStyle w:val="StrongEmphasis"/>
          <w:rFonts w:ascii="Times New Roman" w:hAnsi="Times New Roman"/>
          <w:sz w:val="20"/>
        </w:rPr>
        <w:t>Consolidated Statements of Operations for the Three Years Ended December 31, 2006</w:t>
      </w:r>
    </w:p>
    <w:p>
      <w:pPr>
        <w:pStyle w:val="TextBody"/>
        <w:spacing w:lineRule="auto" w:line="300" w:before="0" w:after="0"/>
        <w:ind w:left="0" w:right="0" w:hanging="0"/>
        <w:jc w:val="left"/>
        <w:rPr/>
      </w:pPr>
      <w:r>
        <w:rPr>
          <w:rStyle w:val="StrongEmphasis"/>
          <w:rFonts w:ascii="Times New Roman" w:hAnsi="Times New Roman"/>
          <w:sz w:val="20"/>
        </w:rPr>
        <w:t>(U.S. dollars in thousands, except per share amounts)</w:t>
      </w:r>
    </w:p>
    <w:p>
      <w:pPr>
        <w:pStyle w:val="TextBody"/>
        <w:spacing w:lineRule="auto" w:line="300" w:before="0" w:after="0"/>
        <w:ind w:left="0" w:right="0" w:hanging="0"/>
        <w:jc w:val="both"/>
        <w:rPr/>
      </w:pPr>
      <w:r>
        <w:rPr/>
      </w:r>
    </w:p>
    <w:p>
      <w:pPr>
        <w:pStyle w:val="Normal"/>
        <w:spacing w:lineRule="auto" w:line="300" w:before="0" w:after="0"/>
        <w:jc w:val="both"/>
        <w:rPr>
          <w:sz w:val="4"/>
          <w:szCs w:val="4"/>
        </w:rPr>
      </w:pPr>
      <w:r>
        <w:rPr>
          <w:sz w:val="4"/>
          <w:szCs w:val="4"/>
        </w:rPr>
      </w:r>
      <w:bookmarkStart w:id="2203" w:name="ftable14"/>
      <w:bookmarkStart w:id="2204" w:name="ftable14"/>
      <w:bookmarkEnd w:id="2204"/>
    </w:p>
    <w:tbl>
      <w:tblPr>
        <w:tblW w:w="5000" w:type="pct"/>
        <w:jc w:val="left"/>
        <w:tblInd w:w="0" w:type="dxa"/>
        <w:tblCellMar>
          <w:top w:w="0" w:type="dxa"/>
          <w:left w:w="0" w:type="dxa"/>
          <w:bottom w:w="28" w:type="dxa"/>
          <w:right w:w="0" w:type="dxa"/>
        </w:tblCellMar>
      </w:tblPr>
      <w:tblGrid>
        <w:gridCol w:w="5348"/>
        <w:gridCol w:w="192"/>
        <w:gridCol w:w="126"/>
        <w:gridCol w:w="1256"/>
        <w:gridCol w:w="198"/>
        <w:gridCol w:w="126"/>
        <w:gridCol w:w="1256"/>
        <w:gridCol w:w="198"/>
        <w:gridCol w:w="126"/>
        <w:gridCol w:w="1256"/>
        <w:gridCol w:w="123"/>
      </w:tblGrid>
      <w:tr>
        <w:trPr/>
        <w:tc>
          <w:tcPr>
            <w:tcW w:w="5348" w:type="dxa"/>
            <w:tcBorders>
              <w:bottom w:val="single" w:sz="4" w:space="0" w:color="FFFFFF"/>
            </w:tcBorders>
            <w:shd w:fill="auto" w:val="clear"/>
            <w:vAlign w:val="bottom"/>
          </w:tcPr>
          <w:p>
            <w:pPr>
              <w:pStyle w:val="TableContents"/>
              <w:spacing w:before="0" w:after="283"/>
              <w:jc w:val="left"/>
              <w:rPr/>
            </w:pPr>
            <w:r>
              <w:rPr/>
              <w:t> </w:t>
            </w:r>
          </w:p>
        </w:tc>
        <w:tc>
          <w:tcPr>
            <w:tcW w:w="192" w:type="dxa"/>
            <w:tcBorders>
              <w:bottom w:val="single" w:sz="2" w:space="0" w:color="FFFFFF"/>
            </w:tcBorders>
            <w:shd w:fill="auto" w:val="clear"/>
            <w:vAlign w:val="center"/>
          </w:tcPr>
          <w:p>
            <w:pPr>
              <w:pStyle w:val="TableContents"/>
              <w:spacing w:before="0" w:after="283"/>
              <w:rPr/>
            </w:pPr>
            <w:r>
              <w:rPr/>
              <w:t> </w:t>
            </w:r>
          </w:p>
        </w:tc>
        <w:tc>
          <w:tcPr>
            <w:tcW w:w="4542" w:type="dxa"/>
            <w:gridSpan w:val="8"/>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Year Ended December 31,</w:t>
            </w:r>
          </w:p>
        </w:tc>
        <w:tc>
          <w:tcPr>
            <w:tcW w:w="123" w:type="dxa"/>
            <w:tcBorders>
              <w:bottom w:val="single" w:sz="2" w:space="0" w:color="FFFFFF"/>
            </w:tcBorders>
            <w:shd w:fill="auto" w:val="clear"/>
            <w:vAlign w:val="bottom"/>
          </w:tcPr>
          <w:p>
            <w:pPr>
              <w:pStyle w:val="TableContents"/>
              <w:spacing w:before="0" w:after="283"/>
              <w:jc w:val="left"/>
              <w:rPr/>
            </w:pPr>
            <w:r>
              <w:rPr/>
              <w:t> </w:t>
            </w:r>
          </w:p>
        </w:tc>
      </w:tr>
      <w:tr>
        <w:trPr/>
        <w:tc>
          <w:tcPr>
            <w:tcW w:w="5348" w:type="dxa"/>
            <w:tcBorders>
              <w:bottom w:val="double" w:sz="2" w:space="0" w:color="000000"/>
            </w:tcBorders>
            <w:shd w:fill="auto" w:val="clear"/>
            <w:vAlign w:val="bottom"/>
          </w:tcPr>
          <w:p>
            <w:pPr>
              <w:pStyle w:val="TableContents"/>
              <w:spacing w:before="0" w:after="283"/>
              <w:jc w:val="left"/>
              <w:rPr/>
            </w:pPr>
            <w:r>
              <w:rPr/>
              <w:t> </w:t>
            </w:r>
          </w:p>
        </w:tc>
        <w:tc>
          <w:tcPr>
            <w:tcW w:w="192" w:type="dxa"/>
            <w:tcBorders>
              <w:bottom w:val="single" w:sz="4" w:space="0" w:color="FFFFFF"/>
            </w:tcBorders>
            <w:shd w:fill="auto" w:val="clear"/>
            <w:vAlign w:val="center"/>
          </w:tcPr>
          <w:p>
            <w:pPr>
              <w:pStyle w:val="TableContents"/>
              <w:spacing w:before="0" w:after="283"/>
              <w:rPr/>
            </w:pPr>
            <w:r>
              <w:rPr/>
              <w:t> </w:t>
            </w:r>
          </w:p>
        </w:tc>
        <w:tc>
          <w:tcPr>
            <w:tcW w:w="1382"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2006</w:t>
            </w:r>
          </w:p>
        </w:tc>
        <w:tc>
          <w:tcPr>
            <w:tcW w:w="198" w:type="dxa"/>
            <w:tcBorders>
              <w:bottom w:val="single" w:sz="4" w:space="0" w:color="FFFFFF"/>
            </w:tcBorders>
            <w:shd w:fill="auto" w:val="clear"/>
            <w:vAlign w:val="bottom"/>
          </w:tcPr>
          <w:p>
            <w:pPr>
              <w:pStyle w:val="TableContents"/>
              <w:spacing w:before="0" w:after="283"/>
              <w:jc w:val="left"/>
              <w:rPr/>
            </w:pPr>
            <w:r>
              <w:rPr/>
              <w:t> </w:t>
            </w:r>
          </w:p>
        </w:tc>
        <w:tc>
          <w:tcPr>
            <w:tcW w:w="1382"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2005</w:t>
            </w:r>
          </w:p>
        </w:tc>
        <w:tc>
          <w:tcPr>
            <w:tcW w:w="198" w:type="dxa"/>
            <w:tcBorders>
              <w:bottom w:val="single" w:sz="4" w:space="0" w:color="FFFFFF"/>
            </w:tcBorders>
            <w:shd w:fill="auto" w:val="clear"/>
            <w:vAlign w:val="bottom"/>
          </w:tcPr>
          <w:p>
            <w:pPr>
              <w:pStyle w:val="TableContents"/>
              <w:spacing w:before="0" w:after="283"/>
              <w:jc w:val="left"/>
              <w:rPr/>
            </w:pPr>
            <w:r>
              <w:rPr/>
              <w:t> </w:t>
            </w:r>
          </w:p>
        </w:tc>
        <w:tc>
          <w:tcPr>
            <w:tcW w:w="1382"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2004</w:t>
            </w:r>
          </w:p>
        </w:tc>
        <w:tc>
          <w:tcPr>
            <w:tcW w:w="123" w:type="dxa"/>
            <w:tcBorders>
              <w:bottom w:val="single" w:sz="4" w:space="0" w:color="FFFFFF"/>
            </w:tcBorders>
            <w:shd w:fill="auto" w:val="clear"/>
            <w:vAlign w:val="bottom"/>
          </w:tcPr>
          <w:p>
            <w:pPr>
              <w:pStyle w:val="TableContents"/>
              <w:spacing w:before="0" w:after="283"/>
              <w:jc w:val="left"/>
              <w:rPr/>
            </w:pPr>
            <w:r>
              <w:rPr/>
              <w:t> </w:t>
            </w:r>
          </w:p>
        </w:tc>
      </w:tr>
      <w:tr>
        <w:trPr/>
        <w:tc>
          <w:tcPr>
            <w:tcW w:w="5348" w:type="dxa"/>
            <w:tcBorders/>
            <w:shd w:fill="auto" w:val="clear"/>
            <w:tcMar>
              <w:bottom w:w="0" w:type="dxa"/>
            </w:tcMar>
            <w:vAlign w:val="bottom"/>
          </w:tcPr>
          <w:p>
            <w:pPr>
              <w:pStyle w:val="TableContents"/>
              <w:spacing w:lineRule="auto" w:line="300" w:before="0" w:after="0"/>
              <w:ind w:left="180" w:right="0" w:hanging="180"/>
              <w:jc w:val="left"/>
              <w:rPr/>
            </w:pPr>
            <w:r>
              <w:rPr/>
              <w:t> </w:t>
            </w:r>
          </w:p>
          <w:p>
            <w:pPr>
              <w:pStyle w:val="TableContents"/>
              <w:spacing w:lineRule="auto" w:line="300" w:before="0" w:after="0"/>
              <w:ind w:left="180" w:right="0" w:hanging="180"/>
              <w:jc w:val="left"/>
              <w:rPr/>
            </w:pPr>
            <w:r>
              <w:rPr>
                <w:rStyle w:val="StrongEmphasis"/>
                <w:rFonts w:ascii="Times New Roman" w:hAnsi="Times New Roman"/>
                <w:sz w:val="20"/>
              </w:rPr>
              <w:t>Operating revenue</w:t>
            </w:r>
          </w:p>
        </w:tc>
        <w:tc>
          <w:tcPr>
            <w:tcW w:w="192" w:type="dxa"/>
            <w:tcBorders/>
            <w:shd w:fill="auto" w:val="clear"/>
            <w:tcMar>
              <w:bottom w:w="0" w:type="dxa"/>
            </w:tcMar>
            <w:vAlign w:val="center"/>
          </w:tcPr>
          <w:p>
            <w:pPr>
              <w:pStyle w:val="TableContents"/>
              <w:spacing w:before="0" w:after="283"/>
              <w:rPr/>
            </w:pPr>
            <w:r>
              <w:rPr/>
              <w:t> </w:t>
            </w:r>
          </w:p>
        </w:tc>
        <w:tc>
          <w:tcPr>
            <w:tcW w:w="1382" w:type="dxa"/>
            <w:gridSpan w:val="2"/>
            <w:tcBorders/>
            <w:shd w:fill="auto" w:val="clear"/>
            <w:tcMar>
              <w:bottom w:w="0" w:type="dxa"/>
            </w:tcMar>
            <w:vAlign w:val="bottom"/>
          </w:tcPr>
          <w:p>
            <w:pPr>
              <w:pStyle w:val="TableContents"/>
              <w:spacing w:before="0" w:after="283"/>
              <w:jc w:val="right"/>
              <w:rPr/>
            </w:pPr>
            <w:r>
              <w:rPr/>
              <w:t> </w:t>
            </w:r>
          </w:p>
        </w:tc>
        <w:tc>
          <w:tcPr>
            <w:tcW w:w="198" w:type="dxa"/>
            <w:tcBorders/>
            <w:shd w:fill="auto" w:val="clear"/>
            <w:tcMar>
              <w:bottom w:w="0" w:type="dxa"/>
            </w:tcMar>
            <w:vAlign w:val="bottom"/>
          </w:tcPr>
          <w:p>
            <w:pPr>
              <w:pStyle w:val="TableContents"/>
              <w:spacing w:before="0" w:after="283"/>
              <w:jc w:val="left"/>
              <w:rPr/>
            </w:pPr>
            <w:r>
              <w:rPr/>
              <w:t> </w:t>
            </w:r>
          </w:p>
        </w:tc>
        <w:tc>
          <w:tcPr>
            <w:tcW w:w="1382" w:type="dxa"/>
            <w:gridSpan w:val="2"/>
            <w:tcBorders/>
            <w:shd w:fill="auto" w:val="clear"/>
            <w:tcMar>
              <w:bottom w:w="0" w:type="dxa"/>
            </w:tcMar>
            <w:vAlign w:val="bottom"/>
          </w:tcPr>
          <w:p>
            <w:pPr>
              <w:pStyle w:val="TableContents"/>
              <w:spacing w:before="0" w:after="283"/>
              <w:jc w:val="right"/>
              <w:rPr/>
            </w:pPr>
            <w:r>
              <w:rPr/>
              <w:t> </w:t>
            </w:r>
          </w:p>
        </w:tc>
        <w:tc>
          <w:tcPr>
            <w:tcW w:w="198" w:type="dxa"/>
            <w:tcBorders/>
            <w:shd w:fill="auto" w:val="clear"/>
            <w:tcMar>
              <w:bottom w:w="0" w:type="dxa"/>
            </w:tcMar>
            <w:vAlign w:val="bottom"/>
          </w:tcPr>
          <w:p>
            <w:pPr>
              <w:pStyle w:val="TableContents"/>
              <w:spacing w:before="0" w:after="283"/>
              <w:jc w:val="left"/>
              <w:rPr/>
            </w:pPr>
            <w:r>
              <w:rPr/>
              <w:t> </w:t>
            </w:r>
          </w:p>
        </w:tc>
        <w:tc>
          <w:tcPr>
            <w:tcW w:w="1382" w:type="dxa"/>
            <w:gridSpan w:val="2"/>
            <w:tcBorders/>
            <w:shd w:fill="auto" w:val="clear"/>
            <w:tcMar>
              <w:bottom w:w="0" w:type="dxa"/>
            </w:tcMar>
            <w:vAlign w:val="bottom"/>
          </w:tcPr>
          <w:p>
            <w:pPr>
              <w:pStyle w:val="TableContents"/>
              <w:spacing w:before="0" w:after="283"/>
              <w:jc w:val="right"/>
              <w:rPr/>
            </w:pPr>
            <w:r>
              <w:rPr/>
              <w:t> </w:t>
            </w:r>
          </w:p>
        </w:tc>
        <w:tc>
          <w:tcPr>
            <w:tcW w:w="123" w:type="dxa"/>
            <w:tcBorders/>
            <w:shd w:fill="auto" w:val="clear"/>
            <w:tcMar>
              <w:bottom w:w="0" w:type="dxa"/>
            </w:tcMar>
            <w:vAlign w:val="bottom"/>
          </w:tcPr>
          <w:p>
            <w:pPr>
              <w:pStyle w:val="TableContents"/>
              <w:spacing w:before="0" w:after="283"/>
              <w:jc w:val="left"/>
              <w:rPr/>
            </w:pPr>
            <w:r>
              <w:rPr/>
              <w:t> </w:t>
            </w:r>
          </w:p>
        </w:tc>
      </w:tr>
      <w:tr>
        <w:trPr/>
        <w:tc>
          <w:tcPr>
            <w:tcW w:w="5348" w:type="dxa"/>
            <w:tcBorders/>
            <w:shd w:fill="CCEEFF" w:val="clear"/>
            <w:tcMar>
              <w:bottom w:w="0" w:type="dxa"/>
            </w:tcMar>
            <w:vAlign w:val="bottom"/>
          </w:tcPr>
          <w:p>
            <w:pPr>
              <w:pStyle w:val="TableContents"/>
              <w:spacing w:lineRule="auto" w:line="300" w:before="0" w:after="0"/>
              <w:ind w:left="180" w:right="0" w:hanging="0"/>
              <w:jc w:val="left"/>
              <w:rPr>
                <w:rFonts w:ascii="Times New Roman" w:hAnsi="Times New Roman"/>
                <w:sz w:val="20"/>
              </w:rPr>
            </w:pPr>
            <w:bookmarkStart w:id="2205" w:name="TAB1761"/>
            <w:bookmarkEnd w:id="2205"/>
            <w:r>
              <w:rPr>
                <w:rFonts w:ascii="Times New Roman" w:hAnsi="Times New Roman"/>
                <w:sz w:val="20"/>
              </w:rPr>
              <w:t xml:space="preserve">Cinema </w:t>
            </w:r>
          </w:p>
        </w:tc>
        <w:tc>
          <w:tcPr>
            <w:tcW w:w="192" w:type="dxa"/>
            <w:tcBorders/>
            <w:shd w:fill="CCEEFF" w:val="clear"/>
            <w:tcMar>
              <w:bottom w:w="0" w:type="dxa"/>
            </w:tcMar>
            <w:vAlign w:val="center"/>
          </w:tcPr>
          <w:p>
            <w:pPr>
              <w:pStyle w:val="TableContents"/>
              <w:spacing w:before="0" w:after="283"/>
              <w:rPr/>
            </w:pPr>
            <w:r>
              <w:rPr/>
              <w:t> </w:t>
            </w:r>
          </w:p>
        </w:tc>
        <w:tc>
          <w:tcPr>
            <w:tcW w:w="126"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2206" w:name="TAB1762"/>
            <w:bookmarkEnd w:id="2206"/>
            <w:r>
              <w:rPr>
                <w:rFonts w:ascii="Times New Roman" w:hAnsi="Times New Roman"/>
                <w:sz w:val="20"/>
              </w:rPr>
              <w:t>$</w:t>
            </w:r>
          </w:p>
        </w:tc>
        <w:tc>
          <w:tcPr>
            <w:tcW w:w="1256"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2207" w:name="TAB1763"/>
            <w:bookmarkEnd w:id="2207"/>
            <w:r>
              <w:rPr>
                <w:rFonts w:ascii="Times New Roman" w:hAnsi="Times New Roman"/>
                <w:sz w:val="20"/>
              </w:rPr>
              <w:t>94,048</w:t>
            </w:r>
          </w:p>
        </w:tc>
        <w:tc>
          <w:tcPr>
            <w:tcW w:w="198" w:type="dxa"/>
            <w:tcBorders/>
            <w:shd w:fill="CCEEFF" w:val="clear"/>
            <w:tcMar>
              <w:bottom w:w="0" w:type="dxa"/>
            </w:tcMar>
            <w:vAlign w:val="bottom"/>
          </w:tcPr>
          <w:p>
            <w:pPr>
              <w:pStyle w:val="TableContents"/>
              <w:spacing w:before="0" w:after="283"/>
              <w:jc w:val="left"/>
              <w:rPr/>
            </w:pPr>
            <w:r>
              <w:rPr/>
              <w:t> </w:t>
            </w:r>
          </w:p>
        </w:tc>
        <w:tc>
          <w:tcPr>
            <w:tcW w:w="126"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2208" w:name="TAB1764"/>
            <w:bookmarkEnd w:id="2208"/>
            <w:r>
              <w:rPr>
                <w:rFonts w:ascii="Times New Roman" w:hAnsi="Times New Roman"/>
                <w:sz w:val="20"/>
              </w:rPr>
              <w:t>$</w:t>
            </w:r>
          </w:p>
        </w:tc>
        <w:tc>
          <w:tcPr>
            <w:tcW w:w="1256"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2209" w:name="TAB1765"/>
            <w:bookmarkEnd w:id="2209"/>
            <w:r>
              <w:rPr>
                <w:rFonts w:ascii="Times New Roman" w:hAnsi="Times New Roman"/>
                <w:sz w:val="20"/>
              </w:rPr>
              <w:t>86,760</w:t>
            </w:r>
          </w:p>
        </w:tc>
        <w:tc>
          <w:tcPr>
            <w:tcW w:w="198" w:type="dxa"/>
            <w:tcBorders/>
            <w:shd w:fill="CCEEFF" w:val="clear"/>
            <w:tcMar>
              <w:bottom w:w="0" w:type="dxa"/>
            </w:tcMar>
            <w:vAlign w:val="bottom"/>
          </w:tcPr>
          <w:p>
            <w:pPr>
              <w:pStyle w:val="TableContents"/>
              <w:spacing w:before="0" w:after="283"/>
              <w:jc w:val="left"/>
              <w:rPr/>
            </w:pPr>
            <w:r>
              <w:rPr/>
              <w:t> </w:t>
            </w:r>
          </w:p>
        </w:tc>
        <w:tc>
          <w:tcPr>
            <w:tcW w:w="126"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2210" w:name="TAB1766"/>
            <w:bookmarkEnd w:id="2210"/>
            <w:r>
              <w:rPr>
                <w:rFonts w:ascii="Times New Roman" w:hAnsi="Times New Roman"/>
                <w:sz w:val="20"/>
              </w:rPr>
              <w:t>$</w:t>
            </w:r>
          </w:p>
        </w:tc>
        <w:tc>
          <w:tcPr>
            <w:tcW w:w="1256"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2211" w:name="TAB1767"/>
            <w:bookmarkEnd w:id="2211"/>
            <w:r>
              <w:rPr>
                <w:rFonts w:ascii="Times New Roman" w:hAnsi="Times New Roman"/>
                <w:sz w:val="20"/>
              </w:rPr>
              <w:t>74,324</w:t>
            </w:r>
          </w:p>
        </w:tc>
        <w:tc>
          <w:tcPr>
            <w:tcW w:w="123" w:type="dxa"/>
            <w:tcBorders/>
            <w:shd w:fill="CCEEFF" w:val="clear"/>
            <w:tcMar>
              <w:bottom w:w="0" w:type="dxa"/>
            </w:tcMar>
            <w:vAlign w:val="bottom"/>
          </w:tcPr>
          <w:p>
            <w:pPr>
              <w:pStyle w:val="TableContents"/>
              <w:spacing w:before="0" w:after="283"/>
              <w:jc w:val="left"/>
              <w:rPr/>
            </w:pPr>
            <w:r>
              <w:rPr/>
              <w:t> </w:t>
            </w:r>
          </w:p>
        </w:tc>
      </w:tr>
      <w:tr>
        <w:trPr/>
        <w:tc>
          <w:tcPr>
            <w:tcW w:w="5348" w:type="dxa"/>
            <w:tcBorders>
              <w:bottom w:val="single" w:sz="2" w:space="0" w:color="000000"/>
            </w:tcBorders>
            <w:shd w:fill="FFFFFF" w:val="clear"/>
            <w:vAlign w:val="bottom"/>
          </w:tcPr>
          <w:p>
            <w:pPr>
              <w:pStyle w:val="TableContents"/>
              <w:spacing w:lineRule="auto" w:line="300" w:before="0" w:after="0"/>
              <w:ind w:left="180" w:right="0" w:hanging="0"/>
              <w:jc w:val="left"/>
              <w:rPr>
                <w:rFonts w:ascii="Times New Roman" w:hAnsi="Times New Roman"/>
                <w:sz w:val="20"/>
              </w:rPr>
            </w:pPr>
            <w:bookmarkStart w:id="2212" w:name="TAB1768"/>
            <w:bookmarkEnd w:id="2212"/>
            <w:r>
              <w:rPr>
                <w:rFonts w:ascii="Times New Roman" w:hAnsi="Times New Roman"/>
                <w:sz w:val="20"/>
              </w:rPr>
              <w:t>Real estate</w:t>
            </w:r>
          </w:p>
        </w:tc>
        <w:tc>
          <w:tcPr>
            <w:tcW w:w="192" w:type="dxa"/>
            <w:tcBorders>
              <w:bottom w:val="single" w:sz="4" w:space="0" w:color="FFFFFF"/>
            </w:tcBorders>
            <w:shd w:fill="FFFFFF" w:val="clear"/>
            <w:vAlign w:val="center"/>
          </w:tcPr>
          <w:p>
            <w:pPr>
              <w:pStyle w:val="TableContents"/>
              <w:spacing w:before="0" w:after="283"/>
              <w:rPr/>
            </w:pPr>
            <w:r>
              <w:rPr/>
              <w:t> </w:t>
            </w:r>
          </w:p>
        </w:tc>
        <w:tc>
          <w:tcPr>
            <w:tcW w:w="126" w:type="dxa"/>
            <w:tcBorders>
              <w:bottom w:val="single" w:sz="2" w:space="0" w:color="000000"/>
            </w:tcBorders>
            <w:shd w:fill="FFFFFF" w:val="clear"/>
            <w:vAlign w:val="bottom"/>
          </w:tcPr>
          <w:p>
            <w:pPr>
              <w:pStyle w:val="TableContents"/>
              <w:spacing w:before="0" w:after="283"/>
              <w:jc w:val="left"/>
              <w:rPr/>
            </w:pPr>
            <w:r>
              <w:rPr/>
              <w:t> </w:t>
            </w:r>
          </w:p>
        </w:tc>
        <w:tc>
          <w:tcPr>
            <w:tcW w:w="1256"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2213" w:name="TAB1769"/>
            <w:bookmarkStart w:id="2214" w:name="TAB1770"/>
            <w:bookmarkStart w:id="2215" w:name="TAB1771"/>
            <w:bookmarkEnd w:id="2213"/>
            <w:bookmarkEnd w:id="2214"/>
            <w:bookmarkEnd w:id="2215"/>
            <w:r>
              <w:rPr>
                <w:rFonts w:ascii="Times New Roman" w:hAnsi="Times New Roman"/>
                <w:sz w:val="20"/>
              </w:rPr>
              <w:t>12,077</w:t>
            </w:r>
          </w:p>
        </w:tc>
        <w:tc>
          <w:tcPr>
            <w:tcW w:w="198" w:type="dxa"/>
            <w:tcBorders>
              <w:bottom w:val="single" w:sz="4" w:space="0" w:color="FFFFFF"/>
            </w:tcBorders>
            <w:shd w:fill="FFFFFF" w:val="clear"/>
            <w:vAlign w:val="bottom"/>
          </w:tcPr>
          <w:p>
            <w:pPr>
              <w:pStyle w:val="TableContents"/>
              <w:spacing w:before="0" w:after="283"/>
              <w:jc w:val="left"/>
              <w:rPr/>
            </w:pPr>
            <w:r>
              <w:rPr/>
              <w:t> </w:t>
            </w:r>
          </w:p>
        </w:tc>
        <w:tc>
          <w:tcPr>
            <w:tcW w:w="126" w:type="dxa"/>
            <w:tcBorders>
              <w:bottom w:val="single" w:sz="2" w:space="0" w:color="000000"/>
            </w:tcBorders>
            <w:shd w:fill="FFFFFF" w:val="clear"/>
            <w:vAlign w:val="bottom"/>
          </w:tcPr>
          <w:p>
            <w:pPr>
              <w:pStyle w:val="TableContents"/>
              <w:spacing w:before="0" w:after="283"/>
              <w:jc w:val="left"/>
              <w:rPr/>
            </w:pPr>
            <w:r>
              <w:rPr/>
              <w:t> </w:t>
            </w:r>
          </w:p>
        </w:tc>
        <w:tc>
          <w:tcPr>
            <w:tcW w:w="1256"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2216" w:name="TAB1772"/>
            <w:bookmarkStart w:id="2217" w:name="TAB1773"/>
            <w:bookmarkStart w:id="2218" w:name="TAB1774"/>
            <w:bookmarkEnd w:id="2216"/>
            <w:bookmarkEnd w:id="2217"/>
            <w:bookmarkEnd w:id="2218"/>
            <w:r>
              <w:rPr>
                <w:rFonts w:ascii="Times New Roman" w:hAnsi="Times New Roman"/>
                <w:sz w:val="20"/>
              </w:rPr>
              <w:t>11,345</w:t>
            </w:r>
          </w:p>
        </w:tc>
        <w:tc>
          <w:tcPr>
            <w:tcW w:w="198" w:type="dxa"/>
            <w:tcBorders>
              <w:bottom w:val="single" w:sz="4" w:space="0" w:color="FFFFFF"/>
            </w:tcBorders>
            <w:shd w:fill="FFFFFF" w:val="clear"/>
            <w:vAlign w:val="bottom"/>
          </w:tcPr>
          <w:p>
            <w:pPr>
              <w:pStyle w:val="TableContents"/>
              <w:spacing w:before="0" w:after="283"/>
              <w:jc w:val="left"/>
              <w:rPr/>
            </w:pPr>
            <w:r>
              <w:rPr/>
              <w:t> </w:t>
            </w:r>
          </w:p>
        </w:tc>
        <w:tc>
          <w:tcPr>
            <w:tcW w:w="126" w:type="dxa"/>
            <w:tcBorders>
              <w:bottom w:val="single" w:sz="2" w:space="0" w:color="000000"/>
            </w:tcBorders>
            <w:shd w:fill="FFFFFF" w:val="clear"/>
            <w:vAlign w:val="bottom"/>
          </w:tcPr>
          <w:p>
            <w:pPr>
              <w:pStyle w:val="TableContents"/>
              <w:spacing w:before="0" w:after="283"/>
              <w:jc w:val="left"/>
              <w:rPr/>
            </w:pPr>
            <w:r>
              <w:rPr/>
              <w:t> </w:t>
            </w:r>
          </w:p>
        </w:tc>
        <w:tc>
          <w:tcPr>
            <w:tcW w:w="1256"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2219" w:name="TAB1775"/>
            <w:bookmarkStart w:id="2220" w:name="TAB1776"/>
            <w:bookmarkStart w:id="2221" w:name="TAB1777"/>
            <w:bookmarkEnd w:id="2219"/>
            <w:bookmarkEnd w:id="2220"/>
            <w:bookmarkEnd w:id="2221"/>
            <w:r>
              <w:rPr>
                <w:rFonts w:ascii="Times New Roman" w:hAnsi="Times New Roman"/>
                <w:sz w:val="20"/>
              </w:rPr>
              <w:t>9,765</w:t>
            </w:r>
          </w:p>
        </w:tc>
        <w:tc>
          <w:tcPr>
            <w:tcW w:w="123" w:type="dxa"/>
            <w:tcBorders>
              <w:bottom w:val="single" w:sz="4" w:space="0" w:color="FFFFFF"/>
            </w:tcBorders>
            <w:shd w:fill="FFFFFF" w:val="clear"/>
            <w:vAlign w:val="bottom"/>
          </w:tcPr>
          <w:p>
            <w:pPr>
              <w:pStyle w:val="TableContents"/>
              <w:spacing w:before="0" w:after="283"/>
              <w:jc w:val="left"/>
              <w:rPr/>
            </w:pPr>
            <w:r>
              <w:rPr/>
              <w:t> </w:t>
            </w:r>
          </w:p>
        </w:tc>
      </w:tr>
      <w:tr>
        <w:trPr/>
        <w:tc>
          <w:tcPr>
            <w:tcW w:w="5348" w:type="dxa"/>
            <w:tcBorders>
              <w:bottom w:val="single" w:sz="2" w:space="0" w:color="000000"/>
            </w:tcBorders>
            <w:shd w:fill="CCEEFF" w:val="clear"/>
            <w:vAlign w:val="bottom"/>
          </w:tcPr>
          <w:p>
            <w:pPr>
              <w:pStyle w:val="TableContents"/>
              <w:spacing w:lineRule="auto" w:line="300" w:before="0" w:after="0"/>
              <w:ind w:left="360" w:right="0" w:hanging="0"/>
              <w:jc w:val="left"/>
              <w:rPr>
                <w:rFonts w:ascii="Times New Roman" w:hAnsi="Times New Roman"/>
                <w:sz w:val="20"/>
              </w:rPr>
            </w:pPr>
            <w:bookmarkStart w:id="2222" w:name="TAB1778"/>
            <w:bookmarkEnd w:id="2222"/>
            <w:r>
              <w:rPr>
                <w:rFonts w:ascii="Times New Roman" w:hAnsi="Times New Roman"/>
                <w:sz w:val="20"/>
              </w:rPr>
              <w:t>Total operating revenue</w:t>
            </w:r>
          </w:p>
        </w:tc>
        <w:tc>
          <w:tcPr>
            <w:tcW w:w="192" w:type="dxa"/>
            <w:tcBorders>
              <w:bottom w:val="single" w:sz="2" w:space="0" w:color="CCEEFF"/>
            </w:tcBorders>
            <w:shd w:fill="CCEEFF" w:val="clear"/>
            <w:vAlign w:val="center"/>
          </w:tcPr>
          <w:p>
            <w:pPr>
              <w:pStyle w:val="TableContents"/>
              <w:spacing w:before="0" w:after="283"/>
              <w:rPr/>
            </w:pPr>
            <w:r>
              <w:rPr/>
              <w:t> </w:t>
            </w:r>
          </w:p>
        </w:tc>
        <w:tc>
          <w:tcPr>
            <w:tcW w:w="126" w:type="dxa"/>
            <w:tcBorders>
              <w:bottom w:val="single" w:sz="2" w:space="0" w:color="000000"/>
            </w:tcBorders>
            <w:shd w:fill="CCEEFF" w:val="clear"/>
            <w:vAlign w:val="bottom"/>
          </w:tcPr>
          <w:p>
            <w:pPr>
              <w:pStyle w:val="TableContents"/>
              <w:spacing w:before="0" w:after="283"/>
              <w:jc w:val="left"/>
              <w:rPr/>
            </w:pPr>
            <w:r>
              <w:rPr/>
              <w:t> </w:t>
            </w:r>
          </w:p>
        </w:tc>
        <w:tc>
          <w:tcPr>
            <w:tcW w:w="1256"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2223" w:name="TAB1779"/>
            <w:bookmarkStart w:id="2224" w:name="TAB1780"/>
            <w:bookmarkStart w:id="2225" w:name="TAB1781"/>
            <w:bookmarkEnd w:id="2223"/>
            <w:bookmarkEnd w:id="2224"/>
            <w:bookmarkEnd w:id="2225"/>
            <w:r>
              <w:rPr>
                <w:rFonts w:ascii="Times New Roman" w:hAnsi="Times New Roman"/>
                <w:sz w:val="20"/>
              </w:rPr>
              <w:t>106,125</w:t>
            </w:r>
          </w:p>
        </w:tc>
        <w:tc>
          <w:tcPr>
            <w:tcW w:w="198" w:type="dxa"/>
            <w:tcBorders>
              <w:bottom w:val="single" w:sz="2" w:space="0" w:color="CCEEFF"/>
            </w:tcBorders>
            <w:shd w:fill="CCEEFF" w:val="clear"/>
            <w:vAlign w:val="bottom"/>
          </w:tcPr>
          <w:p>
            <w:pPr>
              <w:pStyle w:val="TableContents"/>
              <w:spacing w:before="0" w:after="283"/>
              <w:jc w:val="left"/>
              <w:rPr/>
            </w:pPr>
            <w:r>
              <w:rPr/>
              <w:t> </w:t>
            </w:r>
          </w:p>
        </w:tc>
        <w:tc>
          <w:tcPr>
            <w:tcW w:w="126" w:type="dxa"/>
            <w:tcBorders>
              <w:bottom w:val="single" w:sz="2" w:space="0" w:color="000000"/>
            </w:tcBorders>
            <w:shd w:fill="CCEEFF" w:val="clear"/>
            <w:vAlign w:val="bottom"/>
          </w:tcPr>
          <w:p>
            <w:pPr>
              <w:pStyle w:val="TableContents"/>
              <w:spacing w:before="0" w:after="283"/>
              <w:jc w:val="left"/>
              <w:rPr/>
            </w:pPr>
            <w:r>
              <w:rPr/>
              <w:t> </w:t>
            </w:r>
          </w:p>
        </w:tc>
        <w:tc>
          <w:tcPr>
            <w:tcW w:w="1256"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2226" w:name="TAB1782"/>
            <w:bookmarkStart w:id="2227" w:name="TAB1783"/>
            <w:bookmarkStart w:id="2228" w:name="TAB1784"/>
            <w:bookmarkEnd w:id="2226"/>
            <w:bookmarkEnd w:id="2227"/>
            <w:bookmarkEnd w:id="2228"/>
            <w:r>
              <w:rPr>
                <w:rFonts w:ascii="Times New Roman" w:hAnsi="Times New Roman"/>
                <w:sz w:val="20"/>
              </w:rPr>
              <w:t>98,105</w:t>
            </w:r>
          </w:p>
        </w:tc>
        <w:tc>
          <w:tcPr>
            <w:tcW w:w="198" w:type="dxa"/>
            <w:tcBorders>
              <w:bottom w:val="single" w:sz="2" w:space="0" w:color="CCEEFF"/>
            </w:tcBorders>
            <w:shd w:fill="CCEEFF" w:val="clear"/>
            <w:vAlign w:val="bottom"/>
          </w:tcPr>
          <w:p>
            <w:pPr>
              <w:pStyle w:val="TableContents"/>
              <w:spacing w:before="0" w:after="283"/>
              <w:jc w:val="left"/>
              <w:rPr/>
            </w:pPr>
            <w:r>
              <w:rPr/>
              <w:t> </w:t>
            </w:r>
          </w:p>
        </w:tc>
        <w:tc>
          <w:tcPr>
            <w:tcW w:w="126" w:type="dxa"/>
            <w:tcBorders>
              <w:bottom w:val="single" w:sz="2" w:space="0" w:color="000000"/>
            </w:tcBorders>
            <w:shd w:fill="CCEEFF" w:val="clear"/>
            <w:vAlign w:val="bottom"/>
          </w:tcPr>
          <w:p>
            <w:pPr>
              <w:pStyle w:val="TableContents"/>
              <w:spacing w:before="0" w:after="283"/>
              <w:jc w:val="left"/>
              <w:rPr/>
            </w:pPr>
            <w:r>
              <w:rPr/>
              <w:t> </w:t>
            </w:r>
          </w:p>
        </w:tc>
        <w:tc>
          <w:tcPr>
            <w:tcW w:w="1256"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2229" w:name="TAB1785"/>
            <w:bookmarkStart w:id="2230" w:name="TAB1786"/>
            <w:bookmarkStart w:id="2231" w:name="TAB1787"/>
            <w:bookmarkEnd w:id="2229"/>
            <w:bookmarkEnd w:id="2230"/>
            <w:bookmarkEnd w:id="2231"/>
            <w:r>
              <w:rPr>
                <w:rFonts w:ascii="Times New Roman" w:hAnsi="Times New Roman"/>
                <w:sz w:val="20"/>
              </w:rPr>
              <w:t>84,089</w:t>
            </w:r>
          </w:p>
        </w:tc>
        <w:tc>
          <w:tcPr>
            <w:tcW w:w="123" w:type="dxa"/>
            <w:tcBorders>
              <w:bottom w:val="single" w:sz="2" w:space="0" w:color="CCEEFF"/>
            </w:tcBorders>
            <w:shd w:fill="CCEEFF" w:val="clear"/>
            <w:vAlign w:val="bottom"/>
          </w:tcPr>
          <w:p>
            <w:pPr>
              <w:pStyle w:val="TableContents"/>
              <w:spacing w:before="0" w:after="283"/>
              <w:jc w:val="left"/>
              <w:rPr/>
            </w:pPr>
            <w:r>
              <w:rPr/>
              <w:t> </w:t>
            </w:r>
          </w:p>
        </w:tc>
      </w:tr>
      <w:tr>
        <w:trPr/>
        <w:tc>
          <w:tcPr>
            <w:tcW w:w="5348" w:type="dxa"/>
            <w:tcBorders/>
            <w:shd w:fill="FFFFFF" w:val="clear"/>
            <w:tcMar>
              <w:bottom w:w="0" w:type="dxa"/>
            </w:tcMar>
            <w:vAlign w:val="bottom"/>
          </w:tcPr>
          <w:p>
            <w:pPr>
              <w:pStyle w:val="TableContents"/>
              <w:spacing w:lineRule="auto" w:line="300" w:before="0" w:after="0"/>
              <w:ind w:left="180" w:right="0" w:hanging="180"/>
              <w:jc w:val="left"/>
              <w:rPr/>
            </w:pPr>
            <w:r>
              <w:rPr/>
              <w:t> </w:t>
            </w:r>
          </w:p>
          <w:p>
            <w:pPr>
              <w:pStyle w:val="TableContents"/>
              <w:spacing w:lineRule="auto" w:line="300" w:before="0" w:after="0"/>
              <w:ind w:left="180" w:right="0" w:hanging="180"/>
              <w:jc w:val="left"/>
              <w:rPr/>
            </w:pPr>
            <w:r>
              <w:rPr>
                <w:rStyle w:val="StrongEmphasis"/>
                <w:rFonts w:ascii="Times New Roman" w:hAnsi="Times New Roman"/>
                <w:sz w:val="20"/>
              </w:rPr>
              <w:t>Operating expense</w:t>
            </w:r>
          </w:p>
        </w:tc>
        <w:tc>
          <w:tcPr>
            <w:tcW w:w="192" w:type="dxa"/>
            <w:tcBorders/>
            <w:shd w:fill="FFFFFF" w:val="clear"/>
            <w:tcMar>
              <w:bottom w:w="0" w:type="dxa"/>
            </w:tcMar>
            <w:vAlign w:val="center"/>
          </w:tcPr>
          <w:p>
            <w:pPr>
              <w:pStyle w:val="TableContents"/>
              <w:spacing w:before="0" w:after="283"/>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256" w:type="dxa"/>
            <w:tcBorders/>
            <w:shd w:fill="FFFFFF" w:val="clear"/>
            <w:tcMar>
              <w:bottom w:w="0" w:type="dxa"/>
            </w:tcMar>
            <w:vAlign w:val="bottom"/>
          </w:tcPr>
          <w:p>
            <w:pPr>
              <w:pStyle w:val="TableContents"/>
              <w:spacing w:before="0" w:after="283"/>
              <w:jc w:val="right"/>
              <w:rPr/>
            </w:pPr>
            <w:r>
              <w:rPr/>
              <w:t> </w:t>
            </w:r>
          </w:p>
        </w:tc>
        <w:tc>
          <w:tcPr>
            <w:tcW w:w="198" w:type="dxa"/>
            <w:tcBorders/>
            <w:shd w:fill="FFFFFF" w:val="clear"/>
            <w:tcMar>
              <w:bottom w:w="0" w:type="dxa"/>
            </w:tcMar>
            <w:vAlign w:val="bottom"/>
          </w:tcPr>
          <w:p>
            <w:pPr>
              <w:pStyle w:val="TableContents"/>
              <w:spacing w:before="0" w:after="283"/>
              <w:jc w:val="left"/>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256" w:type="dxa"/>
            <w:tcBorders/>
            <w:shd w:fill="FFFFFF" w:val="clear"/>
            <w:tcMar>
              <w:bottom w:w="0" w:type="dxa"/>
            </w:tcMar>
            <w:vAlign w:val="bottom"/>
          </w:tcPr>
          <w:p>
            <w:pPr>
              <w:pStyle w:val="TableContents"/>
              <w:spacing w:before="0" w:after="283"/>
              <w:jc w:val="right"/>
              <w:rPr/>
            </w:pPr>
            <w:r>
              <w:rPr/>
              <w:t> </w:t>
            </w:r>
          </w:p>
        </w:tc>
        <w:tc>
          <w:tcPr>
            <w:tcW w:w="198" w:type="dxa"/>
            <w:tcBorders/>
            <w:shd w:fill="FFFFFF" w:val="clear"/>
            <w:tcMar>
              <w:bottom w:w="0" w:type="dxa"/>
            </w:tcMar>
            <w:vAlign w:val="bottom"/>
          </w:tcPr>
          <w:p>
            <w:pPr>
              <w:pStyle w:val="TableContents"/>
              <w:spacing w:before="0" w:after="283"/>
              <w:jc w:val="left"/>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256" w:type="dxa"/>
            <w:tcBorders/>
            <w:shd w:fill="FFFFFF" w:val="clear"/>
            <w:tcMar>
              <w:bottom w:w="0" w:type="dxa"/>
            </w:tcMar>
            <w:vAlign w:val="bottom"/>
          </w:tcPr>
          <w:p>
            <w:pPr>
              <w:pStyle w:val="TableContents"/>
              <w:spacing w:before="0" w:after="283"/>
              <w:jc w:val="right"/>
              <w:rPr/>
            </w:pPr>
            <w:r>
              <w:rPr/>
              <w:t> </w:t>
            </w:r>
          </w:p>
        </w:tc>
        <w:tc>
          <w:tcPr>
            <w:tcW w:w="123" w:type="dxa"/>
            <w:tcBorders/>
            <w:shd w:fill="FFFFFF" w:val="clear"/>
            <w:tcMar>
              <w:bottom w:w="0" w:type="dxa"/>
            </w:tcMar>
            <w:vAlign w:val="bottom"/>
          </w:tcPr>
          <w:p>
            <w:pPr>
              <w:pStyle w:val="TableContents"/>
              <w:spacing w:before="0" w:after="283"/>
              <w:jc w:val="left"/>
              <w:rPr/>
            </w:pPr>
            <w:r>
              <w:rPr/>
              <w:t> </w:t>
            </w:r>
          </w:p>
        </w:tc>
      </w:tr>
      <w:tr>
        <w:trPr/>
        <w:tc>
          <w:tcPr>
            <w:tcW w:w="5348" w:type="dxa"/>
            <w:tcBorders/>
            <w:shd w:fill="CCEEFF" w:val="clear"/>
            <w:tcMar>
              <w:bottom w:w="0" w:type="dxa"/>
            </w:tcMar>
            <w:vAlign w:val="bottom"/>
          </w:tcPr>
          <w:p>
            <w:pPr>
              <w:pStyle w:val="TableContents"/>
              <w:spacing w:lineRule="auto" w:line="300" w:before="0" w:after="0"/>
              <w:ind w:left="180" w:right="0" w:hanging="0"/>
              <w:jc w:val="left"/>
              <w:rPr>
                <w:rFonts w:ascii="Times New Roman" w:hAnsi="Times New Roman"/>
                <w:sz w:val="20"/>
              </w:rPr>
            </w:pPr>
            <w:bookmarkStart w:id="2232" w:name="TAB1788"/>
            <w:bookmarkEnd w:id="2232"/>
            <w:r>
              <w:rPr>
                <w:rFonts w:ascii="Times New Roman" w:hAnsi="Times New Roman"/>
                <w:sz w:val="20"/>
              </w:rPr>
              <w:t>Cinema</w:t>
            </w:r>
          </w:p>
        </w:tc>
        <w:tc>
          <w:tcPr>
            <w:tcW w:w="192" w:type="dxa"/>
            <w:tcBorders/>
            <w:shd w:fill="CCEEFF" w:val="clear"/>
            <w:tcMar>
              <w:bottom w:w="0" w:type="dxa"/>
            </w:tcMar>
            <w:vAlign w:val="center"/>
          </w:tcPr>
          <w:p>
            <w:pPr>
              <w:pStyle w:val="TableContents"/>
              <w:spacing w:before="0" w:after="283"/>
              <w:rPr/>
            </w:pPr>
            <w:r>
              <w:rPr/>
              <w:t> </w:t>
            </w:r>
          </w:p>
        </w:tc>
        <w:tc>
          <w:tcPr>
            <w:tcW w:w="126" w:type="dxa"/>
            <w:tcBorders/>
            <w:shd w:fill="CCEEFF" w:val="clear"/>
            <w:tcMar>
              <w:bottom w:w="0" w:type="dxa"/>
            </w:tcMar>
            <w:vAlign w:val="bottom"/>
          </w:tcPr>
          <w:p>
            <w:pPr>
              <w:pStyle w:val="TableContents"/>
              <w:spacing w:before="0" w:after="283"/>
              <w:jc w:val="left"/>
              <w:rPr/>
            </w:pPr>
            <w:r>
              <w:rPr/>
              <w:t> </w:t>
            </w:r>
          </w:p>
        </w:tc>
        <w:tc>
          <w:tcPr>
            <w:tcW w:w="1256"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2233" w:name="TAB1789"/>
            <w:bookmarkStart w:id="2234" w:name="TAB1790"/>
            <w:bookmarkEnd w:id="2233"/>
            <w:bookmarkEnd w:id="2234"/>
            <w:r>
              <w:rPr>
                <w:rFonts w:ascii="Times New Roman" w:hAnsi="Times New Roman"/>
                <w:sz w:val="20"/>
              </w:rPr>
              <w:t>70,142</w:t>
            </w:r>
          </w:p>
        </w:tc>
        <w:tc>
          <w:tcPr>
            <w:tcW w:w="198" w:type="dxa"/>
            <w:tcBorders/>
            <w:shd w:fill="CCEEFF" w:val="clear"/>
            <w:tcMar>
              <w:bottom w:w="0" w:type="dxa"/>
            </w:tcMar>
            <w:vAlign w:val="bottom"/>
          </w:tcPr>
          <w:p>
            <w:pPr>
              <w:pStyle w:val="TableContents"/>
              <w:spacing w:before="0" w:after="283"/>
              <w:jc w:val="left"/>
              <w:rPr/>
            </w:pPr>
            <w:r>
              <w:rPr/>
              <w:t> </w:t>
            </w:r>
          </w:p>
        </w:tc>
        <w:tc>
          <w:tcPr>
            <w:tcW w:w="126" w:type="dxa"/>
            <w:tcBorders/>
            <w:shd w:fill="CCEEFF" w:val="clear"/>
            <w:tcMar>
              <w:bottom w:w="0" w:type="dxa"/>
            </w:tcMar>
            <w:vAlign w:val="bottom"/>
          </w:tcPr>
          <w:p>
            <w:pPr>
              <w:pStyle w:val="TableContents"/>
              <w:spacing w:before="0" w:after="283"/>
              <w:jc w:val="left"/>
              <w:rPr/>
            </w:pPr>
            <w:r>
              <w:rPr/>
              <w:t> </w:t>
            </w:r>
          </w:p>
        </w:tc>
        <w:tc>
          <w:tcPr>
            <w:tcW w:w="1256"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2235" w:name="TAB1791"/>
            <w:bookmarkStart w:id="2236" w:name="TAB1792"/>
            <w:bookmarkEnd w:id="2235"/>
            <w:bookmarkEnd w:id="2236"/>
            <w:r>
              <w:rPr>
                <w:rFonts w:ascii="Times New Roman" w:hAnsi="Times New Roman"/>
                <w:sz w:val="20"/>
              </w:rPr>
              <w:t>67,487</w:t>
            </w:r>
          </w:p>
        </w:tc>
        <w:tc>
          <w:tcPr>
            <w:tcW w:w="198" w:type="dxa"/>
            <w:tcBorders/>
            <w:shd w:fill="CCEEFF" w:val="clear"/>
            <w:tcMar>
              <w:bottom w:w="0" w:type="dxa"/>
            </w:tcMar>
            <w:vAlign w:val="bottom"/>
          </w:tcPr>
          <w:p>
            <w:pPr>
              <w:pStyle w:val="TableContents"/>
              <w:spacing w:before="0" w:after="283"/>
              <w:jc w:val="left"/>
              <w:rPr/>
            </w:pPr>
            <w:r>
              <w:rPr/>
              <w:t> </w:t>
            </w:r>
          </w:p>
        </w:tc>
        <w:tc>
          <w:tcPr>
            <w:tcW w:w="126" w:type="dxa"/>
            <w:tcBorders/>
            <w:shd w:fill="CCEEFF" w:val="clear"/>
            <w:tcMar>
              <w:bottom w:w="0" w:type="dxa"/>
            </w:tcMar>
            <w:vAlign w:val="bottom"/>
          </w:tcPr>
          <w:p>
            <w:pPr>
              <w:pStyle w:val="TableContents"/>
              <w:spacing w:before="0" w:after="283"/>
              <w:jc w:val="left"/>
              <w:rPr/>
            </w:pPr>
            <w:r>
              <w:rPr/>
              <w:t> </w:t>
            </w:r>
          </w:p>
        </w:tc>
        <w:tc>
          <w:tcPr>
            <w:tcW w:w="1256"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2237" w:name="TAB1793"/>
            <w:bookmarkStart w:id="2238" w:name="TAB1794"/>
            <w:bookmarkEnd w:id="2237"/>
            <w:bookmarkEnd w:id="2238"/>
            <w:r>
              <w:rPr>
                <w:rFonts w:ascii="Times New Roman" w:hAnsi="Times New Roman"/>
                <w:sz w:val="20"/>
              </w:rPr>
              <w:t>56,816</w:t>
            </w:r>
          </w:p>
        </w:tc>
        <w:tc>
          <w:tcPr>
            <w:tcW w:w="123" w:type="dxa"/>
            <w:tcBorders/>
            <w:shd w:fill="CCEEFF" w:val="clear"/>
            <w:tcMar>
              <w:bottom w:w="0" w:type="dxa"/>
            </w:tcMar>
            <w:vAlign w:val="bottom"/>
          </w:tcPr>
          <w:p>
            <w:pPr>
              <w:pStyle w:val="TableContents"/>
              <w:spacing w:before="0" w:after="283"/>
              <w:jc w:val="left"/>
              <w:rPr/>
            </w:pPr>
            <w:r>
              <w:rPr/>
              <w:t> </w:t>
            </w:r>
          </w:p>
        </w:tc>
      </w:tr>
      <w:tr>
        <w:trPr/>
        <w:tc>
          <w:tcPr>
            <w:tcW w:w="5348" w:type="dxa"/>
            <w:tcBorders/>
            <w:shd w:fill="FFFFFF" w:val="clear"/>
            <w:tcMar>
              <w:bottom w:w="0" w:type="dxa"/>
            </w:tcMar>
            <w:vAlign w:val="bottom"/>
          </w:tcPr>
          <w:p>
            <w:pPr>
              <w:pStyle w:val="TableContents"/>
              <w:spacing w:lineRule="auto" w:line="300" w:before="0" w:after="0"/>
              <w:ind w:left="180" w:right="0" w:hanging="0"/>
              <w:jc w:val="left"/>
              <w:rPr>
                <w:rFonts w:ascii="Times New Roman" w:hAnsi="Times New Roman"/>
                <w:sz w:val="20"/>
              </w:rPr>
            </w:pPr>
            <w:bookmarkStart w:id="2239" w:name="TAB1795"/>
            <w:bookmarkEnd w:id="2239"/>
            <w:r>
              <w:rPr>
                <w:rFonts w:ascii="Times New Roman" w:hAnsi="Times New Roman"/>
                <w:sz w:val="20"/>
              </w:rPr>
              <w:t>Real estate</w:t>
            </w:r>
          </w:p>
        </w:tc>
        <w:tc>
          <w:tcPr>
            <w:tcW w:w="192" w:type="dxa"/>
            <w:tcBorders/>
            <w:shd w:fill="FFFFFF" w:val="clear"/>
            <w:tcMar>
              <w:bottom w:w="0" w:type="dxa"/>
            </w:tcMar>
            <w:vAlign w:val="center"/>
          </w:tcPr>
          <w:p>
            <w:pPr>
              <w:pStyle w:val="TableContents"/>
              <w:spacing w:before="0" w:after="283"/>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256"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2240" w:name="TAB1796"/>
            <w:bookmarkStart w:id="2241" w:name="TAB1797"/>
            <w:bookmarkStart w:id="2242" w:name="TAB1798"/>
            <w:bookmarkEnd w:id="2240"/>
            <w:bookmarkEnd w:id="2241"/>
            <w:bookmarkEnd w:id="2242"/>
            <w:r>
              <w:rPr>
                <w:rFonts w:ascii="Times New Roman" w:hAnsi="Times New Roman"/>
                <w:sz w:val="20"/>
              </w:rPr>
              <w:t>7,365</w:t>
            </w:r>
          </w:p>
        </w:tc>
        <w:tc>
          <w:tcPr>
            <w:tcW w:w="198" w:type="dxa"/>
            <w:tcBorders/>
            <w:shd w:fill="FFFFFF" w:val="clear"/>
            <w:tcMar>
              <w:bottom w:w="0" w:type="dxa"/>
            </w:tcMar>
            <w:vAlign w:val="bottom"/>
          </w:tcPr>
          <w:p>
            <w:pPr>
              <w:pStyle w:val="TableContents"/>
              <w:spacing w:before="0" w:after="283"/>
              <w:jc w:val="left"/>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256"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2243" w:name="TAB1799"/>
            <w:bookmarkStart w:id="2244" w:name="TAB1800"/>
            <w:bookmarkStart w:id="2245" w:name="TAB1801"/>
            <w:bookmarkEnd w:id="2243"/>
            <w:bookmarkEnd w:id="2244"/>
            <w:bookmarkEnd w:id="2245"/>
            <w:r>
              <w:rPr>
                <w:rFonts w:ascii="Times New Roman" w:hAnsi="Times New Roman"/>
                <w:sz w:val="20"/>
              </w:rPr>
              <w:t>7,359</w:t>
            </w:r>
          </w:p>
        </w:tc>
        <w:tc>
          <w:tcPr>
            <w:tcW w:w="198" w:type="dxa"/>
            <w:tcBorders/>
            <w:shd w:fill="FFFFFF" w:val="clear"/>
            <w:tcMar>
              <w:bottom w:w="0" w:type="dxa"/>
            </w:tcMar>
            <w:vAlign w:val="bottom"/>
          </w:tcPr>
          <w:p>
            <w:pPr>
              <w:pStyle w:val="TableContents"/>
              <w:spacing w:before="0" w:after="283"/>
              <w:jc w:val="left"/>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256"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2246" w:name="TAB1802"/>
            <w:bookmarkStart w:id="2247" w:name="TAB1803"/>
            <w:bookmarkStart w:id="2248" w:name="TAB1804"/>
            <w:bookmarkEnd w:id="2246"/>
            <w:bookmarkEnd w:id="2247"/>
            <w:bookmarkEnd w:id="2248"/>
            <w:r>
              <w:rPr>
                <w:rFonts w:ascii="Times New Roman" w:hAnsi="Times New Roman"/>
                <w:sz w:val="20"/>
              </w:rPr>
              <w:t>6,948</w:t>
            </w:r>
          </w:p>
        </w:tc>
        <w:tc>
          <w:tcPr>
            <w:tcW w:w="123" w:type="dxa"/>
            <w:tcBorders/>
            <w:shd w:fill="FFFFFF" w:val="clear"/>
            <w:tcMar>
              <w:bottom w:w="0" w:type="dxa"/>
            </w:tcMar>
            <w:vAlign w:val="bottom"/>
          </w:tcPr>
          <w:p>
            <w:pPr>
              <w:pStyle w:val="TableContents"/>
              <w:spacing w:before="0" w:after="283"/>
              <w:jc w:val="left"/>
              <w:rPr/>
            </w:pPr>
            <w:r>
              <w:rPr/>
              <w:t> </w:t>
            </w:r>
          </w:p>
        </w:tc>
      </w:tr>
      <w:tr>
        <w:trPr/>
        <w:tc>
          <w:tcPr>
            <w:tcW w:w="5348" w:type="dxa"/>
            <w:tcBorders/>
            <w:shd w:fill="CCEEFF" w:val="clear"/>
            <w:tcMar>
              <w:bottom w:w="0" w:type="dxa"/>
            </w:tcMar>
            <w:vAlign w:val="bottom"/>
          </w:tcPr>
          <w:p>
            <w:pPr>
              <w:pStyle w:val="TableContents"/>
              <w:spacing w:lineRule="auto" w:line="300" w:before="0" w:after="0"/>
              <w:ind w:left="180" w:right="0" w:hanging="0"/>
              <w:jc w:val="left"/>
              <w:rPr>
                <w:rFonts w:ascii="Times New Roman" w:hAnsi="Times New Roman"/>
                <w:sz w:val="20"/>
              </w:rPr>
            </w:pPr>
            <w:bookmarkStart w:id="2249" w:name="TAB1805"/>
            <w:bookmarkEnd w:id="2249"/>
            <w:r>
              <w:rPr>
                <w:rFonts w:ascii="Times New Roman" w:hAnsi="Times New Roman"/>
                <w:sz w:val="20"/>
              </w:rPr>
              <w:t>Depreciation and amortization</w:t>
            </w:r>
          </w:p>
        </w:tc>
        <w:tc>
          <w:tcPr>
            <w:tcW w:w="192" w:type="dxa"/>
            <w:tcBorders/>
            <w:shd w:fill="CCEEFF" w:val="clear"/>
            <w:tcMar>
              <w:bottom w:w="0" w:type="dxa"/>
            </w:tcMar>
            <w:vAlign w:val="center"/>
          </w:tcPr>
          <w:p>
            <w:pPr>
              <w:pStyle w:val="TableContents"/>
              <w:spacing w:before="0" w:after="283"/>
              <w:rPr/>
            </w:pPr>
            <w:r>
              <w:rPr/>
              <w:t> </w:t>
            </w:r>
          </w:p>
        </w:tc>
        <w:tc>
          <w:tcPr>
            <w:tcW w:w="126" w:type="dxa"/>
            <w:tcBorders/>
            <w:shd w:fill="CCEEFF" w:val="clear"/>
            <w:tcMar>
              <w:bottom w:w="0" w:type="dxa"/>
            </w:tcMar>
            <w:vAlign w:val="bottom"/>
          </w:tcPr>
          <w:p>
            <w:pPr>
              <w:pStyle w:val="TableContents"/>
              <w:spacing w:before="0" w:after="283"/>
              <w:jc w:val="left"/>
              <w:rPr/>
            </w:pPr>
            <w:r>
              <w:rPr/>
              <w:t> </w:t>
            </w:r>
          </w:p>
        </w:tc>
        <w:tc>
          <w:tcPr>
            <w:tcW w:w="1256"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2250" w:name="TAB1806"/>
            <w:bookmarkStart w:id="2251" w:name="TAB1807"/>
            <w:bookmarkStart w:id="2252" w:name="TAB1808"/>
            <w:bookmarkEnd w:id="2250"/>
            <w:bookmarkEnd w:id="2251"/>
            <w:bookmarkEnd w:id="2252"/>
            <w:r>
              <w:rPr>
                <w:rFonts w:ascii="Times New Roman" w:hAnsi="Times New Roman"/>
                <w:sz w:val="20"/>
              </w:rPr>
              <w:t>13,212</w:t>
            </w:r>
          </w:p>
        </w:tc>
        <w:tc>
          <w:tcPr>
            <w:tcW w:w="198" w:type="dxa"/>
            <w:tcBorders/>
            <w:shd w:fill="CCEEFF" w:val="clear"/>
            <w:tcMar>
              <w:bottom w:w="0" w:type="dxa"/>
            </w:tcMar>
            <w:vAlign w:val="bottom"/>
          </w:tcPr>
          <w:p>
            <w:pPr>
              <w:pStyle w:val="TableContents"/>
              <w:spacing w:before="0" w:after="283"/>
              <w:jc w:val="left"/>
              <w:rPr/>
            </w:pPr>
            <w:r>
              <w:rPr/>
              <w:t> </w:t>
            </w:r>
          </w:p>
        </w:tc>
        <w:tc>
          <w:tcPr>
            <w:tcW w:w="126" w:type="dxa"/>
            <w:tcBorders/>
            <w:shd w:fill="CCEEFF" w:val="clear"/>
            <w:tcMar>
              <w:bottom w:w="0" w:type="dxa"/>
            </w:tcMar>
            <w:vAlign w:val="bottom"/>
          </w:tcPr>
          <w:p>
            <w:pPr>
              <w:pStyle w:val="TableContents"/>
              <w:spacing w:before="0" w:after="283"/>
              <w:jc w:val="left"/>
              <w:rPr/>
            </w:pPr>
            <w:r>
              <w:rPr/>
              <w:t> </w:t>
            </w:r>
          </w:p>
        </w:tc>
        <w:tc>
          <w:tcPr>
            <w:tcW w:w="1256"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2253" w:name="TAB1809"/>
            <w:bookmarkStart w:id="2254" w:name="TAB1810"/>
            <w:bookmarkStart w:id="2255" w:name="TAB1811"/>
            <w:bookmarkEnd w:id="2253"/>
            <w:bookmarkEnd w:id="2254"/>
            <w:bookmarkEnd w:id="2255"/>
            <w:r>
              <w:rPr>
                <w:rFonts w:ascii="Times New Roman" w:hAnsi="Times New Roman"/>
                <w:sz w:val="20"/>
              </w:rPr>
              <w:t>12,384</w:t>
            </w:r>
          </w:p>
        </w:tc>
        <w:tc>
          <w:tcPr>
            <w:tcW w:w="198" w:type="dxa"/>
            <w:tcBorders/>
            <w:shd w:fill="CCEEFF" w:val="clear"/>
            <w:tcMar>
              <w:bottom w:w="0" w:type="dxa"/>
            </w:tcMar>
            <w:vAlign w:val="bottom"/>
          </w:tcPr>
          <w:p>
            <w:pPr>
              <w:pStyle w:val="TableContents"/>
              <w:spacing w:before="0" w:after="283"/>
              <w:jc w:val="left"/>
              <w:rPr/>
            </w:pPr>
            <w:r>
              <w:rPr/>
              <w:t> </w:t>
            </w:r>
          </w:p>
        </w:tc>
        <w:tc>
          <w:tcPr>
            <w:tcW w:w="126" w:type="dxa"/>
            <w:tcBorders/>
            <w:shd w:fill="CCEEFF" w:val="clear"/>
            <w:tcMar>
              <w:bottom w:w="0" w:type="dxa"/>
            </w:tcMar>
            <w:vAlign w:val="bottom"/>
          </w:tcPr>
          <w:p>
            <w:pPr>
              <w:pStyle w:val="TableContents"/>
              <w:spacing w:before="0" w:after="283"/>
              <w:jc w:val="left"/>
              <w:rPr/>
            </w:pPr>
            <w:r>
              <w:rPr/>
              <w:t> </w:t>
            </w:r>
          </w:p>
        </w:tc>
        <w:tc>
          <w:tcPr>
            <w:tcW w:w="1256"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2256" w:name="TAB1812"/>
            <w:bookmarkStart w:id="2257" w:name="TAB1813"/>
            <w:bookmarkStart w:id="2258" w:name="TAB1814"/>
            <w:bookmarkEnd w:id="2256"/>
            <w:bookmarkEnd w:id="2257"/>
            <w:bookmarkEnd w:id="2258"/>
            <w:r>
              <w:rPr>
                <w:rFonts w:ascii="Times New Roman" w:hAnsi="Times New Roman"/>
                <w:sz w:val="20"/>
              </w:rPr>
              <w:t>11,823</w:t>
            </w:r>
          </w:p>
        </w:tc>
        <w:tc>
          <w:tcPr>
            <w:tcW w:w="123" w:type="dxa"/>
            <w:tcBorders/>
            <w:shd w:fill="CCEEFF" w:val="clear"/>
            <w:tcMar>
              <w:bottom w:w="0" w:type="dxa"/>
            </w:tcMar>
            <w:vAlign w:val="bottom"/>
          </w:tcPr>
          <w:p>
            <w:pPr>
              <w:pStyle w:val="TableContents"/>
              <w:spacing w:before="0" w:after="283"/>
              <w:jc w:val="left"/>
              <w:rPr/>
            </w:pPr>
            <w:r>
              <w:rPr/>
              <w:t> </w:t>
            </w:r>
          </w:p>
        </w:tc>
      </w:tr>
      <w:tr>
        <w:trPr/>
        <w:tc>
          <w:tcPr>
            <w:tcW w:w="5348" w:type="dxa"/>
            <w:tcBorders>
              <w:bottom w:val="single" w:sz="2" w:space="0" w:color="000000"/>
            </w:tcBorders>
            <w:shd w:fill="FFFFFF" w:val="clear"/>
            <w:vAlign w:val="bottom"/>
          </w:tcPr>
          <w:p>
            <w:pPr>
              <w:pStyle w:val="TableContents"/>
              <w:spacing w:lineRule="auto" w:line="300" w:before="0" w:after="0"/>
              <w:ind w:left="180" w:right="0" w:hanging="0"/>
              <w:jc w:val="left"/>
              <w:rPr>
                <w:rFonts w:ascii="Times New Roman" w:hAnsi="Times New Roman"/>
                <w:sz w:val="20"/>
              </w:rPr>
            </w:pPr>
            <w:bookmarkStart w:id="2259" w:name="TAB1815"/>
            <w:bookmarkEnd w:id="2259"/>
            <w:r>
              <w:rPr>
                <w:rFonts w:ascii="Times New Roman" w:hAnsi="Times New Roman"/>
                <w:sz w:val="20"/>
              </w:rPr>
              <w:t xml:space="preserve">General and administrative </w:t>
            </w:r>
          </w:p>
        </w:tc>
        <w:tc>
          <w:tcPr>
            <w:tcW w:w="192" w:type="dxa"/>
            <w:tcBorders>
              <w:bottom w:val="single" w:sz="4" w:space="0" w:color="FFFFFF"/>
            </w:tcBorders>
            <w:shd w:fill="FFFFFF" w:val="clear"/>
            <w:vAlign w:val="center"/>
          </w:tcPr>
          <w:p>
            <w:pPr>
              <w:pStyle w:val="TableContents"/>
              <w:spacing w:before="0" w:after="283"/>
              <w:rPr/>
            </w:pPr>
            <w:r>
              <w:rPr/>
              <w:t> </w:t>
            </w:r>
          </w:p>
        </w:tc>
        <w:tc>
          <w:tcPr>
            <w:tcW w:w="126" w:type="dxa"/>
            <w:tcBorders>
              <w:bottom w:val="single" w:sz="2" w:space="0" w:color="000000"/>
            </w:tcBorders>
            <w:shd w:fill="FFFFFF" w:val="clear"/>
            <w:vAlign w:val="bottom"/>
          </w:tcPr>
          <w:p>
            <w:pPr>
              <w:pStyle w:val="TableContents"/>
              <w:spacing w:before="0" w:after="283"/>
              <w:jc w:val="left"/>
              <w:rPr/>
            </w:pPr>
            <w:r>
              <w:rPr/>
              <w:t> </w:t>
            </w:r>
          </w:p>
        </w:tc>
        <w:tc>
          <w:tcPr>
            <w:tcW w:w="1256"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2260" w:name="TAB1816"/>
            <w:bookmarkStart w:id="2261" w:name="TAB1817"/>
            <w:bookmarkStart w:id="2262" w:name="TAB1818"/>
            <w:bookmarkEnd w:id="2260"/>
            <w:bookmarkEnd w:id="2261"/>
            <w:bookmarkEnd w:id="2262"/>
            <w:r>
              <w:rPr>
                <w:rFonts w:ascii="Times New Roman" w:hAnsi="Times New Roman"/>
                <w:sz w:val="20"/>
              </w:rPr>
              <w:t>12,991</w:t>
            </w:r>
          </w:p>
        </w:tc>
        <w:tc>
          <w:tcPr>
            <w:tcW w:w="198" w:type="dxa"/>
            <w:tcBorders>
              <w:bottom w:val="single" w:sz="4" w:space="0" w:color="FFFFFF"/>
            </w:tcBorders>
            <w:shd w:fill="FFFFFF" w:val="clear"/>
            <w:vAlign w:val="bottom"/>
          </w:tcPr>
          <w:p>
            <w:pPr>
              <w:pStyle w:val="TableContents"/>
              <w:spacing w:before="0" w:after="283"/>
              <w:jc w:val="left"/>
              <w:rPr/>
            </w:pPr>
            <w:r>
              <w:rPr/>
              <w:t> </w:t>
            </w:r>
          </w:p>
        </w:tc>
        <w:tc>
          <w:tcPr>
            <w:tcW w:w="126" w:type="dxa"/>
            <w:tcBorders>
              <w:bottom w:val="single" w:sz="2" w:space="0" w:color="000000"/>
            </w:tcBorders>
            <w:shd w:fill="FFFFFF" w:val="clear"/>
            <w:vAlign w:val="bottom"/>
          </w:tcPr>
          <w:p>
            <w:pPr>
              <w:pStyle w:val="TableContents"/>
              <w:spacing w:before="0" w:after="283"/>
              <w:jc w:val="left"/>
              <w:rPr/>
            </w:pPr>
            <w:r>
              <w:rPr/>
              <w:t> </w:t>
            </w:r>
          </w:p>
        </w:tc>
        <w:tc>
          <w:tcPr>
            <w:tcW w:w="1256"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2263" w:name="TAB1819"/>
            <w:bookmarkStart w:id="2264" w:name="TAB1820"/>
            <w:bookmarkStart w:id="2265" w:name="TAB1821"/>
            <w:bookmarkEnd w:id="2263"/>
            <w:bookmarkEnd w:id="2264"/>
            <w:bookmarkEnd w:id="2265"/>
            <w:r>
              <w:rPr>
                <w:rFonts w:ascii="Times New Roman" w:hAnsi="Times New Roman"/>
                <w:sz w:val="20"/>
              </w:rPr>
              <w:t>17,247</w:t>
            </w:r>
          </w:p>
        </w:tc>
        <w:tc>
          <w:tcPr>
            <w:tcW w:w="198" w:type="dxa"/>
            <w:tcBorders>
              <w:bottom w:val="single" w:sz="4" w:space="0" w:color="FFFFFF"/>
            </w:tcBorders>
            <w:shd w:fill="FFFFFF" w:val="clear"/>
            <w:vAlign w:val="bottom"/>
          </w:tcPr>
          <w:p>
            <w:pPr>
              <w:pStyle w:val="TableContents"/>
              <w:spacing w:before="0" w:after="283"/>
              <w:jc w:val="left"/>
              <w:rPr/>
            </w:pPr>
            <w:r>
              <w:rPr/>
              <w:t> </w:t>
            </w:r>
          </w:p>
        </w:tc>
        <w:tc>
          <w:tcPr>
            <w:tcW w:w="126" w:type="dxa"/>
            <w:tcBorders>
              <w:bottom w:val="single" w:sz="2" w:space="0" w:color="000000"/>
            </w:tcBorders>
            <w:shd w:fill="FFFFFF" w:val="clear"/>
            <w:vAlign w:val="bottom"/>
          </w:tcPr>
          <w:p>
            <w:pPr>
              <w:pStyle w:val="TableContents"/>
              <w:spacing w:before="0" w:after="283"/>
              <w:jc w:val="left"/>
              <w:rPr/>
            </w:pPr>
            <w:r>
              <w:rPr/>
              <w:t> </w:t>
            </w:r>
          </w:p>
        </w:tc>
        <w:tc>
          <w:tcPr>
            <w:tcW w:w="1256"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2266" w:name="TAB1822"/>
            <w:bookmarkStart w:id="2267" w:name="TAB1823"/>
            <w:bookmarkStart w:id="2268" w:name="TAB1824"/>
            <w:bookmarkEnd w:id="2266"/>
            <w:bookmarkEnd w:id="2267"/>
            <w:bookmarkEnd w:id="2268"/>
            <w:r>
              <w:rPr>
                <w:rFonts w:ascii="Times New Roman" w:hAnsi="Times New Roman"/>
                <w:sz w:val="20"/>
              </w:rPr>
              <w:t>14,824</w:t>
            </w:r>
          </w:p>
        </w:tc>
        <w:tc>
          <w:tcPr>
            <w:tcW w:w="123" w:type="dxa"/>
            <w:tcBorders>
              <w:bottom w:val="single" w:sz="4" w:space="0" w:color="FFFFFF"/>
            </w:tcBorders>
            <w:shd w:fill="FFFFFF" w:val="clear"/>
            <w:vAlign w:val="bottom"/>
          </w:tcPr>
          <w:p>
            <w:pPr>
              <w:pStyle w:val="TableContents"/>
              <w:spacing w:before="0" w:after="283"/>
              <w:jc w:val="left"/>
              <w:rPr/>
            </w:pPr>
            <w:r>
              <w:rPr/>
              <w:t> </w:t>
            </w:r>
          </w:p>
        </w:tc>
      </w:tr>
      <w:tr>
        <w:trPr/>
        <w:tc>
          <w:tcPr>
            <w:tcW w:w="5348" w:type="dxa"/>
            <w:tcBorders>
              <w:bottom w:val="single" w:sz="2" w:space="0" w:color="000000"/>
            </w:tcBorders>
            <w:shd w:fill="CCEEFF" w:val="clear"/>
            <w:vAlign w:val="bottom"/>
          </w:tcPr>
          <w:p>
            <w:pPr>
              <w:pStyle w:val="TableContents"/>
              <w:spacing w:lineRule="auto" w:line="300" w:before="0" w:after="0"/>
              <w:ind w:left="360" w:right="0" w:hanging="0"/>
              <w:jc w:val="left"/>
              <w:rPr>
                <w:rFonts w:ascii="Times New Roman" w:hAnsi="Times New Roman"/>
                <w:sz w:val="20"/>
              </w:rPr>
            </w:pPr>
            <w:bookmarkStart w:id="2269" w:name="TAB1825"/>
            <w:bookmarkEnd w:id="2269"/>
            <w:r>
              <w:rPr>
                <w:rFonts w:ascii="Times New Roman" w:hAnsi="Times New Roman"/>
                <w:sz w:val="20"/>
              </w:rPr>
              <w:t>Total operating expense</w:t>
            </w:r>
          </w:p>
        </w:tc>
        <w:tc>
          <w:tcPr>
            <w:tcW w:w="192" w:type="dxa"/>
            <w:tcBorders>
              <w:bottom w:val="single" w:sz="2" w:space="0" w:color="CCEEFF"/>
            </w:tcBorders>
            <w:shd w:fill="CCEEFF" w:val="clear"/>
            <w:vAlign w:val="center"/>
          </w:tcPr>
          <w:p>
            <w:pPr>
              <w:pStyle w:val="TableContents"/>
              <w:spacing w:before="0" w:after="283"/>
              <w:rPr/>
            </w:pPr>
            <w:r>
              <w:rPr/>
              <w:t> </w:t>
            </w:r>
          </w:p>
        </w:tc>
        <w:tc>
          <w:tcPr>
            <w:tcW w:w="126" w:type="dxa"/>
            <w:tcBorders>
              <w:bottom w:val="single" w:sz="2" w:space="0" w:color="000000"/>
            </w:tcBorders>
            <w:shd w:fill="CCEEFF" w:val="clear"/>
            <w:vAlign w:val="bottom"/>
          </w:tcPr>
          <w:p>
            <w:pPr>
              <w:pStyle w:val="TableContents"/>
              <w:spacing w:before="0" w:after="283"/>
              <w:jc w:val="left"/>
              <w:rPr/>
            </w:pPr>
            <w:r>
              <w:rPr/>
              <w:t> </w:t>
            </w:r>
          </w:p>
        </w:tc>
        <w:tc>
          <w:tcPr>
            <w:tcW w:w="1256"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2270" w:name="TAB1826"/>
            <w:bookmarkStart w:id="2271" w:name="TAB1827"/>
            <w:bookmarkStart w:id="2272" w:name="TAB1828"/>
            <w:bookmarkEnd w:id="2270"/>
            <w:bookmarkEnd w:id="2271"/>
            <w:bookmarkEnd w:id="2272"/>
            <w:r>
              <w:rPr>
                <w:rFonts w:ascii="Times New Roman" w:hAnsi="Times New Roman"/>
                <w:sz w:val="20"/>
              </w:rPr>
              <w:t>103,710</w:t>
            </w:r>
          </w:p>
        </w:tc>
        <w:tc>
          <w:tcPr>
            <w:tcW w:w="198" w:type="dxa"/>
            <w:tcBorders>
              <w:bottom w:val="single" w:sz="2" w:space="0" w:color="CCEEFF"/>
            </w:tcBorders>
            <w:shd w:fill="CCEEFF" w:val="clear"/>
            <w:vAlign w:val="bottom"/>
          </w:tcPr>
          <w:p>
            <w:pPr>
              <w:pStyle w:val="TableContents"/>
              <w:spacing w:before="0" w:after="283"/>
              <w:jc w:val="left"/>
              <w:rPr/>
            </w:pPr>
            <w:r>
              <w:rPr/>
              <w:t> </w:t>
            </w:r>
          </w:p>
        </w:tc>
        <w:tc>
          <w:tcPr>
            <w:tcW w:w="126" w:type="dxa"/>
            <w:tcBorders>
              <w:bottom w:val="single" w:sz="2" w:space="0" w:color="000000"/>
            </w:tcBorders>
            <w:shd w:fill="CCEEFF" w:val="clear"/>
            <w:vAlign w:val="bottom"/>
          </w:tcPr>
          <w:p>
            <w:pPr>
              <w:pStyle w:val="TableContents"/>
              <w:spacing w:before="0" w:after="283"/>
              <w:jc w:val="left"/>
              <w:rPr/>
            </w:pPr>
            <w:r>
              <w:rPr/>
              <w:t> </w:t>
            </w:r>
          </w:p>
        </w:tc>
        <w:tc>
          <w:tcPr>
            <w:tcW w:w="1256"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2273" w:name="TAB1829"/>
            <w:bookmarkStart w:id="2274" w:name="TAB1830"/>
            <w:bookmarkStart w:id="2275" w:name="TAB1831"/>
            <w:bookmarkEnd w:id="2273"/>
            <w:bookmarkEnd w:id="2274"/>
            <w:bookmarkEnd w:id="2275"/>
            <w:r>
              <w:rPr>
                <w:rFonts w:ascii="Times New Roman" w:hAnsi="Times New Roman"/>
                <w:sz w:val="20"/>
              </w:rPr>
              <w:t>104,477</w:t>
            </w:r>
          </w:p>
        </w:tc>
        <w:tc>
          <w:tcPr>
            <w:tcW w:w="198" w:type="dxa"/>
            <w:tcBorders>
              <w:bottom w:val="single" w:sz="2" w:space="0" w:color="CCEEFF"/>
            </w:tcBorders>
            <w:shd w:fill="CCEEFF" w:val="clear"/>
            <w:vAlign w:val="bottom"/>
          </w:tcPr>
          <w:p>
            <w:pPr>
              <w:pStyle w:val="TableContents"/>
              <w:spacing w:before="0" w:after="283"/>
              <w:jc w:val="left"/>
              <w:rPr/>
            </w:pPr>
            <w:r>
              <w:rPr/>
              <w:t> </w:t>
            </w:r>
          </w:p>
        </w:tc>
        <w:tc>
          <w:tcPr>
            <w:tcW w:w="126" w:type="dxa"/>
            <w:tcBorders>
              <w:bottom w:val="single" w:sz="2" w:space="0" w:color="000000"/>
            </w:tcBorders>
            <w:shd w:fill="CCEEFF" w:val="clear"/>
            <w:vAlign w:val="bottom"/>
          </w:tcPr>
          <w:p>
            <w:pPr>
              <w:pStyle w:val="TableContents"/>
              <w:spacing w:before="0" w:after="283"/>
              <w:jc w:val="left"/>
              <w:rPr/>
            </w:pPr>
            <w:r>
              <w:rPr/>
              <w:t> </w:t>
            </w:r>
          </w:p>
        </w:tc>
        <w:tc>
          <w:tcPr>
            <w:tcW w:w="1256"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2276" w:name="TAB1832"/>
            <w:bookmarkStart w:id="2277" w:name="TAB1833"/>
            <w:bookmarkStart w:id="2278" w:name="TAB1834"/>
            <w:bookmarkEnd w:id="2276"/>
            <w:bookmarkEnd w:id="2277"/>
            <w:bookmarkEnd w:id="2278"/>
            <w:r>
              <w:rPr>
                <w:rFonts w:ascii="Times New Roman" w:hAnsi="Times New Roman"/>
                <w:sz w:val="20"/>
              </w:rPr>
              <w:t>90,411</w:t>
            </w:r>
          </w:p>
        </w:tc>
        <w:tc>
          <w:tcPr>
            <w:tcW w:w="123" w:type="dxa"/>
            <w:tcBorders>
              <w:bottom w:val="single" w:sz="2" w:space="0" w:color="CCEEFF"/>
            </w:tcBorders>
            <w:shd w:fill="CCEEFF" w:val="clear"/>
            <w:vAlign w:val="bottom"/>
          </w:tcPr>
          <w:p>
            <w:pPr>
              <w:pStyle w:val="TableContents"/>
              <w:spacing w:before="0" w:after="283"/>
              <w:jc w:val="left"/>
              <w:rPr/>
            </w:pPr>
            <w:r>
              <w:rPr/>
              <w:t> </w:t>
            </w:r>
          </w:p>
        </w:tc>
      </w:tr>
      <w:tr>
        <w:trPr/>
        <w:tc>
          <w:tcPr>
            <w:tcW w:w="5348" w:type="dxa"/>
            <w:tcBorders/>
            <w:shd w:fill="FFFFFF" w:val="clear"/>
            <w:tcMar>
              <w:bottom w:w="0" w:type="dxa"/>
            </w:tcMar>
            <w:vAlign w:val="bottom"/>
          </w:tcPr>
          <w:p>
            <w:pPr>
              <w:pStyle w:val="TableContents"/>
              <w:spacing w:before="0" w:after="283"/>
              <w:jc w:val="left"/>
              <w:rPr/>
            </w:pPr>
            <w:r>
              <w:rPr/>
              <w:t> </w:t>
            </w:r>
          </w:p>
        </w:tc>
        <w:tc>
          <w:tcPr>
            <w:tcW w:w="192" w:type="dxa"/>
            <w:tcBorders/>
            <w:shd w:fill="FFFFFF" w:val="clear"/>
            <w:tcMar>
              <w:bottom w:w="0" w:type="dxa"/>
            </w:tcMar>
            <w:vAlign w:val="center"/>
          </w:tcPr>
          <w:p>
            <w:pPr>
              <w:pStyle w:val="TableContents"/>
              <w:spacing w:before="0" w:after="283"/>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256" w:type="dxa"/>
            <w:tcBorders/>
            <w:shd w:fill="FFFFFF" w:val="clear"/>
            <w:tcMar>
              <w:bottom w:w="0" w:type="dxa"/>
            </w:tcMar>
            <w:vAlign w:val="bottom"/>
          </w:tcPr>
          <w:p>
            <w:pPr>
              <w:pStyle w:val="TableContents"/>
              <w:spacing w:before="0" w:after="283"/>
              <w:jc w:val="right"/>
              <w:rPr/>
            </w:pPr>
            <w:r>
              <w:rPr/>
              <w:t> </w:t>
            </w:r>
          </w:p>
        </w:tc>
        <w:tc>
          <w:tcPr>
            <w:tcW w:w="198" w:type="dxa"/>
            <w:tcBorders/>
            <w:shd w:fill="FFFFFF" w:val="clear"/>
            <w:tcMar>
              <w:bottom w:w="0" w:type="dxa"/>
            </w:tcMar>
            <w:vAlign w:val="bottom"/>
          </w:tcPr>
          <w:p>
            <w:pPr>
              <w:pStyle w:val="TableContents"/>
              <w:spacing w:before="0" w:after="283"/>
              <w:jc w:val="left"/>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256" w:type="dxa"/>
            <w:tcBorders/>
            <w:shd w:fill="FFFFFF" w:val="clear"/>
            <w:tcMar>
              <w:bottom w:w="0" w:type="dxa"/>
            </w:tcMar>
            <w:vAlign w:val="bottom"/>
          </w:tcPr>
          <w:p>
            <w:pPr>
              <w:pStyle w:val="TableContents"/>
              <w:spacing w:before="0" w:after="283"/>
              <w:jc w:val="right"/>
              <w:rPr/>
            </w:pPr>
            <w:r>
              <w:rPr/>
              <w:t> </w:t>
            </w:r>
          </w:p>
        </w:tc>
        <w:tc>
          <w:tcPr>
            <w:tcW w:w="198" w:type="dxa"/>
            <w:tcBorders/>
            <w:shd w:fill="FFFFFF" w:val="clear"/>
            <w:tcMar>
              <w:bottom w:w="0" w:type="dxa"/>
            </w:tcMar>
            <w:vAlign w:val="bottom"/>
          </w:tcPr>
          <w:p>
            <w:pPr>
              <w:pStyle w:val="TableContents"/>
              <w:spacing w:before="0" w:after="283"/>
              <w:jc w:val="left"/>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256" w:type="dxa"/>
            <w:tcBorders/>
            <w:shd w:fill="FFFFFF" w:val="clear"/>
            <w:tcMar>
              <w:bottom w:w="0" w:type="dxa"/>
            </w:tcMar>
            <w:vAlign w:val="bottom"/>
          </w:tcPr>
          <w:p>
            <w:pPr>
              <w:pStyle w:val="TableContents"/>
              <w:spacing w:before="0" w:after="283"/>
              <w:jc w:val="right"/>
              <w:rPr/>
            </w:pPr>
            <w:r>
              <w:rPr/>
              <w:t> </w:t>
            </w:r>
          </w:p>
        </w:tc>
        <w:tc>
          <w:tcPr>
            <w:tcW w:w="123" w:type="dxa"/>
            <w:tcBorders/>
            <w:shd w:fill="FFFFFF" w:val="clear"/>
            <w:tcMar>
              <w:bottom w:w="0" w:type="dxa"/>
            </w:tcMar>
            <w:vAlign w:val="bottom"/>
          </w:tcPr>
          <w:p>
            <w:pPr>
              <w:pStyle w:val="TableContents"/>
              <w:spacing w:before="0" w:after="283"/>
              <w:jc w:val="left"/>
              <w:rPr/>
            </w:pPr>
            <w:r>
              <w:rPr/>
              <w:t> </w:t>
            </w:r>
          </w:p>
        </w:tc>
      </w:tr>
      <w:tr>
        <w:trPr/>
        <w:tc>
          <w:tcPr>
            <w:tcW w:w="5348" w:type="dxa"/>
            <w:tcBorders/>
            <w:shd w:fill="CCEEFF" w:val="clear"/>
            <w:tcMar>
              <w:bottom w:w="0" w:type="dxa"/>
            </w:tcMar>
            <w:vAlign w:val="bottom"/>
          </w:tcPr>
          <w:p>
            <w:pPr>
              <w:pStyle w:val="TableContents"/>
              <w:spacing w:lineRule="auto" w:line="300" w:before="0" w:after="0"/>
              <w:ind w:left="180" w:right="0" w:hanging="180"/>
              <w:jc w:val="left"/>
              <w:rPr/>
            </w:pPr>
            <w:r>
              <w:rPr>
                <w:rStyle w:val="StrongEmphasis"/>
                <w:rFonts w:ascii="Times New Roman" w:hAnsi="Times New Roman"/>
                <w:sz w:val="20"/>
              </w:rPr>
              <w:t>Operating income (loss)</w:t>
            </w:r>
          </w:p>
        </w:tc>
        <w:tc>
          <w:tcPr>
            <w:tcW w:w="192" w:type="dxa"/>
            <w:tcBorders/>
            <w:shd w:fill="CCEEFF" w:val="clear"/>
            <w:tcMar>
              <w:bottom w:w="0" w:type="dxa"/>
            </w:tcMar>
            <w:vAlign w:val="center"/>
          </w:tcPr>
          <w:p>
            <w:pPr>
              <w:pStyle w:val="TableContents"/>
              <w:spacing w:before="0" w:after="283"/>
              <w:rPr/>
            </w:pPr>
            <w:r>
              <w:rPr/>
              <w:t> </w:t>
            </w:r>
          </w:p>
        </w:tc>
        <w:tc>
          <w:tcPr>
            <w:tcW w:w="126" w:type="dxa"/>
            <w:tcBorders/>
            <w:shd w:fill="CCEEFF" w:val="clear"/>
            <w:tcMar>
              <w:bottom w:w="0" w:type="dxa"/>
            </w:tcMar>
            <w:vAlign w:val="bottom"/>
          </w:tcPr>
          <w:p>
            <w:pPr>
              <w:pStyle w:val="TableContents"/>
              <w:spacing w:before="0" w:after="283"/>
              <w:jc w:val="left"/>
              <w:rPr/>
            </w:pPr>
            <w:r>
              <w:rPr/>
              <w:t> </w:t>
            </w:r>
          </w:p>
        </w:tc>
        <w:tc>
          <w:tcPr>
            <w:tcW w:w="1256"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2279" w:name="TAB1835"/>
            <w:bookmarkStart w:id="2280" w:name="TAB1836"/>
            <w:bookmarkStart w:id="2281" w:name="TAB1837"/>
            <w:bookmarkEnd w:id="2279"/>
            <w:bookmarkEnd w:id="2280"/>
            <w:bookmarkEnd w:id="2281"/>
            <w:r>
              <w:rPr>
                <w:rFonts w:ascii="Times New Roman" w:hAnsi="Times New Roman"/>
                <w:sz w:val="20"/>
              </w:rPr>
              <w:t>2,415</w:t>
            </w:r>
          </w:p>
        </w:tc>
        <w:tc>
          <w:tcPr>
            <w:tcW w:w="198" w:type="dxa"/>
            <w:tcBorders/>
            <w:shd w:fill="CCEEFF" w:val="clear"/>
            <w:tcMar>
              <w:bottom w:w="0" w:type="dxa"/>
            </w:tcMar>
            <w:vAlign w:val="bottom"/>
          </w:tcPr>
          <w:p>
            <w:pPr>
              <w:pStyle w:val="TableContents"/>
              <w:spacing w:before="0" w:after="283"/>
              <w:jc w:val="left"/>
              <w:rPr/>
            </w:pPr>
            <w:r>
              <w:rPr/>
              <w:t> </w:t>
            </w:r>
          </w:p>
        </w:tc>
        <w:tc>
          <w:tcPr>
            <w:tcW w:w="126" w:type="dxa"/>
            <w:tcBorders/>
            <w:shd w:fill="CCEEFF" w:val="clear"/>
            <w:tcMar>
              <w:bottom w:w="0" w:type="dxa"/>
            </w:tcMar>
            <w:vAlign w:val="bottom"/>
          </w:tcPr>
          <w:p>
            <w:pPr>
              <w:pStyle w:val="TableContents"/>
              <w:spacing w:before="0" w:after="283"/>
              <w:jc w:val="left"/>
              <w:rPr/>
            </w:pPr>
            <w:r>
              <w:rPr/>
              <w:t> </w:t>
            </w:r>
          </w:p>
        </w:tc>
        <w:tc>
          <w:tcPr>
            <w:tcW w:w="1256"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2282" w:name="TAB1838"/>
            <w:bookmarkStart w:id="2283" w:name="TAB1839"/>
            <w:bookmarkStart w:id="2284" w:name="TAB1840"/>
            <w:bookmarkEnd w:id="2282"/>
            <w:bookmarkEnd w:id="2283"/>
            <w:bookmarkEnd w:id="2284"/>
            <w:r>
              <w:rPr>
                <w:rFonts w:ascii="Times New Roman" w:hAnsi="Times New Roman"/>
                <w:sz w:val="20"/>
              </w:rPr>
              <w:t>(6,372</w:t>
            </w:r>
          </w:p>
        </w:tc>
        <w:tc>
          <w:tcPr>
            <w:tcW w:w="198"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2285" w:name="TAB1841"/>
            <w:bookmarkStart w:id="2286" w:name="TAB1842"/>
            <w:bookmarkStart w:id="2287" w:name="TAB1843"/>
            <w:bookmarkEnd w:id="2285"/>
            <w:bookmarkEnd w:id="2286"/>
            <w:bookmarkEnd w:id="2287"/>
            <w:r>
              <w:rPr>
                <w:rFonts w:ascii="Times New Roman" w:hAnsi="Times New Roman"/>
                <w:sz w:val="20"/>
              </w:rPr>
              <w:t>)</w:t>
            </w:r>
          </w:p>
        </w:tc>
        <w:tc>
          <w:tcPr>
            <w:tcW w:w="126" w:type="dxa"/>
            <w:tcBorders/>
            <w:shd w:fill="CCEEFF" w:val="clear"/>
            <w:tcMar>
              <w:bottom w:w="0" w:type="dxa"/>
            </w:tcMar>
            <w:vAlign w:val="bottom"/>
          </w:tcPr>
          <w:p>
            <w:pPr>
              <w:pStyle w:val="TableContents"/>
              <w:spacing w:before="0" w:after="283"/>
              <w:jc w:val="left"/>
              <w:rPr/>
            </w:pPr>
            <w:r>
              <w:rPr/>
              <w:t> </w:t>
            </w:r>
          </w:p>
        </w:tc>
        <w:tc>
          <w:tcPr>
            <w:tcW w:w="1256"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2288" w:name="TAB1844"/>
            <w:bookmarkStart w:id="2289" w:name="TAB1845"/>
            <w:bookmarkStart w:id="2290" w:name="TAB1846"/>
            <w:bookmarkEnd w:id="2288"/>
            <w:bookmarkEnd w:id="2289"/>
            <w:bookmarkEnd w:id="2290"/>
            <w:r>
              <w:rPr>
                <w:rFonts w:ascii="Times New Roman" w:hAnsi="Times New Roman"/>
                <w:sz w:val="20"/>
              </w:rPr>
              <w:t>(6,322</w:t>
            </w:r>
          </w:p>
        </w:tc>
        <w:tc>
          <w:tcPr>
            <w:tcW w:w="123"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2291" w:name="TAB1847"/>
            <w:bookmarkStart w:id="2292" w:name="TAB1848"/>
            <w:bookmarkStart w:id="2293" w:name="TAB1849"/>
            <w:bookmarkEnd w:id="2291"/>
            <w:bookmarkEnd w:id="2292"/>
            <w:bookmarkEnd w:id="2293"/>
            <w:r>
              <w:rPr>
                <w:rFonts w:ascii="Times New Roman" w:hAnsi="Times New Roman"/>
                <w:sz w:val="20"/>
              </w:rPr>
              <w:t>)</w:t>
            </w:r>
          </w:p>
        </w:tc>
      </w:tr>
      <w:tr>
        <w:trPr/>
        <w:tc>
          <w:tcPr>
            <w:tcW w:w="5348" w:type="dxa"/>
            <w:tcBorders/>
            <w:shd w:fill="FFFFFF" w:val="clear"/>
            <w:tcMar>
              <w:bottom w:w="0" w:type="dxa"/>
            </w:tcMar>
            <w:vAlign w:val="bottom"/>
          </w:tcPr>
          <w:p>
            <w:pPr>
              <w:pStyle w:val="TableContents"/>
              <w:spacing w:before="0" w:after="283"/>
              <w:jc w:val="left"/>
              <w:rPr/>
            </w:pPr>
            <w:r>
              <w:rPr/>
              <w:t> </w:t>
            </w:r>
          </w:p>
        </w:tc>
        <w:tc>
          <w:tcPr>
            <w:tcW w:w="192" w:type="dxa"/>
            <w:tcBorders/>
            <w:shd w:fill="FFFFFF" w:val="clear"/>
            <w:tcMar>
              <w:bottom w:w="0" w:type="dxa"/>
            </w:tcMar>
            <w:vAlign w:val="center"/>
          </w:tcPr>
          <w:p>
            <w:pPr>
              <w:pStyle w:val="TableContents"/>
              <w:spacing w:before="0" w:after="283"/>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256" w:type="dxa"/>
            <w:tcBorders/>
            <w:shd w:fill="FFFFFF" w:val="clear"/>
            <w:tcMar>
              <w:bottom w:w="0" w:type="dxa"/>
            </w:tcMar>
            <w:vAlign w:val="bottom"/>
          </w:tcPr>
          <w:p>
            <w:pPr>
              <w:pStyle w:val="TableContents"/>
              <w:spacing w:before="0" w:after="283"/>
              <w:jc w:val="right"/>
              <w:rPr/>
            </w:pPr>
            <w:r>
              <w:rPr/>
              <w:t> </w:t>
            </w:r>
          </w:p>
        </w:tc>
        <w:tc>
          <w:tcPr>
            <w:tcW w:w="198" w:type="dxa"/>
            <w:tcBorders/>
            <w:shd w:fill="FFFFFF" w:val="clear"/>
            <w:tcMar>
              <w:bottom w:w="0" w:type="dxa"/>
            </w:tcMar>
            <w:vAlign w:val="bottom"/>
          </w:tcPr>
          <w:p>
            <w:pPr>
              <w:pStyle w:val="TableContents"/>
              <w:spacing w:before="0" w:after="283"/>
              <w:jc w:val="left"/>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256" w:type="dxa"/>
            <w:tcBorders/>
            <w:shd w:fill="FFFFFF" w:val="clear"/>
            <w:tcMar>
              <w:bottom w:w="0" w:type="dxa"/>
            </w:tcMar>
            <w:vAlign w:val="bottom"/>
          </w:tcPr>
          <w:p>
            <w:pPr>
              <w:pStyle w:val="TableContents"/>
              <w:spacing w:before="0" w:after="283"/>
              <w:jc w:val="right"/>
              <w:rPr/>
            </w:pPr>
            <w:r>
              <w:rPr/>
              <w:t> </w:t>
            </w:r>
          </w:p>
        </w:tc>
        <w:tc>
          <w:tcPr>
            <w:tcW w:w="198" w:type="dxa"/>
            <w:tcBorders/>
            <w:shd w:fill="FFFFFF" w:val="clear"/>
            <w:tcMar>
              <w:bottom w:w="0" w:type="dxa"/>
            </w:tcMar>
            <w:vAlign w:val="bottom"/>
          </w:tcPr>
          <w:p>
            <w:pPr>
              <w:pStyle w:val="TableContents"/>
              <w:spacing w:before="0" w:after="283"/>
              <w:jc w:val="left"/>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256" w:type="dxa"/>
            <w:tcBorders/>
            <w:shd w:fill="FFFFFF" w:val="clear"/>
            <w:tcMar>
              <w:bottom w:w="0" w:type="dxa"/>
            </w:tcMar>
            <w:vAlign w:val="bottom"/>
          </w:tcPr>
          <w:p>
            <w:pPr>
              <w:pStyle w:val="TableContents"/>
              <w:spacing w:before="0" w:after="283"/>
              <w:jc w:val="right"/>
              <w:rPr/>
            </w:pPr>
            <w:r>
              <w:rPr/>
              <w:t> </w:t>
            </w:r>
          </w:p>
        </w:tc>
        <w:tc>
          <w:tcPr>
            <w:tcW w:w="123" w:type="dxa"/>
            <w:tcBorders/>
            <w:shd w:fill="FFFFFF" w:val="clear"/>
            <w:tcMar>
              <w:bottom w:w="0" w:type="dxa"/>
            </w:tcMar>
            <w:vAlign w:val="bottom"/>
          </w:tcPr>
          <w:p>
            <w:pPr>
              <w:pStyle w:val="TableContents"/>
              <w:spacing w:before="0" w:after="283"/>
              <w:jc w:val="left"/>
              <w:rPr/>
            </w:pPr>
            <w:r>
              <w:rPr/>
              <w:t> </w:t>
            </w:r>
          </w:p>
        </w:tc>
      </w:tr>
      <w:tr>
        <w:trPr/>
        <w:tc>
          <w:tcPr>
            <w:tcW w:w="5348" w:type="dxa"/>
            <w:tcBorders/>
            <w:shd w:fill="CCEEFF" w:val="clear"/>
            <w:tcMar>
              <w:bottom w:w="0" w:type="dxa"/>
            </w:tcMar>
            <w:vAlign w:val="bottom"/>
          </w:tcPr>
          <w:p>
            <w:pPr>
              <w:pStyle w:val="TableContents"/>
              <w:spacing w:lineRule="auto" w:line="300" w:before="0" w:after="0"/>
              <w:ind w:left="180" w:right="0" w:hanging="180"/>
              <w:jc w:val="left"/>
              <w:rPr/>
            </w:pPr>
            <w:r>
              <w:rPr>
                <w:rStyle w:val="StrongEmphasis"/>
                <w:rFonts w:ascii="Times New Roman" w:hAnsi="Times New Roman"/>
                <w:sz w:val="20"/>
              </w:rPr>
              <w:t>Non-operating income (expense)</w:t>
            </w:r>
          </w:p>
        </w:tc>
        <w:tc>
          <w:tcPr>
            <w:tcW w:w="192" w:type="dxa"/>
            <w:tcBorders/>
            <w:shd w:fill="CCEEFF" w:val="clear"/>
            <w:tcMar>
              <w:bottom w:w="0" w:type="dxa"/>
            </w:tcMar>
            <w:vAlign w:val="center"/>
          </w:tcPr>
          <w:p>
            <w:pPr>
              <w:pStyle w:val="TableContents"/>
              <w:spacing w:before="0" w:after="283"/>
              <w:rPr/>
            </w:pPr>
            <w:r>
              <w:rPr/>
              <w:t> </w:t>
            </w:r>
          </w:p>
        </w:tc>
        <w:tc>
          <w:tcPr>
            <w:tcW w:w="126" w:type="dxa"/>
            <w:tcBorders/>
            <w:shd w:fill="CCEEFF" w:val="clear"/>
            <w:tcMar>
              <w:bottom w:w="0" w:type="dxa"/>
            </w:tcMar>
            <w:vAlign w:val="bottom"/>
          </w:tcPr>
          <w:p>
            <w:pPr>
              <w:pStyle w:val="TableContents"/>
              <w:spacing w:before="0" w:after="283"/>
              <w:jc w:val="left"/>
              <w:rPr/>
            </w:pPr>
            <w:r>
              <w:rPr/>
              <w:t> </w:t>
            </w:r>
          </w:p>
        </w:tc>
        <w:tc>
          <w:tcPr>
            <w:tcW w:w="1256" w:type="dxa"/>
            <w:tcBorders/>
            <w:shd w:fill="CCEEFF" w:val="clear"/>
            <w:tcMar>
              <w:bottom w:w="0" w:type="dxa"/>
            </w:tcMar>
            <w:vAlign w:val="bottom"/>
          </w:tcPr>
          <w:p>
            <w:pPr>
              <w:pStyle w:val="TableContents"/>
              <w:spacing w:before="0" w:after="283"/>
              <w:jc w:val="right"/>
              <w:rPr/>
            </w:pPr>
            <w:r>
              <w:rPr/>
              <w:t> </w:t>
            </w:r>
          </w:p>
        </w:tc>
        <w:tc>
          <w:tcPr>
            <w:tcW w:w="198" w:type="dxa"/>
            <w:tcBorders/>
            <w:shd w:fill="CCEEFF" w:val="clear"/>
            <w:tcMar>
              <w:bottom w:w="0" w:type="dxa"/>
            </w:tcMar>
            <w:vAlign w:val="bottom"/>
          </w:tcPr>
          <w:p>
            <w:pPr>
              <w:pStyle w:val="TableContents"/>
              <w:spacing w:before="0" w:after="283"/>
              <w:jc w:val="left"/>
              <w:rPr/>
            </w:pPr>
            <w:r>
              <w:rPr/>
              <w:t> </w:t>
            </w:r>
          </w:p>
        </w:tc>
        <w:tc>
          <w:tcPr>
            <w:tcW w:w="126" w:type="dxa"/>
            <w:tcBorders/>
            <w:shd w:fill="CCEEFF" w:val="clear"/>
            <w:tcMar>
              <w:bottom w:w="0" w:type="dxa"/>
            </w:tcMar>
            <w:vAlign w:val="bottom"/>
          </w:tcPr>
          <w:p>
            <w:pPr>
              <w:pStyle w:val="TableContents"/>
              <w:spacing w:before="0" w:after="283"/>
              <w:jc w:val="left"/>
              <w:rPr/>
            </w:pPr>
            <w:r>
              <w:rPr/>
              <w:t> </w:t>
            </w:r>
          </w:p>
        </w:tc>
        <w:tc>
          <w:tcPr>
            <w:tcW w:w="1256" w:type="dxa"/>
            <w:tcBorders/>
            <w:shd w:fill="CCEEFF" w:val="clear"/>
            <w:tcMar>
              <w:bottom w:w="0" w:type="dxa"/>
            </w:tcMar>
            <w:vAlign w:val="bottom"/>
          </w:tcPr>
          <w:p>
            <w:pPr>
              <w:pStyle w:val="TableContents"/>
              <w:spacing w:before="0" w:after="283"/>
              <w:jc w:val="right"/>
              <w:rPr/>
            </w:pPr>
            <w:r>
              <w:rPr/>
              <w:t> </w:t>
            </w:r>
          </w:p>
        </w:tc>
        <w:tc>
          <w:tcPr>
            <w:tcW w:w="198" w:type="dxa"/>
            <w:tcBorders/>
            <w:shd w:fill="CCEEFF" w:val="clear"/>
            <w:tcMar>
              <w:bottom w:w="0" w:type="dxa"/>
            </w:tcMar>
            <w:vAlign w:val="bottom"/>
          </w:tcPr>
          <w:p>
            <w:pPr>
              <w:pStyle w:val="TableContents"/>
              <w:spacing w:before="0" w:after="283"/>
              <w:jc w:val="left"/>
              <w:rPr/>
            </w:pPr>
            <w:r>
              <w:rPr/>
              <w:t> </w:t>
            </w:r>
          </w:p>
        </w:tc>
        <w:tc>
          <w:tcPr>
            <w:tcW w:w="126" w:type="dxa"/>
            <w:tcBorders/>
            <w:shd w:fill="CCEEFF" w:val="clear"/>
            <w:tcMar>
              <w:bottom w:w="0" w:type="dxa"/>
            </w:tcMar>
            <w:vAlign w:val="bottom"/>
          </w:tcPr>
          <w:p>
            <w:pPr>
              <w:pStyle w:val="TableContents"/>
              <w:spacing w:before="0" w:after="283"/>
              <w:jc w:val="left"/>
              <w:rPr/>
            </w:pPr>
            <w:r>
              <w:rPr/>
              <w:t> </w:t>
            </w:r>
          </w:p>
        </w:tc>
        <w:tc>
          <w:tcPr>
            <w:tcW w:w="1256" w:type="dxa"/>
            <w:tcBorders/>
            <w:shd w:fill="CCEEFF" w:val="clear"/>
            <w:tcMar>
              <w:bottom w:w="0" w:type="dxa"/>
            </w:tcMar>
            <w:vAlign w:val="bottom"/>
          </w:tcPr>
          <w:p>
            <w:pPr>
              <w:pStyle w:val="TableContents"/>
              <w:spacing w:before="0" w:after="283"/>
              <w:jc w:val="right"/>
              <w:rPr/>
            </w:pPr>
            <w:r>
              <w:rPr/>
              <w:t> </w:t>
            </w:r>
          </w:p>
        </w:tc>
        <w:tc>
          <w:tcPr>
            <w:tcW w:w="123" w:type="dxa"/>
            <w:tcBorders/>
            <w:shd w:fill="CCEEFF" w:val="clear"/>
            <w:tcMar>
              <w:bottom w:w="0" w:type="dxa"/>
            </w:tcMar>
            <w:vAlign w:val="bottom"/>
          </w:tcPr>
          <w:p>
            <w:pPr>
              <w:pStyle w:val="TableContents"/>
              <w:spacing w:before="0" w:after="283"/>
              <w:jc w:val="left"/>
              <w:rPr/>
            </w:pPr>
            <w:r>
              <w:rPr/>
              <w:t> </w:t>
            </w:r>
          </w:p>
        </w:tc>
      </w:tr>
      <w:tr>
        <w:trPr/>
        <w:tc>
          <w:tcPr>
            <w:tcW w:w="5348" w:type="dxa"/>
            <w:tcBorders/>
            <w:shd w:fill="FFFFFF" w:val="clear"/>
            <w:tcMar>
              <w:bottom w:w="0" w:type="dxa"/>
            </w:tcMar>
            <w:vAlign w:val="bottom"/>
          </w:tcPr>
          <w:p>
            <w:pPr>
              <w:pStyle w:val="TableContents"/>
              <w:spacing w:lineRule="auto" w:line="300" w:before="0" w:after="0"/>
              <w:ind w:left="180" w:right="0" w:hanging="0"/>
              <w:jc w:val="left"/>
              <w:rPr>
                <w:rFonts w:ascii="Times New Roman" w:hAnsi="Times New Roman"/>
                <w:sz w:val="20"/>
              </w:rPr>
            </w:pPr>
            <w:bookmarkStart w:id="2294" w:name="TAB1850"/>
            <w:bookmarkEnd w:id="2294"/>
            <w:r>
              <w:rPr>
                <w:rFonts w:ascii="Times New Roman" w:hAnsi="Times New Roman"/>
                <w:sz w:val="20"/>
              </w:rPr>
              <w:t>Interest income</w:t>
            </w:r>
          </w:p>
        </w:tc>
        <w:tc>
          <w:tcPr>
            <w:tcW w:w="192" w:type="dxa"/>
            <w:tcBorders/>
            <w:shd w:fill="FFFFFF" w:val="clear"/>
            <w:tcMar>
              <w:bottom w:w="0" w:type="dxa"/>
            </w:tcMar>
            <w:vAlign w:val="center"/>
          </w:tcPr>
          <w:p>
            <w:pPr>
              <w:pStyle w:val="TableContents"/>
              <w:spacing w:before="0" w:after="283"/>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256"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2295" w:name="TAB1851"/>
            <w:bookmarkStart w:id="2296" w:name="TAB1852"/>
            <w:bookmarkStart w:id="2297" w:name="TAB1853"/>
            <w:bookmarkEnd w:id="2295"/>
            <w:bookmarkEnd w:id="2296"/>
            <w:bookmarkEnd w:id="2297"/>
            <w:r>
              <w:rPr>
                <w:rFonts w:ascii="Times New Roman" w:hAnsi="Times New Roman"/>
                <w:sz w:val="20"/>
              </w:rPr>
              <w:t>308</w:t>
            </w:r>
          </w:p>
        </w:tc>
        <w:tc>
          <w:tcPr>
            <w:tcW w:w="198" w:type="dxa"/>
            <w:tcBorders/>
            <w:shd w:fill="FFFFFF" w:val="clear"/>
            <w:tcMar>
              <w:bottom w:w="0" w:type="dxa"/>
            </w:tcMar>
            <w:vAlign w:val="bottom"/>
          </w:tcPr>
          <w:p>
            <w:pPr>
              <w:pStyle w:val="TableContents"/>
              <w:spacing w:before="0" w:after="283"/>
              <w:jc w:val="left"/>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256"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2298" w:name="TAB1854"/>
            <w:bookmarkStart w:id="2299" w:name="TAB1855"/>
            <w:bookmarkStart w:id="2300" w:name="TAB1856"/>
            <w:bookmarkEnd w:id="2298"/>
            <w:bookmarkEnd w:id="2299"/>
            <w:bookmarkEnd w:id="2300"/>
            <w:r>
              <w:rPr>
                <w:rFonts w:ascii="Times New Roman" w:hAnsi="Times New Roman"/>
                <w:sz w:val="20"/>
              </w:rPr>
              <w:t>209</w:t>
            </w:r>
          </w:p>
        </w:tc>
        <w:tc>
          <w:tcPr>
            <w:tcW w:w="198" w:type="dxa"/>
            <w:tcBorders/>
            <w:shd w:fill="FFFFFF" w:val="clear"/>
            <w:tcMar>
              <w:bottom w:w="0" w:type="dxa"/>
            </w:tcMar>
            <w:vAlign w:val="bottom"/>
          </w:tcPr>
          <w:p>
            <w:pPr>
              <w:pStyle w:val="TableContents"/>
              <w:spacing w:before="0" w:after="283"/>
              <w:jc w:val="left"/>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256"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2301" w:name="TAB1857"/>
            <w:bookmarkStart w:id="2302" w:name="TAB1858"/>
            <w:bookmarkStart w:id="2303" w:name="TAB1859"/>
            <w:bookmarkEnd w:id="2301"/>
            <w:bookmarkEnd w:id="2302"/>
            <w:bookmarkEnd w:id="2303"/>
            <w:r>
              <w:rPr>
                <w:rFonts w:ascii="Times New Roman" w:hAnsi="Times New Roman"/>
                <w:sz w:val="20"/>
              </w:rPr>
              <w:t>843</w:t>
            </w:r>
          </w:p>
        </w:tc>
        <w:tc>
          <w:tcPr>
            <w:tcW w:w="123" w:type="dxa"/>
            <w:tcBorders/>
            <w:shd w:fill="FFFFFF" w:val="clear"/>
            <w:tcMar>
              <w:bottom w:w="0" w:type="dxa"/>
            </w:tcMar>
            <w:vAlign w:val="bottom"/>
          </w:tcPr>
          <w:p>
            <w:pPr>
              <w:pStyle w:val="TableContents"/>
              <w:spacing w:before="0" w:after="283"/>
              <w:jc w:val="left"/>
              <w:rPr/>
            </w:pPr>
            <w:r>
              <w:rPr/>
              <w:t> </w:t>
            </w:r>
          </w:p>
        </w:tc>
      </w:tr>
      <w:tr>
        <w:trPr/>
        <w:tc>
          <w:tcPr>
            <w:tcW w:w="5348" w:type="dxa"/>
            <w:tcBorders/>
            <w:shd w:fill="CCEEFF" w:val="clear"/>
            <w:tcMar>
              <w:bottom w:w="0" w:type="dxa"/>
            </w:tcMar>
            <w:vAlign w:val="bottom"/>
          </w:tcPr>
          <w:p>
            <w:pPr>
              <w:pStyle w:val="TableContents"/>
              <w:spacing w:lineRule="auto" w:line="300" w:before="0" w:after="0"/>
              <w:ind w:left="180" w:right="0" w:hanging="0"/>
              <w:jc w:val="left"/>
              <w:rPr>
                <w:rFonts w:ascii="Times New Roman" w:hAnsi="Times New Roman"/>
                <w:sz w:val="20"/>
              </w:rPr>
            </w:pPr>
            <w:bookmarkStart w:id="2304" w:name="TAB1860"/>
            <w:bookmarkEnd w:id="2304"/>
            <w:r>
              <w:rPr>
                <w:rFonts w:ascii="Times New Roman" w:hAnsi="Times New Roman"/>
                <w:sz w:val="20"/>
              </w:rPr>
              <w:t>Interest expense</w:t>
            </w:r>
          </w:p>
        </w:tc>
        <w:tc>
          <w:tcPr>
            <w:tcW w:w="192" w:type="dxa"/>
            <w:tcBorders/>
            <w:shd w:fill="CCEEFF" w:val="clear"/>
            <w:tcMar>
              <w:bottom w:w="0" w:type="dxa"/>
            </w:tcMar>
            <w:vAlign w:val="center"/>
          </w:tcPr>
          <w:p>
            <w:pPr>
              <w:pStyle w:val="TableContents"/>
              <w:spacing w:before="0" w:after="283"/>
              <w:rPr/>
            </w:pPr>
            <w:r>
              <w:rPr/>
              <w:t> </w:t>
            </w:r>
          </w:p>
        </w:tc>
        <w:tc>
          <w:tcPr>
            <w:tcW w:w="126" w:type="dxa"/>
            <w:tcBorders/>
            <w:shd w:fill="CCEEFF" w:val="clear"/>
            <w:tcMar>
              <w:bottom w:w="0" w:type="dxa"/>
            </w:tcMar>
            <w:vAlign w:val="bottom"/>
          </w:tcPr>
          <w:p>
            <w:pPr>
              <w:pStyle w:val="TableContents"/>
              <w:spacing w:before="0" w:after="283"/>
              <w:jc w:val="left"/>
              <w:rPr/>
            </w:pPr>
            <w:r>
              <w:rPr/>
              <w:t> </w:t>
            </w:r>
          </w:p>
        </w:tc>
        <w:tc>
          <w:tcPr>
            <w:tcW w:w="1256"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2305" w:name="TAB1861"/>
            <w:bookmarkStart w:id="2306" w:name="TAB1862"/>
            <w:bookmarkStart w:id="2307" w:name="TAB1863"/>
            <w:bookmarkEnd w:id="2305"/>
            <w:bookmarkEnd w:id="2306"/>
            <w:bookmarkEnd w:id="2307"/>
            <w:r>
              <w:rPr>
                <w:rFonts w:ascii="Times New Roman" w:hAnsi="Times New Roman"/>
                <w:sz w:val="20"/>
              </w:rPr>
              <w:t>(6,916</w:t>
            </w:r>
          </w:p>
        </w:tc>
        <w:tc>
          <w:tcPr>
            <w:tcW w:w="198"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2308" w:name="TAB1864"/>
            <w:bookmarkStart w:id="2309" w:name="TAB1865"/>
            <w:bookmarkStart w:id="2310" w:name="TAB1866"/>
            <w:bookmarkEnd w:id="2308"/>
            <w:bookmarkEnd w:id="2309"/>
            <w:bookmarkEnd w:id="2310"/>
            <w:r>
              <w:rPr>
                <w:rFonts w:ascii="Times New Roman" w:hAnsi="Times New Roman"/>
                <w:sz w:val="20"/>
              </w:rPr>
              <w:t>)</w:t>
            </w:r>
          </w:p>
        </w:tc>
        <w:tc>
          <w:tcPr>
            <w:tcW w:w="126" w:type="dxa"/>
            <w:tcBorders/>
            <w:shd w:fill="CCEEFF" w:val="clear"/>
            <w:tcMar>
              <w:bottom w:w="0" w:type="dxa"/>
            </w:tcMar>
            <w:vAlign w:val="bottom"/>
          </w:tcPr>
          <w:p>
            <w:pPr>
              <w:pStyle w:val="TableContents"/>
              <w:spacing w:before="0" w:after="283"/>
              <w:jc w:val="left"/>
              <w:rPr/>
            </w:pPr>
            <w:r>
              <w:rPr/>
              <w:t> </w:t>
            </w:r>
          </w:p>
        </w:tc>
        <w:tc>
          <w:tcPr>
            <w:tcW w:w="1256"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2311" w:name="TAB1867"/>
            <w:bookmarkStart w:id="2312" w:name="TAB1868"/>
            <w:bookmarkStart w:id="2313" w:name="TAB1869"/>
            <w:bookmarkEnd w:id="2311"/>
            <w:bookmarkEnd w:id="2312"/>
            <w:bookmarkEnd w:id="2313"/>
            <w:r>
              <w:rPr>
                <w:rFonts w:ascii="Times New Roman" w:hAnsi="Times New Roman"/>
                <w:sz w:val="20"/>
              </w:rPr>
              <w:t>(4,682</w:t>
            </w:r>
          </w:p>
        </w:tc>
        <w:tc>
          <w:tcPr>
            <w:tcW w:w="198"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2314" w:name="TAB1870"/>
            <w:bookmarkStart w:id="2315" w:name="TAB1871"/>
            <w:bookmarkStart w:id="2316" w:name="TAB1872"/>
            <w:bookmarkEnd w:id="2314"/>
            <w:bookmarkEnd w:id="2315"/>
            <w:bookmarkEnd w:id="2316"/>
            <w:r>
              <w:rPr>
                <w:rFonts w:ascii="Times New Roman" w:hAnsi="Times New Roman"/>
                <w:sz w:val="20"/>
              </w:rPr>
              <w:t>)</w:t>
            </w:r>
          </w:p>
        </w:tc>
        <w:tc>
          <w:tcPr>
            <w:tcW w:w="126" w:type="dxa"/>
            <w:tcBorders/>
            <w:shd w:fill="CCEEFF" w:val="clear"/>
            <w:tcMar>
              <w:bottom w:w="0" w:type="dxa"/>
            </w:tcMar>
            <w:vAlign w:val="bottom"/>
          </w:tcPr>
          <w:p>
            <w:pPr>
              <w:pStyle w:val="TableContents"/>
              <w:spacing w:before="0" w:after="283"/>
              <w:jc w:val="left"/>
              <w:rPr/>
            </w:pPr>
            <w:r>
              <w:rPr/>
              <w:t> </w:t>
            </w:r>
          </w:p>
        </w:tc>
        <w:tc>
          <w:tcPr>
            <w:tcW w:w="1256"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2317" w:name="TAB1873"/>
            <w:bookmarkStart w:id="2318" w:name="TAB1874"/>
            <w:bookmarkStart w:id="2319" w:name="TAB1875"/>
            <w:bookmarkEnd w:id="2317"/>
            <w:bookmarkEnd w:id="2318"/>
            <w:bookmarkEnd w:id="2319"/>
            <w:r>
              <w:rPr>
                <w:rFonts w:ascii="Times New Roman" w:hAnsi="Times New Roman"/>
                <w:sz w:val="20"/>
              </w:rPr>
              <w:t>(3,921</w:t>
            </w:r>
          </w:p>
        </w:tc>
        <w:tc>
          <w:tcPr>
            <w:tcW w:w="123"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2320" w:name="TAB1876"/>
            <w:bookmarkStart w:id="2321" w:name="TAB1877"/>
            <w:bookmarkStart w:id="2322" w:name="TAB1878"/>
            <w:bookmarkEnd w:id="2320"/>
            <w:bookmarkEnd w:id="2321"/>
            <w:bookmarkEnd w:id="2322"/>
            <w:r>
              <w:rPr>
                <w:rFonts w:ascii="Times New Roman" w:hAnsi="Times New Roman"/>
                <w:sz w:val="20"/>
              </w:rPr>
              <w:t>)</w:t>
            </w:r>
          </w:p>
        </w:tc>
      </w:tr>
      <w:tr>
        <w:trPr/>
        <w:tc>
          <w:tcPr>
            <w:tcW w:w="5348" w:type="dxa"/>
            <w:tcBorders/>
            <w:shd w:fill="FFFFFF" w:val="clear"/>
            <w:tcMar>
              <w:bottom w:w="0" w:type="dxa"/>
            </w:tcMar>
            <w:vAlign w:val="bottom"/>
          </w:tcPr>
          <w:p>
            <w:pPr>
              <w:pStyle w:val="TableContents"/>
              <w:spacing w:lineRule="auto" w:line="300" w:before="0" w:after="0"/>
              <w:ind w:left="180" w:right="0" w:hanging="0"/>
              <w:jc w:val="left"/>
              <w:rPr>
                <w:rFonts w:ascii="Times New Roman" w:hAnsi="Times New Roman"/>
                <w:sz w:val="20"/>
              </w:rPr>
            </w:pPr>
            <w:bookmarkStart w:id="2323" w:name="TAB1879"/>
            <w:bookmarkEnd w:id="2323"/>
            <w:r>
              <w:rPr>
                <w:rFonts w:ascii="Times New Roman" w:hAnsi="Times New Roman"/>
                <w:sz w:val="20"/>
              </w:rPr>
              <w:t>Net loss on sale of assets</w:t>
            </w:r>
          </w:p>
        </w:tc>
        <w:tc>
          <w:tcPr>
            <w:tcW w:w="192" w:type="dxa"/>
            <w:tcBorders/>
            <w:shd w:fill="FFFFFF" w:val="clear"/>
            <w:tcMar>
              <w:bottom w:w="0" w:type="dxa"/>
            </w:tcMar>
            <w:vAlign w:val="center"/>
          </w:tcPr>
          <w:p>
            <w:pPr>
              <w:pStyle w:val="TableContents"/>
              <w:spacing w:before="0" w:after="283"/>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256"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2324" w:name="TAB1880"/>
            <w:bookmarkStart w:id="2325" w:name="TAB1881"/>
            <w:bookmarkStart w:id="2326" w:name="TAB1882"/>
            <w:bookmarkEnd w:id="2324"/>
            <w:bookmarkEnd w:id="2325"/>
            <w:bookmarkEnd w:id="2326"/>
            <w:r>
              <w:rPr>
                <w:rFonts w:ascii="Times New Roman" w:hAnsi="Times New Roman"/>
                <w:sz w:val="20"/>
              </w:rPr>
              <w:t>(45</w:t>
            </w:r>
          </w:p>
        </w:tc>
        <w:tc>
          <w:tcPr>
            <w:tcW w:w="198"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2327" w:name="TAB1883"/>
            <w:bookmarkStart w:id="2328" w:name="TAB1884"/>
            <w:bookmarkStart w:id="2329" w:name="TAB1885"/>
            <w:bookmarkEnd w:id="2327"/>
            <w:bookmarkEnd w:id="2328"/>
            <w:bookmarkEnd w:id="2329"/>
            <w:r>
              <w:rPr>
                <w:rFonts w:ascii="Times New Roman" w:hAnsi="Times New Roman"/>
                <w:sz w:val="20"/>
              </w:rPr>
              <w:t>)</w:t>
            </w:r>
          </w:p>
        </w:tc>
        <w:tc>
          <w:tcPr>
            <w:tcW w:w="126" w:type="dxa"/>
            <w:tcBorders/>
            <w:shd w:fill="FFFFFF" w:val="clear"/>
            <w:tcMar>
              <w:bottom w:w="0" w:type="dxa"/>
            </w:tcMar>
            <w:vAlign w:val="bottom"/>
          </w:tcPr>
          <w:p>
            <w:pPr>
              <w:pStyle w:val="TableContents"/>
              <w:spacing w:before="0" w:after="283"/>
              <w:jc w:val="left"/>
              <w:rPr/>
            </w:pPr>
            <w:r>
              <w:rPr/>
              <w:t> </w:t>
            </w:r>
          </w:p>
        </w:tc>
        <w:tc>
          <w:tcPr>
            <w:tcW w:w="1256"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2330" w:name="TAB1886"/>
            <w:bookmarkStart w:id="2331" w:name="TAB1887"/>
            <w:bookmarkStart w:id="2332" w:name="TAB1888"/>
            <w:bookmarkEnd w:id="2330"/>
            <w:bookmarkEnd w:id="2331"/>
            <w:bookmarkEnd w:id="2332"/>
            <w:r>
              <w:rPr>
                <w:rFonts w:ascii="Times New Roman" w:hAnsi="Times New Roman"/>
                <w:sz w:val="20"/>
              </w:rPr>
              <w:t>(32</w:t>
            </w:r>
          </w:p>
        </w:tc>
        <w:tc>
          <w:tcPr>
            <w:tcW w:w="198"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2333" w:name="TAB1889"/>
            <w:bookmarkStart w:id="2334" w:name="TAB1890"/>
            <w:bookmarkStart w:id="2335" w:name="TAB1891"/>
            <w:bookmarkEnd w:id="2333"/>
            <w:bookmarkEnd w:id="2334"/>
            <w:bookmarkEnd w:id="2335"/>
            <w:r>
              <w:rPr>
                <w:rFonts w:ascii="Times New Roman" w:hAnsi="Times New Roman"/>
                <w:sz w:val="20"/>
              </w:rPr>
              <w:t>)</w:t>
            </w:r>
          </w:p>
        </w:tc>
        <w:tc>
          <w:tcPr>
            <w:tcW w:w="126" w:type="dxa"/>
            <w:tcBorders/>
            <w:shd w:fill="FFFFFF" w:val="clear"/>
            <w:tcMar>
              <w:bottom w:w="0" w:type="dxa"/>
            </w:tcMar>
            <w:vAlign w:val="bottom"/>
          </w:tcPr>
          <w:p>
            <w:pPr>
              <w:pStyle w:val="TableContents"/>
              <w:spacing w:before="0" w:after="283"/>
              <w:jc w:val="left"/>
              <w:rPr/>
            </w:pPr>
            <w:r>
              <w:rPr/>
              <w:t> </w:t>
            </w:r>
          </w:p>
        </w:tc>
        <w:tc>
          <w:tcPr>
            <w:tcW w:w="1256"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2336" w:name="TAB1892"/>
            <w:bookmarkStart w:id="2337" w:name="TAB1893"/>
            <w:bookmarkStart w:id="2338" w:name="TAB1894"/>
            <w:bookmarkEnd w:id="2336"/>
            <w:bookmarkEnd w:id="2337"/>
            <w:bookmarkEnd w:id="2338"/>
            <w:r>
              <w:rPr>
                <w:rFonts w:ascii="Times New Roman" w:hAnsi="Times New Roman"/>
                <w:sz w:val="20"/>
              </w:rPr>
              <w:t>(114</w:t>
            </w:r>
          </w:p>
        </w:tc>
        <w:tc>
          <w:tcPr>
            <w:tcW w:w="123"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2339" w:name="TAB1895"/>
            <w:bookmarkStart w:id="2340" w:name="TAB1896"/>
            <w:bookmarkStart w:id="2341" w:name="TAB1897"/>
            <w:bookmarkEnd w:id="2339"/>
            <w:bookmarkEnd w:id="2340"/>
            <w:bookmarkEnd w:id="2341"/>
            <w:r>
              <w:rPr>
                <w:rFonts w:ascii="Times New Roman" w:hAnsi="Times New Roman"/>
                <w:sz w:val="20"/>
              </w:rPr>
              <w:t>)</w:t>
            </w:r>
          </w:p>
        </w:tc>
      </w:tr>
      <w:tr>
        <w:trPr/>
        <w:tc>
          <w:tcPr>
            <w:tcW w:w="5348" w:type="dxa"/>
            <w:tcBorders>
              <w:bottom w:val="single" w:sz="2" w:space="0" w:color="000000"/>
            </w:tcBorders>
            <w:shd w:fill="CCEEFF" w:val="clear"/>
            <w:vAlign w:val="bottom"/>
          </w:tcPr>
          <w:p>
            <w:pPr>
              <w:pStyle w:val="TableContents"/>
              <w:spacing w:lineRule="auto" w:line="300" w:before="0" w:after="0"/>
              <w:ind w:left="180" w:right="0" w:hanging="0"/>
              <w:jc w:val="left"/>
              <w:rPr>
                <w:rFonts w:ascii="Times New Roman" w:hAnsi="Times New Roman"/>
                <w:sz w:val="20"/>
              </w:rPr>
            </w:pPr>
            <w:bookmarkStart w:id="2342" w:name="TAB1898"/>
            <w:bookmarkEnd w:id="2342"/>
            <w:r>
              <w:rPr>
                <w:rFonts w:ascii="Times New Roman" w:hAnsi="Times New Roman"/>
                <w:sz w:val="20"/>
              </w:rPr>
              <w:t>Other income (expense)</w:t>
            </w:r>
          </w:p>
        </w:tc>
        <w:tc>
          <w:tcPr>
            <w:tcW w:w="192" w:type="dxa"/>
            <w:tcBorders>
              <w:bottom w:val="single" w:sz="2" w:space="0" w:color="CCEEFF"/>
            </w:tcBorders>
            <w:shd w:fill="CCEEFF" w:val="clear"/>
            <w:vAlign w:val="center"/>
          </w:tcPr>
          <w:p>
            <w:pPr>
              <w:pStyle w:val="TableContents"/>
              <w:spacing w:before="0" w:after="283"/>
              <w:rPr/>
            </w:pPr>
            <w:r>
              <w:rPr/>
              <w:t> </w:t>
            </w:r>
          </w:p>
        </w:tc>
        <w:tc>
          <w:tcPr>
            <w:tcW w:w="126" w:type="dxa"/>
            <w:tcBorders>
              <w:bottom w:val="single" w:sz="2" w:space="0" w:color="000000"/>
            </w:tcBorders>
            <w:shd w:fill="CCEEFF" w:val="clear"/>
            <w:vAlign w:val="bottom"/>
          </w:tcPr>
          <w:p>
            <w:pPr>
              <w:pStyle w:val="TableContents"/>
              <w:spacing w:before="0" w:after="283"/>
              <w:jc w:val="left"/>
              <w:rPr/>
            </w:pPr>
            <w:r>
              <w:rPr/>
              <w:t> </w:t>
            </w:r>
          </w:p>
        </w:tc>
        <w:tc>
          <w:tcPr>
            <w:tcW w:w="1256"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2343" w:name="TAB1899"/>
            <w:bookmarkStart w:id="2344" w:name="TAB1900"/>
            <w:bookmarkStart w:id="2345" w:name="TAB1901"/>
            <w:bookmarkEnd w:id="2343"/>
            <w:bookmarkEnd w:id="2344"/>
            <w:bookmarkEnd w:id="2345"/>
            <w:r>
              <w:rPr>
                <w:rFonts w:ascii="Times New Roman" w:hAnsi="Times New Roman"/>
                <w:sz w:val="20"/>
              </w:rPr>
              <w:t>(1,953</w:t>
            </w:r>
          </w:p>
        </w:tc>
        <w:tc>
          <w:tcPr>
            <w:tcW w:w="198" w:type="dxa"/>
            <w:tcBorders>
              <w:bottom w:val="single" w:sz="2" w:space="0" w:color="CCEEFF"/>
            </w:tcBorders>
            <w:shd w:fill="CCEEFF" w:val="clear"/>
            <w:vAlign w:val="bottom"/>
          </w:tcPr>
          <w:p>
            <w:pPr>
              <w:pStyle w:val="TableContents"/>
              <w:spacing w:lineRule="auto" w:line="300" w:before="0" w:after="0"/>
              <w:ind w:left="0" w:right="0" w:hanging="0"/>
              <w:jc w:val="left"/>
              <w:rPr>
                <w:rFonts w:ascii="Times New Roman" w:hAnsi="Times New Roman"/>
                <w:sz w:val="20"/>
              </w:rPr>
            </w:pPr>
            <w:bookmarkStart w:id="2346" w:name="TAB1902"/>
            <w:bookmarkStart w:id="2347" w:name="TAB1903"/>
            <w:bookmarkStart w:id="2348" w:name="TAB1904"/>
            <w:bookmarkEnd w:id="2346"/>
            <w:bookmarkEnd w:id="2347"/>
            <w:bookmarkEnd w:id="2348"/>
            <w:r>
              <w:rPr>
                <w:rFonts w:ascii="Times New Roman" w:hAnsi="Times New Roman"/>
                <w:sz w:val="20"/>
              </w:rPr>
              <w:t>)</w:t>
            </w:r>
          </w:p>
        </w:tc>
        <w:tc>
          <w:tcPr>
            <w:tcW w:w="126" w:type="dxa"/>
            <w:tcBorders>
              <w:bottom w:val="single" w:sz="2" w:space="0" w:color="000000"/>
            </w:tcBorders>
            <w:shd w:fill="CCEEFF" w:val="clear"/>
            <w:vAlign w:val="bottom"/>
          </w:tcPr>
          <w:p>
            <w:pPr>
              <w:pStyle w:val="TableContents"/>
              <w:spacing w:before="0" w:after="283"/>
              <w:jc w:val="left"/>
              <w:rPr/>
            </w:pPr>
            <w:r>
              <w:rPr/>
              <w:t> </w:t>
            </w:r>
          </w:p>
        </w:tc>
        <w:tc>
          <w:tcPr>
            <w:tcW w:w="1256"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2349" w:name="TAB1905"/>
            <w:bookmarkStart w:id="2350" w:name="TAB1906"/>
            <w:bookmarkStart w:id="2351" w:name="TAB1907"/>
            <w:bookmarkEnd w:id="2349"/>
            <w:bookmarkEnd w:id="2350"/>
            <w:bookmarkEnd w:id="2351"/>
            <w:r>
              <w:rPr>
                <w:rFonts w:ascii="Times New Roman" w:hAnsi="Times New Roman"/>
                <w:sz w:val="20"/>
              </w:rPr>
              <w:t>51</w:t>
            </w:r>
          </w:p>
        </w:tc>
        <w:tc>
          <w:tcPr>
            <w:tcW w:w="198" w:type="dxa"/>
            <w:tcBorders>
              <w:bottom w:val="single" w:sz="2" w:space="0" w:color="CCEEFF"/>
            </w:tcBorders>
            <w:shd w:fill="CCEEFF" w:val="clear"/>
            <w:vAlign w:val="bottom"/>
          </w:tcPr>
          <w:p>
            <w:pPr>
              <w:pStyle w:val="TableContents"/>
              <w:spacing w:before="0" w:after="283"/>
              <w:jc w:val="left"/>
              <w:rPr/>
            </w:pPr>
            <w:r>
              <w:rPr/>
              <w:t> </w:t>
            </w:r>
          </w:p>
        </w:tc>
        <w:tc>
          <w:tcPr>
            <w:tcW w:w="126" w:type="dxa"/>
            <w:tcBorders>
              <w:bottom w:val="single" w:sz="2" w:space="0" w:color="000000"/>
            </w:tcBorders>
            <w:shd w:fill="CCEEFF" w:val="clear"/>
            <w:vAlign w:val="bottom"/>
          </w:tcPr>
          <w:p>
            <w:pPr>
              <w:pStyle w:val="TableContents"/>
              <w:spacing w:before="0" w:after="283"/>
              <w:jc w:val="left"/>
              <w:rPr/>
            </w:pPr>
            <w:r>
              <w:rPr/>
              <w:t> </w:t>
            </w:r>
          </w:p>
        </w:tc>
        <w:tc>
          <w:tcPr>
            <w:tcW w:w="1256"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2352" w:name="TAB1908"/>
            <w:bookmarkStart w:id="2353" w:name="TAB1909"/>
            <w:bookmarkStart w:id="2354" w:name="TAB1910"/>
            <w:bookmarkEnd w:id="2352"/>
            <w:bookmarkEnd w:id="2353"/>
            <w:bookmarkEnd w:id="2354"/>
            <w:r>
              <w:rPr>
                <w:rFonts w:ascii="Times New Roman" w:hAnsi="Times New Roman"/>
                <w:sz w:val="20"/>
              </w:rPr>
              <w:t>998</w:t>
            </w:r>
          </w:p>
        </w:tc>
        <w:tc>
          <w:tcPr>
            <w:tcW w:w="123" w:type="dxa"/>
            <w:tcBorders>
              <w:bottom w:val="single" w:sz="2" w:space="0" w:color="CCEEFF"/>
            </w:tcBorders>
            <w:shd w:fill="CCEEFF" w:val="clear"/>
            <w:vAlign w:val="bottom"/>
          </w:tcPr>
          <w:p>
            <w:pPr>
              <w:pStyle w:val="TableContents"/>
              <w:spacing w:before="0" w:after="283"/>
              <w:jc w:val="left"/>
              <w:rPr/>
            </w:pPr>
            <w:r>
              <w:rPr/>
              <w:t> </w:t>
            </w:r>
          </w:p>
        </w:tc>
      </w:tr>
      <w:tr>
        <w:trPr/>
        <w:tc>
          <w:tcPr>
            <w:tcW w:w="5348" w:type="dxa"/>
            <w:tcBorders/>
            <w:shd w:fill="FFFFFF" w:val="clear"/>
            <w:tcMar>
              <w:bottom w:w="0" w:type="dxa"/>
            </w:tcMar>
            <w:vAlign w:val="bottom"/>
          </w:tcPr>
          <w:p>
            <w:pPr>
              <w:pStyle w:val="TableContents"/>
              <w:spacing w:before="0" w:after="283"/>
              <w:jc w:val="left"/>
              <w:rPr/>
            </w:pPr>
            <w:r>
              <w:rPr/>
              <w:t> </w:t>
            </w:r>
          </w:p>
        </w:tc>
        <w:tc>
          <w:tcPr>
            <w:tcW w:w="192" w:type="dxa"/>
            <w:tcBorders/>
            <w:shd w:fill="FFFFFF" w:val="clear"/>
            <w:tcMar>
              <w:bottom w:w="0" w:type="dxa"/>
            </w:tcMar>
            <w:vAlign w:val="center"/>
          </w:tcPr>
          <w:p>
            <w:pPr>
              <w:pStyle w:val="TableContents"/>
              <w:spacing w:before="0" w:after="283"/>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256" w:type="dxa"/>
            <w:tcBorders/>
            <w:shd w:fill="FFFFFF" w:val="clear"/>
            <w:tcMar>
              <w:bottom w:w="0" w:type="dxa"/>
            </w:tcMar>
            <w:vAlign w:val="bottom"/>
          </w:tcPr>
          <w:p>
            <w:pPr>
              <w:pStyle w:val="TableContents"/>
              <w:spacing w:before="0" w:after="283"/>
              <w:jc w:val="right"/>
              <w:rPr/>
            </w:pPr>
            <w:r>
              <w:rPr/>
              <w:t> </w:t>
            </w:r>
          </w:p>
        </w:tc>
        <w:tc>
          <w:tcPr>
            <w:tcW w:w="198" w:type="dxa"/>
            <w:tcBorders/>
            <w:shd w:fill="FFFFFF" w:val="clear"/>
            <w:tcMar>
              <w:bottom w:w="0" w:type="dxa"/>
            </w:tcMar>
            <w:vAlign w:val="bottom"/>
          </w:tcPr>
          <w:p>
            <w:pPr>
              <w:pStyle w:val="TableContents"/>
              <w:spacing w:before="0" w:after="283"/>
              <w:jc w:val="left"/>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256" w:type="dxa"/>
            <w:tcBorders/>
            <w:shd w:fill="FFFFFF" w:val="clear"/>
            <w:tcMar>
              <w:bottom w:w="0" w:type="dxa"/>
            </w:tcMar>
            <w:vAlign w:val="bottom"/>
          </w:tcPr>
          <w:p>
            <w:pPr>
              <w:pStyle w:val="TableContents"/>
              <w:spacing w:before="0" w:after="283"/>
              <w:jc w:val="right"/>
              <w:rPr/>
            </w:pPr>
            <w:r>
              <w:rPr/>
              <w:t> </w:t>
            </w:r>
          </w:p>
        </w:tc>
        <w:tc>
          <w:tcPr>
            <w:tcW w:w="198" w:type="dxa"/>
            <w:tcBorders/>
            <w:shd w:fill="FFFFFF" w:val="clear"/>
            <w:tcMar>
              <w:bottom w:w="0" w:type="dxa"/>
            </w:tcMar>
            <w:vAlign w:val="bottom"/>
          </w:tcPr>
          <w:p>
            <w:pPr>
              <w:pStyle w:val="TableContents"/>
              <w:spacing w:before="0" w:after="283"/>
              <w:jc w:val="left"/>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256" w:type="dxa"/>
            <w:tcBorders/>
            <w:shd w:fill="FFFFFF" w:val="clear"/>
            <w:tcMar>
              <w:bottom w:w="0" w:type="dxa"/>
            </w:tcMar>
            <w:vAlign w:val="bottom"/>
          </w:tcPr>
          <w:p>
            <w:pPr>
              <w:pStyle w:val="TableContents"/>
              <w:spacing w:before="0" w:after="283"/>
              <w:jc w:val="right"/>
              <w:rPr/>
            </w:pPr>
            <w:r>
              <w:rPr/>
              <w:t> </w:t>
            </w:r>
          </w:p>
        </w:tc>
        <w:tc>
          <w:tcPr>
            <w:tcW w:w="123" w:type="dxa"/>
            <w:tcBorders/>
            <w:shd w:fill="FFFFFF" w:val="clear"/>
            <w:tcMar>
              <w:bottom w:w="0" w:type="dxa"/>
            </w:tcMar>
            <w:vAlign w:val="bottom"/>
          </w:tcPr>
          <w:p>
            <w:pPr>
              <w:pStyle w:val="TableContents"/>
              <w:spacing w:before="0" w:after="283"/>
              <w:jc w:val="left"/>
              <w:rPr/>
            </w:pPr>
            <w:r>
              <w:rPr/>
              <w:t> </w:t>
            </w:r>
          </w:p>
        </w:tc>
      </w:tr>
      <w:tr>
        <w:trPr/>
        <w:tc>
          <w:tcPr>
            <w:tcW w:w="5348" w:type="dxa"/>
            <w:tcBorders/>
            <w:shd w:fill="CCEEFF" w:val="clear"/>
            <w:tcMar>
              <w:bottom w:w="0" w:type="dxa"/>
            </w:tcMar>
            <w:vAlign w:val="bottom"/>
          </w:tcPr>
          <w:p>
            <w:pPr>
              <w:pStyle w:val="TableContents"/>
              <w:spacing w:lineRule="auto" w:line="300" w:before="0" w:after="0"/>
              <w:ind w:left="180" w:right="0" w:hanging="180"/>
              <w:jc w:val="left"/>
              <w:rPr/>
            </w:pPr>
            <w:r>
              <w:rPr>
                <w:rStyle w:val="StrongEmphasis"/>
                <w:rFonts w:ascii="Times New Roman" w:hAnsi="Times New Roman"/>
                <w:sz w:val="20"/>
              </w:rPr>
              <w:t xml:space="preserve">Loss before minority interest, discontinued operations, income tax expense and equity earnings of unconsolidated joint ventures and entities </w:t>
            </w:r>
          </w:p>
        </w:tc>
        <w:tc>
          <w:tcPr>
            <w:tcW w:w="192" w:type="dxa"/>
            <w:tcBorders/>
            <w:shd w:fill="CCEEFF" w:val="clear"/>
            <w:tcMar>
              <w:bottom w:w="0" w:type="dxa"/>
            </w:tcMar>
            <w:vAlign w:val="center"/>
          </w:tcPr>
          <w:p>
            <w:pPr>
              <w:pStyle w:val="TableContents"/>
              <w:spacing w:before="0" w:after="283"/>
              <w:rPr/>
            </w:pPr>
            <w:r>
              <w:rPr/>
              <w:t> </w:t>
            </w:r>
          </w:p>
        </w:tc>
        <w:tc>
          <w:tcPr>
            <w:tcW w:w="126" w:type="dxa"/>
            <w:tcBorders/>
            <w:shd w:fill="CCEEFF" w:val="clear"/>
            <w:tcMar>
              <w:bottom w:w="0" w:type="dxa"/>
            </w:tcMar>
            <w:vAlign w:val="bottom"/>
          </w:tcPr>
          <w:p>
            <w:pPr>
              <w:pStyle w:val="TableContents"/>
              <w:spacing w:before="0" w:after="283"/>
              <w:jc w:val="left"/>
              <w:rPr/>
            </w:pPr>
            <w:r>
              <w:rPr/>
              <w:t> </w:t>
            </w:r>
          </w:p>
        </w:tc>
        <w:tc>
          <w:tcPr>
            <w:tcW w:w="1256"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2355" w:name="TAB1911"/>
            <w:bookmarkStart w:id="2356" w:name="TAB1912"/>
            <w:bookmarkStart w:id="2357" w:name="TAB1913"/>
            <w:bookmarkEnd w:id="2355"/>
            <w:bookmarkEnd w:id="2356"/>
            <w:bookmarkEnd w:id="2357"/>
            <w:r>
              <w:rPr>
                <w:rFonts w:ascii="Times New Roman" w:hAnsi="Times New Roman"/>
                <w:sz w:val="20"/>
              </w:rPr>
              <w:t>(6,191</w:t>
            </w:r>
          </w:p>
        </w:tc>
        <w:tc>
          <w:tcPr>
            <w:tcW w:w="198"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2358" w:name="TAB1914"/>
            <w:bookmarkStart w:id="2359" w:name="TAB1915"/>
            <w:bookmarkStart w:id="2360" w:name="TAB1916"/>
            <w:bookmarkEnd w:id="2358"/>
            <w:bookmarkEnd w:id="2359"/>
            <w:bookmarkEnd w:id="2360"/>
            <w:r>
              <w:rPr>
                <w:rFonts w:ascii="Times New Roman" w:hAnsi="Times New Roman"/>
                <w:sz w:val="20"/>
              </w:rPr>
              <w:t>)</w:t>
            </w:r>
          </w:p>
        </w:tc>
        <w:tc>
          <w:tcPr>
            <w:tcW w:w="126" w:type="dxa"/>
            <w:tcBorders/>
            <w:shd w:fill="CCEEFF" w:val="clear"/>
            <w:tcMar>
              <w:bottom w:w="0" w:type="dxa"/>
            </w:tcMar>
            <w:vAlign w:val="bottom"/>
          </w:tcPr>
          <w:p>
            <w:pPr>
              <w:pStyle w:val="TableContents"/>
              <w:spacing w:before="0" w:after="283"/>
              <w:jc w:val="left"/>
              <w:rPr/>
            </w:pPr>
            <w:r>
              <w:rPr/>
              <w:t> </w:t>
            </w:r>
          </w:p>
        </w:tc>
        <w:tc>
          <w:tcPr>
            <w:tcW w:w="1256"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2361" w:name="TAB1917"/>
            <w:bookmarkStart w:id="2362" w:name="TAB1918"/>
            <w:bookmarkStart w:id="2363" w:name="TAB1919"/>
            <w:bookmarkEnd w:id="2361"/>
            <w:bookmarkEnd w:id="2362"/>
            <w:bookmarkEnd w:id="2363"/>
            <w:r>
              <w:rPr>
                <w:rFonts w:ascii="Times New Roman" w:hAnsi="Times New Roman"/>
                <w:sz w:val="20"/>
              </w:rPr>
              <w:t>(10,826</w:t>
            </w:r>
          </w:p>
        </w:tc>
        <w:tc>
          <w:tcPr>
            <w:tcW w:w="198"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2364" w:name="TAB1920"/>
            <w:bookmarkStart w:id="2365" w:name="TAB1921"/>
            <w:bookmarkStart w:id="2366" w:name="TAB1922"/>
            <w:bookmarkEnd w:id="2364"/>
            <w:bookmarkEnd w:id="2365"/>
            <w:bookmarkEnd w:id="2366"/>
            <w:r>
              <w:rPr>
                <w:rFonts w:ascii="Times New Roman" w:hAnsi="Times New Roman"/>
                <w:sz w:val="20"/>
              </w:rPr>
              <w:t>)</w:t>
            </w:r>
          </w:p>
        </w:tc>
        <w:tc>
          <w:tcPr>
            <w:tcW w:w="126" w:type="dxa"/>
            <w:tcBorders/>
            <w:shd w:fill="CCEEFF" w:val="clear"/>
            <w:tcMar>
              <w:bottom w:w="0" w:type="dxa"/>
            </w:tcMar>
            <w:vAlign w:val="bottom"/>
          </w:tcPr>
          <w:p>
            <w:pPr>
              <w:pStyle w:val="TableContents"/>
              <w:spacing w:before="0" w:after="283"/>
              <w:jc w:val="left"/>
              <w:rPr/>
            </w:pPr>
            <w:r>
              <w:rPr/>
              <w:t> </w:t>
            </w:r>
          </w:p>
        </w:tc>
        <w:tc>
          <w:tcPr>
            <w:tcW w:w="1256"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2367" w:name="TAB1923"/>
            <w:bookmarkStart w:id="2368" w:name="TAB1924"/>
            <w:bookmarkStart w:id="2369" w:name="TAB1925"/>
            <w:bookmarkEnd w:id="2367"/>
            <w:bookmarkEnd w:id="2368"/>
            <w:bookmarkEnd w:id="2369"/>
            <w:r>
              <w:rPr>
                <w:rFonts w:ascii="Times New Roman" w:hAnsi="Times New Roman"/>
                <w:sz w:val="20"/>
              </w:rPr>
              <w:t>(8,516</w:t>
            </w:r>
          </w:p>
        </w:tc>
        <w:tc>
          <w:tcPr>
            <w:tcW w:w="123"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2370" w:name="TAB1926"/>
            <w:bookmarkStart w:id="2371" w:name="TAB1927"/>
            <w:bookmarkStart w:id="2372" w:name="TAB1928"/>
            <w:bookmarkEnd w:id="2370"/>
            <w:bookmarkEnd w:id="2371"/>
            <w:bookmarkEnd w:id="2372"/>
            <w:r>
              <w:rPr>
                <w:rFonts w:ascii="Times New Roman" w:hAnsi="Times New Roman"/>
                <w:sz w:val="20"/>
              </w:rPr>
              <w:t>)</w:t>
            </w:r>
          </w:p>
        </w:tc>
      </w:tr>
      <w:tr>
        <w:trPr/>
        <w:tc>
          <w:tcPr>
            <w:tcW w:w="5348" w:type="dxa"/>
            <w:tcBorders>
              <w:bottom w:val="single" w:sz="2" w:space="0" w:color="000000"/>
            </w:tcBorders>
            <w:shd w:fill="FFFFFF" w:val="clear"/>
            <w:vAlign w:val="bottom"/>
          </w:tcPr>
          <w:p>
            <w:pPr>
              <w:pStyle w:val="TableContents"/>
              <w:spacing w:lineRule="auto" w:line="300" w:before="0" w:after="0"/>
              <w:ind w:left="180" w:right="0" w:hanging="180"/>
              <w:jc w:val="left"/>
              <w:rPr>
                <w:rFonts w:ascii="Times New Roman" w:hAnsi="Times New Roman"/>
                <w:sz w:val="20"/>
              </w:rPr>
            </w:pPr>
            <w:r>
              <w:rPr>
                <w:rFonts w:ascii="Times New Roman" w:hAnsi="Times New Roman"/>
                <w:sz w:val="20"/>
              </w:rPr>
              <w:t>Minority interest</w:t>
            </w:r>
          </w:p>
        </w:tc>
        <w:tc>
          <w:tcPr>
            <w:tcW w:w="192" w:type="dxa"/>
            <w:tcBorders>
              <w:bottom w:val="single" w:sz="2" w:space="0" w:color="FFFFFF"/>
            </w:tcBorders>
            <w:shd w:fill="FFFFFF" w:val="clear"/>
            <w:vAlign w:val="center"/>
          </w:tcPr>
          <w:p>
            <w:pPr>
              <w:pStyle w:val="TableContents"/>
              <w:spacing w:before="0" w:after="283"/>
              <w:rPr/>
            </w:pPr>
            <w:r>
              <w:rPr/>
              <w:t> </w:t>
            </w:r>
          </w:p>
        </w:tc>
        <w:tc>
          <w:tcPr>
            <w:tcW w:w="126" w:type="dxa"/>
            <w:tcBorders>
              <w:bottom w:val="single" w:sz="2" w:space="0" w:color="000000"/>
            </w:tcBorders>
            <w:shd w:fill="FFFFFF" w:val="clear"/>
            <w:vAlign w:val="bottom"/>
          </w:tcPr>
          <w:p>
            <w:pPr>
              <w:pStyle w:val="TableContents"/>
              <w:spacing w:before="0" w:after="283"/>
              <w:jc w:val="left"/>
              <w:rPr/>
            </w:pPr>
            <w:r>
              <w:rPr/>
              <w:t> </w:t>
            </w:r>
          </w:p>
        </w:tc>
        <w:tc>
          <w:tcPr>
            <w:tcW w:w="1256"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2373" w:name="TAB1929"/>
            <w:bookmarkStart w:id="2374" w:name="TAB1930"/>
            <w:bookmarkStart w:id="2375" w:name="TAB1931"/>
            <w:bookmarkEnd w:id="2373"/>
            <w:bookmarkEnd w:id="2374"/>
            <w:bookmarkEnd w:id="2375"/>
            <w:r>
              <w:rPr>
                <w:rFonts w:ascii="Times New Roman" w:hAnsi="Times New Roman"/>
                <w:sz w:val="20"/>
              </w:rPr>
              <w:t>(672</w:t>
            </w:r>
          </w:p>
        </w:tc>
        <w:tc>
          <w:tcPr>
            <w:tcW w:w="198" w:type="dxa"/>
            <w:tcBorders>
              <w:bottom w:val="single" w:sz="2" w:space="0" w:color="FFFFFF"/>
            </w:tcBorders>
            <w:shd w:fill="FFFFFF" w:val="clear"/>
            <w:vAlign w:val="bottom"/>
          </w:tcPr>
          <w:p>
            <w:pPr>
              <w:pStyle w:val="TableContents"/>
              <w:spacing w:lineRule="auto" w:line="300" w:before="0" w:after="0"/>
              <w:ind w:left="0" w:right="0" w:hanging="0"/>
              <w:jc w:val="left"/>
              <w:rPr>
                <w:rFonts w:ascii="Times New Roman" w:hAnsi="Times New Roman"/>
                <w:sz w:val="20"/>
              </w:rPr>
            </w:pPr>
            <w:bookmarkStart w:id="2376" w:name="TAB1932"/>
            <w:bookmarkStart w:id="2377" w:name="TAB1933"/>
            <w:bookmarkStart w:id="2378" w:name="TAB1934"/>
            <w:bookmarkEnd w:id="2376"/>
            <w:bookmarkEnd w:id="2377"/>
            <w:bookmarkEnd w:id="2378"/>
            <w:r>
              <w:rPr>
                <w:rFonts w:ascii="Times New Roman" w:hAnsi="Times New Roman"/>
                <w:sz w:val="20"/>
              </w:rPr>
              <w:t>)</w:t>
            </w:r>
          </w:p>
        </w:tc>
        <w:tc>
          <w:tcPr>
            <w:tcW w:w="126" w:type="dxa"/>
            <w:tcBorders>
              <w:bottom w:val="single" w:sz="2" w:space="0" w:color="000000"/>
            </w:tcBorders>
            <w:shd w:fill="FFFFFF" w:val="clear"/>
            <w:vAlign w:val="bottom"/>
          </w:tcPr>
          <w:p>
            <w:pPr>
              <w:pStyle w:val="TableContents"/>
              <w:spacing w:before="0" w:after="283"/>
              <w:jc w:val="left"/>
              <w:rPr/>
            </w:pPr>
            <w:r>
              <w:rPr/>
              <w:t> </w:t>
            </w:r>
          </w:p>
        </w:tc>
        <w:tc>
          <w:tcPr>
            <w:tcW w:w="1256"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2379" w:name="TAB1935"/>
            <w:bookmarkStart w:id="2380" w:name="TAB1936"/>
            <w:bookmarkStart w:id="2381" w:name="TAB1937"/>
            <w:bookmarkEnd w:id="2379"/>
            <w:bookmarkEnd w:id="2380"/>
            <w:bookmarkEnd w:id="2381"/>
            <w:r>
              <w:rPr>
                <w:rFonts w:ascii="Times New Roman" w:hAnsi="Times New Roman"/>
                <w:sz w:val="20"/>
              </w:rPr>
              <w:t>(579</w:t>
            </w:r>
          </w:p>
        </w:tc>
        <w:tc>
          <w:tcPr>
            <w:tcW w:w="198" w:type="dxa"/>
            <w:tcBorders>
              <w:bottom w:val="single" w:sz="2" w:space="0" w:color="FFFFFF"/>
            </w:tcBorders>
            <w:shd w:fill="FFFFFF" w:val="clear"/>
            <w:vAlign w:val="bottom"/>
          </w:tcPr>
          <w:p>
            <w:pPr>
              <w:pStyle w:val="TableContents"/>
              <w:spacing w:lineRule="auto" w:line="300" w:before="0" w:after="0"/>
              <w:ind w:left="0" w:right="0" w:hanging="0"/>
              <w:jc w:val="left"/>
              <w:rPr>
                <w:rFonts w:ascii="Times New Roman" w:hAnsi="Times New Roman"/>
                <w:sz w:val="20"/>
              </w:rPr>
            </w:pPr>
            <w:bookmarkStart w:id="2382" w:name="TAB1938"/>
            <w:bookmarkStart w:id="2383" w:name="TAB1939"/>
            <w:bookmarkStart w:id="2384" w:name="TAB1940"/>
            <w:bookmarkEnd w:id="2382"/>
            <w:bookmarkEnd w:id="2383"/>
            <w:bookmarkEnd w:id="2384"/>
            <w:r>
              <w:rPr>
                <w:rFonts w:ascii="Times New Roman" w:hAnsi="Times New Roman"/>
                <w:sz w:val="20"/>
              </w:rPr>
              <w:t>)</w:t>
            </w:r>
          </w:p>
        </w:tc>
        <w:tc>
          <w:tcPr>
            <w:tcW w:w="126" w:type="dxa"/>
            <w:tcBorders>
              <w:bottom w:val="single" w:sz="2" w:space="0" w:color="000000"/>
            </w:tcBorders>
            <w:shd w:fill="FFFFFF" w:val="clear"/>
            <w:vAlign w:val="bottom"/>
          </w:tcPr>
          <w:p>
            <w:pPr>
              <w:pStyle w:val="TableContents"/>
              <w:spacing w:before="0" w:after="283"/>
              <w:jc w:val="left"/>
              <w:rPr/>
            </w:pPr>
            <w:r>
              <w:rPr/>
              <w:t> </w:t>
            </w:r>
          </w:p>
        </w:tc>
        <w:tc>
          <w:tcPr>
            <w:tcW w:w="1256"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2385" w:name="TAB1941"/>
            <w:bookmarkStart w:id="2386" w:name="TAB1942"/>
            <w:bookmarkStart w:id="2387" w:name="TAB1943"/>
            <w:bookmarkEnd w:id="2385"/>
            <w:bookmarkEnd w:id="2386"/>
            <w:bookmarkEnd w:id="2387"/>
            <w:r>
              <w:rPr>
                <w:rFonts w:ascii="Times New Roman" w:hAnsi="Times New Roman"/>
                <w:sz w:val="20"/>
              </w:rPr>
              <w:t>(112</w:t>
            </w:r>
          </w:p>
        </w:tc>
        <w:tc>
          <w:tcPr>
            <w:tcW w:w="123" w:type="dxa"/>
            <w:tcBorders>
              <w:bottom w:val="single" w:sz="2" w:space="0" w:color="FFFFFF"/>
            </w:tcBorders>
            <w:shd w:fill="FFFFFF" w:val="clear"/>
            <w:vAlign w:val="bottom"/>
          </w:tcPr>
          <w:p>
            <w:pPr>
              <w:pStyle w:val="TableContents"/>
              <w:spacing w:lineRule="auto" w:line="300" w:before="0" w:after="0"/>
              <w:ind w:left="0" w:right="0" w:hanging="0"/>
              <w:jc w:val="left"/>
              <w:rPr>
                <w:rFonts w:ascii="Times New Roman" w:hAnsi="Times New Roman"/>
                <w:sz w:val="20"/>
              </w:rPr>
            </w:pPr>
            <w:bookmarkStart w:id="2388" w:name="TAB1944"/>
            <w:bookmarkStart w:id="2389" w:name="TAB1945"/>
            <w:bookmarkStart w:id="2390" w:name="TAB1946"/>
            <w:bookmarkEnd w:id="2388"/>
            <w:bookmarkEnd w:id="2389"/>
            <w:bookmarkEnd w:id="2390"/>
            <w:r>
              <w:rPr>
                <w:rFonts w:ascii="Times New Roman" w:hAnsi="Times New Roman"/>
                <w:sz w:val="20"/>
              </w:rPr>
              <w:t>)</w:t>
            </w:r>
          </w:p>
        </w:tc>
      </w:tr>
      <w:tr>
        <w:trPr/>
        <w:tc>
          <w:tcPr>
            <w:tcW w:w="5348" w:type="dxa"/>
            <w:tcBorders/>
            <w:shd w:fill="CCEEFF" w:val="clear"/>
            <w:tcMar>
              <w:bottom w:w="0" w:type="dxa"/>
            </w:tcMar>
            <w:vAlign w:val="bottom"/>
          </w:tcPr>
          <w:p>
            <w:pPr>
              <w:pStyle w:val="TableContents"/>
              <w:spacing w:lineRule="auto" w:line="300" w:before="0" w:after="0"/>
              <w:ind w:left="180" w:right="0" w:hanging="180"/>
              <w:jc w:val="left"/>
              <w:rPr/>
            </w:pPr>
            <w:r>
              <w:rPr>
                <w:rStyle w:val="StrongEmphasis"/>
                <w:rFonts w:ascii="Times New Roman" w:hAnsi="Times New Roman"/>
                <w:sz w:val="20"/>
              </w:rPr>
              <w:t>Loss from continuing operations</w:t>
            </w:r>
          </w:p>
        </w:tc>
        <w:tc>
          <w:tcPr>
            <w:tcW w:w="192" w:type="dxa"/>
            <w:tcBorders/>
            <w:shd w:fill="CCEEFF" w:val="clear"/>
            <w:tcMar>
              <w:bottom w:w="0" w:type="dxa"/>
            </w:tcMar>
            <w:vAlign w:val="center"/>
          </w:tcPr>
          <w:p>
            <w:pPr>
              <w:pStyle w:val="TableContents"/>
              <w:spacing w:before="0" w:after="283"/>
              <w:rPr/>
            </w:pPr>
            <w:r>
              <w:rPr/>
              <w:t> </w:t>
            </w:r>
          </w:p>
        </w:tc>
        <w:tc>
          <w:tcPr>
            <w:tcW w:w="126" w:type="dxa"/>
            <w:tcBorders/>
            <w:shd w:fill="CCEEFF" w:val="clear"/>
            <w:tcMar>
              <w:bottom w:w="0" w:type="dxa"/>
            </w:tcMar>
            <w:vAlign w:val="bottom"/>
          </w:tcPr>
          <w:p>
            <w:pPr>
              <w:pStyle w:val="TableContents"/>
              <w:spacing w:before="0" w:after="283"/>
              <w:jc w:val="left"/>
              <w:rPr/>
            </w:pPr>
            <w:r>
              <w:rPr/>
              <w:t> </w:t>
            </w:r>
          </w:p>
        </w:tc>
        <w:tc>
          <w:tcPr>
            <w:tcW w:w="1256"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2391" w:name="TAB1947"/>
            <w:bookmarkStart w:id="2392" w:name="TAB1948"/>
            <w:bookmarkStart w:id="2393" w:name="TAB1949"/>
            <w:bookmarkEnd w:id="2391"/>
            <w:bookmarkEnd w:id="2392"/>
            <w:bookmarkEnd w:id="2393"/>
            <w:r>
              <w:rPr>
                <w:rFonts w:ascii="Times New Roman" w:hAnsi="Times New Roman"/>
                <w:sz w:val="20"/>
              </w:rPr>
              <w:t>(6,863</w:t>
            </w:r>
          </w:p>
        </w:tc>
        <w:tc>
          <w:tcPr>
            <w:tcW w:w="198"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2394" w:name="TAB1950"/>
            <w:bookmarkStart w:id="2395" w:name="TAB1951"/>
            <w:bookmarkStart w:id="2396" w:name="TAB1952"/>
            <w:bookmarkEnd w:id="2394"/>
            <w:bookmarkEnd w:id="2395"/>
            <w:bookmarkEnd w:id="2396"/>
            <w:r>
              <w:rPr>
                <w:rFonts w:ascii="Times New Roman" w:hAnsi="Times New Roman"/>
                <w:sz w:val="20"/>
              </w:rPr>
              <w:t>)</w:t>
            </w:r>
          </w:p>
        </w:tc>
        <w:tc>
          <w:tcPr>
            <w:tcW w:w="126" w:type="dxa"/>
            <w:tcBorders/>
            <w:shd w:fill="CCEEFF" w:val="clear"/>
            <w:tcMar>
              <w:bottom w:w="0" w:type="dxa"/>
            </w:tcMar>
            <w:vAlign w:val="bottom"/>
          </w:tcPr>
          <w:p>
            <w:pPr>
              <w:pStyle w:val="TableContents"/>
              <w:spacing w:before="0" w:after="283"/>
              <w:jc w:val="left"/>
              <w:rPr/>
            </w:pPr>
            <w:r>
              <w:rPr/>
              <w:t> </w:t>
            </w:r>
          </w:p>
        </w:tc>
        <w:tc>
          <w:tcPr>
            <w:tcW w:w="1256"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2397" w:name="TAB1953"/>
            <w:bookmarkStart w:id="2398" w:name="TAB1954"/>
            <w:bookmarkStart w:id="2399" w:name="TAB1955"/>
            <w:bookmarkEnd w:id="2397"/>
            <w:bookmarkEnd w:id="2398"/>
            <w:bookmarkEnd w:id="2399"/>
            <w:r>
              <w:rPr>
                <w:rFonts w:ascii="Times New Roman" w:hAnsi="Times New Roman"/>
                <w:sz w:val="20"/>
              </w:rPr>
              <w:t>(11,405</w:t>
            </w:r>
          </w:p>
        </w:tc>
        <w:tc>
          <w:tcPr>
            <w:tcW w:w="198"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2400" w:name="TAB1956"/>
            <w:bookmarkStart w:id="2401" w:name="TAB1957"/>
            <w:bookmarkStart w:id="2402" w:name="TAB1958"/>
            <w:bookmarkEnd w:id="2400"/>
            <w:bookmarkEnd w:id="2401"/>
            <w:bookmarkEnd w:id="2402"/>
            <w:r>
              <w:rPr>
                <w:rFonts w:ascii="Times New Roman" w:hAnsi="Times New Roman"/>
                <w:sz w:val="20"/>
              </w:rPr>
              <w:t>)</w:t>
            </w:r>
          </w:p>
        </w:tc>
        <w:tc>
          <w:tcPr>
            <w:tcW w:w="126" w:type="dxa"/>
            <w:tcBorders/>
            <w:shd w:fill="CCEEFF" w:val="clear"/>
            <w:tcMar>
              <w:bottom w:w="0" w:type="dxa"/>
            </w:tcMar>
            <w:vAlign w:val="bottom"/>
          </w:tcPr>
          <w:p>
            <w:pPr>
              <w:pStyle w:val="TableContents"/>
              <w:spacing w:before="0" w:after="283"/>
              <w:jc w:val="left"/>
              <w:rPr/>
            </w:pPr>
            <w:r>
              <w:rPr/>
              <w:t> </w:t>
            </w:r>
          </w:p>
        </w:tc>
        <w:tc>
          <w:tcPr>
            <w:tcW w:w="1256"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2403" w:name="TAB1959"/>
            <w:bookmarkStart w:id="2404" w:name="TAB1960"/>
            <w:bookmarkStart w:id="2405" w:name="TAB1961"/>
            <w:bookmarkEnd w:id="2403"/>
            <w:bookmarkEnd w:id="2404"/>
            <w:bookmarkEnd w:id="2405"/>
            <w:r>
              <w:rPr>
                <w:rFonts w:ascii="Times New Roman" w:hAnsi="Times New Roman"/>
                <w:sz w:val="20"/>
              </w:rPr>
              <w:t>(8,628</w:t>
            </w:r>
          </w:p>
        </w:tc>
        <w:tc>
          <w:tcPr>
            <w:tcW w:w="123"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2406" w:name="TAB1962"/>
            <w:bookmarkStart w:id="2407" w:name="TAB1963"/>
            <w:bookmarkStart w:id="2408" w:name="TAB1964"/>
            <w:bookmarkEnd w:id="2406"/>
            <w:bookmarkEnd w:id="2407"/>
            <w:bookmarkEnd w:id="2408"/>
            <w:r>
              <w:rPr>
                <w:rFonts w:ascii="Times New Roman" w:hAnsi="Times New Roman"/>
                <w:sz w:val="20"/>
              </w:rPr>
              <w:t>)</w:t>
            </w:r>
          </w:p>
        </w:tc>
      </w:tr>
      <w:tr>
        <w:trPr/>
        <w:tc>
          <w:tcPr>
            <w:tcW w:w="5348" w:type="dxa"/>
            <w:tcBorders/>
            <w:shd w:fill="FFFFFF" w:val="clear"/>
            <w:tcMar>
              <w:bottom w:w="0" w:type="dxa"/>
            </w:tcMar>
            <w:vAlign w:val="bottom"/>
          </w:tcPr>
          <w:p>
            <w:pPr>
              <w:pStyle w:val="TableContents"/>
              <w:spacing w:lineRule="auto" w:line="300" w:before="0" w:after="0"/>
              <w:ind w:left="180" w:right="0" w:hanging="180"/>
              <w:jc w:val="left"/>
              <w:rPr>
                <w:rFonts w:ascii="Times New Roman" w:hAnsi="Times New Roman"/>
                <w:sz w:val="20"/>
              </w:rPr>
            </w:pPr>
            <w:r>
              <w:rPr>
                <w:rFonts w:ascii="Times New Roman" w:hAnsi="Times New Roman"/>
                <w:sz w:val="20"/>
              </w:rPr>
              <w:t>Discontinued operations:</w:t>
            </w:r>
          </w:p>
        </w:tc>
        <w:tc>
          <w:tcPr>
            <w:tcW w:w="192" w:type="dxa"/>
            <w:tcBorders/>
            <w:shd w:fill="FFFFFF" w:val="clear"/>
            <w:tcMar>
              <w:bottom w:w="0" w:type="dxa"/>
            </w:tcMar>
            <w:vAlign w:val="center"/>
          </w:tcPr>
          <w:p>
            <w:pPr>
              <w:pStyle w:val="TableContents"/>
              <w:spacing w:before="0" w:after="283"/>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256" w:type="dxa"/>
            <w:tcBorders/>
            <w:shd w:fill="FFFFFF" w:val="clear"/>
            <w:tcMar>
              <w:bottom w:w="0" w:type="dxa"/>
            </w:tcMar>
            <w:vAlign w:val="bottom"/>
          </w:tcPr>
          <w:p>
            <w:pPr>
              <w:pStyle w:val="TableContents"/>
              <w:spacing w:before="0" w:after="283"/>
              <w:jc w:val="right"/>
              <w:rPr/>
            </w:pPr>
            <w:r>
              <w:rPr/>
              <w:t> </w:t>
            </w:r>
          </w:p>
        </w:tc>
        <w:tc>
          <w:tcPr>
            <w:tcW w:w="198" w:type="dxa"/>
            <w:tcBorders/>
            <w:shd w:fill="FFFFFF" w:val="clear"/>
            <w:tcMar>
              <w:bottom w:w="0" w:type="dxa"/>
            </w:tcMar>
            <w:vAlign w:val="bottom"/>
          </w:tcPr>
          <w:p>
            <w:pPr>
              <w:pStyle w:val="TableContents"/>
              <w:spacing w:before="0" w:after="283"/>
              <w:jc w:val="left"/>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256" w:type="dxa"/>
            <w:tcBorders/>
            <w:shd w:fill="FFFFFF" w:val="clear"/>
            <w:tcMar>
              <w:bottom w:w="0" w:type="dxa"/>
            </w:tcMar>
            <w:vAlign w:val="bottom"/>
          </w:tcPr>
          <w:p>
            <w:pPr>
              <w:pStyle w:val="TableContents"/>
              <w:spacing w:before="0" w:after="283"/>
              <w:jc w:val="right"/>
              <w:rPr/>
            </w:pPr>
            <w:r>
              <w:rPr/>
              <w:t> </w:t>
            </w:r>
          </w:p>
        </w:tc>
        <w:tc>
          <w:tcPr>
            <w:tcW w:w="198" w:type="dxa"/>
            <w:tcBorders/>
            <w:shd w:fill="FFFFFF" w:val="clear"/>
            <w:tcMar>
              <w:bottom w:w="0" w:type="dxa"/>
            </w:tcMar>
            <w:vAlign w:val="bottom"/>
          </w:tcPr>
          <w:p>
            <w:pPr>
              <w:pStyle w:val="TableContents"/>
              <w:spacing w:before="0" w:after="283"/>
              <w:jc w:val="left"/>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256" w:type="dxa"/>
            <w:tcBorders/>
            <w:shd w:fill="FFFFFF" w:val="clear"/>
            <w:tcMar>
              <w:bottom w:w="0" w:type="dxa"/>
            </w:tcMar>
            <w:vAlign w:val="bottom"/>
          </w:tcPr>
          <w:p>
            <w:pPr>
              <w:pStyle w:val="TableContents"/>
              <w:spacing w:before="0" w:after="283"/>
              <w:jc w:val="right"/>
              <w:rPr/>
            </w:pPr>
            <w:r>
              <w:rPr/>
              <w:t> </w:t>
            </w:r>
          </w:p>
        </w:tc>
        <w:tc>
          <w:tcPr>
            <w:tcW w:w="123" w:type="dxa"/>
            <w:tcBorders/>
            <w:shd w:fill="FFFFFF" w:val="clear"/>
            <w:tcMar>
              <w:bottom w:w="0" w:type="dxa"/>
            </w:tcMar>
            <w:vAlign w:val="bottom"/>
          </w:tcPr>
          <w:p>
            <w:pPr>
              <w:pStyle w:val="TableContents"/>
              <w:spacing w:before="0" w:after="283"/>
              <w:jc w:val="left"/>
              <w:rPr/>
            </w:pPr>
            <w:r>
              <w:rPr/>
              <w:t> </w:t>
            </w:r>
          </w:p>
        </w:tc>
      </w:tr>
      <w:tr>
        <w:trPr/>
        <w:tc>
          <w:tcPr>
            <w:tcW w:w="5348" w:type="dxa"/>
            <w:tcBorders/>
            <w:shd w:fill="CCEEFF" w:val="clear"/>
            <w:tcMar>
              <w:bottom w:w="0" w:type="dxa"/>
            </w:tcMar>
            <w:vAlign w:val="bottom"/>
          </w:tcPr>
          <w:p>
            <w:pPr>
              <w:pStyle w:val="TableContents"/>
              <w:spacing w:lineRule="auto" w:line="300" w:before="0" w:after="0"/>
              <w:ind w:left="180" w:right="0" w:hanging="0"/>
              <w:jc w:val="left"/>
              <w:rPr>
                <w:rFonts w:ascii="Times New Roman" w:hAnsi="Times New Roman"/>
                <w:sz w:val="20"/>
              </w:rPr>
            </w:pPr>
            <w:bookmarkStart w:id="2409" w:name="TAB1965"/>
            <w:bookmarkEnd w:id="2409"/>
            <w:r>
              <w:rPr>
                <w:rFonts w:ascii="Times New Roman" w:hAnsi="Times New Roman"/>
                <w:sz w:val="20"/>
              </w:rPr>
              <w:t>Gain on disposal of business operations</w:t>
            </w:r>
          </w:p>
        </w:tc>
        <w:tc>
          <w:tcPr>
            <w:tcW w:w="192" w:type="dxa"/>
            <w:tcBorders/>
            <w:shd w:fill="CCEEFF" w:val="clear"/>
            <w:tcMar>
              <w:bottom w:w="0" w:type="dxa"/>
            </w:tcMar>
            <w:vAlign w:val="center"/>
          </w:tcPr>
          <w:p>
            <w:pPr>
              <w:pStyle w:val="TableContents"/>
              <w:spacing w:before="0" w:after="283"/>
              <w:rPr/>
            </w:pPr>
            <w:r>
              <w:rPr/>
              <w:t> </w:t>
            </w:r>
          </w:p>
        </w:tc>
        <w:tc>
          <w:tcPr>
            <w:tcW w:w="126" w:type="dxa"/>
            <w:tcBorders/>
            <w:shd w:fill="CCEEFF" w:val="clear"/>
            <w:tcMar>
              <w:bottom w:w="0" w:type="dxa"/>
            </w:tcMar>
            <w:vAlign w:val="bottom"/>
          </w:tcPr>
          <w:p>
            <w:pPr>
              <w:pStyle w:val="TableContents"/>
              <w:spacing w:before="0" w:after="283"/>
              <w:jc w:val="left"/>
              <w:rPr/>
            </w:pPr>
            <w:r>
              <w:rPr/>
              <w:t> </w:t>
            </w:r>
          </w:p>
        </w:tc>
        <w:tc>
          <w:tcPr>
            <w:tcW w:w="1256"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2410" w:name="TAB1966"/>
            <w:bookmarkStart w:id="2411" w:name="TAB1967"/>
            <w:bookmarkStart w:id="2412" w:name="TAB1968"/>
            <w:bookmarkEnd w:id="2410"/>
            <w:bookmarkEnd w:id="2411"/>
            <w:bookmarkEnd w:id="2412"/>
            <w:r>
              <w:rPr>
                <w:rFonts w:ascii="Times New Roman" w:hAnsi="Times New Roman"/>
                <w:sz w:val="20"/>
              </w:rPr>
              <w:t>--</w:t>
            </w:r>
          </w:p>
        </w:tc>
        <w:tc>
          <w:tcPr>
            <w:tcW w:w="198" w:type="dxa"/>
            <w:tcBorders/>
            <w:shd w:fill="CCEEFF" w:val="clear"/>
            <w:tcMar>
              <w:bottom w:w="0" w:type="dxa"/>
            </w:tcMar>
            <w:vAlign w:val="bottom"/>
          </w:tcPr>
          <w:p>
            <w:pPr>
              <w:pStyle w:val="TableContents"/>
              <w:spacing w:before="0" w:after="283"/>
              <w:jc w:val="left"/>
              <w:rPr/>
            </w:pPr>
            <w:r>
              <w:rPr/>
              <w:t> </w:t>
            </w:r>
          </w:p>
        </w:tc>
        <w:tc>
          <w:tcPr>
            <w:tcW w:w="126" w:type="dxa"/>
            <w:tcBorders/>
            <w:shd w:fill="CCEEFF" w:val="clear"/>
            <w:tcMar>
              <w:bottom w:w="0" w:type="dxa"/>
            </w:tcMar>
            <w:vAlign w:val="bottom"/>
          </w:tcPr>
          <w:p>
            <w:pPr>
              <w:pStyle w:val="TableContents"/>
              <w:spacing w:before="0" w:after="283"/>
              <w:jc w:val="left"/>
              <w:rPr/>
            </w:pPr>
            <w:r>
              <w:rPr/>
              <w:t> </w:t>
            </w:r>
          </w:p>
        </w:tc>
        <w:tc>
          <w:tcPr>
            <w:tcW w:w="1256"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2413" w:name="TAB1969"/>
            <w:bookmarkStart w:id="2414" w:name="TAB1970"/>
            <w:bookmarkStart w:id="2415" w:name="TAB1971"/>
            <w:bookmarkEnd w:id="2413"/>
            <w:bookmarkEnd w:id="2414"/>
            <w:bookmarkEnd w:id="2415"/>
            <w:r>
              <w:rPr>
                <w:rFonts w:ascii="Times New Roman" w:hAnsi="Times New Roman"/>
                <w:sz w:val="20"/>
              </w:rPr>
              <w:t>13,610</w:t>
            </w:r>
          </w:p>
        </w:tc>
        <w:tc>
          <w:tcPr>
            <w:tcW w:w="198" w:type="dxa"/>
            <w:tcBorders/>
            <w:shd w:fill="CCEEFF" w:val="clear"/>
            <w:tcMar>
              <w:bottom w:w="0" w:type="dxa"/>
            </w:tcMar>
            <w:vAlign w:val="bottom"/>
          </w:tcPr>
          <w:p>
            <w:pPr>
              <w:pStyle w:val="TableContents"/>
              <w:spacing w:before="0" w:after="283"/>
              <w:jc w:val="left"/>
              <w:rPr/>
            </w:pPr>
            <w:r>
              <w:rPr/>
              <w:t> </w:t>
            </w:r>
          </w:p>
        </w:tc>
        <w:tc>
          <w:tcPr>
            <w:tcW w:w="126" w:type="dxa"/>
            <w:tcBorders/>
            <w:shd w:fill="CCEEFF" w:val="clear"/>
            <w:tcMar>
              <w:bottom w:w="0" w:type="dxa"/>
            </w:tcMar>
            <w:vAlign w:val="bottom"/>
          </w:tcPr>
          <w:p>
            <w:pPr>
              <w:pStyle w:val="TableContents"/>
              <w:spacing w:before="0" w:after="283"/>
              <w:jc w:val="left"/>
              <w:rPr/>
            </w:pPr>
            <w:r>
              <w:rPr/>
              <w:t> </w:t>
            </w:r>
          </w:p>
        </w:tc>
        <w:tc>
          <w:tcPr>
            <w:tcW w:w="1256"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2416" w:name="TAB1972"/>
            <w:bookmarkStart w:id="2417" w:name="TAB1973"/>
            <w:bookmarkStart w:id="2418" w:name="TAB1974"/>
            <w:bookmarkEnd w:id="2416"/>
            <w:bookmarkEnd w:id="2417"/>
            <w:bookmarkEnd w:id="2418"/>
            <w:r>
              <w:rPr>
                <w:rFonts w:ascii="Times New Roman" w:hAnsi="Times New Roman"/>
                <w:sz w:val="20"/>
              </w:rPr>
              <w:t>--</w:t>
            </w:r>
          </w:p>
        </w:tc>
        <w:tc>
          <w:tcPr>
            <w:tcW w:w="123" w:type="dxa"/>
            <w:tcBorders/>
            <w:shd w:fill="CCEEFF" w:val="clear"/>
            <w:tcMar>
              <w:bottom w:w="0" w:type="dxa"/>
            </w:tcMar>
            <w:vAlign w:val="bottom"/>
          </w:tcPr>
          <w:p>
            <w:pPr>
              <w:pStyle w:val="TableContents"/>
              <w:spacing w:before="0" w:after="283"/>
              <w:jc w:val="left"/>
              <w:rPr/>
            </w:pPr>
            <w:r>
              <w:rPr/>
              <w:t> </w:t>
            </w:r>
          </w:p>
        </w:tc>
      </w:tr>
      <w:tr>
        <w:trPr/>
        <w:tc>
          <w:tcPr>
            <w:tcW w:w="5348" w:type="dxa"/>
            <w:tcBorders/>
            <w:shd w:fill="FFFFFF" w:val="clear"/>
            <w:tcMar>
              <w:bottom w:w="0" w:type="dxa"/>
            </w:tcMar>
            <w:vAlign w:val="bottom"/>
          </w:tcPr>
          <w:p>
            <w:pPr>
              <w:pStyle w:val="TableContents"/>
              <w:spacing w:lineRule="auto" w:line="300" w:before="0" w:after="0"/>
              <w:ind w:left="180" w:right="0" w:hanging="0"/>
              <w:jc w:val="left"/>
              <w:rPr>
                <w:rFonts w:ascii="Times New Roman" w:hAnsi="Times New Roman"/>
                <w:sz w:val="20"/>
              </w:rPr>
            </w:pPr>
            <w:bookmarkStart w:id="2419" w:name="TAB1975"/>
            <w:bookmarkEnd w:id="2419"/>
            <w:r>
              <w:rPr>
                <w:rFonts w:ascii="Times New Roman" w:hAnsi="Times New Roman"/>
                <w:sz w:val="20"/>
              </w:rPr>
              <w:t>Loss from discontinued operations, net of tax</w:t>
            </w:r>
          </w:p>
        </w:tc>
        <w:tc>
          <w:tcPr>
            <w:tcW w:w="192" w:type="dxa"/>
            <w:tcBorders/>
            <w:shd w:fill="FFFFFF" w:val="clear"/>
            <w:tcMar>
              <w:bottom w:w="0" w:type="dxa"/>
            </w:tcMar>
            <w:vAlign w:val="center"/>
          </w:tcPr>
          <w:p>
            <w:pPr>
              <w:pStyle w:val="TableContents"/>
              <w:spacing w:before="0" w:after="283"/>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256"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2420" w:name="TAB1976"/>
            <w:bookmarkStart w:id="2421" w:name="TAB1977"/>
            <w:bookmarkStart w:id="2422" w:name="TAB1978"/>
            <w:bookmarkEnd w:id="2420"/>
            <w:bookmarkEnd w:id="2421"/>
            <w:bookmarkEnd w:id="2422"/>
            <w:r>
              <w:rPr>
                <w:rFonts w:ascii="Times New Roman" w:hAnsi="Times New Roman"/>
                <w:sz w:val="20"/>
              </w:rPr>
              <w:t>--</w:t>
            </w:r>
          </w:p>
        </w:tc>
        <w:tc>
          <w:tcPr>
            <w:tcW w:w="198" w:type="dxa"/>
            <w:tcBorders/>
            <w:shd w:fill="FFFFFF" w:val="clear"/>
            <w:tcMar>
              <w:bottom w:w="0" w:type="dxa"/>
            </w:tcMar>
            <w:vAlign w:val="bottom"/>
          </w:tcPr>
          <w:p>
            <w:pPr>
              <w:pStyle w:val="TableContents"/>
              <w:spacing w:before="0" w:after="283"/>
              <w:jc w:val="left"/>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256"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2423" w:name="TAB1979"/>
            <w:bookmarkStart w:id="2424" w:name="TAB1980"/>
            <w:bookmarkStart w:id="2425" w:name="TAB1981"/>
            <w:bookmarkEnd w:id="2423"/>
            <w:bookmarkEnd w:id="2424"/>
            <w:bookmarkEnd w:id="2425"/>
            <w:r>
              <w:rPr>
                <w:rFonts w:ascii="Times New Roman" w:hAnsi="Times New Roman"/>
                <w:sz w:val="20"/>
              </w:rPr>
              <w:t>(1,379</w:t>
            </w:r>
          </w:p>
        </w:tc>
        <w:tc>
          <w:tcPr>
            <w:tcW w:w="198"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2426" w:name="TAB1982"/>
            <w:bookmarkStart w:id="2427" w:name="TAB1983"/>
            <w:bookmarkStart w:id="2428" w:name="TAB1984"/>
            <w:bookmarkEnd w:id="2426"/>
            <w:bookmarkEnd w:id="2427"/>
            <w:bookmarkEnd w:id="2428"/>
            <w:r>
              <w:rPr>
                <w:rFonts w:ascii="Times New Roman" w:hAnsi="Times New Roman"/>
                <w:sz w:val="20"/>
              </w:rPr>
              <w:t>)</w:t>
            </w:r>
          </w:p>
        </w:tc>
        <w:tc>
          <w:tcPr>
            <w:tcW w:w="126" w:type="dxa"/>
            <w:tcBorders/>
            <w:shd w:fill="FFFFFF" w:val="clear"/>
            <w:tcMar>
              <w:bottom w:w="0" w:type="dxa"/>
            </w:tcMar>
            <w:vAlign w:val="bottom"/>
          </w:tcPr>
          <w:p>
            <w:pPr>
              <w:pStyle w:val="TableContents"/>
              <w:spacing w:before="0" w:after="283"/>
              <w:jc w:val="left"/>
              <w:rPr/>
            </w:pPr>
            <w:r>
              <w:rPr/>
              <w:t> </w:t>
            </w:r>
          </w:p>
        </w:tc>
        <w:tc>
          <w:tcPr>
            <w:tcW w:w="1256"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2429" w:name="TAB1985"/>
            <w:bookmarkStart w:id="2430" w:name="TAB1986"/>
            <w:bookmarkStart w:id="2431" w:name="TAB1987"/>
            <w:bookmarkEnd w:id="2429"/>
            <w:bookmarkEnd w:id="2430"/>
            <w:bookmarkEnd w:id="2431"/>
            <w:r>
              <w:rPr>
                <w:rFonts w:ascii="Times New Roman" w:hAnsi="Times New Roman"/>
                <w:sz w:val="20"/>
              </w:rPr>
              <w:t>(469</w:t>
            </w:r>
          </w:p>
        </w:tc>
        <w:tc>
          <w:tcPr>
            <w:tcW w:w="123"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2432" w:name="TAB1988"/>
            <w:bookmarkStart w:id="2433" w:name="TAB1989"/>
            <w:bookmarkStart w:id="2434" w:name="TAB1990"/>
            <w:bookmarkEnd w:id="2432"/>
            <w:bookmarkEnd w:id="2433"/>
            <w:bookmarkEnd w:id="2434"/>
            <w:r>
              <w:rPr>
                <w:rFonts w:ascii="Times New Roman" w:hAnsi="Times New Roman"/>
                <w:sz w:val="20"/>
              </w:rPr>
              <w:t>)</w:t>
            </w:r>
          </w:p>
        </w:tc>
      </w:tr>
      <w:tr>
        <w:trPr/>
        <w:tc>
          <w:tcPr>
            <w:tcW w:w="5348" w:type="dxa"/>
            <w:tcBorders/>
            <w:shd w:fill="CCEEFF" w:val="clear"/>
            <w:tcMar>
              <w:bottom w:w="0" w:type="dxa"/>
            </w:tcMar>
            <w:vAlign w:val="bottom"/>
          </w:tcPr>
          <w:p>
            <w:pPr>
              <w:pStyle w:val="TableContents"/>
              <w:spacing w:lineRule="auto" w:line="300" w:before="0" w:after="0"/>
              <w:ind w:left="180" w:right="0" w:hanging="180"/>
              <w:jc w:val="left"/>
              <w:rPr/>
            </w:pPr>
            <w:r>
              <w:rPr>
                <w:rStyle w:val="StrongEmphasis"/>
                <w:rFonts w:ascii="Times New Roman" w:hAnsi="Times New Roman"/>
                <w:sz w:val="20"/>
              </w:rPr>
              <w:t xml:space="preserve">Income (loss) before income tax expense and equity earnings of unconsolidated joint ventures and entities </w:t>
            </w:r>
          </w:p>
        </w:tc>
        <w:tc>
          <w:tcPr>
            <w:tcW w:w="192" w:type="dxa"/>
            <w:tcBorders/>
            <w:shd w:fill="CCEEFF" w:val="clear"/>
            <w:tcMar>
              <w:bottom w:w="0" w:type="dxa"/>
            </w:tcMar>
            <w:vAlign w:val="center"/>
          </w:tcPr>
          <w:p>
            <w:pPr>
              <w:pStyle w:val="TableContents"/>
              <w:spacing w:before="0" w:after="283"/>
              <w:rPr/>
            </w:pPr>
            <w:r>
              <w:rPr/>
              <w:t> </w:t>
            </w:r>
          </w:p>
        </w:tc>
        <w:tc>
          <w:tcPr>
            <w:tcW w:w="126" w:type="dxa"/>
            <w:tcBorders/>
            <w:shd w:fill="CCEEFF" w:val="clear"/>
            <w:tcMar>
              <w:bottom w:w="0" w:type="dxa"/>
            </w:tcMar>
            <w:vAlign w:val="bottom"/>
          </w:tcPr>
          <w:p>
            <w:pPr>
              <w:pStyle w:val="TableContents"/>
              <w:spacing w:before="0" w:after="283"/>
              <w:jc w:val="left"/>
              <w:rPr/>
            </w:pPr>
            <w:r>
              <w:rPr/>
              <w:t> </w:t>
            </w:r>
          </w:p>
        </w:tc>
        <w:tc>
          <w:tcPr>
            <w:tcW w:w="1256"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2435" w:name="TAB1991"/>
            <w:bookmarkStart w:id="2436" w:name="TAB1992"/>
            <w:bookmarkStart w:id="2437" w:name="TAB1993"/>
            <w:bookmarkEnd w:id="2435"/>
            <w:bookmarkEnd w:id="2436"/>
            <w:bookmarkEnd w:id="2437"/>
            <w:r>
              <w:rPr>
                <w:rFonts w:ascii="Times New Roman" w:hAnsi="Times New Roman"/>
                <w:sz w:val="20"/>
              </w:rPr>
              <w:t>(6,863</w:t>
            </w:r>
          </w:p>
        </w:tc>
        <w:tc>
          <w:tcPr>
            <w:tcW w:w="198"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2438" w:name="TAB1994"/>
            <w:bookmarkStart w:id="2439" w:name="TAB1995"/>
            <w:bookmarkStart w:id="2440" w:name="TAB1996"/>
            <w:bookmarkEnd w:id="2438"/>
            <w:bookmarkEnd w:id="2439"/>
            <w:bookmarkEnd w:id="2440"/>
            <w:r>
              <w:rPr>
                <w:rFonts w:ascii="Times New Roman" w:hAnsi="Times New Roman"/>
                <w:sz w:val="20"/>
              </w:rPr>
              <w:t>)</w:t>
            </w:r>
          </w:p>
        </w:tc>
        <w:tc>
          <w:tcPr>
            <w:tcW w:w="126" w:type="dxa"/>
            <w:tcBorders/>
            <w:shd w:fill="CCEEFF" w:val="clear"/>
            <w:tcMar>
              <w:bottom w:w="0" w:type="dxa"/>
            </w:tcMar>
            <w:vAlign w:val="bottom"/>
          </w:tcPr>
          <w:p>
            <w:pPr>
              <w:pStyle w:val="TableContents"/>
              <w:spacing w:before="0" w:after="283"/>
              <w:jc w:val="left"/>
              <w:rPr/>
            </w:pPr>
            <w:r>
              <w:rPr/>
              <w:t> </w:t>
            </w:r>
          </w:p>
        </w:tc>
        <w:tc>
          <w:tcPr>
            <w:tcW w:w="1256"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2441" w:name="TAB1997"/>
            <w:bookmarkStart w:id="2442" w:name="TAB1998"/>
            <w:bookmarkStart w:id="2443" w:name="TAB1999"/>
            <w:bookmarkEnd w:id="2441"/>
            <w:bookmarkEnd w:id="2442"/>
            <w:bookmarkEnd w:id="2443"/>
            <w:r>
              <w:rPr>
                <w:rFonts w:ascii="Times New Roman" w:hAnsi="Times New Roman"/>
                <w:sz w:val="20"/>
              </w:rPr>
              <w:t>826</w:t>
            </w:r>
          </w:p>
        </w:tc>
        <w:tc>
          <w:tcPr>
            <w:tcW w:w="198" w:type="dxa"/>
            <w:tcBorders/>
            <w:shd w:fill="CCEEFF" w:val="clear"/>
            <w:tcMar>
              <w:bottom w:w="0" w:type="dxa"/>
            </w:tcMar>
            <w:vAlign w:val="bottom"/>
          </w:tcPr>
          <w:p>
            <w:pPr>
              <w:pStyle w:val="TableContents"/>
              <w:spacing w:before="0" w:after="283"/>
              <w:jc w:val="left"/>
              <w:rPr/>
            </w:pPr>
            <w:r>
              <w:rPr/>
              <w:t> </w:t>
            </w:r>
          </w:p>
        </w:tc>
        <w:tc>
          <w:tcPr>
            <w:tcW w:w="126" w:type="dxa"/>
            <w:tcBorders/>
            <w:shd w:fill="CCEEFF" w:val="clear"/>
            <w:tcMar>
              <w:bottom w:w="0" w:type="dxa"/>
            </w:tcMar>
            <w:vAlign w:val="bottom"/>
          </w:tcPr>
          <w:p>
            <w:pPr>
              <w:pStyle w:val="TableContents"/>
              <w:spacing w:before="0" w:after="283"/>
              <w:jc w:val="left"/>
              <w:rPr/>
            </w:pPr>
            <w:r>
              <w:rPr/>
              <w:t> </w:t>
            </w:r>
          </w:p>
        </w:tc>
        <w:tc>
          <w:tcPr>
            <w:tcW w:w="1256"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2444" w:name="TAB11000"/>
            <w:bookmarkStart w:id="2445" w:name="TAB11001"/>
            <w:bookmarkStart w:id="2446" w:name="TAB11002"/>
            <w:bookmarkEnd w:id="2444"/>
            <w:bookmarkEnd w:id="2445"/>
            <w:bookmarkEnd w:id="2446"/>
            <w:r>
              <w:rPr>
                <w:rFonts w:ascii="Times New Roman" w:hAnsi="Times New Roman"/>
                <w:sz w:val="20"/>
              </w:rPr>
              <w:t>(9,097</w:t>
            </w:r>
          </w:p>
        </w:tc>
        <w:tc>
          <w:tcPr>
            <w:tcW w:w="123"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2447" w:name="TAB11003"/>
            <w:bookmarkStart w:id="2448" w:name="TAB11004"/>
            <w:bookmarkStart w:id="2449" w:name="TAB11005"/>
            <w:bookmarkEnd w:id="2447"/>
            <w:bookmarkEnd w:id="2448"/>
            <w:bookmarkEnd w:id="2449"/>
            <w:r>
              <w:rPr>
                <w:rFonts w:ascii="Times New Roman" w:hAnsi="Times New Roman"/>
                <w:sz w:val="20"/>
              </w:rPr>
              <w:t>)</w:t>
            </w:r>
          </w:p>
        </w:tc>
      </w:tr>
      <w:tr>
        <w:trPr/>
        <w:tc>
          <w:tcPr>
            <w:tcW w:w="5348" w:type="dxa"/>
            <w:tcBorders>
              <w:bottom w:val="single" w:sz="2" w:space="0" w:color="000000"/>
            </w:tcBorders>
            <w:shd w:fill="FFFFFF" w:val="clear"/>
            <w:vAlign w:val="bottom"/>
          </w:tcPr>
          <w:p>
            <w:pPr>
              <w:pStyle w:val="TableContents"/>
              <w:spacing w:lineRule="auto" w:line="300" w:before="0" w:after="0"/>
              <w:ind w:left="180" w:right="0" w:hanging="180"/>
              <w:jc w:val="left"/>
              <w:rPr>
                <w:rFonts w:ascii="Times New Roman" w:hAnsi="Times New Roman"/>
                <w:sz w:val="20"/>
              </w:rPr>
            </w:pPr>
            <w:r>
              <w:rPr>
                <w:rFonts w:ascii="Times New Roman" w:hAnsi="Times New Roman"/>
                <w:sz w:val="20"/>
              </w:rPr>
              <w:t xml:space="preserve">Income tax expense </w:t>
            </w:r>
          </w:p>
        </w:tc>
        <w:tc>
          <w:tcPr>
            <w:tcW w:w="192" w:type="dxa"/>
            <w:tcBorders>
              <w:bottom w:val="single" w:sz="2" w:space="0" w:color="FFFFFF"/>
            </w:tcBorders>
            <w:shd w:fill="FFFFFF" w:val="clear"/>
            <w:vAlign w:val="center"/>
          </w:tcPr>
          <w:p>
            <w:pPr>
              <w:pStyle w:val="TableContents"/>
              <w:spacing w:before="0" w:after="283"/>
              <w:rPr/>
            </w:pPr>
            <w:r>
              <w:rPr/>
              <w:t> </w:t>
            </w:r>
          </w:p>
        </w:tc>
        <w:tc>
          <w:tcPr>
            <w:tcW w:w="126" w:type="dxa"/>
            <w:tcBorders>
              <w:bottom w:val="single" w:sz="2" w:space="0" w:color="000000"/>
            </w:tcBorders>
            <w:shd w:fill="FFFFFF" w:val="clear"/>
            <w:vAlign w:val="bottom"/>
          </w:tcPr>
          <w:p>
            <w:pPr>
              <w:pStyle w:val="TableContents"/>
              <w:spacing w:before="0" w:after="283"/>
              <w:jc w:val="left"/>
              <w:rPr/>
            </w:pPr>
            <w:r>
              <w:rPr/>
              <w:t> </w:t>
            </w:r>
          </w:p>
        </w:tc>
        <w:tc>
          <w:tcPr>
            <w:tcW w:w="1256"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2450" w:name="TAB11006"/>
            <w:bookmarkStart w:id="2451" w:name="TAB11007"/>
            <w:bookmarkStart w:id="2452" w:name="TAB11008"/>
            <w:bookmarkEnd w:id="2450"/>
            <w:bookmarkEnd w:id="2451"/>
            <w:bookmarkEnd w:id="2452"/>
            <w:r>
              <w:rPr>
                <w:rFonts w:ascii="Times New Roman" w:hAnsi="Times New Roman"/>
                <w:sz w:val="20"/>
              </w:rPr>
              <w:t>(2,270</w:t>
            </w:r>
          </w:p>
        </w:tc>
        <w:tc>
          <w:tcPr>
            <w:tcW w:w="198" w:type="dxa"/>
            <w:tcBorders>
              <w:bottom w:val="single" w:sz="2" w:space="0" w:color="FFFFFF"/>
            </w:tcBorders>
            <w:shd w:fill="FFFFFF" w:val="clear"/>
            <w:vAlign w:val="bottom"/>
          </w:tcPr>
          <w:p>
            <w:pPr>
              <w:pStyle w:val="TableContents"/>
              <w:spacing w:lineRule="auto" w:line="300" w:before="0" w:after="0"/>
              <w:ind w:left="0" w:right="0" w:hanging="0"/>
              <w:jc w:val="left"/>
              <w:rPr>
                <w:rFonts w:ascii="Times New Roman" w:hAnsi="Times New Roman"/>
                <w:sz w:val="20"/>
              </w:rPr>
            </w:pPr>
            <w:bookmarkStart w:id="2453" w:name="TAB11009"/>
            <w:bookmarkStart w:id="2454" w:name="TAB11010"/>
            <w:bookmarkStart w:id="2455" w:name="TAB11011"/>
            <w:bookmarkEnd w:id="2453"/>
            <w:bookmarkEnd w:id="2454"/>
            <w:bookmarkEnd w:id="2455"/>
            <w:r>
              <w:rPr>
                <w:rFonts w:ascii="Times New Roman" w:hAnsi="Times New Roman"/>
                <w:sz w:val="20"/>
              </w:rPr>
              <w:t>)</w:t>
            </w:r>
          </w:p>
        </w:tc>
        <w:tc>
          <w:tcPr>
            <w:tcW w:w="126" w:type="dxa"/>
            <w:tcBorders>
              <w:bottom w:val="single" w:sz="2" w:space="0" w:color="000000"/>
            </w:tcBorders>
            <w:shd w:fill="FFFFFF" w:val="clear"/>
            <w:vAlign w:val="bottom"/>
          </w:tcPr>
          <w:p>
            <w:pPr>
              <w:pStyle w:val="TableContents"/>
              <w:spacing w:before="0" w:after="283"/>
              <w:jc w:val="left"/>
              <w:rPr/>
            </w:pPr>
            <w:r>
              <w:rPr/>
              <w:t> </w:t>
            </w:r>
          </w:p>
        </w:tc>
        <w:tc>
          <w:tcPr>
            <w:tcW w:w="1256"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2456" w:name="TAB11012"/>
            <w:bookmarkStart w:id="2457" w:name="TAB11013"/>
            <w:bookmarkStart w:id="2458" w:name="TAB11014"/>
            <w:bookmarkEnd w:id="2456"/>
            <w:bookmarkEnd w:id="2457"/>
            <w:bookmarkEnd w:id="2458"/>
            <w:r>
              <w:rPr>
                <w:rFonts w:ascii="Times New Roman" w:hAnsi="Times New Roman"/>
                <w:sz w:val="20"/>
              </w:rPr>
              <w:t>(1,209</w:t>
            </w:r>
          </w:p>
        </w:tc>
        <w:tc>
          <w:tcPr>
            <w:tcW w:w="198" w:type="dxa"/>
            <w:tcBorders>
              <w:bottom w:val="single" w:sz="2" w:space="0" w:color="FFFFFF"/>
            </w:tcBorders>
            <w:shd w:fill="FFFFFF" w:val="clear"/>
            <w:vAlign w:val="bottom"/>
          </w:tcPr>
          <w:p>
            <w:pPr>
              <w:pStyle w:val="TableContents"/>
              <w:spacing w:lineRule="auto" w:line="300" w:before="0" w:after="0"/>
              <w:ind w:left="0" w:right="0" w:hanging="0"/>
              <w:jc w:val="left"/>
              <w:rPr>
                <w:rFonts w:ascii="Times New Roman" w:hAnsi="Times New Roman"/>
                <w:sz w:val="20"/>
              </w:rPr>
            </w:pPr>
            <w:bookmarkStart w:id="2459" w:name="TAB11015"/>
            <w:bookmarkStart w:id="2460" w:name="TAB11016"/>
            <w:bookmarkStart w:id="2461" w:name="TAB11017"/>
            <w:bookmarkEnd w:id="2459"/>
            <w:bookmarkEnd w:id="2460"/>
            <w:bookmarkEnd w:id="2461"/>
            <w:r>
              <w:rPr>
                <w:rFonts w:ascii="Times New Roman" w:hAnsi="Times New Roman"/>
                <w:sz w:val="20"/>
              </w:rPr>
              <w:t>)</w:t>
            </w:r>
          </w:p>
        </w:tc>
        <w:tc>
          <w:tcPr>
            <w:tcW w:w="126" w:type="dxa"/>
            <w:tcBorders>
              <w:bottom w:val="single" w:sz="2" w:space="0" w:color="000000"/>
            </w:tcBorders>
            <w:shd w:fill="FFFFFF" w:val="clear"/>
            <w:vAlign w:val="bottom"/>
          </w:tcPr>
          <w:p>
            <w:pPr>
              <w:pStyle w:val="TableContents"/>
              <w:spacing w:before="0" w:after="283"/>
              <w:jc w:val="left"/>
              <w:rPr/>
            </w:pPr>
            <w:r>
              <w:rPr/>
              <w:t> </w:t>
            </w:r>
          </w:p>
        </w:tc>
        <w:tc>
          <w:tcPr>
            <w:tcW w:w="1256"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2462" w:name="TAB11018"/>
            <w:bookmarkStart w:id="2463" w:name="TAB11019"/>
            <w:bookmarkStart w:id="2464" w:name="TAB11020"/>
            <w:bookmarkEnd w:id="2462"/>
            <w:bookmarkEnd w:id="2463"/>
            <w:bookmarkEnd w:id="2464"/>
            <w:r>
              <w:rPr>
                <w:rFonts w:ascii="Times New Roman" w:hAnsi="Times New Roman"/>
                <w:sz w:val="20"/>
              </w:rPr>
              <w:t>(1,046</w:t>
            </w:r>
          </w:p>
        </w:tc>
        <w:tc>
          <w:tcPr>
            <w:tcW w:w="123" w:type="dxa"/>
            <w:tcBorders>
              <w:bottom w:val="single" w:sz="2" w:space="0" w:color="FFFFFF"/>
            </w:tcBorders>
            <w:shd w:fill="FFFFFF" w:val="clear"/>
            <w:vAlign w:val="bottom"/>
          </w:tcPr>
          <w:p>
            <w:pPr>
              <w:pStyle w:val="TableContents"/>
              <w:spacing w:lineRule="auto" w:line="300" w:before="0" w:after="0"/>
              <w:ind w:left="0" w:right="0" w:hanging="0"/>
              <w:jc w:val="left"/>
              <w:rPr>
                <w:rFonts w:ascii="Times New Roman" w:hAnsi="Times New Roman"/>
                <w:sz w:val="20"/>
              </w:rPr>
            </w:pPr>
            <w:bookmarkStart w:id="2465" w:name="TAB11021"/>
            <w:bookmarkStart w:id="2466" w:name="TAB11022"/>
            <w:bookmarkStart w:id="2467" w:name="TAB11023"/>
            <w:bookmarkEnd w:id="2465"/>
            <w:bookmarkEnd w:id="2466"/>
            <w:bookmarkEnd w:id="2467"/>
            <w:r>
              <w:rPr>
                <w:rFonts w:ascii="Times New Roman" w:hAnsi="Times New Roman"/>
                <w:sz w:val="20"/>
              </w:rPr>
              <w:t>)</w:t>
            </w:r>
          </w:p>
        </w:tc>
      </w:tr>
      <w:tr>
        <w:trPr/>
        <w:tc>
          <w:tcPr>
            <w:tcW w:w="5348" w:type="dxa"/>
            <w:tcBorders/>
            <w:shd w:fill="CCEEFF" w:val="clear"/>
            <w:tcMar>
              <w:bottom w:w="0" w:type="dxa"/>
            </w:tcMar>
            <w:vAlign w:val="bottom"/>
          </w:tcPr>
          <w:p>
            <w:pPr>
              <w:pStyle w:val="TableContents"/>
              <w:spacing w:lineRule="auto" w:line="300" w:before="0" w:after="0"/>
              <w:ind w:left="0" w:right="0" w:hanging="0"/>
              <w:jc w:val="left"/>
              <w:rPr/>
            </w:pPr>
            <w:r>
              <w:rPr>
                <w:rStyle w:val="StrongEmphasis"/>
                <w:rFonts w:ascii="Times New Roman" w:hAnsi="Times New Roman"/>
                <w:sz w:val="20"/>
              </w:rPr>
              <w:t>Loss before equity earnings of unconsolidated joint ventures and entities</w:t>
            </w:r>
          </w:p>
        </w:tc>
        <w:tc>
          <w:tcPr>
            <w:tcW w:w="192" w:type="dxa"/>
            <w:tcBorders/>
            <w:shd w:fill="CCEEFF" w:val="clear"/>
            <w:tcMar>
              <w:bottom w:w="0" w:type="dxa"/>
            </w:tcMar>
            <w:vAlign w:val="center"/>
          </w:tcPr>
          <w:p>
            <w:pPr>
              <w:pStyle w:val="TableContents"/>
              <w:spacing w:before="0" w:after="283"/>
              <w:rPr/>
            </w:pPr>
            <w:r>
              <w:rPr/>
              <w:t> </w:t>
            </w:r>
          </w:p>
        </w:tc>
        <w:tc>
          <w:tcPr>
            <w:tcW w:w="126" w:type="dxa"/>
            <w:tcBorders/>
            <w:shd w:fill="CCEEFF" w:val="clear"/>
            <w:tcMar>
              <w:bottom w:w="0" w:type="dxa"/>
            </w:tcMar>
            <w:vAlign w:val="bottom"/>
          </w:tcPr>
          <w:p>
            <w:pPr>
              <w:pStyle w:val="TableContents"/>
              <w:spacing w:before="0" w:after="283"/>
              <w:jc w:val="left"/>
              <w:rPr/>
            </w:pPr>
            <w:r>
              <w:rPr/>
              <w:t> </w:t>
            </w:r>
          </w:p>
        </w:tc>
        <w:tc>
          <w:tcPr>
            <w:tcW w:w="1256"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2468" w:name="TAB11024"/>
            <w:bookmarkStart w:id="2469" w:name="TAB11025"/>
            <w:bookmarkStart w:id="2470" w:name="TAB11026"/>
            <w:bookmarkEnd w:id="2468"/>
            <w:bookmarkEnd w:id="2469"/>
            <w:bookmarkEnd w:id="2470"/>
            <w:r>
              <w:rPr>
                <w:rFonts w:ascii="Times New Roman" w:hAnsi="Times New Roman"/>
                <w:sz w:val="20"/>
              </w:rPr>
              <w:t>(9,133</w:t>
            </w:r>
          </w:p>
        </w:tc>
        <w:tc>
          <w:tcPr>
            <w:tcW w:w="198"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2471" w:name="TAB11027"/>
            <w:bookmarkStart w:id="2472" w:name="TAB11028"/>
            <w:bookmarkStart w:id="2473" w:name="TAB11029"/>
            <w:bookmarkEnd w:id="2471"/>
            <w:bookmarkEnd w:id="2472"/>
            <w:bookmarkEnd w:id="2473"/>
            <w:r>
              <w:rPr>
                <w:rFonts w:ascii="Times New Roman" w:hAnsi="Times New Roman"/>
                <w:sz w:val="20"/>
              </w:rPr>
              <w:t>)</w:t>
            </w:r>
          </w:p>
        </w:tc>
        <w:tc>
          <w:tcPr>
            <w:tcW w:w="126" w:type="dxa"/>
            <w:tcBorders/>
            <w:shd w:fill="CCEEFF" w:val="clear"/>
            <w:tcMar>
              <w:bottom w:w="0" w:type="dxa"/>
            </w:tcMar>
            <w:vAlign w:val="bottom"/>
          </w:tcPr>
          <w:p>
            <w:pPr>
              <w:pStyle w:val="TableContents"/>
              <w:spacing w:before="0" w:after="283"/>
              <w:jc w:val="left"/>
              <w:rPr/>
            </w:pPr>
            <w:r>
              <w:rPr/>
              <w:t> </w:t>
            </w:r>
          </w:p>
        </w:tc>
        <w:tc>
          <w:tcPr>
            <w:tcW w:w="1256"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2474" w:name="TAB11030"/>
            <w:bookmarkStart w:id="2475" w:name="TAB11031"/>
            <w:bookmarkStart w:id="2476" w:name="TAB11032"/>
            <w:bookmarkEnd w:id="2474"/>
            <w:bookmarkEnd w:id="2475"/>
            <w:bookmarkEnd w:id="2476"/>
            <w:r>
              <w:rPr>
                <w:rFonts w:ascii="Times New Roman" w:hAnsi="Times New Roman"/>
                <w:sz w:val="20"/>
              </w:rPr>
              <w:t>(383</w:t>
            </w:r>
          </w:p>
        </w:tc>
        <w:tc>
          <w:tcPr>
            <w:tcW w:w="198"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2477" w:name="TAB11033"/>
            <w:bookmarkStart w:id="2478" w:name="TAB11034"/>
            <w:bookmarkStart w:id="2479" w:name="TAB11035"/>
            <w:bookmarkEnd w:id="2477"/>
            <w:bookmarkEnd w:id="2478"/>
            <w:bookmarkEnd w:id="2479"/>
            <w:r>
              <w:rPr>
                <w:rFonts w:ascii="Times New Roman" w:hAnsi="Times New Roman"/>
                <w:sz w:val="20"/>
              </w:rPr>
              <w:t>)</w:t>
            </w:r>
          </w:p>
        </w:tc>
        <w:tc>
          <w:tcPr>
            <w:tcW w:w="126" w:type="dxa"/>
            <w:tcBorders/>
            <w:shd w:fill="CCEEFF" w:val="clear"/>
            <w:tcMar>
              <w:bottom w:w="0" w:type="dxa"/>
            </w:tcMar>
            <w:vAlign w:val="bottom"/>
          </w:tcPr>
          <w:p>
            <w:pPr>
              <w:pStyle w:val="TableContents"/>
              <w:spacing w:before="0" w:after="283"/>
              <w:jc w:val="left"/>
              <w:rPr/>
            </w:pPr>
            <w:r>
              <w:rPr/>
              <w:t> </w:t>
            </w:r>
          </w:p>
        </w:tc>
        <w:tc>
          <w:tcPr>
            <w:tcW w:w="1256"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(10,143</w:t>
            </w:r>
          </w:p>
        </w:tc>
        <w:tc>
          <w:tcPr>
            <w:tcW w:w="123"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r>
      <w:tr>
        <w:trPr/>
        <w:tc>
          <w:tcPr>
            <w:tcW w:w="5348"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Equity earnings of unconsolidated joint ventures and entities</w:t>
            </w:r>
          </w:p>
        </w:tc>
        <w:tc>
          <w:tcPr>
            <w:tcW w:w="192" w:type="dxa"/>
            <w:tcBorders/>
            <w:shd w:fill="FFFFFF" w:val="clear"/>
            <w:tcMar>
              <w:bottom w:w="0" w:type="dxa"/>
            </w:tcMar>
            <w:vAlign w:val="center"/>
          </w:tcPr>
          <w:p>
            <w:pPr>
              <w:pStyle w:val="TableContents"/>
              <w:spacing w:before="0" w:after="283"/>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256"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2480" w:name="TAB11036"/>
            <w:bookmarkStart w:id="2481" w:name="TAB11037"/>
            <w:bookmarkStart w:id="2482" w:name="TAB11038"/>
            <w:bookmarkEnd w:id="2480"/>
            <w:bookmarkEnd w:id="2481"/>
            <w:bookmarkEnd w:id="2482"/>
            <w:r>
              <w:rPr>
                <w:rFonts w:ascii="Times New Roman" w:hAnsi="Times New Roman"/>
                <w:sz w:val="20"/>
              </w:rPr>
              <w:t>9,547</w:t>
            </w:r>
          </w:p>
        </w:tc>
        <w:tc>
          <w:tcPr>
            <w:tcW w:w="198" w:type="dxa"/>
            <w:tcBorders/>
            <w:shd w:fill="FFFFFF" w:val="clear"/>
            <w:tcMar>
              <w:bottom w:w="0" w:type="dxa"/>
            </w:tcMar>
            <w:vAlign w:val="bottom"/>
          </w:tcPr>
          <w:p>
            <w:pPr>
              <w:pStyle w:val="TableContents"/>
              <w:spacing w:before="0" w:after="283"/>
              <w:jc w:val="left"/>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256"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2483" w:name="TAB11039"/>
            <w:bookmarkStart w:id="2484" w:name="TAB11040"/>
            <w:bookmarkStart w:id="2485" w:name="TAB11041"/>
            <w:bookmarkEnd w:id="2483"/>
            <w:bookmarkEnd w:id="2484"/>
            <w:bookmarkEnd w:id="2485"/>
            <w:r>
              <w:rPr>
                <w:rFonts w:ascii="Times New Roman" w:hAnsi="Times New Roman"/>
                <w:sz w:val="20"/>
              </w:rPr>
              <w:t>1,372</w:t>
            </w:r>
          </w:p>
        </w:tc>
        <w:tc>
          <w:tcPr>
            <w:tcW w:w="198" w:type="dxa"/>
            <w:tcBorders/>
            <w:shd w:fill="FFFFFF" w:val="clear"/>
            <w:tcMar>
              <w:bottom w:w="0" w:type="dxa"/>
            </w:tcMar>
            <w:vAlign w:val="bottom"/>
          </w:tcPr>
          <w:p>
            <w:pPr>
              <w:pStyle w:val="TableContents"/>
              <w:spacing w:before="0" w:after="283"/>
              <w:jc w:val="left"/>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256"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2486" w:name="TAB11042"/>
            <w:bookmarkStart w:id="2487" w:name="TAB11043"/>
            <w:bookmarkStart w:id="2488" w:name="TAB11044"/>
            <w:bookmarkEnd w:id="2486"/>
            <w:bookmarkEnd w:id="2487"/>
            <w:bookmarkEnd w:id="2488"/>
            <w:r>
              <w:rPr>
                <w:rFonts w:ascii="Times New Roman" w:hAnsi="Times New Roman"/>
                <w:sz w:val="20"/>
              </w:rPr>
              <w:t>1,680</w:t>
            </w:r>
          </w:p>
        </w:tc>
        <w:tc>
          <w:tcPr>
            <w:tcW w:w="123" w:type="dxa"/>
            <w:tcBorders/>
            <w:shd w:fill="FFFFFF" w:val="clear"/>
            <w:tcMar>
              <w:bottom w:w="0" w:type="dxa"/>
            </w:tcMar>
            <w:vAlign w:val="bottom"/>
          </w:tcPr>
          <w:p>
            <w:pPr>
              <w:pStyle w:val="TableContents"/>
              <w:spacing w:before="0" w:after="283"/>
              <w:jc w:val="left"/>
              <w:rPr/>
            </w:pPr>
            <w:r>
              <w:rPr/>
              <w:t> </w:t>
            </w:r>
          </w:p>
        </w:tc>
      </w:tr>
      <w:tr>
        <w:trPr/>
        <w:tc>
          <w:tcPr>
            <w:tcW w:w="5348" w:type="dxa"/>
            <w:tcBorders>
              <w:bottom w:val="sing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Gain on sale of unconsolidated joint venture</w:t>
            </w:r>
          </w:p>
        </w:tc>
        <w:tc>
          <w:tcPr>
            <w:tcW w:w="192" w:type="dxa"/>
            <w:tcBorders>
              <w:bottom w:val="single" w:sz="2" w:space="0" w:color="CCEEFF"/>
            </w:tcBorders>
            <w:shd w:fill="CCEEFF" w:val="clear"/>
            <w:vAlign w:val="center"/>
          </w:tcPr>
          <w:p>
            <w:pPr>
              <w:pStyle w:val="TableContents"/>
              <w:spacing w:before="0" w:after="283"/>
              <w:rPr/>
            </w:pPr>
            <w:r>
              <w:rPr/>
              <w:t> </w:t>
            </w:r>
          </w:p>
        </w:tc>
        <w:tc>
          <w:tcPr>
            <w:tcW w:w="126" w:type="dxa"/>
            <w:tcBorders>
              <w:bottom w:val="single" w:sz="2" w:space="0" w:color="000000"/>
            </w:tcBorders>
            <w:shd w:fill="CCEEFF" w:val="clear"/>
            <w:vAlign w:val="bottom"/>
          </w:tcPr>
          <w:p>
            <w:pPr>
              <w:pStyle w:val="TableContents"/>
              <w:spacing w:before="0" w:after="283"/>
              <w:jc w:val="left"/>
              <w:rPr/>
            </w:pPr>
            <w:r>
              <w:rPr/>
              <w:t> </w:t>
            </w:r>
          </w:p>
        </w:tc>
        <w:tc>
          <w:tcPr>
            <w:tcW w:w="1256"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2489" w:name="TAB11045"/>
            <w:bookmarkStart w:id="2490" w:name="TAB11046"/>
            <w:bookmarkStart w:id="2491" w:name="TAB11047"/>
            <w:bookmarkEnd w:id="2489"/>
            <w:bookmarkEnd w:id="2490"/>
            <w:bookmarkEnd w:id="2491"/>
            <w:r>
              <w:rPr>
                <w:rFonts w:ascii="Times New Roman" w:hAnsi="Times New Roman"/>
                <w:sz w:val="20"/>
              </w:rPr>
              <w:t>3,442</w:t>
            </w:r>
          </w:p>
        </w:tc>
        <w:tc>
          <w:tcPr>
            <w:tcW w:w="198" w:type="dxa"/>
            <w:tcBorders>
              <w:bottom w:val="single" w:sz="2" w:space="0" w:color="CCEEFF"/>
            </w:tcBorders>
            <w:shd w:fill="CCEEFF" w:val="clear"/>
            <w:vAlign w:val="bottom"/>
          </w:tcPr>
          <w:p>
            <w:pPr>
              <w:pStyle w:val="TableContents"/>
              <w:spacing w:before="0" w:after="283"/>
              <w:jc w:val="left"/>
              <w:rPr/>
            </w:pPr>
            <w:r>
              <w:rPr/>
              <w:t> </w:t>
            </w:r>
          </w:p>
        </w:tc>
        <w:tc>
          <w:tcPr>
            <w:tcW w:w="126" w:type="dxa"/>
            <w:tcBorders>
              <w:bottom w:val="single" w:sz="2" w:space="0" w:color="000000"/>
            </w:tcBorders>
            <w:shd w:fill="CCEEFF" w:val="clear"/>
            <w:vAlign w:val="bottom"/>
          </w:tcPr>
          <w:p>
            <w:pPr>
              <w:pStyle w:val="TableContents"/>
              <w:spacing w:before="0" w:after="283"/>
              <w:jc w:val="left"/>
              <w:rPr/>
            </w:pPr>
            <w:r>
              <w:rPr/>
              <w:t> </w:t>
            </w:r>
          </w:p>
        </w:tc>
        <w:tc>
          <w:tcPr>
            <w:tcW w:w="1256"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2492" w:name="TAB11048"/>
            <w:bookmarkStart w:id="2493" w:name="TAB11049"/>
            <w:bookmarkStart w:id="2494" w:name="TAB11050"/>
            <w:bookmarkEnd w:id="2492"/>
            <w:bookmarkEnd w:id="2493"/>
            <w:bookmarkEnd w:id="2494"/>
            <w:r>
              <w:rPr>
                <w:rFonts w:ascii="Times New Roman" w:hAnsi="Times New Roman"/>
                <w:sz w:val="20"/>
              </w:rPr>
              <w:t>--</w:t>
            </w:r>
          </w:p>
        </w:tc>
        <w:tc>
          <w:tcPr>
            <w:tcW w:w="198" w:type="dxa"/>
            <w:tcBorders>
              <w:bottom w:val="single" w:sz="2" w:space="0" w:color="CCEEFF"/>
            </w:tcBorders>
            <w:shd w:fill="CCEEFF" w:val="clear"/>
            <w:vAlign w:val="bottom"/>
          </w:tcPr>
          <w:p>
            <w:pPr>
              <w:pStyle w:val="TableContents"/>
              <w:spacing w:before="0" w:after="283"/>
              <w:jc w:val="left"/>
              <w:rPr/>
            </w:pPr>
            <w:r>
              <w:rPr/>
              <w:t> </w:t>
            </w:r>
          </w:p>
        </w:tc>
        <w:tc>
          <w:tcPr>
            <w:tcW w:w="126" w:type="dxa"/>
            <w:tcBorders>
              <w:bottom w:val="single" w:sz="2" w:space="0" w:color="000000"/>
            </w:tcBorders>
            <w:shd w:fill="CCEEFF" w:val="clear"/>
            <w:vAlign w:val="bottom"/>
          </w:tcPr>
          <w:p>
            <w:pPr>
              <w:pStyle w:val="TableContents"/>
              <w:spacing w:before="0" w:after="283"/>
              <w:jc w:val="left"/>
              <w:rPr/>
            </w:pPr>
            <w:r>
              <w:rPr/>
              <w:t> </w:t>
            </w:r>
          </w:p>
        </w:tc>
        <w:tc>
          <w:tcPr>
            <w:tcW w:w="1256"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2495" w:name="TAB11051"/>
            <w:bookmarkStart w:id="2496" w:name="TAB11052"/>
            <w:bookmarkStart w:id="2497" w:name="TAB11053"/>
            <w:bookmarkEnd w:id="2495"/>
            <w:bookmarkEnd w:id="2496"/>
            <w:bookmarkEnd w:id="2497"/>
            <w:r>
              <w:rPr>
                <w:rFonts w:ascii="Times New Roman" w:hAnsi="Times New Roman"/>
                <w:sz w:val="20"/>
              </w:rPr>
              <w:t>--</w:t>
            </w:r>
          </w:p>
        </w:tc>
        <w:tc>
          <w:tcPr>
            <w:tcW w:w="123" w:type="dxa"/>
            <w:tcBorders>
              <w:bottom w:val="single" w:sz="2" w:space="0" w:color="CCEEFF"/>
            </w:tcBorders>
            <w:shd w:fill="CCEEFF" w:val="clear"/>
            <w:vAlign w:val="bottom"/>
          </w:tcPr>
          <w:p>
            <w:pPr>
              <w:pStyle w:val="TableContents"/>
              <w:spacing w:before="0" w:after="283"/>
              <w:jc w:val="left"/>
              <w:rPr/>
            </w:pPr>
            <w:r>
              <w:rPr/>
              <w:t> </w:t>
            </w:r>
          </w:p>
        </w:tc>
      </w:tr>
      <w:tr>
        <w:trPr/>
        <w:tc>
          <w:tcPr>
            <w:tcW w:w="5348" w:type="dxa"/>
            <w:tcBorders>
              <w:bottom w:val="double" w:sz="2" w:space="0" w:color="000000"/>
            </w:tcBorders>
            <w:shd w:fill="FFFFFF" w:val="clear"/>
            <w:vAlign w:val="bottom"/>
          </w:tcPr>
          <w:p>
            <w:pPr>
              <w:pStyle w:val="TableContents"/>
              <w:spacing w:lineRule="auto" w:line="300" w:before="0" w:after="0"/>
              <w:ind w:left="180" w:right="0" w:hanging="180"/>
              <w:jc w:val="left"/>
              <w:rPr/>
            </w:pPr>
            <w:r>
              <w:rPr>
                <w:rStyle w:val="StrongEmphasis"/>
                <w:rFonts w:ascii="Times New Roman" w:hAnsi="Times New Roman"/>
                <w:sz w:val="20"/>
              </w:rPr>
              <w:t>Net income (loss)</w:t>
            </w:r>
          </w:p>
        </w:tc>
        <w:tc>
          <w:tcPr>
            <w:tcW w:w="192" w:type="dxa"/>
            <w:tcBorders>
              <w:bottom w:val="single" w:sz="4" w:space="0" w:color="FFFFFF"/>
            </w:tcBorders>
            <w:shd w:fill="FFFFFF" w:val="clear"/>
            <w:vAlign w:val="center"/>
          </w:tcPr>
          <w:p>
            <w:pPr>
              <w:pStyle w:val="TableContents"/>
              <w:spacing w:before="0" w:after="283"/>
              <w:rPr/>
            </w:pPr>
            <w:r>
              <w:rPr/>
              <w:t> </w:t>
            </w:r>
          </w:p>
        </w:tc>
        <w:tc>
          <w:tcPr>
            <w:tcW w:w="126" w:type="dxa"/>
            <w:tcBorders>
              <w:bottom w:val="doub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bookmarkStart w:id="2498" w:name="TAB11054"/>
            <w:bookmarkStart w:id="2499" w:name="TAB11055"/>
            <w:bookmarkEnd w:id="2498"/>
            <w:bookmarkEnd w:id="2499"/>
            <w:r>
              <w:rPr>
                <w:rFonts w:ascii="Times New Roman" w:hAnsi="Times New Roman"/>
                <w:sz w:val="20"/>
              </w:rPr>
              <w:t>$</w:t>
            </w:r>
            <w:bookmarkStart w:id="2500" w:name="TAB278"/>
            <w:bookmarkEnd w:id="2500"/>
          </w:p>
        </w:tc>
        <w:tc>
          <w:tcPr>
            <w:tcW w:w="1256"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2501" w:name="TAB279"/>
            <w:bookmarkStart w:id="2502" w:name="TAB11056"/>
            <w:bookmarkStart w:id="2503" w:name="TAB11057"/>
            <w:bookmarkEnd w:id="2501"/>
            <w:bookmarkEnd w:id="2502"/>
            <w:bookmarkEnd w:id="2503"/>
            <w:r>
              <w:rPr>
                <w:rFonts w:ascii="Times New Roman" w:hAnsi="Times New Roman"/>
                <w:sz w:val="20"/>
              </w:rPr>
              <w:t>3,856</w:t>
            </w:r>
          </w:p>
        </w:tc>
        <w:tc>
          <w:tcPr>
            <w:tcW w:w="198" w:type="dxa"/>
            <w:tcBorders>
              <w:bottom w:val="single" w:sz="4" w:space="0" w:color="FFFFFF"/>
            </w:tcBorders>
            <w:shd w:fill="FFFFFF" w:val="clear"/>
            <w:vAlign w:val="bottom"/>
          </w:tcPr>
          <w:p>
            <w:pPr>
              <w:pStyle w:val="TableContents"/>
              <w:spacing w:before="0" w:after="283"/>
              <w:jc w:val="left"/>
              <w:rPr/>
            </w:pPr>
            <w:r>
              <w:rPr/>
              <w:t> </w:t>
            </w:r>
          </w:p>
        </w:tc>
        <w:tc>
          <w:tcPr>
            <w:tcW w:w="126" w:type="dxa"/>
            <w:tcBorders>
              <w:bottom w:val="doub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bookmarkStart w:id="2504" w:name="TAB11058"/>
            <w:bookmarkStart w:id="2505" w:name="TAB11059"/>
            <w:bookmarkEnd w:id="2504"/>
            <w:bookmarkEnd w:id="2505"/>
            <w:r>
              <w:rPr>
                <w:rFonts w:ascii="Times New Roman" w:hAnsi="Times New Roman"/>
                <w:sz w:val="20"/>
              </w:rPr>
              <w:t>$</w:t>
            </w:r>
            <w:bookmarkStart w:id="2506" w:name="TAB280"/>
            <w:bookmarkEnd w:id="2506"/>
          </w:p>
        </w:tc>
        <w:tc>
          <w:tcPr>
            <w:tcW w:w="1256"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2507" w:name="TAB281"/>
            <w:bookmarkStart w:id="2508" w:name="TAB11060"/>
            <w:bookmarkStart w:id="2509" w:name="TAB11061"/>
            <w:bookmarkEnd w:id="2507"/>
            <w:bookmarkEnd w:id="2508"/>
            <w:bookmarkEnd w:id="2509"/>
            <w:r>
              <w:rPr>
                <w:rFonts w:ascii="Times New Roman" w:hAnsi="Times New Roman"/>
                <w:sz w:val="20"/>
              </w:rPr>
              <w:t>989</w:t>
            </w:r>
          </w:p>
        </w:tc>
        <w:tc>
          <w:tcPr>
            <w:tcW w:w="198" w:type="dxa"/>
            <w:tcBorders>
              <w:bottom w:val="single" w:sz="4" w:space="0" w:color="FFFFFF"/>
            </w:tcBorders>
            <w:shd w:fill="FFFFFF" w:val="clear"/>
            <w:vAlign w:val="bottom"/>
          </w:tcPr>
          <w:p>
            <w:pPr>
              <w:pStyle w:val="TableContents"/>
              <w:spacing w:before="0" w:after="283"/>
              <w:jc w:val="left"/>
              <w:rPr/>
            </w:pPr>
            <w:r>
              <w:rPr/>
              <w:t> </w:t>
            </w:r>
          </w:p>
        </w:tc>
        <w:tc>
          <w:tcPr>
            <w:tcW w:w="126" w:type="dxa"/>
            <w:tcBorders>
              <w:bottom w:val="doub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bookmarkStart w:id="2510" w:name="TAB11062"/>
            <w:bookmarkStart w:id="2511" w:name="TAB11063"/>
            <w:bookmarkEnd w:id="2510"/>
            <w:bookmarkEnd w:id="2511"/>
            <w:r>
              <w:rPr>
                <w:rFonts w:ascii="Times New Roman" w:hAnsi="Times New Roman"/>
                <w:sz w:val="20"/>
              </w:rPr>
              <w:t>$</w:t>
            </w:r>
            <w:bookmarkStart w:id="2512" w:name="TAB282"/>
            <w:bookmarkEnd w:id="2512"/>
          </w:p>
        </w:tc>
        <w:tc>
          <w:tcPr>
            <w:tcW w:w="1256"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2513" w:name="TAB283"/>
            <w:bookmarkStart w:id="2514" w:name="TAB11064"/>
            <w:bookmarkStart w:id="2515" w:name="TAB11065"/>
            <w:bookmarkEnd w:id="2513"/>
            <w:bookmarkEnd w:id="2514"/>
            <w:bookmarkEnd w:id="2515"/>
            <w:r>
              <w:rPr>
                <w:rFonts w:ascii="Times New Roman" w:hAnsi="Times New Roman"/>
                <w:sz w:val="20"/>
              </w:rPr>
              <w:t>(8,463</w:t>
            </w:r>
          </w:p>
        </w:tc>
        <w:tc>
          <w:tcPr>
            <w:tcW w:w="123" w:type="dxa"/>
            <w:tcBorders>
              <w:bottom w:val="single" w:sz="4" w:space="0" w:color="FFFFFF"/>
            </w:tcBorders>
            <w:shd w:fill="FFFFFF" w:val="clear"/>
            <w:vAlign w:val="bottom"/>
          </w:tcPr>
          <w:p>
            <w:pPr>
              <w:pStyle w:val="TableContents"/>
              <w:spacing w:lineRule="auto" w:line="300" w:before="0" w:after="0"/>
              <w:ind w:left="0" w:right="0" w:hanging="0"/>
              <w:jc w:val="left"/>
              <w:rPr>
                <w:rFonts w:ascii="Times New Roman" w:hAnsi="Times New Roman"/>
                <w:sz w:val="20"/>
              </w:rPr>
            </w:pPr>
            <w:bookmarkStart w:id="2516" w:name="TAB284"/>
            <w:bookmarkStart w:id="2517" w:name="TAB11066"/>
            <w:bookmarkStart w:id="2518" w:name="TAB11067"/>
            <w:bookmarkEnd w:id="2516"/>
            <w:bookmarkEnd w:id="2517"/>
            <w:bookmarkEnd w:id="2518"/>
            <w:r>
              <w:rPr>
                <w:rFonts w:ascii="Times New Roman" w:hAnsi="Times New Roman"/>
                <w:sz w:val="20"/>
              </w:rPr>
              <w:t>)</w:t>
            </w:r>
          </w:p>
        </w:tc>
      </w:tr>
      <w:tr>
        <w:trPr/>
        <w:tc>
          <w:tcPr>
            <w:tcW w:w="5348" w:type="dxa"/>
            <w:tcBorders/>
            <w:shd w:fill="CCEEFF" w:val="clear"/>
            <w:tcMar>
              <w:bottom w:w="0" w:type="dxa"/>
            </w:tcMar>
            <w:vAlign w:val="bottom"/>
          </w:tcPr>
          <w:p>
            <w:pPr>
              <w:pStyle w:val="TableContents"/>
              <w:spacing w:lineRule="auto" w:line="300" w:before="0" w:after="0"/>
              <w:ind w:left="180" w:right="0" w:hanging="180"/>
              <w:jc w:val="left"/>
              <w:rPr>
                <w:rFonts w:ascii="Times New Roman" w:hAnsi="Times New Roman"/>
                <w:sz w:val="20"/>
              </w:rPr>
            </w:pPr>
            <w:r>
              <w:rPr>
                <w:rFonts w:ascii="Times New Roman" w:hAnsi="Times New Roman"/>
                <w:sz w:val="20"/>
              </w:rPr>
              <w:t>Earnings (loss) per common share - basic:</w:t>
            </w:r>
          </w:p>
        </w:tc>
        <w:tc>
          <w:tcPr>
            <w:tcW w:w="192" w:type="dxa"/>
            <w:tcBorders/>
            <w:shd w:fill="CCEEFF" w:val="clear"/>
            <w:tcMar>
              <w:bottom w:w="0" w:type="dxa"/>
            </w:tcMar>
            <w:vAlign w:val="center"/>
          </w:tcPr>
          <w:p>
            <w:pPr>
              <w:pStyle w:val="TableContents"/>
              <w:spacing w:before="0" w:after="283"/>
              <w:rPr/>
            </w:pPr>
            <w:r>
              <w:rPr/>
              <w:t> </w:t>
            </w:r>
          </w:p>
        </w:tc>
        <w:tc>
          <w:tcPr>
            <w:tcW w:w="126" w:type="dxa"/>
            <w:tcBorders/>
            <w:shd w:fill="CCEEFF" w:val="clear"/>
            <w:tcMar>
              <w:bottom w:w="0" w:type="dxa"/>
            </w:tcMar>
            <w:vAlign w:val="bottom"/>
          </w:tcPr>
          <w:p>
            <w:pPr>
              <w:pStyle w:val="TableContents"/>
              <w:spacing w:before="0" w:after="283"/>
              <w:jc w:val="left"/>
              <w:rPr/>
            </w:pPr>
            <w:r>
              <w:rPr/>
              <w:t> </w:t>
            </w:r>
          </w:p>
        </w:tc>
        <w:tc>
          <w:tcPr>
            <w:tcW w:w="1256" w:type="dxa"/>
            <w:tcBorders/>
            <w:shd w:fill="CCEEFF" w:val="clear"/>
            <w:tcMar>
              <w:bottom w:w="0" w:type="dxa"/>
            </w:tcMar>
            <w:vAlign w:val="bottom"/>
          </w:tcPr>
          <w:p>
            <w:pPr>
              <w:pStyle w:val="TableContents"/>
              <w:spacing w:before="0" w:after="283"/>
              <w:jc w:val="right"/>
              <w:rPr/>
            </w:pPr>
            <w:r>
              <w:rPr/>
              <w:t> </w:t>
            </w:r>
          </w:p>
        </w:tc>
        <w:tc>
          <w:tcPr>
            <w:tcW w:w="198" w:type="dxa"/>
            <w:tcBorders/>
            <w:shd w:fill="CCEEFF" w:val="clear"/>
            <w:tcMar>
              <w:bottom w:w="0" w:type="dxa"/>
            </w:tcMar>
            <w:vAlign w:val="bottom"/>
          </w:tcPr>
          <w:p>
            <w:pPr>
              <w:pStyle w:val="TableContents"/>
              <w:spacing w:before="0" w:after="283"/>
              <w:jc w:val="left"/>
              <w:rPr/>
            </w:pPr>
            <w:r>
              <w:rPr/>
              <w:t> </w:t>
            </w:r>
          </w:p>
        </w:tc>
        <w:tc>
          <w:tcPr>
            <w:tcW w:w="126" w:type="dxa"/>
            <w:tcBorders/>
            <w:shd w:fill="CCEEFF" w:val="clear"/>
            <w:tcMar>
              <w:bottom w:w="0" w:type="dxa"/>
            </w:tcMar>
            <w:vAlign w:val="bottom"/>
          </w:tcPr>
          <w:p>
            <w:pPr>
              <w:pStyle w:val="TableContents"/>
              <w:spacing w:before="0" w:after="283"/>
              <w:jc w:val="left"/>
              <w:rPr/>
            </w:pPr>
            <w:r>
              <w:rPr/>
              <w:t> </w:t>
            </w:r>
          </w:p>
        </w:tc>
        <w:tc>
          <w:tcPr>
            <w:tcW w:w="1256" w:type="dxa"/>
            <w:tcBorders/>
            <w:shd w:fill="CCEEFF" w:val="clear"/>
            <w:tcMar>
              <w:bottom w:w="0" w:type="dxa"/>
            </w:tcMar>
            <w:vAlign w:val="bottom"/>
          </w:tcPr>
          <w:p>
            <w:pPr>
              <w:pStyle w:val="TableContents"/>
              <w:spacing w:before="0" w:after="283"/>
              <w:jc w:val="right"/>
              <w:rPr/>
            </w:pPr>
            <w:r>
              <w:rPr/>
              <w:t> </w:t>
            </w:r>
          </w:p>
        </w:tc>
        <w:tc>
          <w:tcPr>
            <w:tcW w:w="198" w:type="dxa"/>
            <w:tcBorders/>
            <w:shd w:fill="CCEEFF" w:val="clear"/>
            <w:tcMar>
              <w:bottom w:w="0" w:type="dxa"/>
            </w:tcMar>
            <w:vAlign w:val="bottom"/>
          </w:tcPr>
          <w:p>
            <w:pPr>
              <w:pStyle w:val="TableContents"/>
              <w:spacing w:before="0" w:after="283"/>
              <w:jc w:val="left"/>
              <w:rPr/>
            </w:pPr>
            <w:r>
              <w:rPr/>
              <w:t> </w:t>
            </w:r>
          </w:p>
        </w:tc>
        <w:tc>
          <w:tcPr>
            <w:tcW w:w="126" w:type="dxa"/>
            <w:tcBorders/>
            <w:shd w:fill="CCEEFF" w:val="clear"/>
            <w:tcMar>
              <w:bottom w:w="0" w:type="dxa"/>
            </w:tcMar>
            <w:vAlign w:val="bottom"/>
          </w:tcPr>
          <w:p>
            <w:pPr>
              <w:pStyle w:val="TableContents"/>
              <w:spacing w:before="0" w:after="283"/>
              <w:jc w:val="left"/>
              <w:rPr/>
            </w:pPr>
            <w:r>
              <w:rPr/>
              <w:t> </w:t>
            </w:r>
          </w:p>
        </w:tc>
        <w:tc>
          <w:tcPr>
            <w:tcW w:w="1256" w:type="dxa"/>
            <w:tcBorders/>
            <w:shd w:fill="CCEEFF" w:val="clear"/>
            <w:tcMar>
              <w:bottom w:w="0" w:type="dxa"/>
            </w:tcMar>
            <w:vAlign w:val="bottom"/>
          </w:tcPr>
          <w:p>
            <w:pPr>
              <w:pStyle w:val="TableContents"/>
              <w:spacing w:before="0" w:after="283"/>
              <w:jc w:val="right"/>
              <w:rPr/>
            </w:pPr>
            <w:r>
              <w:rPr/>
              <w:t> </w:t>
            </w:r>
          </w:p>
        </w:tc>
        <w:tc>
          <w:tcPr>
            <w:tcW w:w="123" w:type="dxa"/>
            <w:tcBorders/>
            <w:shd w:fill="CCEEFF" w:val="clear"/>
            <w:tcMar>
              <w:bottom w:w="0" w:type="dxa"/>
            </w:tcMar>
            <w:vAlign w:val="bottom"/>
          </w:tcPr>
          <w:p>
            <w:pPr>
              <w:pStyle w:val="TableContents"/>
              <w:spacing w:before="0" w:after="283"/>
              <w:jc w:val="left"/>
              <w:rPr/>
            </w:pPr>
            <w:r>
              <w:rPr/>
              <w:t> </w:t>
            </w:r>
          </w:p>
        </w:tc>
      </w:tr>
      <w:tr>
        <w:trPr/>
        <w:tc>
          <w:tcPr>
            <w:tcW w:w="5348" w:type="dxa"/>
            <w:tcBorders/>
            <w:shd w:fill="FFFFFF" w:val="clear"/>
            <w:tcMar>
              <w:bottom w:w="0" w:type="dxa"/>
            </w:tcMar>
            <w:vAlign w:val="bottom"/>
          </w:tcPr>
          <w:p>
            <w:pPr>
              <w:pStyle w:val="TableContents"/>
              <w:spacing w:lineRule="auto" w:line="300" w:before="0" w:after="0"/>
              <w:ind w:left="180" w:right="0" w:hanging="0"/>
              <w:jc w:val="left"/>
              <w:rPr>
                <w:rFonts w:ascii="Times New Roman" w:hAnsi="Times New Roman"/>
                <w:sz w:val="20"/>
              </w:rPr>
            </w:pPr>
            <w:r>
              <w:rPr>
                <w:rFonts w:ascii="Times New Roman" w:hAnsi="Times New Roman"/>
                <w:sz w:val="20"/>
              </w:rPr>
              <w:t>Earnings (loss) from continuing operations</w:t>
            </w:r>
          </w:p>
        </w:tc>
        <w:tc>
          <w:tcPr>
            <w:tcW w:w="192" w:type="dxa"/>
            <w:tcBorders/>
            <w:shd w:fill="FFFFFF" w:val="clear"/>
            <w:tcMar>
              <w:bottom w:w="0" w:type="dxa"/>
            </w:tcMar>
            <w:vAlign w:val="center"/>
          </w:tcPr>
          <w:p>
            <w:pPr>
              <w:pStyle w:val="TableContents"/>
              <w:spacing w:before="0" w:after="283"/>
              <w:rPr/>
            </w:pPr>
            <w:r>
              <w:rPr/>
              <w:t> </w:t>
            </w:r>
          </w:p>
        </w:tc>
        <w:tc>
          <w:tcPr>
            <w:tcW w:w="126"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bookmarkStart w:id="2519" w:name="TAB11068"/>
            <w:bookmarkEnd w:id="2519"/>
            <w:r>
              <w:rPr>
                <w:rFonts w:ascii="Times New Roman" w:hAnsi="Times New Roman"/>
                <w:sz w:val="20"/>
              </w:rPr>
              <w:t>$</w:t>
            </w:r>
          </w:p>
        </w:tc>
        <w:tc>
          <w:tcPr>
            <w:tcW w:w="1256" w:type="dxa"/>
            <w:tcBorders/>
            <w:shd w:fill="FFFFFF" w:val="clear"/>
            <w:tcMar>
              <w:bottom w:w="0" w:type="dxa"/>
            </w:tcMar>
            <w:vAlign w:val="bottom"/>
          </w:tcPr>
          <w:p>
            <w:pPr>
              <w:pStyle w:val="TableContents"/>
              <w:spacing w:before="0" w:after="0"/>
              <w:ind w:left="0" w:right="0" w:hanging="0"/>
              <w:jc w:val="right"/>
              <w:rPr>
                <w:rFonts w:ascii="Times New Roman" w:hAnsi="Times New Roman"/>
                <w:sz w:val="20"/>
              </w:rPr>
            </w:pPr>
            <w:bookmarkStart w:id="2520" w:name="TAB11069"/>
            <w:bookmarkEnd w:id="2520"/>
            <w:r>
              <w:rPr>
                <w:rFonts w:ascii="Times New Roman" w:hAnsi="Times New Roman"/>
                <w:sz w:val="20"/>
              </w:rPr>
              <w:t>0.17</w:t>
            </w:r>
          </w:p>
        </w:tc>
        <w:tc>
          <w:tcPr>
            <w:tcW w:w="198" w:type="dxa"/>
            <w:tcBorders/>
            <w:shd w:fill="FFFFFF" w:val="clear"/>
            <w:tcMar>
              <w:bottom w:w="0" w:type="dxa"/>
            </w:tcMar>
            <w:vAlign w:val="bottom"/>
          </w:tcPr>
          <w:p>
            <w:pPr>
              <w:pStyle w:val="TableContents"/>
              <w:spacing w:before="0" w:after="283"/>
              <w:jc w:val="left"/>
              <w:rPr/>
            </w:pPr>
            <w:r>
              <w:rPr/>
              <w:t> </w:t>
            </w:r>
          </w:p>
        </w:tc>
        <w:tc>
          <w:tcPr>
            <w:tcW w:w="126"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bookmarkStart w:id="2521" w:name="TAB11070"/>
            <w:bookmarkEnd w:id="2521"/>
            <w:r>
              <w:rPr>
                <w:rFonts w:ascii="Times New Roman" w:hAnsi="Times New Roman"/>
                <w:sz w:val="20"/>
              </w:rPr>
              <w:t>$</w:t>
            </w:r>
          </w:p>
        </w:tc>
        <w:tc>
          <w:tcPr>
            <w:tcW w:w="1256" w:type="dxa"/>
            <w:tcBorders/>
            <w:shd w:fill="FFFFFF" w:val="clear"/>
            <w:tcMar>
              <w:bottom w:w="0" w:type="dxa"/>
            </w:tcMar>
            <w:vAlign w:val="bottom"/>
          </w:tcPr>
          <w:p>
            <w:pPr>
              <w:pStyle w:val="TableContents"/>
              <w:spacing w:before="0" w:after="0"/>
              <w:ind w:left="0" w:right="0" w:hanging="0"/>
              <w:jc w:val="right"/>
              <w:rPr>
                <w:rFonts w:ascii="Times New Roman" w:hAnsi="Times New Roman"/>
                <w:sz w:val="20"/>
              </w:rPr>
            </w:pPr>
            <w:bookmarkStart w:id="2522" w:name="TAB11071"/>
            <w:bookmarkEnd w:id="2522"/>
            <w:r>
              <w:rPr>
                <w:rFonts w:ascii="Times New Roman" w:hAnsi="Times New Roman"/>
                <w:sz w:val="20"/>
              </w:rPr>
              <w:t>(0.51</w:t>
            </w:r>
          </w:p>
        </w:tc>
        <w:tc>
          <w:tcPr>
            <w:tcW w:w="198"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bookmarkStart w:id="2523" w:name="TAB11072"/>
            <w:bookmarkEnd w:id="2523"/>
            <w:r>
              <w:rPr>
                <w:rFonts w:ascii="Times New Roman" w:hAnsi="Times New Roman"/>
                <w:sz w:val="20"/>
              </w:rPr>
              <w:t>)</w:t>
            </w:r>
          </w:p>
        </w:tc>
        <w:tc>
          <w:tcPr>
            <w:tcW w:w="126"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bookmarkStart w:id="2524" w:name="TAB11073"/>
            <w:bookmarkEnd w:id="2524"/>
            <w:r>
              <w:rPr>
                <w:rFonts w:ascii="Times New Roman" w:hAnsi="Times New Roman"/>
                <w:sz w:val="20"/>
              </w:rPr>
              <w:t>$</w:t>
            </w:r>
          </w:p>
        </w:tc>
        <w:tc>
          <w:tcPr>
            <w:tcW w:w="1256" w:type="dxa"/>
            <w:tcBorders/>
            <w:shd w:fill="FFFFFF" w:val="clear"/>
            <w:tcMar>
              <w:bottom w:w="0" w:type="dxa"/>
            </w:tcMar>
            <w:vAlign w:val="bottom"/>
          </w:tcPr>
          <w:p>
            <w:pPr>
              <w:pStyle w:val="TableContents"/>
              <w:spacing w:before="0" w:after="0"/>
              <w:ind w:left="0" w:right="0" w:hanging="0"/>
              <w:jc w:val="right"/>
              <w:rPr>
                <w:rFonts w:ascii="Times New Roman" w:hAnsi="Times New Roman"/>
                <w:sz w:val="20"/>
              </w:rPr>
            </w:pPr>
            <w:bookmarkStart w:id="2525" w:name="TAB11074"/>
            <w:bookmarkEnd w:id="2525"/>
            <w:r>
              <w:rPr>
                <w:rFonts w:ascii="Times New Roman" w:hAnsi="Times New Roman"/>
                <w:sz w:val="20"/>
              </w:rPr>
              <w:t>(0.37</w:t>
            </w:r>
          </w:p>
        </w:tc>
        <w:tc>
          <w:tcPr>
            <w:tcW w:w="123"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bookmarkStart w:id="2526" w:name="TAB11075"/>
            <w:bookmarkEnd w:id="2526"/>
            <w:r>
              <w:rPr>
                <w:rFonts w:ascii="Times New Roman" w:hAnsi="Times New Roman"/>
                <w:sz w:val="20"/>
              </w:rPr>
              <w:t>)</w:t>
            </w:r>
          </w:p>
        </w:tc>
      </w:tr>
      <w:tr>
        <w:trPr/>
        <w:tc>
          <w:tcPr>
            <w:tcW w:w="5348" w:type="dxa"/>
            <w:tcBorders>
              <w:bottom w:val="single" w:sz="2" w:space="0" w:color="000000"/>
            </w:tcBorders>
            <w:shd w:fill="CCEEFF" w:val="clear"/>
            <w:vAlign w:val="bottom"/>
          </w:tcPr>
          <w:p>
            <w:pPr>
              <w:pStyle w:val="TableContents"/>
              <w:spacing w:lineRule="auto" w:line="300" w:before="0" w:after="0"/>
              <w:ind w:left="180" w:right="0" w:hanging="0"/>
              <w:jc w:val="left"/>
              <w:rPr>
                <w:rFonts w:ascii="Times New Roman" w:hAnsi="Times New Roman"/>
                <w:sz w:val="20"/>
              </w:rPr>
            </w:pPr>
            <w:r>
              <w:rPr>
                <w:rFonts w:ascii="Times New Roman" w:hAnsi="Times New Roman"/>
                <w:sz w:val="20"/>
              </w:rPr>
              <w:t>Earnings (loss) from discontinued operations, net</w:t>
            </w:r>
          </w:p>
        </w:tc>
        <w:tc>
          <w:tcPr>
            <w:tcW w:w="192" w:type="dxa"/>
            <w:tcBorders>
              <w:bottom w:val="single" w:sz="2" w:space="0" w:color="CCEEFF"/>
            </w:tcBorders>
            <w:shd w:fill="CCEEFF" w:val="clear"/>
            <w:vAlign w:val="center"/>
          </w:tcPr>
          <w:p>
            <w:pPr>
              <w:pStyle w:val="TableContents"/>
              <w:spacing w:before="0" w:after="283"/>
              <w:rPr/>
            </w:pPr>
            <w:r>
              <w:rPr/>
              <w:t> </w:t>
            </w:r>
          </w:p>
        </w:tc>
        <w:tc>
          <w:tcPr>
            <w:tcW w:w="126" w:type="dxa"/>
            <w:tcBorders>
              <w:bottom w:val="single" w:sz="2" w:space="0" w:color="000000"/>
            </w:tcBorders>
            <w:shd w:fill="CCEEFF" w:val="clear"/>
            <w:vAlign w:val="bottom"/>
          </w:tcPr>
          <w:p>
            <w:pPr>
              <w:pStyle w:val="TableContents"/>
              <w:spacing w:before="0" w:after="283"/>
              <w:jc w:val="left"/>
              <w:rPr/>
            </w:pPr>
            <w:r>
              <w:rPr/>
              <w:t> </w:t>
            </w:r>
          </w:p>
        </w:tc>
        <w:tc>
          <w:tcPr>
            <w:tcW w:w="1256" w:type="dxa"/>
            <w:tcBorders>
              <w:bottom w:val="single" w:sz="2" w:space="0" w:color="000000"/>
            </w:tcBorders>
            <w:shd w:fill="CCEEFF" w:val="clear"/>
            <w:vAlign w:val="bottom"/>
          </w:tcPr>
          <w:p>
            <w:pPr>
              <w:pStyle w:val="TableContents"/>
              <w:spacing w:before="0" w:after="0"/>
              <w:ind w:left="0" w:right="0" w:hanging="0"/>
              <w:jc w:val="right"/>
              <w:rPr>
                <w:rFonts w:ascii="Times New Roman" w:hAnsi="Times New Roman"/>
                <w:sz w:val="20"/>
              </w:rPr>
            </w:pPr>
            <w:bookmarkStart w:id="2527" w:name="TAB11076"/>
            <w:bookmarkEnd w:id="2527"/>
            <w:r>
              <w:rPr>
                <w:rFonts w:ascii="Times New Roman" w:hAnsi="Times New Roman"/>
                <w:sz w:val="20"/>
              </w:rPr>
              <w:t>--</w:t>
            </w:r>
          </w:p>
        </w:tc>
        <w:tc>
          <w:tcPr>
            <w:tcW w:w="198" w:type="dxa"/>
            <w:tcBorders>
              <w:bottom w:val="single" w:sz="2" w:space="0" w:color="CCEEFF"/>
            </w:tcBorders>
            <w:shd w:fill="CCEEFF" w:val="clear"/>
            <w:vAlign w:val="bottom"/>
          </w:tcPr>
          <w:p>
            <w:pPr>
              <w:pStyle w:val="TableContents"/>
              <w:spacing w:before="0" w:after="283"/>
              <w:jc w:val="left"/>
              <w:rPr/>
            </w:pPr>
            <w:r>
              <w:rPr/>
              <w:t> </w:t>
            </w:r>
          </w:p>
        </w:tc>
        <w:tc>
          <w:tcPr>
            <w:tcW w:w="126" w:type="dxa"/>
            <w:tcBorders>
              <w:bottom w:val="single" w:sz="2" w:space="0" w:color="000000"/>
            </w:tcBorders>
            <w:shd w:fill="CCEEFF" w:val="clear"/>
            <w:vAlign w:val="bottom"/>
          </w:tcPr>
          <w:p>
            <w:pPr>
              <w:pStyle w:val="TableContents"/>
              <w:spacing w:before="0" w:after="283"/>
              <w:jc w:val="left"/>
              <w:rPr/>
            </w:pPr>
            <w:r>
              <w:rPr/>
              <w:t> </w:t>
            </w:r>
          </w:p>
        </w:tc>
        <w:tc>
          <w:tcPr>
            <w:tcW w:w="1256" w:type="dxa"/>
            <w:tcBorders>
              <w:bottom w:val="single" w:sz="2" w:space="0" w:color="000000"/>
            </w:tcBorders>
            <w:shd w:fill="CCEEFF" w:val="clear"/>
            <w:vAlign w:val="bottom"/>
          </w:tcPr>
          <w:p>
            <w:pPr>
              <w:pStyle w:val="TableContents"/>
              <w:spacing w:before="0" w:after="0"/>
              <w:ind w:left="0" w:right="0" w:hanging="0"/>
              <w:jc w:val="right"/>
              <w:rPr>
                <w:rFonts w:ascii="Times New Roman" w:hAnsi="Times New Roman"/>
                <w:sz w:val="20"/>
              </w:rPr>
            </w:pPr>
            <w:bookmarkStart w:id="2528" w:name="TAB11077"/>
            <w:bookmarkEnd w:id="2528"/>
            <w:r>
              <w:rPr>
                <w:rFonts w:ascii="Times New Roman" w:hAnsi="Times New Roman"/>
                <w:sz w:val="20"/>
              </w:rPr>
              <w:t>0.55</w:t>
            </w:r>
          </w:p>
        </w:tc>
        <w:tc>
          <w:tcPr>
            <w:tcW w:w="198" w:type="dxa"/>
            <w:tcBorders>
              <w:bottom w:val="single" w:sz="2" w:space="0" w:color="CCEEFF"/>
            </w:tcBorders>
            <w:shd w:fill="CCEEFF" w:val="clear"/>
            <w:vAlign w:val="bottom"/>
          </w:tcPr>
          <w:p>
            <w:pPr>
              <w:pStyle w:val="TableContents"/>
              <w:spacing w:before="0" w:after="283"/>
              <w:jc w:val="left"/>
              <w:rPr/>
            </w:pPr>
            <w:r>
              <w:rPr/>
              <w:t> </w:t>
            </w:r>
          </w:p>
        </w:tc>
        <w:tc>
          <w:tcPr>
            <w:tcW w:w="126" w:type="dxa"/>
            <w:tcBorders>
              <w:bottom w:val="single" w:sz="2" w:space="0" w:color="000000"/>
            </w:tcBorders>
            <w:shd w:fill="CCEEFF" w:val="clear"/>
            <w:vAlign w:val="bottom"/>
          </w:tcPr>
          <w:p>
            <w:pPr>
              <w:pStyle w:val="TableContents"/>
              <w:spacing w:before="0" w:after="283"/>
              <w:jc w:val="left"/>
              <w:rPr/>
            </w:pPr>
            <w:r>
              <w:rPr/>
              <w:t> </w:t>
            </w:r>
          </w:p>
        </w:tc>
        <w:tc>
          <w:tcPr>
            <w:tcW w:w="1256" w:type="dxa"/>
            <w:tcBorders>
              <w:bottom w:val="single" w:sz="2" w:space="0" w:color="000000"/>
            </w:tcBorders>
            <w:shd w:fill="CCEEFF" w:val="clear"/>
            <w:vAlign w:val="bottom"/>
          </w:tcPr>
          <w:p>
            <w:pPr>
              <w:pStyle w:val="TableContents"/>
              <w:spacing w:before="0" w:after="0"/>
              <w:ind w:left="0" w:right="0" w:hanging="0"/>
              <w:jc w:val="right"/>
              <w:rPr>
                <w:rFonts w:ascii="Times New Roman" w:hAnsi="Times New Roman"/>
                <w:sz w:val="20"/>
              </w:rPr>
            </w:pPr>
            <w:bookmarkStart w:id="2529" w:name="TAB11078"/>
            <w:bookmarkEnd w:id="2529"/>
            <w:r>
              <w:rPr>
                <w:rFonts w:ascii="Times New Roman" w:hAnsi="Times New Roman"/>
                <w:sz w:val="20"/>
              </w:rPr>
              <w:t>(0.02</w:t>
            </w:r>
          </w:p>
        </w:tc>
        <w:tc>
          <w:tcPr>
            <w:tcW w:w="123" w:type="dxa"/>
            <w:tcBorders>
              <w:bottom w:val="single" w:sz="2" w:space="0" w:color="CCEEFF"/>
            </w:tcBorders>
            <w:shd w:fill="CCEEFF" w:val="clear"/>
            <w:vAlign w:val="bottom"/>
          </w:tcPr>
          <w:p>
            <w:pPr>
              <w:pStyle w:val="TableContents"/>
              <w:spacing w:before="0" w:after="0"/>
              <w:ind w:left="0" w:right="0" w:hanging="0"/>
              <w:jc w:val="left"/>
              <w:rPr>
                <w:rFonts w:ascii="Times New Roman" w:hAnsi="Times New Roman"/>
                <w:sz w:val="20"/>
              </w:rPr>
            </w:pPr>
            <w:bookmarkStart w:id="2530" w:name="TAB11079"/>
            <w:bookmarkEnd w:id="2530"/>
            <w:r>
              <w:rPr>
                <w:rFonts w:ascii="Times New Roman" w:hAnsi="Times New Roman"/>
                <w:sz w:val="20"/>
              </w:rPr>
              <w:t>)</w:t>
            </w:r>
          </w:p>
        </w:tc>
      </w:tr>
      <w:tr>
        <w:trPr/>
        <w:tc>
          <w:tcPr>
            <w:tcW w:w="5348" w:type="dxa"/>
            <w:tcBorders>
              <w:bottom w:val="single" w:sz="2" w:space="0" w:color="000000"/>
            </w:tcBorders>
            <w:shd w:fill="FFFFFF" w:val="clear"/>
            <w:vAlign w:val="bottom"/>
          </w:tcPr>
          <w:p>
            <w:pPr>
              <w:pStyle w:val="TableContents"/>
              <w:spacing w:lineRule="auto" w:line="300" w:before="0" w:after="0"/>
              <w:ind w:left="180" w:right="0" w:hanging="180"/>
              <w:jc w:val="left"/>
              <w:rPr/>
            </w:pPr>
            <w:r>
              <w:rPr>
                <w:rStyle w:val="StrongEmphasis"/>
                <w:rFonts w:ascii="Times New Roman" w:hAnsi="Times New Roman"/>
                <w:sz w:val="20"/>
              </w:rPr>
              <w:t>Basic earnings (loss) per share</w:t>
            </w:r>
          </w:p>
        </w:tc>
        <w:tc>
          <w:tcPr>
            <w:tcW w:w="192" w:type="dxa"/>
            <w:tcBorders>
              <w:bottom w:val="single" w:sz="2" w:space="0" w:color="FFFFFF"/>
            </w:tcBorders>
            <w:shd w:fill="FFFFFF" w:val="clear"/>
            <w:vAlign w:val="center"/>
          </w:tcPr>
          <w:p>
            <w:pPr>
              <w:pStyle w:val="TableContents"/>
              <w:spacing w:before="0" w:after="283"/>
              <w:rPr/>
            </w:pPr>
            <w:r>
              <w:rPr/>
              <w:t> </w:t>
            </w:r>
          </w:p>
        </w:tc>
        <w:tc>
          <w:tcPr>
            <w:tcW w:w="126" w:type="dxa"/>
            <w:tcBorders>
              <w:bottom w:val="single" w:sz="2" w:space="0" w:color="000000"/>
            </w:tcBorders>
            <w:shd w:fill="FFFFFF" w:val="clear"/>
            <w:vAlign w:val="bottom"/>
          </w:tcPr>
          <w:p>
            <w:pPr>
              <w:pStyle w:val="TableContents"/>
              <w:spacing w:before="0" w:after="0"/>
              <w:ind w:left="0" w:right="0" w:hanging="0"/>
              <w:jc w:val="left"/>
              <w:rPr>
                <w:rFonts w:ascii="Times New Roman" w:hAnsi="Times New Roman"/>
                <w:sz w:val="20"/>
              </w:rPr>
            </w:pPr>
            <w:bookmarkStart w:id="2531" w:name="TAB11080"/>
            <w:bookmarkEnd w:id="2531"/>
            <w:r>
              <w:rPr>
                <w:rFonts w:ascii="Times New Roman" w:hAnsi="Times New Roman"/>
                <w:sz w:val="20"/>
              </w:rPr>
              <w:t>$</w:t>
            </w:r>
          </w:p>
        </w:tc>
        <w:tc>
          <w:tcPr>
            <w:tcW w:w="1256" w:type="dxa"/>
            <w:tcBorders>
              <w:bottom w:val="single" w:sz="2" w:space="0" w:color="000000"/>
            </w:tcBorders>
            <w:shd w:fill="FFFFFF" w:val="clear"/>
            <w:vAlign w:val="bottom"/>
          </w:tcPr>
          <w:p>
            <w:pPr>
              <w:pStyle w:val="TableContents"/>
              <w:spacing w:before="0" w:after="0"/>
              <w:ind w:left="0" w:right="0" w:hanging="0"/>
              <w:jc w:val="right"/>
              <w:rPr>
                <w:rFonts w:ascii="Times New Roman" w:hAnsi="Times New Roman"/>
                <w:sz w:val="20"/>
              </w:rPr>
            </w:pPr>
            <w:bookmarkStart w:id="2532" w:name="TAB11081"/>
            <w:bookmarkEnd w:id="2532"/>
            <w:r>
              <w:rPr>
                <w:rFonts w:ascii="Times New Roman" w:hAnsi="Times New Roman"/>
                <w:sz w:val="20"/>
              </w:rPr>
              <w:t>0.17</w:t>
            </w:r>
          </w:p>
        </w:tc>
        <w:tc>
          <w:tcPr>
            <w:tcW w:w="198" w:type="dxa"/>
            <w:tcBorders>
              <w:bottom w:val="single" w:sz="2" w:space="0" w:color="FFFFFF"/>
            </w:tcBorders>
            <w:shd w:fill="FFFFFF" w:val="clear"/>
            <w:vAlign w:val="bottom"/>
          </w:tcPr>
          <w:p>
            <w:pPr>
              <w:pStyle w:val="TableContents"/>
              <w:spacing w:before="0" w:after="283"/>
              <w:jc w:val="left"/>
              <w:rPr/>
            </w:pPr>
            <w:r>
              <w:rPr/>
              <w:t> </w:t>
            </w:r>
          </w:p>
        </w:tc>
        <w:tc>
          <w:tcPr>
            <w:tcW w:w="126" w:type="dxa"/>
            <w:tcBorders>
              <w:bottom w:val="single" w:sz="2" w:space="0" w:color="000000"/>
            </w:tcBorders>
            <w:shd w:fill="FFFFFF" w:val="clear"/>
            <w:vAlign w:val="bottom"/>
          </w:tcPr>
          <w:p>
            <w:pPr>
              <w:pStyle w:val="TableContents"/>
              <w:spacing w:before="0" w:after="0"/>
              <w:ind w:left="0" w:right="0" w:hanging="0"/>
              <w:jc w:val="left"/>
              <w:rPr>
                <w:rFonts w:ascii="Times New Roman" w:hAnsi="Times New Roman"/>
                <w:sz w:val="20"/>
              </w:rPr>
            </w:pPr>
            <w:bookmarkStart w:id="2533" w:name="TAB11082"/>
            <w:bookmarkEnd w:id="2533"/>
            <w:r>
              <w:rPr>
                <w:rFonts w:ascii="Times New Roman" w:hAnsi="Times New Roman"/>
                <w:sz w:val="20"/>
              </w:rPr>
              <w:t>$</w:t>
            </w:r>
          </w:p>
        </w:tc>
        <w:tc>
          <w:tcPr>
            <w:tcW w:w="1256" w:type="dxa"/>
            <w:tcBorders>
              <w:bottom w:val="single" w:sz="2" w:space="0" w:color="000000"/>
            </w:tcBorders>
            <w:shd w:fill="FFFFFF" w:val="clear"/>
            <w:vAlign w:val="bottom"/>
          </w:tcPr>
          <w:p>
            <w:pPr>
              <w:pStyle w:val="TableContents"/>
              <w:spacing w:before="0" w:after="0"/>
              <w:ind w:left="0" w:right="0" w:hanging="0"/>
              <w:jc w:val="right"/>
              <w:rPr>
                <w:rFonts w:ascii="Times New Roman" w:hAnsi="Times New Roman"/>
                <w:sz w:val="20"/>
              </w:rPr>
            </w:pPr>
            <w:bookmarkStart w:id="2534" w:name="TAB11083"/>
            <w:bookmarkEnd w:id="2534"/>
            <w:r>
              <w:rPr>
                <w:rFonts w:ascii="Times New Roman" w:hAnsi="Times New Roman"/>
                <w:sz w:val="20"/>
              </w:rPr>
              <w:t>0.04</w:t>
            </w:r>
          </w:p>
        </w:tc>
        <w:tc>
          <w:tcPr>
            <w:tcW w:w="198" w:type="dxa"/>
            <w:tcBorders>
              <w:bottom w:val="single" w:sz="2" w:space="0" w:color="FFFFFF"/>
            </w:tcBorders>
            <w:shd w:fill="FFFFFF" w:val="clear"/>
            <w:vAlign w:val="bottom"/>
          </w:tcPr>
          <w:p>
            <w:pPr>
              <w:pStyle w:val="TableContents"/>
              <w:spacing w:before="0" w:after="283"/>
              <w:jc w:val="left"/>
              <w:rPr/>
            </w:pPr>
            <w:r>
              <w:rPr/>
              <w:t> </w:t>
            </w:r>
          </w:p>
        </w:tc>
        <w:tc>
          <w:tcPr>
            <w:tcW w:w="126" w:type="dxa"/>
            <w:tcBorders>
              <w:bottom w:val="single" w:sz="2" w:space="0" w:color="000000"/>
            </w:tcBorders>
            <w:shd w:fill="FFFFFF" w:val="clear"/>
            <w:vAlign w:val="bottom"/>
          </w:tcPr>
          <w:p>
            <w:pPr>
              <w:pStyle w:val="TableContents"/>
              <w:spacing w:before="0" w:after="0"/>
              <w:ind w:left="0" w:right="0" w:hanging="0"/>
              <w:jc w:val="left"/>
              <w:rPr>
                <w:rFonts w:ascii="Times New Roman" w:hAnsi="Times New Roman"/>
                <w:sz w:val="20"/>
              </w:rPr>
            </w:pPr>
            <w:bookmarkStart w:id="2535" w:name="TAB11084"/>
            <w:bookmarkEnd w:id="2535"/>
            <w:r>
              <w:rPr>
                <w:rFonts w:ascii="Times New Roman" w:hAnsi="Times New Roman"/>
                <w:sz w:val="20"/>
              </w:rPr>
              <w:t>$</w:t>
            </w:r>
          </w:p>
        </w:tc>
        <w:tc>
          <w:tcPr>
            <w:tcW w:w="1256" w:type="dxa"/>
            <w:tcBorders>
              <w:bottom w:val="single" w:sz="2" w:space="0" w:color="000000"/>
            </w:tcBorders>
            <w:shd w:fill="FFFFFF" w:val="clear"/>
            <w:vAlign w:val="bottom"/>
          </w:tcPr>
          <w:p>
            <w:pPr>
              <w:pStyle w:val="TableContents"/>
              <w:spacing w:before="0" w:after="0"/>
              <w:ind w:left="0" w:right="0" w:hanging="0"/>
              <w:jc w:val="right"/>
              <w:rPr>
                <w:rFonts w:ascii="Times New Roman" w:hAnsi="Times New Roman"/>
                <w:sz w:val="20"/>
              </w:rPr>
            </w:pPr>
            <w:bookmarkStart w:id="2536" w:name="TAB11085"/>
            <w:bookmarkEnd w:id="2536"/>
            <w:r>
              <w:rPr>
                <w:rFonts w:ascii="Times New Roman" w:hAnsi="Times New Roman"/>
                <w:sz w:val="20"/>
              </w:rPr>
              <w:t>(0.39</w:t>
            </w:r>
          </w:p>
        </w:tc>
        <w:tc>
          <w:tcPr>
            <w:tcW w:w="123" w:type="dxa"/>
            <w:tcBorders>
              <w:bottom w:val="single" w:sz="2" w:space="0" w:color="FFFFFF"/>
            </w:tcBorders>
            <w:shd w:fill="FFFFFF" w:val="clear"/>
            <w:vAlign w:val="bottom"/>
          </w:tcPr>
          <w:p>
            <w:pPr>
              <w:pStyle w:val="TableContents"/>
              <w:spacing w:before="0" w:after="0"/>
              <w:ind w:left="0" w:right="0" w:hanging="0"/>
              <w:jc w:val="left"/>
              <w:rPr>
                <w:rFonts w:ascii="Times New Roman" w:hAnsi="Times New Roman"/>
                <w:sz w:val="20"/>
              </w:rPr>
            </w:pPr>
            <w:bookmarkStart w:id="2537" w:name="TAB11086"/>
            <w:bookmarkEnd w:id="2537"/>
            <w:r>
              <w:rPr>
                <w:rFonts w:ascii="Times New Roman" w:hAnsi="Times New Roman"/>
                <w:sz w:val="20"/>
              </w:rPr>
              <w:t>)</w:t>
            </w:r>
          </w:p>
        </w:tc>
      </w:tr>
      <w:tr>
        <w:trPr/>
        <w:tc>
          <w:tcPr>
            <w:tcW w:w="5348" w:type="dxa"/>
            <w:tcBorders>
              <w:bottom w:val="single" w:sz="2" w:space="0" w:color="000000"/>
            </w:tcBorders>
            <w:shd w:fill="CCEEFF" w:val="clear"/>
            <w:vAlign w:val="bottom"/>
          </w:tcPr>
          <w:p>
            <w:pPr>
              <w:pStyle w:val="TableContents"/>
              <w:spacing w:lineRule="auto" w:line="300" w:before="0" w:after="0"/>
              <w:ind w:left="180" w:right="0" w:hanging="180"/>
              <w:jc w:val="left"/>
              <w:rPr/>
            </w:pPr>
            <w:r>
              <w:rPr>
                <w:rStyle w:val="StrongEmphasis"/>
                <w:rFonts w:ascii="Times New Roman" w:hAnsi="Times New Roman"/>
                <w:sz w:val="20"/>
              </w:rPr>
              <w:t>Weighted average number of shares outstanding - basic</w:t>
            </w:r>
          </w:p>
        </w:tc>
        <w:tc>
          <w:tcPr>
            <w:tcW w:w="192" w:type="dxa"/>
            <w:tcBorders>
              <w:bottom w:val="single" w:sz="2" w:space="0" w:color="CCEEFF"/>
            </w:tcBorders>
            <w:shd w:fill="CCEEFF" w:val="clear"/>
            <w:vAlign w:val="center"/>
          </w:tcPr>
          <w:p>
            <w:pPr>
              <w:pStyle w:val="TableContents"/>
              <w:spacing w:before="0" w:after="283"/>
              <w:rPr/>
            </w:pPr>
            <w:r>
              <w:rPr/>
              <w:t> </w:t>
            </w:r>
          </w:p>
        </w:tc>
        <w:tc>
          <w:tcPr>
            <w:tcW w:w="126" w:type="dxa"/>
            <w:tcBorders>
              <w:bottom w:val="single" w:sz="2" w:space="0" w:color="000000"/>
            </w:tcBorders>
            <w:shd w:fill="CCEEFF" w:val="clear"/>
            <w:vAlign w:val="bottom"/>
          </w:tcPr>
          <w:p>
            <w:pPr>
              <w:pStyle w:val="TableContents"/>
              <w:spacing w:before="0" w:after="283"/>
              <w:jc w:val="left"/>
              <w:rPr/>
            </w:pPr>
            <w:r>
              <w:rPr/>
              <w:t> </w:t>
            </w:r>
          </w:p>
        </w:tc>
        <w:tc>
          <w:tcPr>
            <w:tcW w:w="1256"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22,425,941</w:t>
            </w:r>
          </w:p>
        </w:tc>
        <w:tc>
          <w:tcPr>
            <w:tcW w:w="198" w:type="dxa"/>
            <w:tcBorders>
              <w:bottom w:val="single" w:sz="2" w:space="0" w:color="CCEEFF"/>
            </w:tcBorders>
            <w:shd w:fill="CCEEFF" w:val="clear"/>
            <w:vAlign w:val="bottom"/>
          </w:tcPr>
          <w:p>
            <w:pPr>
              <w:pStyle w:val="TableContents"/>
              <w:spacing w:before="0" w:after="283"/>
              <w:jc w:val="left"/>
              <w:rPr/>
            </w:pPr>
            <w:r>
              <w:rPr/>
              <w:t> </w:t>
            </w:r>
          </w:p>
        </w:tc>
        <w:tc>
          <w:tcPr>
            <w:tcW w:w="126" w:type="dxa"/>
            <w:tcBorders>
              <w:bottom w:val="single" w:sz="2" w:space="0" w:color="000000"/>
            </w:tcBorders>
            <w:shd w:fill="CCEEFF" w:val="clear"/>
            <w:vAlign w:val="bottom"/>
          </w:tcPr>
          <w:p>
            <w:pPr>
              <w:pStyle w:val="TableContents"/>
              <w:spacing w:before="0" w:after="283"/>
              <w:jc w:val="left"/>
              <w:rPr/>
            </w:pPr>
            <w:r>
              <w:rPr/>
              <w:t> </w:t>
            </w:r>
          </w:p>
        </w:tc>
        <w:tc>
          <w:tcPr>
            <w:tcW w:w="1256"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22,249,967</w:t>
            </w:r>
          </w:p>
        </w:tc>
        <w:tc>
          <w:tcPr>
            <w:tcW w:w="198" w:type="dxa"/>
            <w:tcBorders>
              <w:bottom w:val="single" w:sz="2" w:space="0" w:color="CCEEFF"/>
            </w:tcBorders>
            <w:shd w:fill="CCEEFF" w:val="clear"/>
            <w:vAlign w:val="bottom"/>
          </w:tcPr>
          <w:p>
            <w:pPr>
              <w:pStyle w:val="TableContents"/>
              <w:spacing w:before="0" w:after="283"/>
              <w:jc w:val="left"/>
              <w:rPr/>
            </w:pPr>
            <w:r>
              <w:rPr/>
              <w:t> </w:t>
            </w:r>
          </w:p>
        </w:tc>
        <w:tc>
          <w:tcPr>
            <w:tcW w:w="126" w:type="dxa"/>
            <w:tcBorders>
              <w:bottom w:val="single" w:sz="2" w:space="0" w:color="000000"/>
            </w:tcBorders>
            <w:shd w:fill="CCEEFF" w:val="clear"/>
            <w:vAlign w:val="bottom"/>
          </w:tcPr>
          <w:p>
            <w:pPr>
              <w:pStyle w:val="TableContents"/>
              <w:spacing w:before="0" w:after="283"/>
              <w:jc w:val="left"/>
              <w:rPr/>
            </w:pPr>
            <w:r>
              <w:rPr/>
              <w:t> </w:t>
            </w:r>
          </w:p>
        </w:tc>
        <w:tc>
          <w:tcPr>
            <w:tcW w:w="1256"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21,948,065</w:t>
            </w:r>
          </w:p>
        </w:tc>
        <w:tc>
          <w:tcPr>
            <w:tcW w:w="123" w:type="dxa"/>
            <w:tcBorders>
              <w:bottom w:val="single" w:sz="2" w:space="0" w:color="CCEEFF"/>
            </w:tcBorders>
            <w:shd w:fill="CCEEFF" w:val="clear"/>
            <w:vAlign w:val="bottom"/>
          </w:tcPr>
          <w:p>
            <w:pPr>
              <w:pStyle w:val="TableContents"/>
              <w:spacing w:before="0" w:after="283"/>
              <w:jc w:val="left"/>
              <w:rPr/>
            </w:pPr>
            <w:r>
              <w:rPr/>
              <w:t> </w:t>
            </w:r>
          </w:p>
        </w:tc>
      </w:tr>
      <w:tr>
        <w:trPr/>
        <w:tc>
          <w:tcPr>
            <w:tcW w:w="5348" w:type="dxa"/>
            <w:tcBorders/>
            <w:shd w:fill="FFFFFF" w:val="clear"/>
            <w:tcMar>
              <w:bottom w:w="0" w:type="dxa"/>
            </w:tcMar>
            <w:vAlign w:val="bottom"/>
          </w:tcPr>
          <w:p>
            <w:pPr>
              <w:pStyle w:val="TableContents"/>
              <w:spacing w:lineRule="auto" w:line="300" w:before="0" w:after="0"/>
              <w:ind w:left="180" w:right="0" w:hanging="180"/>
              <w:jc w:val="left"/>
              <w:rPr>
                <w:rFonts w:ascii="Times New Roman" w:hAnsi="Times New Roman"/>
                <w:sz w:val="20"/>
              </w:rPr>
            </w:pPr>
            <w:r>
              <w:rPr>
                <w:rFonts w:ascii="Times New Roman" w:hAnsi="Times New Roman"/>
                <w:sz w:val="20"/>
              </w:rPr>
              <w:t>Earnings (loss) per common share - diluted:</w:t>
            </w:r>
          </w:p>
        </w:tc>
        <w:tc>
          <w:tcPr>
            <w:tcW w:w="192" w:type="dxa"/>
            <w:tcBorders/>
            <w:shd w:fill="FFFFFF" w:val="clear"/>
            <w:tcMar>
              <w:bottom w:w="0" w:type="dxa"/>
            </w:tcMar>
            <w:vAlign w:val="center"/>
          </w:tcPr>
          <w:p>
            <w:pPr>
              <w:pStyle w:val="TableContents"/>
              <w:spacing w:before="0" w:after="283"/>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256" w:type="dxa"/>
            <w:tcBorders/>
            <w:shd w:fill="FFFFFF" w:val="clear"/>
            <w:tcMar>
              <w:bottom w:w="0" w:type="dxa"/>
            </w:tcMar>
            <w:vAlign w:val="bottom"/>
          </w:tcPr>
          <w:p>
            <w:pPr>
              <w:pStyle w:val="TableContents"/>
              <w:spacing w:before="0" w:after="283"/>
              <w:jc w:val="right"/>
              <w:rPr/>
            </w:pPr>
            <w:r>
              <w:rPr/>
              <w:t> </w:t>
            </w:r>
          </w:p>
        </w:tc>
        <w:tc>
          <w:tcPr>
            <w:tcW w:w="198" w:type="dxa"/>
            <w:tcBorders/>
            <w:shd w:fill="FFFFFF" w:val="clear"/>
            <w:tcMar>
              <w:bottom w:w="0" w:type="dxa"/>
            </w:tcMar>
            <w:vAlign w:val="bottom"/>
          </w:tcPr>
          <w:p>
            <w:pPr>
              <w:pStyle w:val="TableContents"/>
              <w:spacing w:before="0" w:after="283"/>
              <w:jc w:val="left"/>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256" w:type="dxa"/>
            <w:tcBorders/>
            <w:shd w:fill="FFFFFF" w:val="clear"/>
            <w:tcMar>
              <w:bottom w:w="0" w:type="dxa"/>
            </w:tcMar>
            <w:vAlign w:val="bottom"/>
          </w:tcPr>
          <w:p>
            <w:pPr>
              <w:pStyle w:val="TableContents"/>
              <w:spacing w:before="0" w:after="283"/>
              <w:jc w:val="right"/>
              <w:rPr/>
            </w:pPr>
            <w:r>
              <w:rPr/>
              <w:t> </w:t>
            </w:r>
          </w:p>
        </w:tc>
        <w:tc>
          <w:tcPr>
            <w:tcW w:w="198" w:type="dxa"/>
            <w:tcBorders/>
            <w:shd w:fill="FFFFFF" w:val="clear"/>
            <w:tcMar>
              <w:bottom w:w="0" w:type="dxa"/>
            </w:tcMar>
            <w:vAlign w:val="bottom"/>
          </w:tcPr>
          <w:p>
            <w:pPr>
              <w:pStyle w:val="TableContents"/>
              <w:spacing w:before="0" w:after="283"/>
              <w:jc w:val="left"/>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256" w:type="dxa"/>
            <w:tcBorders/>
            <w:shd w:fill="FFFFFF" w:val="clear"/>
            <w:tcMar>
              <w:bottom w:w="0" w:type="dxa"/>
            </w:tcMar>
            <w:vAlign w:val="bottom"/>
          </w:tcPr>
          <w:p>
            <w:pPr>
              <w:pStyle w:val="TableContents"/>
              <w:spacing w:before="0" w:after="283"/>
              <w:jc w:val="right"/>
              <w:rPr/>
            </w:pPr>
            <w:r>
              <w:rPr/>
              <w:t> </w:t>
            </w:r>
          </w:p>
        </w:tc>
        <w:tc>
          <w:tcPr>
            <w:tcW w:w="123" w:type="dxa"/>
            <w:tcBorders/>
            <w:shd w:fill="FFFFFF" w:val="clear"/>
            <w:tcMar>
              <w:bottom w:w="0" w:type="dxa"/>
            </w:tcMar>
            <w:vAlign w:val="bottom"/>
          </w:tcPr>
          <w:p>
            <w:pPr>
              <w:pStyle w:val="TableContents"/>
              <w:spacing w:before="0" w:after="283"/>
              <w:jc w:val="left"/>
              <w:rPr/>
            </w:pPr>
            <w:r>
              <w:rPr/>
              <w:t> </w:t>
            </w:r>
          </w:p>
        </w:tc>
      </w:tr>
      <w:tr>
        <w:trPr/>
        <w:tc>
          <w:tcPr>
            <w:tcW w:w="5348" w:type="dxa"/>
            <w:tcBorders/>
            <w:shd w:fill="CCEEFF" w:val="clear"/>
            <w:tcMar>
              <w:bottom w:w="0" w:type="dxa"/>
            </w:tcMar>
            <w:vAlign w:val="bottom"/>
          </w:tcPr>
          <w:p>
            <w:pPr>
              <w:pStyle w:val="TableContents"/>
              <w:spacing w:lineRule="auto" w:line="300" w:before="0" w:after="0"/>
              <w:ind w:left="180" w:right="0" w:hanging="0"/>
              <w:jc w:val="left"/>
              <w:rPr>
                <w:rFonts w:ascii="Times New Roman" w:hAnsi="Times New Roman"/>
                <w:sz w:val="20"/>
              </w:rPr>
            </w:pPr>
            <w:r>
              <w:rPr>
                <w:rFonts w:ascii="Times New Roman" w:hAnsi="Times New Roman"/>
                <w:sz w:val="20"/>
              </w:rPr>
              <w:t>Earnings (loss) from continuing operations</w:t>
            </w:r>
          </w:p>
        </w:tc>
        <w:tc>
          <w:tcPr>
            <w:tcW w:w="192" w:type="dxa"/>
            <w:tcBorders/>
            <w:shd w:fill="CCEEFF" w:val="clear"/>
            <w:tcMar>
              <w:bottom w:w="0" w:type="dxa"/>
            </w:tcMar>
            <w:vAlign w:val="center"/>
          </w:tcPr>
          <w:p>
            <w:pPr>
              <w:pStyle w:val="TableContents"/>
              <w:spacing w:before="0" w:after="283"/>
              <w:rPr/>
            </w:pPr>
            <w:r>
              <w:rPr/>
              <w:t> </w:t>
            </w:r>
          </w:p>
        </w:tc>
        <w:tc>
          <w:tcPr>
            <w:tcW w:w="126"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bookmarkStart w:id="2538" w:name="TAB11087"/>
            <w:bookmarkEnd w:id="2538"/>
            <w:r>
              <w:rPr>
                <w:rFonts w:ascii="Times New Roman" w:hAnsi="Times New Roman"/>
                <w:sz w:val="20"/>
              </w:rPr>
              <w:t>$</w:t>
            </w:r>
          </w:p>
        </w:tc>
        <w:tc>
          <w:tcPr>
            <w:tcW w:w="1256" w:type="dxa"/>
            <w:tcBorders/>
            <w:shd w:fill="CCEEFF" w:val="clear"/>
            <w:tcMar>
              <w:bottom w:w="0" w:type="dxa"/>
            </w:tcMar>
            <w:vAlign w:val="bottom"/>
          </w:tcPr>
          <w:p>
            <w:pPr>
              <w:pStyle w:val="TableContents"/>
              <w:spacing w:before="0" w:after="0"/>
              <w:ind w:left="0" w:right="0" w:hanging="0"/>
              <w:jc w:val="right"/>
              <w:rPr>
                <w:rFonts w:ascii="Times New Roman" w:hAnsi="Times New Roman"/>
                <w:sz w:val="20"/>
              </w:rPr>
            </w:pPr>
            <w:bookmarkStart w:id="2539" w:name="TAB11088"/>
            <w:bookmarkEnd w:id="2539"/>
            <w:r>
              <w:rPr>
                <w:rFonts w:ascii="Times New Roman" w:hAnsi="Times New Roman"/>
                <w:sz w:val="20"/>
              </w:rPr>
              <w:t>0.17</w:t>
            </w:r>
          </w:p>
        </w:tc>
        <w:tc>
          <w:tcPr>
            <w:tcW w:w="198" w:type="dxa"/>
            <w:tcBorders/>
            <w:shd w:fill="CCEEFF" w:val="clear"/>
            <w:tcMar>
              <w:bottom w:w="0" w:type="dxa"/>
            </w:tcMar>
            <w:vAlign w:val="bottom"/>
          </w:tcPr>
          <w:p>
            <w:pPr>
              <w:pStyle w:val="TableContents"/>
              <w:spacing w:before="0" w:after="283"/>
              <w:jc w:val="left"/>
              <w:rPr/>
            </w:pPr>
            <w:r>
              <w:rPr/>
              <w:t> </w:t>
            </w:r>
          </w:p>
        </w:tc>
        <w:tc>
          <w:tcPr>
            <w:tcW w:w="126"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bookmarkStart w:id="2540" w:name="TAB11089"/>
            <w:bookmarkEnd w:id="2540"/>
            <w:r>
              <w:rPr>
                <w:rFonts w:ascii="Times New Roman" w:hAnsi="Times New Roman"/>
                <w:sz w:val="20"/>
              </w:rPr>
              <w:t>$</w:t>
            </w:r>
          </w:p>
        </w:tc>
        <w:tc>
          <w:tcPr>
            <w:tcW w:w="1256" w:type="dxa"/>
            <w:tcBorders/>
            <w:shd w:fill="CCEEFF" w:val="clear"/>
            <w:tcMar>
              <w:bottom w:w="0" w:type="dxa"/>
            </w:tcMar>
            <w:vAlign w:val="bottom"/>
          </w:tcPr>
          <w:p>
            <w:pPr>
              <w:pStyle w:val="TableContents"/>
              <w:spacing w:before="0" w:after="0"/>
              <w:ind w:left="0" w:right="0" w:hanging="0"/>
              <w:jc w:val="right"/>
              <w:rPr>
                <w:rFonts w:ascii="Times New Roman" w:hAnsi="Times New Roman"/>
                <w:sz w:val="20"/>
              </w:rPr>
            </w:pPr>
            <w:bookmarkStart w:id="2541" w:name="TAB11090"/>
            <w:bookmarkEnd w:id="2541"/>
            <w:r>
              <w:rPr>
                <w:rFonts w:ascii="Times New Roman" w:hAnsi="Times New Roman"/>
                <w:sz w:val="20"/>
              </w:rPr>
              <w:t>(0.51</w:t>
            </w:r>
          </w:p>
        </w:tc>
        <w:tc>
          <w:tcPr>
            <w:tcW w:w="198"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bookmarkStart w:id="2542" w:name="TAB11091"/>
            <w:bookmarkEnd w:id="2542"/>
            <w:r>
              <w:rPr>
                <w:rFonts w:ascii="Times New Roman" w:hAnsi="Times New Roman"/>
                <w:sz w:val="20"/>
              </w:rPr>
              <w:t>)</w:t>
            </w:r>
          </w:p>
        </w:tc>
        <w:tc>
          <w:tcPr>
            <w:tcW w:w="126"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bookmarkStart w:id="2543" w:name="TAB11092"/>
            <w:bookmarkEnd w:id="2543"/>
            <w:r>
              <w:rPr>
                <w:rFonts w:ascii="Times New Roman" w:hAnsi="Times New Roman"/>
                <w:sz w:val="20"/>
              </w:rPr>
              <w:t>$</w:t>
            </w:r>
          </w:p>
        </w:tc>
        <w:tc>
          <w:tcPr>
            <w:tcW w:w="1256" w:type="dxa"/>
            <w:tcBorders/>
            <w:shd w:fill="CCEEFF" w:val="clear"/>
            <w:tcMar>
              <w:bottom w:w="0" w:type="dxa"/>
            </w:tcMar>
            <w:vAlign w:val="bottom"/>
          </w:tcPr>
          <w:p>
            <w:pPr>
              <w:pStyle w:val="TableContents"/>
              <w:spacing w:before="0" w:after="0"/>
              <w:ind w:left="0" w:right="0" w:hanging="0"/>
              <w:jc w:val="right"/>
              <w:rPr>
                <w:rFonts w:ascii="Times New Roman" w:hAnsi="Times New Roman"/>
                <w:sz w:val="20"/>
              </w:rPr>
            </w:pPr>
            <w:bookmarkStart w:id="2544" w:name="TAB11093"/>
            <w:bookmarkEnd w:id="2544"/>
            <w:r>
              <w:rPr>
                <w:rFonts w:ascii="Times New Roman" w:hAnsi="Times New Roman"/>
                <w:sz w:val="20"/>
              </w:rPr>
              <w:t>(0.37</w:t>
            </w:r>
          </w:p>
        </w:tc>
        <w:tc>
          <w:tcPr>
            <w:tcW w:w="123"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bookmarkStart w:id="2545" w:name="TAB11094"/>
            <w:bookmarkEnd w:id="2545"/>
            <w:r>
              <w:rPr>
                <w:rFonts w:ascii="Times New Roman" w:hAnsi="Times New Roman"/>
                <w:sz w:val="20"/>
              </w:rPr>
              <w:t>)</w:t>
            </w:r>
          </w:p>
        </w:tc>
      </w:tr>
      <w:tr>
        <w:trPr/>
        <w:tc>
          <w:tcPr>
            <w:tcW w:w="5348" w:type="dxa"/>
            <w:tcBorders/>
            <w:shd w:fill="FFFFFF" w:val="clear"/>
            <w:tcMar>
              <w:bottom w:w="0" w:type="dxa"/>
            </w:tcMar>
            <w:vAlign w:val="bottom"/>
          </w:tcPr>
          <w:p>
            <w:pPr>
              <w:pStyle w:val="TableContents"/>
              <w:spacing w:lineRule="auto" w:line="300" w:before="0" w:after="0"/>
              <w:ind w:left="180" w:right="0" w:hanging="0"/>
              <w:jc w:val="left"/>
              <w:rPr>
                <w:rFonts w:ascii="Times New Roman" w:hAnsi="Times New Roman"/>
                <w:sz w:val="20"/>
              </w:rPr>
            </w:pPr>
            <w:r>
              <w:rPr>
                <w:rFonts w:ascii="Times New Roman" w:hAnsi="Times New Roman"/>
                <w:sz w:val="20"/>
              </w:rPr>
              <w:t>Earnings (loss) from discontinued operations, net</w:t>
            </w:r>
          </w:p>
        </w:tc>
        <w:tc>
          <w:tcPr>
            <w:tcW w:w="192" w:type="dxa"/>
            <w:tcBorders/>
            <w:shd w:fill="FFFFFF" w:val="clear"/>
            <w:tcMar>
              <w:bottom w:w="0" w:type="dxa"/>
            </w:tcMar>
            <w:vAlign w:val="center"/>
          </w:tcPr>
          <w:p>
            <w:pPr>
              <w:pStyle w:val="TableContents"/>
              <w:spacing w:before="0" w:after="283"/>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256" w:type="dxa"/>
            <w:tcBorders/>
            <w:shd w:fill="FFFFFF" w:val="clear"/>
            <w:tcMar>
              <w:bottom w:w="0" w:type="dxa"/>
            </w:tcMar>
            <w:vAlign w:val="bottom"/>
          </w:tcPr>
          <w:p>
            <w:pPr>
              <w:pStyle w:val="TableContents"/>
              <w:spacing w:before="0" w:after="0"/>
              <w:ind w:left="0" w:right="0" w:hanging="0"/>
              <w:jc w:val="right"/>
              <w:rPr>
                <w:rFonts w:ascii="Times New Roman" w:hAnsi="Times New Roman"/>
                <w:sz w:val="20"/>
              </w:rPr>
            </w:pPr>
            <w:bookmarkStart w:id="2546" w:name="TAB11095"/>
            <w:bookmarkEnd w:id="2546"/>
            <w:r>
              <w:rPr>
                <w:rFonts w:ascii="Times New Roman" w:hAnsi="Times New Roman"/>
                <w:sz w:val="20"/>
              </w:rPr>
              <w:t>--</w:t>
            </w:r>
          </w:p>
        </w:tc>
        <w:tc>
          <w:tcPr>
            <w:tcW w:w="198" w:type="dxa"/>
            <w:tcBorders/>
            <w:shd w:fill="FFFFFF" w:val="clear"/>
            <w:tcMar>
              <w:bottom w:w="0" w:type="dxa"/>
            </w:tcMar>
            <w:vAlign w:val="bottom"/>
          </w:tcPr>
          <w:p>
            <w:pPr>
              <w:pStyle w:val="TableContents"/>
              <w:spacing w:before="0" w:after="283"/>
              <w:jc w:val="left"/>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256" w:type="dxa"/>
            <w:tcBorders/>
            <w:shd w:fill="FFFFFF" w:val="clear"/>
            <w:tcMar>
              <w:bottom w:w="0" w:type="dxa"/>
            </w:tcMar>
            <w:vAlign w:val="bottom"/>
          </w:tcPr>
          <w:p>
            <w:pPr>
              <w:pStyle w:val="TableContents"/>
              <w:spacing w:before="0" w:after="0"/>
              <w:ind w:left="0" w:right="0" w:hanging="0"/>
              <w:jc w:val="right"/>
              <w:rPr>
                <w:rFonts w:ascii="Times New Roman" w:hAnsi="Times New Roman"/>
                <w:sz w:val="20"/>
              </w:rPr>
            </w:pPr>
            <w:bookmarkStart w:id="2547" w:name="TAB11096"/>
            <w:bookmarkEnd w:id="2547"/>
            <w:r>
              <w:rPr>
                <w:rFonts w:ascii="Times New Roman" w:hAnsi="Times New Roman"/>
                <w:sz w:val="20"/>
              </w:rPr>
              <w:t>0.55</w:t>
            </w:r>
          </w:p>
        </w:tc>
        <w:tc>
          <w:tcPr>
            <w:tcW w:w="198" w:type="dxa"/>
            <w:tcBorders/>
            <w:shd w:fill="FFFFFF" w:val="clear"/>
            <w:tcMar>
              <w:bottom w:w="0" w:type="dxa"/>
            </w:tcMar>
            <w:vAlign w:val="bottom"/>
          </w:tcPr>
          <w:p>
            <w:pPr>
              <w:pStyle w:val="TableContents"/>
              <w:spacing w:before="0" w:after="283"/>
              <w:jc w:val="left"/>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256" w:type="dxa"/>
            <w:tcBorders/>
            <w:shd w:fill="FFFFFF" w:val="clear"/>
            <w:tcMar>
              <w:bottom w:w="0" w:type="dxa"/>
            </w:tcMar>
            <w:vAlign w:val="bottom"/>
          </w:tcPr>
          <w:p>
            <w:pPr>
              <w:pStyle w:val="TableContents"/>
              <w:spacing w:before="0" w:after="0"/>
              <w:ind w:left="0" w:right="0" w:hanging="0"/>
              <w:jc w:val="right"/>
              <w:rPr>
                <w:rFonts w:ascii="Times New Roman" w:hAnsi="Times New Roman"/>
                <w:sz w:val="20"/>
              </w:rPr>
            </w:pPr>
            <w:bookmarkStart w:id="2548" w:name="TAB11097"/>
            <w:bookmarkEnd w:id="2548"/>
            <w:r>
              <w:rPr>
                <w:rFonts w:ascii="Times New Roman" w:hAnsi="Times New Roman"/>
                <w:sz w:val="20"/>
              </w:rPr>
              <w:t>(0.02</w:t>
            </w:r>
          </w:p>
        </w:tc>
        <w:tc>
          <w:tcPr>
            <w:tcW w:w="123"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bookmarkStart w:id="2549" w:name="TAB11098"/>
            <w:bookmarkEnd w:id="2549"/>
            <w:r>
              <w:rPr>
                <w:rFonts w:ascii="Times New Roman" w:hAnsi="Times New Roman"/>
                <w:sz w:val="20"/>
              </w:rPr>
              <w:t>)</w:t>
            </w:r>
          </w:p>
        </w:tc>
      </w:tr>
      <w:tr>
        <w:trPr/>
        <w:tc>
          <w:tcPr>
            <w:tcW w:w="5348" w:type="dxa"/>
            <w:tcBorders>
              <w:bottom w:val="single" w:sz="2" w:space="0" w:color="000000"/>
            </w:tcBorders>
            <w:shd w:fill="CCEEFF" w:val="clear"/>
            <w:vAlign w:val="bottom"/>
          </w:tcPr>
          <w:p>
            <w:pPr>
              <w:pStyle w:val="TableContents"/>
              <w:spacing w:lineRule="auto" w:line="300" w:before="0" w:after="0"/>
              <w:ind w:left="0" w:right="0" w:hanging="0"/>
              <w:jc w:val="left"/>
              <w:rPr/>
            </w:pPr>
            <w:r>
              <w:rPr>
                <w:rStyle w:val="StrongEmphasis"/>
                <w:rFonts w:ascii="Times New Roman" w:hAnsi="Times New Roman"/>
                <w:sz w:val="20"/>
              </w:rPr>
              <w:t>Diluted earnings (loss) per share</w:t>
            </w:r>
          </w:p>
        </w:tc>
        <w:tc>
          <w:tcPr>
            <w:tcW w:w="192" w:type="dxa"/>
            <w:tcBorders>
              <w:bottom w:val="single" w:sz="2" w:space="0" w:color="CCEEFF"/>
            </w:tcBorders>
            <w:shd w:fill="CCEEFF" w:val="clear"/>
            <w:vAlign w:val="center"/>
          </w:tcPr>
          <w:p>
            <w:pPr>
              <w:pStyle w:val="TableContents"/>
              <w:spacing w:before="0" w:after="283"/>
              <w:rPr/>
            </w:pPr>
            <w:r>
              <w:rPr/>
              <w:t> </w:t>
            </w:r>
          </w:p>
        </w:tc>
        <w:tc>
          <w:tcPr>
            <w:tcW w:w="126" w:type="dxa"/>
            <w:tcBorders>
              <w:bottom w:val="single" w:sz="2" w:space="0" w:color="000000"/>
            </w:tcBorders>
            <w:shd w:fill="CCEEFF" w:val="clear"/>
            <w:vAlign w:val="bottom"/>
          </w:tcPr>
          <w:p>
            <w:pPr>
              <w:pStyle w:val="TableContents"/>
              <w:spacing w:before="0" w:after="0"/>
              <w:ind w:left="0" w:right="0" w:hanging="0"/>
              <w:jc w:val="left"/>
              <w:rPr>
                <w:rFonts w:ascii="Times New Roman" w:hAnsi="Times New Roman"/>
                <w:sz w:val="20"/>
              </w:rPr>
            </w:pPr>
            <w:bookmarkStart w:id="2550" w:name="TAB11099"/>
            <w:bookmarkEnd w:id="2550"/>
            <w:r>
              <w:rPr>
                <w:rFonts w:ascii="Times New Roman" w:hAnsi="Times New Roman"/>
                <w:sz w:val="20"/>
              </w:rPr>
              <w:t>$</w:t>
            </w:r>
          </w:p>
        </w:tc>
        <w:tc>
          <w:tcPr>
            <w:tcW w:w="1256" w:type="dxa"/>
            <w:tcBorders>
              <w:bottom w:val="single" w:sz="2" w:space="0" w:color="000000"/>
            </w:tcBorders>
            <w:shd w:fill="CCEEFF" w:val="clear"/>
            <w:vAlign w:val="bottom"/>
          </w:tcPr>
          <w:p>
            <w:pPr>
              <w:pStyle w:val="TableContents"/>
              <w:spacing w:before="0" w:after="0"/>
              <w:ind w:left="0" w:right="0" w:hanging="0"/>
              <w:jc w:val="right"/>
              <w:rPr>
                <w:rFonts w:ascii="Times New Roman" w:hAnsi="Times New Roman"/>
                <w:sz w:val="20"/>
              </w:rPr>
            </w:pPr>
            <w:bookmarkStart w:id="2551" w:name="TAB11100"/>
            <w:bookmarkEnd w:id="2551"/>
            <w:r>
              <w:rPr>
                <w:rFonts w:ascii="Times New Roman" w:hAnsi="Times New Roman"/>
                <w:sz w:val="20"/>
              </w:rPr>
              <w:t>0.17</w:t>
            </w:r>
          </w:p>
        </w:tc>
        <w:tc>
          <w:tcPr>
            <w:tcW w:w="198" w:type="dxa"/>
            <w:tcBorders>
              <w:bottom w:val="single" w:sz="2" w:space="0" w:color="CCEEFF"/>
            </w:tcBorders>
            <w:shd w:fill="CCEEFF" w:val="clear"/>
            <w:vAlign w:val="bottom"/>
          </w:tcPr>
          <w:p>
            <w:pPr>
              <w:pStyle w:val="TableContents"/>
              <w:spacing w:before="0" w:after="283"/>
              <w:jc w:val="left"/>
              <w:rPr/>
            </w:pPr>
            <w:r>
              <w:rPr/>
              <w:t> </w:t>
            </w:r>
          </w:p>
        </w:tc>
        <w:tc>
          <w:tcPr>
            <w:tcW w:w="126" w:type="dxa"/>
            <w:tcBorders>
              <w:bottom w:val="single" w:sz="2" w:space="0" w:color="000000"/>
            </w:tcBorders>
            <w:shd w:fill="CCEEFF" w:val="clear"/>
            <w:vAlign w:val="bottom"/>
          </w:tcPr>
          <w:p>
            <w:pPr>
              <w:pStyle w:val="TableContents"/>
              <w:spacing w:before="0" w:after="0"/>
              <w:ind w:left="0" w:right="0" w:hanging="0"/>
              <w:jc w:val="left"/>
              <w:rPr>
                <w:rFonts w:ascii="Times New Roman" w:hAnsi="Times New Roman"/>
                <w:sz w:val="20"/>
              </w:rPr>
            </w:pPr>
            <w:bookmarkStart w:id="2552" w:name="TAB11101"/>
            <w:bookmarkEnd w:id="2552"/>
            <w:r>
              <w:rPr>
                <w:rFonts w:ascii="Times New Roman" w:hAnsi="Times New Roman"/>
                <w:sz w:val="20"/>
              </w:rPr>
              <w:t>$</w:t>
            </w:r>
          </w:p>
        </w:tc>
        <w:tc>
          <w:tcPr>
            <w:tcW w:w="1256" w:type="dxa"/>
            <w:tcBorders>
              <w:bottom w:val="single" w:sz="2" w:space="0" w:color="000000"/>
            </w:tcBorders>
            <w:shd w:fill="CCEEFF" w:val="clear"/>
            <w:vAlign w:val="bottom"/>
          </w:tcPr>
          <w:p>
            <w:pPr>
              <w:pStyle w:val="TableContents"/>
              <w:spacing w:before="0" w:after="0"/>
              <w:ind w:left="0" w:right="0" w:hanging="0"/>
              <w:jc w:val="right"/>
              <w:rPr>
                <w:rFonts w:ascii="Times New Roman" w:hAnsi="Times New Roman"/>
                <w:sz w:val="20"/>
              </w:rPr>
            </w:pPr>
            <w:bookmarkStart w:id="2553" w:name="TAB11102"/>
            <w:bookmarkEnd w:id="2553"/>
            <w:r>
              <w:rPr>
                <w:rFonts w:ascii="Times New Roman" w:hAnsi="Times New Roman"/>
                <w:sz w:val="20"/>
              </w:rPr>
              <w:t>0.04</w:t>
            </w:r>
          </w:p>
        </w:tc>
        <w:tc>
          <w:tcPr>
            <w:tcW w:w="198" w:type="dxa"/>
            <w:tcBorders>
              <w:bottom w:val="single" w:sz="2" w:space="0" w:color="CCEEFF"/>
            </w:tcBorders>
            <w:shd w:fill="CCEEFF" w:val="clear"/>
            <w:vAlign w:val="bottom"/>
          </w:tcPr>
          <w:p>
            <w:pPr>
              <w:pStyle w:val="TableContents"/>
              <w:spacing w:before="0" w:after="283"/>
              <w:jc w:val="left"/>
              <w:rPr/>
            </w:pPr>
            <w:r>
              <w:rPr/>
              <w:t> </w:t>
            </w:r>
          </w:p>
        </w:tc>
        <w:tc>
          <w:tcPr>
            <w:tcW w:w="126" w:type="dxa"/>
            <w:tcBorders>
              <w:bottom w:val="single" w:sz="2" w:space="0" w:color="000000"/>
            </w:tcBorders>
            <w:shd w:fill="CCEEFF" w:val="clear"/>
            <w:vAlign w:val="bottom"/>
          </w:tcPr>
          <w:p>
            <w:pPr>
              <w:pStyle w:val="TableContents"/>
              <w:spacing w:before="0" w:after="0"/>
              <w:ind w:left="0" w:right="0" w:hanging="0"/>
              <w:jc w:val="left"/>
              <w:rPr>
                <w:rFonts w:ascii="Times New Roman" w:hAnsi="Times New Roman"/>
                <w:sz w:val="20"/>
              </w:rPr>
            </w:pPr>
            <w:bookmarkStart w:id="2554" w:name="TAB11103"/>
            <w:bookmarkEnd w:id="2554"/>
            <w:r>
              <w:rPr>
                <w:rFonts w:ascii="Times New Roman" w:hAnsi="Times New Roman"/>
                <w:sz w:val="20"/>
              </w:rPr>
              <w:t>$</w:t>
            </w:r>
          </w:p>
        </w:tc>
        <w:tc>
          <w:tcPr>
            <w:tcW w:w="1256" w:type="dxa"/>
            <w:tcBorders>
              <w:bottom w:val="single" w:sz="2" w:space="0" w:color="000000"/>
            </w:tcBorders>
            <w:shd w:fill="CCEEFF" w:val="clear"/>
            <w:vAlign w:val="bottom"/>
          </w:tcPr>
          <w:p>
            <w:pPr>
              <w:pStyle w:val="TableContents"/>
              <w:spacing w:before="0" w:after="0"/>
              <w:ind w:left="0" w:right="0" w:hanging="0"/>
              <w:jc w:val="right"/>
              <w:rPr>
                <w:rFonts w:ascii="Times New Roman" w:hAnsi="Times New Roman"/>
                <w:sz w:val="20"/>
              </w:rPr>
            </w:pPr>
            <w:bookmarkStart w:id="2555" w:name="TAB11104"/>
            <w:bookmarkEnd w:id="2555"/>
            <w:r>
              <w:rPr>
                <w:rFonts w:ascii="Times New Roman" w:hAnsi="Times New Roman"/>
                <w:sz w:val="20"/>
              </w:rPr>
              <w:t>(0.39</w:t>
            </w:r>
          </w:p>
        </w:tc>
        <w:tc>
          <w:tcPr>
            <w:tcW w:w="123" w:type="dxa"/>
            <w:tcBorders>
              <w:bottom w:val="single" w:sz="2" w:space="0" w:color="CCEEFF"/>
            </w:tcBorders>
            <w:shd w:fill="CCEEFF" w:val="clear"/>
            <w:vAlign w:val="bottom"/>
          </w:tcPr>
          <w:p>
            <w:pPr>
              <w:pStyle w:val="TableContents"/>
              <w:spacing w:before="0" w:after="0"/>
              <w:ind w:left="0" w:right="0" w:hanging="0"/>
              <w:jc w:val="left"/>
              <w:rPr>
                <w:rFonts w:ascii="Times New Roman" w:hAnsi="Times New Roman"/>
                <w:sz w:val="20"/>
              </w:rPr>
            </w:pPr>
            <w:bookmarkStart w:id="2556" w:name="TAB11105"/>
            <w:bookmarkEnd w:id="2556"/>
            <w:r>
              <w:rPr>
                <w:rFonts w:ascii="Times New Roman" w:hAnsi="Times New Roman"/>
                <w:sz w:val="20"/>
              </w:rPr>
              <w:t>)</w:t>
            </w:r>
          </w:p>
        </w:tc>
      </w:tr>
      <w:tr>
        <w:trPr/>
        <w:tc>
          <w:tcPr>
            <w:tcW w:w="5348" w:type="dxa"/>
            <w:tcBorders>
              <w:bottom w:val="double" w:sz="2" w:space="0" w:color="000000"/>
            </w:tcBorders>
            <w:shd w:fill="FFFFFF" w:val="clear"/>
            <w:vAlign w:val="bottom"/>
          </w:tcPr>
          <w:p>
            <w:pPr>
              <w:pStyle w:val="TableContents"/>
              <w:spacing w:lineRule="auto" w:line="300" w:before="0" w:after="0"/>
              <w:ind w:left="360" w:right="0" w:hanging="360"/>
              <w:jc w:val="left"/>
              <w:rPr/>
            </w:pPr>
            <w:r>
              <w:rPr>
                <w:rStyle w:val="StrongEmphasis"/>
                <w:rFonts w:ascii="Times New Roman" w:hAnsi="Times New Roman"/>
                <w:sz w:val="20"/>
              </w:rPr>
              <w:t>Weighted average number of shares outstanding - diluted</w:t>
            </w:r>
          </w:p>
        </w:tc>
        <w:tc>
          <w:tcPr>
            <w:tcW w:w="192" w:type="dxa"/>
            <w:tcBorders>
              <w:bottom w:val="single" w:sz="4" w:space="0" w:color="FFFFFF"/>
            </w:tcBorders>
            <w:shd w:fill="FFFFFF" w:val="clear"/>
            <w:vAlign w:val="center"/>
          </w:tcPr>
          <w:p>
            <w:pPr>
              <w:pStyle w:val="TableContents"/>
              <w:spacing w:before="0" w:after="283"/>
              <w:rPr/>
            </w:pPr>
            <w:r>
              <w:rPr/>
              <w:t> </w:t>
            </w:r>
          </w:p>
        </w:tc>
        <w:tc>
          <w:tcPr>
            <w:tcW w:w="126" w:type="dxa"/>
            <w:tcBorders>
              <w:bottom w:val="double" w:sz="2" w:space="0" w:color="000000"/>
            </w:tcBorders>
            <w:shd w:fill="FFFFFF" w:val="clear"/>
            <w:vAlign w:val="bottom"/>
          </w:tcPr>
          <w:p>
            <w:pPr>
              <w:pStyle w:val="TableContents"/>
              <w:spacing w:before="0" w:after="283"/>
              <w:jc w:val="left"/>
              <w:rPr/>
            </w:pPr>
            <w:r>
              <w:rPr/>
              <w:t> </w:t>
            </w:r>
          </w:p>
        </w:tc>
        <w:tc>
          <w:tcPr>
            <w:tcW w:w="1256"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22,674,818</w:t>
            </w:r>
          </w:p>
        </w:tc>
        <w:tc>
          <w:tcPr>
            <w:tcW w:w="198" w:type="dxa"/>
            <w:tcBorders>
              <w:bottom w:val="single" w:sz="4" w:space="0" w:color="FFFFFF"/>
            </w:tcBorders>
            <w:shd w:fill="FFFFFF" w:val="clear"/>
            <w:vAlign w:val="bottom"/>
          </w:tcPr>
          <w:p>
            <w:pPr>
              <w:pStyle w:val="TableContents"/>
              <w:spacing w:before="0" w:after="283"/>
              <w:jc w:val="left"/>
              <w:rPr/>
            </w:pPr>
            <w:r>
              <w:rPr/>
              <w:t> </w:t>
            </w:r>
          </w:p>
        </w:tc>
        <w:tc>
          <w:tcPr>
            <w:tcW w:w="126" w:type="dxa"/>
            <w:tcBorders>
              <w:bottom w:val="double" w:sz="2" w:space="0" w:color="000000"/>
            </w:tcBorders>
            <w:shd w:fill="FFFFFF" w:val="clear"/>
            <w:vAlign w:val="bottom"/>
          </w:tcPr>
          <w:p>
            <w:pPr>
              <w:pStyle w:val="TableContents"/>
              <w:spacing w:before="0" w:after="283"/>
              <w:jc w:val="left"/>
              <w:rPr/>
            </w:pPr>
            <w:r>
              <w:rPr/>
              <w:t> </w:t>
            </w:r>
          </w:p>
        </w:tc>
        <w:tc>
          <w:tcPr>
            <w:tcW w:w="1256"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22,249,967</w:t>
            </w:r>
          </w:p>
        </w:tc>
        <w:tc>
          <w:tcPr>
            <w:tcW w:w="198" w:type="dxa"/>
            <w:tcBorders>
              <w:bottom w:val="single" w:sz="4" w:space="0" w:color="FFFFFF"/>
            </w:tcBorders>
            <w:shd w:fill="FFFFFF" w:val="clear"/>
            <w:vAlign w:val="bottom"/>
          </w:tcPr>
          <w:p>
            <w:pPr>
              <w:pStyle w:val="TableContents"/>
              <w:spacing w:before="0" w:after="283"/>
              <w:jc w:val="left"/>
              <w:rPr/>
            </w:pPr>
            <w:r>
              <w:rPr/>
              <w:t> </w:t>
            </w:r>
          </w:p>
        </w:tc>
        <w:tc>
          <w:tcPr>
            <w:tcW w:w="126" w:type="dxa"/>
            <w:tcBorders>
              <w:bottom w:val="double" w:sz="2" w:space="0" w:color="000000"/>
            </w:tcBorders>
            <w:shd w:fill="FFFFFF" w:val="clear"/>
            <w:vAlign w:val="bottom"/>
          </w:tcPr>
          <w:p>
            <w:pPr>
              <w:pStyle w:val="TableContents"/>
              <w:spacing w:before="0" w:after="283"/>
              <w:jc w:val="left"/>
              <w:rPr/>
            </w:pPr>
            <w:r>
              <w:rPr/>
              <w:t> </w:t>
            </w:r>
          </w:p>
        </w:tc>
        <w:tc>
          <w:tcPr>
            <w:tcW w:w="1256"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21,948,065</w:t>
            </w:r>
          </w:p>
        </w:tc>
        <w:tc>
          <w:tcPr>
            <w:tcW w:w="123" w:type="dxa"/>
            <w:tcBorders>
              <w:bottom w:val="single" w:sz="4" w:space="0" w:color="FFFFFF"/>
            </w:tcBorders>
            <w:shd w:fill="FFFFFF" w:val="clear"/>
            <w:vAlign w:val="bottom"/>
          </w:tcPr>
          <w:p>
            <w:pPr>
              <w:pStyle w:val="TableContents"/>
              <w:spacing w:before="0" w:after="283"/>
              <w:jc w:val="left"/>
              <w:rPr/>
            </w:pPr>
            <w:r>
              <w:rPr/>
              <w:t> </w:t>
            </w:r>
          </w:p>
        </w:tc>
      </w:tr>
    </w:tbl>
    <w:p>
      <w:pPr>
        <w:pStyle w:val="TextBody"/>
        <w:spacing w:lineRule="auto" w:line="300" w:before="0" w:after="0"/>
        <w:ind w:left="0" w:right="0" w:hanging="0"/>
        <w:jc w:val="both"/>
        <w:rPr/>
      </w:pPr>
      <w:r>
        <w:rPr/>
        <w:t> </w:t>
      </w:r>
    </w:p>
    <w:p>
      <w:pPr>
        <w:pStyle w:val="TextBody"/>
        <w:spacing w:lineRule="auto" w:line="300" w:before="0" w:after="0"/>
        <w:ind w:left="0" w:right="0" w:hanging="0"/>
        <w:jc w:val="center"/>
        <w:rPr>
          <w:rFonts w:ascii="Times New Roman" w:hAnsi="Times New Roman"/>
          <w:sz w:val="20"/>
        </w:rPr>
      </w:pPr>
      <w:r>
        <w:rPr>
          <w:rFonts w:ascii="Times New Roman" w:hAnsi="Times New Roman"/>
          <w:sz w:val="20"/>
        </w:rPr>
        <w:t>See accompanying notes to consolidated financial statements.</w:t>
      </w:r>
    </w:p>
    <w:p>
      <w:pPr>
        <w:pStyle w:val="TextBody"/>
        <w:spacing w:lineRule="auto" w:line="300" w:before="0" w:after="0"/>
        <w:ind w:left="0" w:right="0" w:hanging="0"/>
        <w:jc w:val="center"/>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557" w:name="PGBRK73"/>
      <w:bookmarkStart w:id="2558" w:name="PGBRK73"/>
      <w:bookmarkEnd w:id="255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0"/>
        <w:ind w:left="0" w:right="0" w:hanging="0"/>
        <w:jc w:val="center"/>
        <w:rPr>
          <w:rFonts w:ascii="Times New Roman" w:hAnsi="Times New Roman"/>
          <w:sz w:val="20"/>
        </w:rPr>
      </w:pPr>
      <w:bookmarkStart w:id="2559" w:name="FTR73"/>
      <w:bookmarkEnd w:id="2559"/>
      <w:r>
        <w:rPr>
          <w:rFonts w:ascii="Times New Roman" w:hAnsi="Times New Roman"/>
          <w:sz w:val="20"/>
        </w:rPr>
        <w:t>--</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560" w:name="GLFTR73"/>
      <w:bookmarkStart w:id="2561" w:name="GLFTR73"/>
      <w:bookmarkEnd w:id="256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2562" w:name="PN73"/>
      <w:bookmarkEnd w:id="2562"/>
      <w:r>
        <w:rPr>
          <w:rFonts w:ascii="Times New Roman" w:hAnsi="Times New Roman"/>
          <w:sz w:val="16"/>
        </w:rPr>
        <w:t>-73-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563" w:name="HDR73"/>
      <w:bookmarkStart w:id="2564" w:name="HDR73"/>
      <w:bookmarkEnd w:id="256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2565" w:name="GLHDR73"/>
        <w:bookmarkEnd w:id="2565"/>
        <w:r>
          <w:rPr>
            <w:rStyle w:val="Emphasis"/>
            <w:rFonts w:ascii="Times New Roman" w:hAnsi="Times New Roman"/>
            <w:color w:val="000000"/>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pStyle w:val="TextBody"/>
        <w:spacing w:lineRule="auto" w:line="300" w:before="0" w:after="0"/>
        <w:ind w:left="0" w:right="0" w:hanging="0"/>
        <w:jc w:val="left"/>
        <w:rPr/>
      </w:pPr>
      <w:bookmarkStart w:id="2566" w:name="stockholderequity"/>
      <w:bookmarkEnd w:id="2566"/>
      <w:r>
        <w:rPr>
          <w:rStyle w:val="StrongEmphasis"/>
          <w:rFonts w:ascii="Times New Roman" w:hAnsi="Times New Roman"/>
          <w:sz w:val="20"/>
        </w:rPr>
        <w:t>Reading International, Inc. and Subsidiaries</w:t>
      </w:r>
    </w:p>
    <w:p>
      <w:pPr>
        <w:pStyle w:val="TextBody"/>
        <w:spacing w:lineRule="auto" w:line="300" w:before="0" w:after="0"/>
        <w:ind w:left="0" w:right="0" w:hanging="0"/>
        <w:jc w:val="left"/>
        <w:rPr/>
      </w:pPr>
      <w:r>
        <w:rPr>
          <w:rStyle w:val="StrongEmphasis"/>
          <w:rFonts w:ascii="Times New Roman" w:hAnsi="Times New Roman"/>
          <w:sz w:val="20"/>
        </w:rPr>
        <w:t>Consolidated Statements of Stockholders’ Equity</w:t>
      </w:r>
      <w:r>
        <w:rPr>
          <w:rStyle w:val="StrongEmphasis"/>
        </w:rPr>
        <w:t xml:space="preserve"> </w:t>
      </w:r>
      <w:r>
        <w:rPr>
          <w:rStyle w:val="StrongEmphasis"/>
          <w:rFonts w:ascii="Times New Roman" w:hAnsi="Times New Roman"/>
          <w:sz w:val="20"/>
        </w:rPr>
        <w:t>for the Three Years Ended December 31, 2006</w:t>
      </w:r>
    </w:p>
    <w:p>
      <w:pPr>
        <w:pStyle w:val="TextBody"/>
        <w:spacing w:lineRule="auto" w:line="300" w:before="0" w:after="0"/>
        <w:ind w:left="0" w:right="0" w:hanging="0"/>
        <w:jc w:val="left"/>
        <w:rPr/>
      </w:pPr>
      <w:r>
        <w:rPr>
          <w:rStyle w:val="StrongEmphasis"/>
          <w:rFonts w:ascii="Times New Roman" w:hAnsi="Times New Roman"/>
          <w:sz w:val="20"/>
        </w:rPr>
        <w:t>(U.S. dollars in thousands)</w:t>
      </w:r>
    </w:p>
    <w:p>
      <w:pPr>
        <w:pStyle w:val="TextBody"/>
        <w:spacing w:lineRule="auto" w:line="300" w:before="0" w:after="0"/>
        <w:ind w:left="0" w:right="0" w:hanging="0"/>
        <w:jc w:val="both"/>
        <w:rPr/>
      </w:pPr>
      <w:r>
        <w:rPr/>
        <w:t> </w:t>
      </w:r>
    </w:p>
    <w:p>
      <w:pPr>
        <w:pStyle w:val="TextBody"/>
        <w:spacing w:lineRule="auto" w:line="300" w:before="0" w:after="0"/>
        <w:ind w:left="0" w:right="0" w:hanging="0"/>
        <w:jc w:val="both"/>
        <w:rPr/>
      </w:pPr>
      <w:r>
        <w:rPr/>
      </w:r>
    </w:p>
    <w:p>
      <w:pPr>
        <w:pStyle w:val="Normal"/>
        <w:spacing w:lineRule="auto" w:line="300" w:before="0" w:after="0"/>
        <w:jc w:val="both"/>
        <w:rPr>
          <w:sz w:val="4"/>
          <w:szCs w:val="4"/>
        </w:rPr>
      </w:pPr>
      <w:r>
        <w:rPr>
          <w:sz w:val="4"/>
          <w:szCs w:val="4"/>
        </w:rPr>
      </w:r>
      <w:bookmarkStart w:id="2567" w:name="ftable15"/>
      <w:bookmarkStart w:id="2568" w:name="ftable15"/>
      <w:bookmarkEnd w:id="2568"/>
    </w:p>
    <w:tbl>
      <w:tblPr>
        <w:tblW w:w="5000" w:type="pct"/>
        <w:jc w:val="left"/>
        <w:tblInd w:w="0" w:type="dxa"/>
        <w:tblCellMar>
          <w:top w:w="0" w:type="dxa"/>
          <w:left w:w="0" w:type="dxa"/>
          <w:bottom w:w="28" w:type="dxa"/>
          <w:right w:w="0" w:type="dxa"/>
        </w:tblCellMar>
      </w:tblPr>
      <w:tblGrid>
        <w:gridCol w:w="1398"/>
        <w:gridCol w:w="70"/>
        <w:gridCol w:w="70"/>
        <w:gridCol w:w="625"/>
        <w:gridCol w:w="89"/>
        <w:gridCol w:w="144"/>
        <w:gridCol w:w="423"/>
        <w:gridCol w:w="70"/>
        <w:gridCol w:w="74"/>
        <w:gridCol w:w="565"/>
        <w:gridCol w:w="89"/>
        <w:gridCol w:w="184"/>
        <w:gridCol w:w="383"/>
        <w:gridCol w:w="89"/>
        <w:gridCol w:w="145"/>
        <w:gridCol w:w="804"/>
        <w:gridCol w:w="70"/>
        <w:gridCol w:w="157"/>
        <w:gridCol w:w="693"/>
        <w:gridCol w:w="89"/>
        <w:gridCol w:w="185"/>
        <w:gridCol w:w="962"/>
        <w:gridCol w:w="89"/>
        <w:gridCol w:w="234"/>
        <w:gridCol w:w="1110"/>
        <w:gridCol w:w="89"/>
        <w:gridCol w:w="181"/>
        <w:gridCol w:w="1007"/>
        <w:gridCol w:w="117"/>
      </w:tblGrid>
      <w:tr>
        <w:trPr/>
        <w:tc>
          <w:tcPr>
            <w:tcW w:w="1398" w:type="dxa"/>
            <w:tcBorders>
              <w:bottom w:val="single" w:sz="4" w:space="0" w:color="FFFFFF"/>
            </w:tcBorders>
            <w:shd w:fill="auto" w:val="clear"/>
            <w:vAlign w:val="bottom"/>
          </w:tcPr>
          <w:p>
            <w:pPr>
              <w:pStyle w:val="TableContents"/>
              <w:spacing w:before="0" w:after="283"/>
              <w:jc w:val="left"/>
              <w:rPr/>
            </w:pPr>
            <w:r>
              <w:rPr/>
              <w:t> </w:t>
            </w:r>
          </w:p>
        </w:tc>
        <w:tc>
          <w:tcPr>
            <w:tcW w:w="70" w:type="dxa"/>
            <w:tcBorders>
              <w:bottom w:val="single" w:sz="4" w:space="0" w:color="FFFFFF"/>
            </w:tcBorders>
            <w:shd w:fill="auto" w:val="clear"/>
            <w:vAlign w:val="center"/>
          </w:tcPr>
          <w:p>
            <w:pPr>
              <w:pStyle w:val="TableContents"/>
              <w:spacing w:before="0" w:after="283"/>
              <w:rPr/>
            </w:pPr>
            <w:r>
              <w:rPr/>
              <w:t> </w:t>
            </w:r>
          </w:p>
        </w:tc>
        <w:tc>
          <w:tcPr>
            <w:tcW w:w="2716" w:type="dxa"/>
            <w:gridSpan w:val="11"/>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Common Stock</w:t>
            </w:r>
          </w:p>
        </w:tc>
        <w:tc>
          <w:tcPr>
            <w:tcW w:w="89" w:type="dxa"/>
            <w:tcBorders>
              <w:bottom w:val="single" w:sz="4" w:space="0" w:color="FFFFFF"/>
            </w:tcBorders>
            <w:shd w:fill="auto" w:val="clear"/>
            <w:vAlign w:val="bottom"/>
          </w:tcPr>
          <w:p>
            <w:pPr>
              <w:pStyle w:val="TableContents"/>
              <w:spacing w:before="0" w:after="283"/>
              <w:jc w:val="left"/>
              <w:rPr/>
            </w:pPr>
            <w:r>
              <w:rPr/>
              <w:t> </w:t>
            </w:r>
          </w:p>
        </w:tc>
        <w:tc>
          <w:tcPr>
            <w:tcW w:w="949" w:type="dxa"/>
            <w:gridSpan w:val="2"/>
            <w:tcBorders>
              <w:bottom w:val="single" w:sz="4" w:space="0" w:color="FFFFFF"/>
            </w:tcBorders>
            <w:shd w:fill="auto" w:val="clear"/>
            <w:vAlign w:val="bottom"/>
          </w:tcPr>
          <w:p>
            <w:pPr>
              <w:pStyle w:val="TableContents"/>
              <w:spacing w:before="0" w:after="283"/>
              <w:rPr/>
            </w:pPr>
            <w:r>
              <w:rPr/>
              <w:t> </w:t>
            </w:r>
          </w:p>
        </w:tc>
        <w:tc>
          <w:tcPr>
            <w:tcW w:w="70" w:type="dxa"/>
            <w:tcBorders>
              <w:bottom w:val="single" w:sz="4" w:space="0" w:color="FFFFFF"/>
            </w:tcBorders>
            <w:shd w:fill="auto" w:val="clear"/>
            <w:vAlign w:val="bottom"/>
          </w:tcPr>
          <w:p>
            <w:pPr>
              <w:pStyle w:val="TableContents"/>
              <w:spacing w:before="0" w:after="283"/>
              <w:jc w:val="left"/>
              <w:rPr/>
            </w:pPr>
            <w:r>
              <w:rPr/>
              <w:t> </w:t>
            </w:r>
          </w:p>
        </w:tc>
        <w:tc>
          <w:tcPr>
            <w:tcW w:w="850" w:type="dxa"/>
            <w:gridSpan w:val="2"/>
            <w:tcBorders>
              <w:bottom w:val="single" w:sz="4" w:space="0" w:color="FFFFFF"/>
            </w:tcBorders>
            <w:shd w:fill="auto" w:val="clear"/>
            <w:vAlign w:val="bottom"/>
          </w:tcPr>
          <w:p>
            <w:pPr>
              <w:pStyle w:val="TableContents"/>
              <w:spacing w:before="0" w:after="283"/>
              <w:rPr/>
            </w:pPr>
            <w:r>
              <w:rPr/>
              <w:t> </w:t>
            </w:r>
          </w:p>
        </w:tc>
        <w:tc>
          <w:tcPr>
            <w:tcW w:w="89" w:type="dxa"/>
            <w:tcBorders>
              <w:bottom w:val="single" w:sz="4" w:space="0" w:color="FFFFFF"/>
            </w:tcBorders>
            <w:shd w:fill="auto" w:val="clear"/>
            <w:vAlign w:val="bottom"/>
          </w:tcPr>
          <w:p>
            <w:pPr>
              <w:pStyle w:val="TableContents"/>
              <w:spacing w:before="0" w:after="283"/>
              <w:jc w:val="left"/>
              <w:rPr/>
            </w:pPr>
            <w:r>
              <w:rPr/>
              <w:t> </w:t>
            </w:r>
          </w:p>
        </w:tc>
        <w:tc>
          <w:tcPr>
            <w:tcW w:w="1147" w:type="dxa"/>
            <w:gridSpan w:val="2"/>
            <w:tcBorders>
              <w:bottom w:val="single" w:sz="4" w:space="0" w:color="FFFFFF"/>
            </w:tcBorders>
            <w:shd w:fill="auto" w:val="clear"/>
            <w:vAlign w:val="bottom"/>
          </w:tcPr>
          <w:p>
            <w:pPr>
              <w:pStyle w:val="TableContents"/>
              <w:spacing w:before="0" w:after="283"/>
              <w:rPr/>
            </w:pPr>
            <w:r>
              <w:rPr/>
              <w:t> </w:t>
            </w:r>
          </w:p>
        </w:tc>
        <w:tc>
          <w:tcPr>
            <w:tcW w:w="89" w:type="dxa"/>
            <w:tcBorders>
              <w:bottom w:val="single" w:sz="4" w:space="0" w:color="FFFFFF"/>
            </w:tcBorders>
            <w:shd w:fill="auto" w:val="clear"/>
            <w:vAlign w:val="bottom"/>
          </w:tcPr>
          <w:p>
            <w:pPr>
              <w:pStyle w:val="TableContents"/>
              <w:spacing w:before="0" w:after="283"/>
              <w:jc w:val="left"/>
              <w:rPr/>
            </w:pPr>
            <w:r>
              <w:rPr/>
              <w:t> </w:t>
            </w:r>
          </w:p>
        </w:tc>
        <w:tc>
          <w:tcPr>
            <w:tcW w:w="1344" w:type="dxa"/>
            <w:gridSpan w:val="2"/>
            <w:tcBorders>
              <w:bottom w:val="single" w:sz="4" w:space="0" w:color="FFFFFF"/>
            </w:tcBorders>
            <w:shd w:fill="auto" w:val="clear"/>
            <w:vAlign w:val="bottom"/>
          </w:tcPr>
          <w:p>
            <w:pPr>
              <w:pStyle w:val="TableContents"/>
              <w:spacing w:before="0" w:after="283"/>
              <w:rPr/>
            </w:pPr>
            <w:r>
              <w:rPr/>
              <w:t> </w:t>
            </w:r>
          </w:p>
        </w:tc>
        <w:tc>
          <w:tcPr>
            <w:tcW w:w="89" w:type="dxa"/>
            <w:tcBorders>
              <w:bottom w:val="single" w:sz="4" w:space="0" w:color="FFFFFF"/>
            </w:tcBorders>
            <w:shd w:fill="auto" w:val="clear"/>
            <w:vAlign w:val="bottom"/>
          </w:tcPr>
          <w:p>
            <w:pPr>
              <w:pStyle w:val="TableContents"/>
              <w:spacing w:before="0" w:after="283"/>
              <w:jc w:val="left"/>
              <w:rPr/>
            </w:pPr>
            <w:r>
              <w:rPr/>
              <w:t> </w:t>
            </w:r>
          </w:p>
        </w:tc>
        <w:tc>
          <w:tcPr>
            <w:tcW w:w="1188" w:type="dxa"/>
            <w:gridSpan w:val="2"/>
            <w:tcBorders>
              <w:bottom w:val="single" w:sz="4" w:space="0" w:color="FFFFFF"/>
            </w:tcBorders>
            <w:shd w:fill="auto" w:val="clear"/>
            <w:vAlign w:val="bottom"/>
          </w:tcPr>
          <w:p>
            <w:pPr>
              <w:pStyle w:val="TableContents"/>
              <w:spacing w:before="0" w:after="283"/>
              <w:rPr/>
            </w:pPr>
            <w:r>
              <w:rPr/>
              <w:t> </w:t>
            </w:r>
          </w:p>
        </w:tc>
        <w:tc>
          <w:tcPr>
            <w:tcW w:w="117" w:type="dxa"/>
            <w:tcBorders>
              <w:bottom w:val="single" w:sz="4" w:space="0" w:color="FFFFFF"/>
            </w:tcBorders>
            <w:shd w:fill="auto" w:val="clear"/>
            <w:vAlign w:val="bottom"/>
          </w:tcPr>
          <w:p>
            <w:pPr>
              <w:pStyle w:val="TableContents"/>
              <w:spacing w:before="0" w:after="283"/>
              <w:jc w:val="left"/>
              <w:rPr/>
            </w:pPr>
            <w:r>
              <w:rPr/>
              <w:t> </w:t>
            </w:r>
          </w:p>
        </w:tc>
      </w:tr>
      <w:tr>
        <w:trPr/>
        <w:tc>
          <w:tcPr>
            <w:tcW w:w="1398" w:type="dxa"/>
            <w:tcBorders>
              <w:bottom w:val="single" w:sz="2" w:space="0" w:color="000000"/>
            </w:tcBorders>
            <w:shd w:fill="auto" w:val="clear"/>
            <w:vAlign w:val="bottom"/>
          </w:tcPr>
          <w:p>
            <w:pPr>
              <w:pStyle w:val="TableContents"/>
              <w:spacing w:before="0" w:after="283"/>
              <w:jc w:val="left"/>
              <w:rPr/>
            </w:pPr>
            <w:r>
              <w:rPr/>
              <w:t> </w:t>
            </w:r>
          </w:p>
        </w:tc>
        <w:tc>
          <w:tcPr>
            <w:tcW w:w="70" w:type="dxa"/>
            <w:tcBorders>
              <w:bottom w:val="single" w:sz="4" w:space="0" w:color="FFFFFF"/>
            </w:tcBorders>
            <w:shd w:fill="auto" w:val="clear"/>
            <w:vAlign w:val="center"/>
          </w:tcPr>
          <w:p>
            <w:pPr>
              <w:pStyle w:val="TableContents"/>
              <w:spacing w:before="0" w:after="283"/>
              <w:rPr/>
            </w:pPr>
            <w:r>
              <w:rPr/>
              <w:t> </w:t>
            </w:r>
          </w:p>
        </w:tc>
        <w:tc>
          <w:tcPr>
            <w:tcW w:w="695" w:type="dxa"/>
            <w:gridSpan w:val="2"/>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Class A Shares</w:t>
            </w:r>
          </w:p>
        </w:tc>
        <w:tc>
          <w:tcPr>
            <w:tcW w:w="89" w:type="dxa"/>
            <w:tcBorders>
              <w:bottom w:val="single" w:sz="4" w:space="0" w:color="FFFFFF"/>
            </w:tcBorders>
            <w:shd w:fill="auto" w:val="clear"/>
            <w:vAlign w:val="bottom"/>
          </w:tcPr>
          <w:p>
            <w:pPr>
              <w:pStyle w:val="TableContents"/>
              <w:spacing w:before="0" w:after="283"/>
              <w:jc w:val="left"/>
              <w:rPr/>
            </w:pPr>
            <w:r>
              <w:rPr/>
              <w:t> </w:t>
            </w:r>
          </w:p>
        </w:tc>
        <w:tc>
          <w:tcPr>
            <w:tcW w:w="567" w:type="dxa"/>
            <w:gridSpan w:val="2"/>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Class A Par Value</w:t>
            </w:r>
          </w:p>
        </w:tc>
        <w:tc>
          <w:tcPr>
            <w:tcW w:w="70" w:type="dxa"/>
            <w:tcBorders>
              <w:bottom w:val="single" w:sz="4" w:space="0" w:color="FFFFFF"/>
            </w:tcBorders>
            <w:shd w:fill="auto" w:val="clear"/>
            <w:vAlign w:val="bottom"/>
          </w:tcPr>
          <w:p>
            <w:pPr>
              <w:pStyle w:val="TableContents"/>
              <w:spacing w:before="0" w:after="283"/>
              <w:jc w:val="left"/>
              <w:rPr/>
            </w:pPr>
            <w:r>
              <w:rPr/>
              <w:t> </w:t>
            </w:r>
          </w:p>
        </w:tc>
        <w:tc>
          <w:tcPr>
            <w:tcW w:w="639" w:type="dxa"/>
            <w:gridSpan w:val="2"/>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Class B Shares</w:t>
            </w:r>
          </w:p>
        </w:tc>
        <w:tc>
          <w:tcPr>
            <w:tcW w:w="89" w:type="dxa"/>
            <w:tcBorders>
              <w:bottom w:val="single" w:sz="4" w:space="0" w:color="FFFFFF"/>
            </w:tcBorders>
            <w:shd w:fill="auto" w:val="clear"/>
            <w:vAlign w:val="bottom"/>
          </w:tcPr>
          <w:p>
            <w:pPr>
              <w:pStyle w:val="TableContents"/>
              <w:spacing w:before="0" w:after="283"/>
              <w:jc w:val="left"/>
              <w:rPr/>
            </w:pPr>
            <w:r>
              <w:rPr/>
              <w:t> </w:t>
            </w:r>
          </w:p>
        </w:tc>
        <w:tc>
          <w:tcPr>
            <w:tcW w:w="567" w:type="dxa"/>
            <w:gridSpan w:val="2"/>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Class B</w:t>
            </w:r>
          </w:p>
          <w:p>
            <w:pPr>
              <w:pStyle w:val="TableContents"/>
              <w:spacing w:lineRule="auto" w:line="300" w:before="0" w:after="0"/>
              <w:ind w:left="0" w:right="0" w:hanging="0"/>
              <w:jc w:val="center"/>
              <w:rPr/>
            </w:pPr>
            <w:r>
              <w:rPr>
                <w:rStyle w:val="StrongEmphasis"/>
                <w:rFonts w:ascii="Times New Roman" w:hAnsi="Times New Roman"/>
                <w:sz w:val="20"/>
              </w:rPr>
              <w:t>Par Value</w:t>
            </w:r>
          </w:p>
        </w:tc>
        <w:tc>
          <w:tcPr>
            <w:tcW w:w="89" w:type="dxa"/>
            <w:tcBorders>
              <w:bottom w:val="single" w:sz="4" w:space="0" w:color="FFFFFF"/>
            </w:tcBorders>
            <w:shd w:fill="auto" w:val="clear"/>
            <w:vAlign w:val="bottom"/>
          </w:tcPr>
          <w:p>
            <w:pPr>
              <w:pStyle w:val="TableContents"/>
              <w:spacing w:before="0" w:after="283"/>
              <w:jc w:val="left"/>
              <w:rPr/>
            </w:pPr>
            <w:r>
              <w:rPr/>
              <w:t> </w:t>
            </w:r>
          </w:p>
        </w:tc>
        <w:tc>
          <w:tcPr>
            <w:tcW w:w="949" w:type="dxa"/>
            <w:gridSpan w:val="2"/>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Additional</w:t>
            </w:r>
          </w:p>
          <w:p>
            <w:pPr>
              <w:pStyle w:val="TableContents"/>
              <w:spacing w:lineRule="auto" w:line="300" w:before="0" w:after="0"/>
              <w:ind w:left="0" w:right="0" w:hanging="0"/>
              <w:jc w:val="center"/>
              <w:rPr/>
            </w:pPr>
            <w:r>
              <w:rPr>
                <w:rStyle w:val="StrongEmphasis"/>
                <w:rFonts w:ascii="Times New Roman" w:hAnsi="Times New Roman"/>
                <w:sz w:val="20"/>
              </w:rPr>
              <w:t>Paid-In Capital</w:t>
            </w:r>
          </w:p>
        </w:tc>
        <w:tc>
          <w:tcPr>
            <w:tcW w:w="70" w:type="dxa"/>
            <w:tcBorders>
              <w:bottom w:val="single" w:sz="4" w:space="0" w:color="FFFFFF"/>
            </w:tcBorders>
            <w:shd w:fill="auto" w:val="clear"/>
            <w:vAlign w:val="bottom"/>
          </w:tcPr>
          <w:p>
            <w:pPr>
              <w:pStyle w:val="TableContents"/>
              <w:spacing w:before="0" w:after="283"/>
              <w:jc w:val="left"/>
              <w:rPr/>
            </w:pPr>
            <w:r>
              <w:rPr/>
              <w:t> </w:t>
            </w:r>
          </w:p>
        </w:tc>
        <w:tc>
          <w:tcPr>
            <w:tcW w:w="850" w:type="dxa"/>
            <w:gridSpan w:val="2"/>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Treasury Stock</w:t>
            </w:r>
          </w:p>
        </w:tc>
        <w:tc>
          <w:tcPr>
            <w:tcW w:w="89" w:type="dxa"/>
            <w:tcBorders>
              <w:bottom w:val="single" w:sz="4" w:space="0" w:color="FFFFFF"/>
            </w:tcBorders>
            <w:shd w:fill="auto" w:val="clear"/>
            <w:vAlign w:val="bottom"/>
          </w:tcPr>
          <w:p>
            <w:pPr>
              <w:pStyle w:val="TableContents"/>
              <w:spacing w:before="0" w:after="283"/>
              <w:jc w:val="left"/>
              <w:rPr/>
            </w:pPr>
            <w:r>
              <w:rPr/>
              <w:t> </w:t>
            </w:r>
          </w:p>
        </w:tc>
        <w:tc>
          <w:tcPr>
            <w:tcW w:w="1147" w:type="dxa"/>
            <w:gridSpan w:val="2"/>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Accumulated Deficit</w:t>
            </w:r>
          </w:p>
        </w:tc>
        <w:tc>
          <w:tcPr>
            <w:tcW w:w="89" w:type="dxa"/>
            <w:tcBorders>
              <w:bottom w:val="single" w:sz="4" w:space="0" w:color="FFFFFF"/>
            </w:tcBorders>
            <w:shd w:fill="auto" w:val="clear"/>
            <w:vAlign w:val="bottom"/>
          </w:tcPr>
          <w:p>
            <w:pPr>
              <w:pStyle w:val="TableContents"/>
              <w:spacing w:before="0" w:after="283"/>
              <w:jc w:val="left"/>
              <w:rPr/>
            </w:pPr>
            <w:r>
              <w:rPr/>
              <w:t> </w:t>
            </w:r>
          </w:p>
        </w:tc>
        <w:tc>
          <w:tcPr>
            <w:tcW w:w="1344" w:type="dxa"/>
            <w:gridSpan w:val="2"/>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Accumulated Other Comprehensive Income/(Loss)</w:t>
            </w:r>
          </w:p>
        </w:tc>
        <w:tc>
          <w:tcPr>
            <w:tcW w:w="89" w:type="dxa"/>
            <w:tcBorders>
              <w:bottom w:val="single" w:sz="4" w:space="0" w:color="FFFFFF"/>
            </w:tcBorders>
            <w:shd w:fill="auto" w:val="clear"/>
            <w:vAlign w:val="bottom"/>
          </w:tcPr>
          <w:p>
            <w:pPr>
              <w:pStyle w:val="TableContents"/>
              <w:spacing w:before="0" w:after="283"/>
              <w:jc w:val="left"/>
              <w:rPr/>
            </w:pPr>
            <w:r>
              <w:rPr/>
              <w:t> </w:t>
            </w:r>
          </w:p>
        </w:tc>
        <w:tc>
          <w:tcPr>
            <w:tcW w:w="1188" w:type="dxa"/>
            <w:gridSpan w:val="2"/>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Total</w:t>
            </w:r>
          </w:p>
          <w:p>
            <w:pPr>
              <w:pStyle w:val="TableContents"/>
              <w:spacing w:lineRule="auto" w:line="300" w:before="0" w:after="0"/>
              <w:ind w:left="0" w:right="0" w:hanging="0"/>
              <w:jc w:val="center"/>
              <w:rPr/>
            </w:pPr>
            <w:r>
              <w:rPr>
                <w:rStyle w:val="StrongEmphasis"/>
                <w:rFonts w:ascii="Times New Roman" w:hAnsi="Times New Roman"/>
                <w:sz w:val="20"/>
              </w:rPr>
              <w:t>Stockholders’ Equity</w:t>
            </w:r>
          </w:p>
        </w:tc>
        <w:tc>
          <w:tcPr>
            <w:tcW w:w="117" w:type="dxa"/>
            <w:tcBorders>
              <w:bottom w:val="single" w:sz="4" w:space="0" w:color="FFFFFF"/>
            </w:tcBorders>
            <w:shd w:fill="auto" w:val="clear"/>
            <w:vAlign w:val="bottom"/>
          </w:tcPr>
          <w:p>
            <w:pPr>
              <w:pStyle w:val="TableContents"/>
              <w:spacing w:before="0" w:after="283"/>
              <w:jc w:val="left"/>
              <w:rPr/>
            </w:pPr>
            <w:r>
              <w:rPr/>
              <w:t> </w:t>
            </w:r>
          </w:p>
        </w:tc>
      </w:tr>
      <w:tr>
        <w:trPr/>
        <w:tc>
          <w:tcPr>
            <w:tcW w:w="1398" w:type="dxa"/>
            <w:tcBorders>
              <w:bottom w:val="double" w:sz="2" w:space="0" w:color="000000"/>
            </w:tcBorders>
            <w:shd w:fill="CCEEFF" w:val="clear"/>
            <w:vAlign w:val="bottom"/>
          </w:tcPr>
          <w:p>
            <w:pPr>
              <w:pStyle w:val="TableContents"/>
              <w:spacing w:lineRule="auto" w:line="300" w:before="0" w:after="0"/>
              <w:ind w:left="180" w:right="0" w:hanging="180"/>
              <w:jc w:val="left"/>
              <w:rPr>
                <w:rFonts w:ascii="Times New Roman" w:hAnsi="Times New Roman"/>
                <w:sz w:val="20"/>
              </w:rPr>
            </w:pPr>
            <w:r>
              <w:rPr>
                <w:rFonts w:ascii="Times New Roman" w:hAnsi="Times New Roman"/>
                <w:sz w:val="20"/>
              </w:rPr>
              <w:t>At January 1, 2004</w:t>
            </w:r>
          </w:p>
        </w:tc>
        <w:tc>
          <w:tcPr>
            <w:tcW w:w="70" w:type="dxa"/>
            <w:tcBorders>
              <w:bottom w:val="single" w:sz="4" w:space="0" w:color="CCEEFF"/>
            </w:tcBorders>
            <w:shd w:fill="CCEEFF" w:val="clear"/>
            <w:vAlign w:val="center"/>
          </w:tcPr>
          <w:p>
            <w:pPr>
              <w:pStyle w:val="TableContents"/>
              <w:spacing w:before="0" w:after="283"/>
              <w:rPr/>
            </w:pPr>
            <w:r>
              <w:rPr/>
              <w:t> </w:t>
            </w:r>
          </w:p>
        </w:tc>
        <w:tc>
          <w:tcPr>
            <w:tcW w:w="70" w:type="dxa"/>
            <w:tcBorders>
              <w:bottom w:val="double" w:sz="2" w:space="0" w:color="000000"/>
            </w:tcBorders>
            <w:shd w:fill="CCEEFF" w:val="clear"/>
            <w:vAlign w:val="bottom"/>
          </w:tcPr>
          <w:p>
            <w:pPr>
              <w:pStyle w:val="TableContents"/>
              <w:spacing w:before="0" w:after="283"/>
              <w:jc w:val="left"/>
              <w:rPr/>
            </w:pPr>
            <w:r>
              <w:rPr/>
              <w:t> </w:t>
            </w:r>
          </w:p>
        </w:tc>
        <w:tc>
          <w:tcPr>
            <w:tcW w:w="625" w:type="dxa"/>
            <w:tcBorders>
              <w:bottom w:val="doub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19,867</w:t>
            </w:r>
          </w:p>
        </w:tc>
        <w:tc>
          <w:tcPr>
            <w:tcW w:w="89" w:type="dxa"/>
            <w:tcBorders>
              <w:bottom w:val="single" w:sz="4" w:space="0" w:color="CCEEFF"/>
            </w:tcBorders>
            <w:shd w:fill="CCEEFF" w:val="clear"/>
            <w:vAlign w:val="bottom"/>
          </w:tcPr>
          <w:p>
            <w:pPr>
              <w:pStyle w:val="TableContents"/>
              <w:spacing w:before="0" w:after="283"/>
              <w:jc w:val="left"/>
              <w:rPr/>
            </w:pPr>
            <w:r>
              <w:rPr/>
              <w:t> </w:t>
            </w:r>
          </w:p>
        </w:tc>
        <w:tc>
          <w:tcPr>
            <w:tcW w:w="144" w:type="dxa"/>
            <w:tcBorders>
              <w:bottom w:val="doub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423" w:type="dxa"/>
            <w:tcBorders>
              <w:bottom w:val="doub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199</w:t>
            </w:r>
          </w:p>
        </w:tc>
        <w:tc>
          <w:tcPr>
            <w:tcW w:w="70" w:type="dxa"/>
            <w:tcBorders>
              <w:bottom w:val="single" w:sz="4" w:space="0" w:color="CCEEFF"/>
            </w:tcBorders>
            <w:shd w:fill="CCEEFF" w:val="clear"/>
            <w:vAlign w:val="bottom"/>
          </w:tcPr>
          <w:p>
            <w:pPr>
              <w:pStyle w:val="TableContents"/>
              <w:spacing w:before="0" w:after="283"/>
              <w:jc w:val="left"/>
              <w:rPr/>
            </w:pPr>
            <w:r>
              <w:rPr/>
              <w:t> </w:t>
            </w:r>
          </w:p>
        </w:tc>
        <w:tc>
          <w:tcPr>
            <w:tcW w:w="74" w:type="dxa"/>
            <w:tcBorders>
              <w:bottom w:val="double" w:sz="2" w:space="0" w:color="000000"/>
            </w:tcBorders>
            <w:shd w:fill="CCEEFF" w:val="clear"/>
            <w:vAlign w:val="bottom"/>
          </w:tcPr>
          <w:p>
            <w:pPr>
              <w:pStyle w:val="TableContents"/>
              <w:spacing w:before="0" w:after="283"/>
              <w:jc w:val="left"/>
              <w:rPr/>
            </w:pPr>
            <w:r>
              <w:rPr/>
              <w:t> </w:t>
            </w:r>
          </w:p>
        </w:tc>
        <w:tc>
          <w:tcPr>
            <w:tcW w:w="565" w:type="dxa"/>
            <w:tcBorders>
              <w:bottom w:val="doub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2,032</w:t>
            </w:r>
          </w:p>
        </w:tc>
        <w:tc>
          <w:tcPr>
            <w:tcW w:w="89" w:type="dxa"/>
            <w:tcBorders>
              <w:bottom w:val="single" w:sz="4" w:space="0" w:color="CCEEFF"/>
            </w:tcBorders>
            <w:shd w:fill="CCEEFF" w:val="clear"/>
            <w:vAlign w:val="bottom"/>
          </w:tcPr>
          <w:p>
            <w:pPr>
              <w:pStyle w:val="TableContents"/>
              <w:spacing w:before="0" w:after="283"/>
              <w:jc w:val="left"/>
              <w:rPr/>
            </w:pPr>
            <w:r>
              <w:rPr/>
              <w:t> </w:t>
            </w:r>
          </w:p>
        </w:tc>
        <w:tc>
          <w:tcPr>
            <w:tcW w:w="184" w:type="dxa"/>
            <w:tcBorders>
              <w:bottom w:val="doub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383" w:type="dxa"/>
            <w:tcBorders>
              <w:bottom w:val="doub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20</w:t>
            </w:r>
          </w:p>
        </w:tc>
        <w:tc>
          <w:tcPr>
            <w:tcW w:w="89" w:type="dxa"/>
            <w:tcBorders>
              <w:bottom w:val="single" w:sz="4" w:space="0" w:color="CCEEFF"/>
            </w:tcBorders>
            <w:shd w:fill="CCEEFF" w:val="clear"/>
            <w:vAlign w:val="bottom"/>
          </w:tcPr>
          <w:p>
            <w:pPr>
              <w:pStyle w:val="TableContents"/>
              <w:spacing w:before="0" w:after="283"/>
              <w:jc w:val="left"/>
              <w:rPr/>
            </w:pPr>
            <w:r>
              <w:rPr/>
              <w:t> </w:t>
            </w:r>
          </w:p>
        </w:tc>
        <w:tc>
          <w:tcPr>
            <w:tcW w:w="145" w:type="dxa"/>
            <w:tcBorders>
              <w:bottom w:val="doub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bookmarkStart w:id="2569" w:name="TAB11106"/>
            <w:bookmarkEnd w:id="2569"/>
            <w:r>
              <w:rPr>
                <w:rFonts w:ascii="Times New Roman" w:hAnsi="Times New Roman"/>
                <w:sz w:val="20"/>
              </w:rPr>
              <w:t>$</w:t>
            </w:r>
          </w:p>
        </w:tc>
        <w:tc>
          <w:tcPr>
            <w:tcW w:w="804" w:type="dxa"/>
            <w:tcBorders>
              <w:bottom w:val="doub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2570" w:name="TAB11107"/>
            <w:bookmarkEnd w:id="2570"/>
            <w:r>
              <w:rPr>
                <w:rFonts w:ascii="Times New Roman" w:hAnsi="Times New Roman"/>
                <w:sz w:val="20"/>
              </w:rPr>
              <w:t>123,516</w:t>
            </w:r>
          </w:p>
        </w:tc>
        <w:tc>
          <w:tcPr>
            <w:tcW w:w="70" w:type="dxa"/>
            <w:tcBorders>
              <w:bottom w:val="single" w:sz="4" w:space="0" w:color="CCEEFF"/>
            </w:tcBorders>
            <w:shd w:fill="CCEEFF" w:val="clear"/>
            <w:vAlign w:val="bottom"/>
          </w:tcPr>
          <w:p>
            <w:pPr>
              <w:pStyle w:val="TableContents"/>
              <w:spacing w:before="0" w:after="283"/>
              <w:jc w:val="left"/>
              <w:rPr/>
            </w:pPr>
            <w:r>
              <w:rPr/>
              <w:t> </w:t>
            </w:r>
          </w:p>
        </w:tc>
        <w:tc>
          <w:tcPr>
            <w:tcW w:w="157" w:type="dxa"/>
            <w:tcBorders>
              <w:bottom w:val="doub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bookmarkStart w:id="2571" w:name="TAB11108"/>
            <w:bookmarkEnd w:id="2571"/>
            <w:r>
              <w:rPr>
                <w:rFonts w:ascii="Times New Roman" w:hAnsi="Times New Roman"/>
                <w:sz w:val="20"/>
              </w:rPr>
              <w:t>$</w:t>
            </w:r>
          </w:p>
        </w:tc>
        <w:tc>
          <w:tcPr>
            <w:tcW w:w="693" w:type="dxa"/>
            <w:tcBorders>
              <w:bottom w:val="doub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2572" w:name="TAB11109"/>
            <w:bookmarkEnd w:id="2572"/>
            <w:r>
              <w:rPr>
                <w:rFonts w:ascii="Times New Roman" w:hAnsi="Times New Roman"/>
                <w:sz w:val="20"/>
              </w:rPr>
              <w:t>--</w:t>
            </w:r>
          </w:p>
        </w:tc>
        <w:tc>
          <w:tcPr>
            <w:tcW w:w="89" w:type="dxa"/>
            <w:tcBorders>
              <w:bottom w:val="single" w:sz="4" w:space="0" w:color="CCEEFF"/>
            </w:tcBorders>
            <w:shd w:fill="CCEEFF" w:val="clear"/>
            <w:vAlign w:val="bottom"/>
          </w:tcPr>
          <w:p>
            <w:pPr>
              <w:pStyle w:val="TableContents"/>
              <w:spacing w:before="0" w:after="283"/>
              <w:jc w:val="left"/>
              <w:rPr/>
            </w:pPr>
            <w:r>
              <w:rPr/>
              <w:t> </w:t>
            </w:r>
          </w:p>
        </w:tc>
        <w:tc>
          <w:tcPr>
            <w:tcW w:w="185" w:type="dxa"/>
            <w:tcBorders>
              <w:bottom w:val="doub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bookmarkStart w:id="2573" w:name="TAB11110"/>
            <w:bookmarkEnd w:id="2573"/>
            <w:r>
              <w:rPr>
                <w:rFonts w:ascii="Times New Roman" w:hAnsi="Times New Roman"/>
                <w:sz w:val="20"/>
              </w:rPr>
              <w:t>$</w:t>
            </w:r>
          </w:p>
        </w:tc>
        <w:tc>
          <w:tcPr>
            <w:tcW w:w="962" w:type="dxa"/>
            <w:tcBorders>
              <w:bottom w:val="doub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2574" w:name="TAB11111"/>
            <w:bookmarkEnd w:id="2574"/>
            <w:r>
              <w:rPr>
                <w:rFonts w:ascii="Times New Roman" w:hAnsi="Times New Roman"/>
                <w:sz w:val="20"/>
              </w:rPr>
              <w:t>(46,440</w:t>
            </w:r>
          </w:p>
        </w:tc>
        <w:tc>
          <w:tcPr>
            <w:tcW w:w="89" w:type="dxa"/>
            <w:tcBorders>
              <w:bottom w:val="single" w:sz="4" w:space="0" w:color="CCEEFF"/>
            </w:tcBorders>
            <w:shd w:fill="CCEEFF" w:val="clear"/>
            <w:vAlign w:val="bottom"/>
          </w:tcPr>
          <w:p>
            <w:pPr>
              <w:pStyle w:val="TableContents"/>
              <w:spacing w:lineRule="auto" w:line="300" w:before="0" w:after="0"/>
              <w:ind w:left="0" w:right="0" w:hanging="0"/>
              <w:jc w:val="left"/>
              <w:rPr>
                <w:rFonts w:ascii="Times New Roman" w:hAnsi="Times New Roman"/>
                <w:sz w:val="20"/>
              </w:rPr>
            </w:pPr>
            <w:bookmarkStart w:id="2575" w:name="TAB11112"/>
            <w:bookmarkEnd w:id="2575"/>
            <w:r>
              <w:rPr>
                <w:rFonts w:ascii="Times New Roman" w:hAnsi="Times New Roman"/>
                <w:sz w:val="20"/>
              </w:rPr>
              <w:t>)</w:t>
            </w:r>
          </w:p>
        </w:tc>
        <w:tc>
          <w:tcPr>
            <w:tcW w:w="234" w:type="dxa"/>
            <w:tcBorders>
              <w:bottom w:val="doub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bookmarkStart w:id="2576" w:name="TAB11113"/>
            <w:bookmarkEnd w:id="2576"/>
            <w:r>
              <w:rPr>
                <w:rFonts w:ascii="Times New Roman" w:hAnsi="Times New Roman"/>
                <w:sz w:val="20"/>
              </w:rPr>
              <w:t>$</w:t>
            </w:r>
          </w:p>
        </w:tc>
        <w:tc>
          <w:tcPr>
            <w:tcW w:w="1110" w:type="dxa"/>
            <w:tcBorders>
              <w:bottom w:val="doub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2577" w:name="TAB11114"/>
            <w:bookmarkEnd w:id="2577"/>
            <w:r>
              <w:rPr>
                <w:rFonts w:ascii="Times New Roman" w:hAnsi="Times New Roman"/>
                <w:sz w:val="20"/>
              </w:rPr>
              <w:t>31,196</w:t>
            </w:r>
          </w:p>
        </w:tc>
        <w:tc>
          <w:tcPr>
            <w:tcW w:w="89" w:type="dxa"/>
            <w:tcBorders>
              <w:bottom w:val="single" w:sz="4" w:space="0" w:color="CCEEFF"/>
            </w:tcBorders>
            <w:shd w:fill="CCEEFF" w:val="clear"/>
            <w:vAlign w:val="bottom"/>
          </w:tcPr>
          <w:p>
            <w:pPr>
              <w:pStyle w:val="TableContents"/>
              <w:spacing w:before="0" w:after="283"/>
              <w:jc w:val="left"/>
              <w:rPr/>
            </w:pPr>
            <w:r>
              <w:rPr/>
              <w:t> </w:t>
            </w:r>
          </w:p>
        </w:tc>
        <w:tc>
          <w:tcPr>
            <w:tcW w:w="181" w:type="dxa"/>
            <w:tcBorders>
              <w:bottom w:val="doub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bookmarkStart w:id="2578" w:name="TAB11115"/>
            <w:bookmarkEnd w:id="2578"/>
            <w:r>
              <w:rPr>
                <w:rFonts w:ascii="Times New Roman" w:hAnsi="Times New Roman"/>
                <w:sz w:val="20"/>
              </w:rPr>
              <w:t>$</w:t>
            </w:r>
          </w:p>
        </w:tc>
        <w:tc>
          <w:tcPr>
            <w:tcW w:w="1007" w:type="dxa"/>
            <w:tcBorders>
              <w:bottom w:val="doub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2579" w:name="TAB11116"/>
            <w:bookmarkEnd w:id="2579"/>
            <w:r>
              <w:rPr>
                <w:rFonts w:ascii="Times New Roman" w:hAnsi="Times New Roman"/>
                <w:sz w:val="20"/>
              </w:rPr>
              <w:t>108,491</w:t>
            </w:r>
          </w:p>
        </w:tc>
        <w:tc>
          <w:tcPr>
            <w:tcW w:w="117" w:type="dxa"/>
            <w:tcBorders>
              <w:bottom w:val="single" w:sz="4" w:space="0" w:color="CCEEFF"/>
            </w:tcBorders>
            <w:shd w:fill="CCEEFF" w:val="clear"/>
            <w:vAlign w:val="bottom"/>
          </w:tcPr>
          <w:p>
            <w:pPr>
              <w:pStyle w:val="TableContents"/>
              <w:spacing w:before="0" w:after="283"/>
              <w:jc w:val="left"/>
              <w:rPr/>
            </w:pPr>
            <w:r>
              <w:rPr/>
              <w:t> </w:t>
            </w:r>
          </w:p>
        </w:tc>
      </w:tr>
      <w:tr>
        <w:trPr/>
        <w:tc>
          <w:tcPr>
            <w:tcW w:w="1398" w:type="dxa"/>
            <w:tcBorders/>
            <w:shd w:fill="FFFFFF" w:val="clear"/>
            <w:tcMar>
              <w:bottom w:w="0" w:type="dxa"/>
            </w:tcMar>
            <w:vAlign w:val="bottom"/>
          </w:tcPr>
          <w:p>
            <w:pPr>
              <w:pStyle w:val="TableContents"/>
              <w:spacing w:lineRule="auto" w:line="300" w:before="0" w:after="0"/>
              <w:ind w:left="180" w:right="0" w:hanging="180"/>
              <w:jc w:val="left"/>
              <w:rPr/>
            </w:pPr>
            <w:r>
              <w:rPr/>
              <w:t> </w:t>
            </w:r>
          </w:p>
          <w:p>
            <w:pPr>
              <w:pStyle w:val="TableContents"/>
              <w:spacing w:lineRule="auto" w:line="300" w:before="0" w:after="0"/>
              <w:ind w:left="180" w:right="0" w:hanging="180"/>
              <w:jc w:val="left"/>
              <w:rPr>
                <w:rFonts w:ascii="Times New Roman" w:hAnsi="Times New Roman"/>
                <w:sz w:val="20"/>
              </w:rPr>
            </w:pPr>
            <w:r>
              <w:rPr>
                <w:rFonts w:ascii="Times New Roman" w:hAnsi="Times New Roman"/>
                <w:sz w:val="20"/>
              </w:rPr>
              <w:t>Net loss</w:t>
            </w:r>
          </w:p>
        </w:tc>
        <w:tc>
          <w:tcPr>
            <w:tcW w:w="70" w:type="dxa"/>
            <w:tcBorders/>
            <w:shd w:fill="FFFFFF" w:val="clear"/>
            <w:tcMar>
              <w:bottom w:w="0" w:type="dxa"/>
            </w:tcMar>
            <w:vAlign w:val="center"/>
          </w:tcPr>
          <w:p>
            <w:pPr>
              <w:pStyle w:val="TableContents"/>
              <w:spacing w:before="0" w:after="283"/>
              <w:rPr/>
            </w:pPr>
            <w:r>
              <w:rPr/>
              <w:t> </w:t>
            </w:r>
          </w:p>
        </w:tc>
        <w:tc>
          <w:tcPr>
            <w:tcW w:w="70" w:type="dxa"/>
            <w:tcBorders/>
            <w:shd w:fill="FFFFFF" w:val="clear"/>
            <w:tcMar>
              <w:bottom w:w="0" w:type="dxa"/>
            </w:tcMar>
            <w:vAlign w:val="bottom"/>
          </w:tcPr>
          <w:p>
            <w:pPr>
              <w:pStyle w:val="TableContents"/>
              <w:spacing w:before="0" w:after="283"/>
              <w:jc w:val="left"/>
              <w:rPr/>
            </w:pPr>
            <w:r>
              <w:rPr/>
              <w:t> </w:t>
            </w:r>
          </w:p>
        </w:tc>
        <w:tc>
          <w:tcPr>
            <w:tcW w:w="625"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89" w:type="dxa"/>
            <w:tcBorders/>
            <w:shd w:fill="FFFFFF" w:val="clear"/>
            <w:tcMar>
              <w:bottom w:w="0" w:type="dxa"/>
            </w:tcMar>
            <w:vAlign w:val="bottom"/>
          </w:tcPr>
          <w:p>
            <w:pPr>
              <w:pStyle w:val="TableContents"/>
              <w:spacing w:before="0" w:after="283"/>
              <w:jc w:val="left"/>
              <w:rPr/>
            </w:pPr>
            <w:r>
              <w:rPr/>
              <w:t> </w:t>
            </w:r>
          </w:p>
        </w:tc>
        <w:tc>
          <w:tcPr>
            <w:tcW w:w="144" w:type="dxa"/>
            <w:tcBorders/>
            <w:shd w:fill="FFFFFF" w:val="clear"/>
            <w:tcMar>
              <w:bottom w:w="0" w:type="dxa"/>
            </w:tcMar>
            <w:vAlign w:val="bottom"/>
          </w:tcPr>
          <w:p>
            <w:pPr>
              <w:pStyle w:val="TableContents"/>
              <w:spacing w:before="0" w:after="283"/>
              <w:jc w:val="left"/>
              <w:rPr/>
            </w:pPr>
            <w:r>
              <w:rPr/>
              <w:t> </w:t>
            </w:r>
          </w:p>
        </w:tc>
        <w:tc>
          <w:tcPr>
            <w:tcW w:w="423"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70" w:type="dxa"/>
            <w:tcBorders/>
            <w:shd w:fill="FFFFFF" w:val="clear"/>
            <w:tcMar>
              <w:bottom w:w="0" w:type="dxa"/>
            </w:tcMar>
            <w:vAlign w:val="bottom"/>
          </w:tcPr>
          <w:p>
            <w:pPr>
              <w:pStyle w:val="TableContents"/>
              <w:spacing w:before="0" w:after="283"/>
              <w:jc w:val="left"/>
              <w:rPr/>
            </w:pPr>
            <w:r>
              <w:rPr/>
              <w:t> </w:t>
            </w:r>
          </w:p>
        </w:tc>
        <w:tc>
          <w:tcPr>
            <w:tcW w:w="74" w:type="dxa"/>
            <w:tcBorders/>
            <w:shd w:fill="FFFFFF" w:val="clear"/>
            <w:tcMar>
              <w:bottom w:w="0" w:type="dxa"/>
            </w:tcMar>
            <w:vAlign w:val="bottom"/>
          </w:tcPr>
          <w:p>
            <w:pPr>
              <w:pStyle w:val="TableContents"/>
              <w:spacing w:before="0" w:after="283"/>
              <w:jc w:val="left"/>
              <w:rPr/>
            </w:pPr>
            <w:r>
              <w:rPr/>
              <w:t> </w:t>
            </w:r>
          </w:p>
        </w:tc>
        <w:tc>
          <w:tcPr>
            <w:tcW w:w="565"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89" w:type="dxa"/>
            <w:tcBorders/>
            <w:shd w:fill="FFFFFF" w:val="clear"/>
            <w:tcMar>
              <w:bottom w:w="0" w:type="dxa"/>
            </w:tcMar>
            <w:vAlign w:val="bottom"/>
          </w:tcPr>
          <w:p>
            <w:pPr>
              <w:pStyle w:val="TableContents"/>
              <w:spacing w:before="0" w:after="283"/>
              <w:jc w:val="left"/>
              <w:rPr/>
            </w:pPr>
            <w:r>
              <w:rPr/>
              <w:t> </w:t>
            </w:r>
          </w:p>
        </w:tc>
        <w:tc>
          <w:tcPr>
            <w:tcW w:w="184" w:type="dxa"/>
            <w:tcBorders/>
            <w:shd w:fill="FFFFFF" w:val="clear"/>
            <w:tcMar>
              <w:bottom w:w="0" w:type="dxa"/>
            </w:tcMar>
            <w:vAlign w:val="bottom"/>
          </w:tcPr>
          <w:p>
            <w:pPr>
              <w:pStyle w:val="TableContents"/>
              <w:spacing w:before="0" w:after="283"/>
              <w:jc w:val="left"/>
              <w:rPr/>
            </w:pPr>
            <w:r>
              <w:rPr/>
              <w:t> </w:t>
            </w:r>
          </w:p>
        </w:tc>
        <w:tc>
          <w:tcPr>
            <w:tcW w:w="383"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89" w:type="dxa"/>
            <w:tcBorders/>
            <w:shd w:fill="FFFFFF" w:val="clear"/>
            <w:tcMar>
              <w:bottom w:w="0" w:type="dxa"/>
            </w:tcMar>
            <w:vAlign w:val="bottom"/>
          </w:tcPr>
          <w:p>
            <w:pPr>
              <w:pStyle w:val="TableContents"/>
              <w:spacing w:before="0" w:after="283"/>
              <w:jc w:val="left"/>
              <w:rPr/>
            </w:pPr>
            <w:r>
              <w:rPr/>
              <w:t> </w:t>
            </w:r>
          </w:p>
        </w:tc>
        <w:tc>
          <w:tcPr>
            <w:tcW w:w="145" w:type="dxa"/>
            <w:tcBorders/>
            <w:shd w:fill="FFFFFF" w:val="clear"/>
            <w:tcMar>
              <w:bottom w:w="0" w:type="dxa"/>
            </w:tcMar>
            <w:vAlign w:val="bottom"/>
          </w:tcPr>
          <w:p>
            <w:pPr>
              <w:pStyle w:val="TableContents"/>
              <w:spacing w:before="0" w:after="283"/>
              <w:jc w:val="left"/>
              <w:rPr/>
            </w:pPr>
            <w:r>
              <w:rPr/>
              <w:t> </w:t>
            </w:r>
          </w:p>
        </w:tc>
        <w:tc>
          <w:tcPr>
            <w:tcW w:w="804"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70" w:type="dxa"/>
            <w:tcBorders/>
            <w:shd w:fill="FFFFFF" w:val="clear"/>
            <w:tcMar>
              <w:bottom w:w="0" w:type="dxa"/>
            </w:tcMar>
            <w:vAlign w:val="bottom"/>
          </w:tcPr>
          <w:p>
            <w:pPr>
              <w:pStyle w:val="TableContents"/>
              <w:spacing w:before="0" w:after="283"/>
              <w:jc w:val="left"/>
              <w:rPr/>
            </w:pPr>
            <w:r>
              <w:rPr/>
              <w:t> </w:t>
            </w:r>
          </w:p>
        </w:tc>
        <w:tc>
          <w:tcPr>
            <w:tcW w:w="157" w:type="dxa"/>
            <w:tcBorders/>
            <w:shd w:fill="FFFFFF" w:val="clear"/>
            <w:tcMar>
              <w:bottom w:w="0" w:type="dxa"/>
            </w:tcMar>
            <w:vAlign w:val="bottom"/>
          </w:tcPr>
          <w:p>
            <w:pPr>
              <w:pStyle w:val="TableContents"/>
              <w:spacing w:before="0" w:after="283"/>
              <w:jc w:val="left"/>
              <w:rPr/>
            </w:pPr>
            <w:r>
              <w:rPr/>
              <w:t> </w:t>
            </w:r>
          </w:p>
        </w:tc>
        <w:tc>
          <w:tcPr>
            <w:tcW w:w="693"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2580" w:name="TAB11117"/>
            <w:bookmarkEnd w:id="2580"/>
            <w:r>
              <w:rPr>
                <w:rFonts w:ascii="Times New Roman" w:hAnsi="Times New Roman"/>
                <w:sz w:val="20"/>
              </w:rPr>
              <w:t>--</w:t>
            </w:r>
          </w:p>
        </w:tc>
        <w:tc>
          <w:tcPr>
            <w:tcW w:w="89" w:type="dxa"/>
            <w:tcBorders/>
            <w:shd w:fill="FFFFFF" w:val="clear"/>
            <w:tcMar>
              <w:bottom w:w="0" w:type="dxa"/>
            </w:tcMar>
            <w:vAlign w:val="bottom"/>
          </w:tcPr>
          <w:p>
            <w:pPr>
              <w:pStyle w:val="TableContents"/>
              <w:spacing w:before="0" w:after="283"/>
              <w:jc w:val="left"/>
              <w:rPr/>
            </w:pPr>
            <w:r>
              <w:rPr/>
              <w:t> </w:t>
            </w:r>
          </w:p>
        </w:tc>
        <w:tc>
          <w:tcPr>
            <w:tcW w:w="185" w:type="dxa"/>
            <w:tcBorders/>
            <w:shd w:fill="FFFFFF" w:val="clear"/>
            <w:tcMar>
              <w:bottom w:w="0" w:type="dxa"/>
            </w:tcMar>
            <w:vAlign w:val="bottom"/>
          </w:tcPr>
          <w:p>
            <w:pPr>
              <w:pStyle w:val="TableContents"/>
              <w:spacing w:before="0" w:after="283"/>
              <w:jc w:val="left"/>
              <w:rPr/>
            </w:pPr>
            <w:r>
              <w:rPr/>
              <w:t> </w:t>
            </w:r>
          </w:p>
        </w:tc>
        <w:tc>
          <w:tcPr>
            <w:tcW w:w="962"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(8,463</w:t>
            </w:r>
          </w:p>
        </w:tc>
        <w:tc>
          <w:tcPr>
            <w:tcW w:w="89"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234" w:type="dxa"/>
            <w:tcBorders/>
            <w:shd w:fill="FFFFFF" w:val="clear"/>
            <w:tcMar>
              <w:bottom w:w="0" w:type="dxa"/>
            </w:tcMar>
            <w:vAlign w:val="bottom"/>
          </w:tcPr>
          <w:p>
            <w:pPr>
              <w:pStyle w:val="TableContents"/>
              <w:spacing w:before="0" w:after="283"/>
              <w:jc w:val="left"/>
              <w:rPr/>
            </w:pPr>
            <w:r>
              <w:rPr/>
              <w:t> </w:t>
            </w:r>
          </w:p>
        </w:tc>
        <w:tc>
          <w:tcPr>
            <w:tcW w:w="1110"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89" w:type="dxa"/>
            <w:tcBorders/>
            <w:shd w:fill="FFFFFF" w:val="clear"/>
            <w:tcMar>
              <w:bottom w:w="0" w:type="dxa"/>
            </w:tcMar>
            <w:vAlign w:val="bottom"/>
          </w:tcPr>
          <w:p>
            <w:pPr>
              <w:pStyle w:val="TableContents"/>
              <w:spacing w:before="0" w:after="283"/>
              <w:jc w:val="left"/>
              <w:rPr/>
            </w:pPr>
            <w:r>
              <w:rPr/>
              <w:t> </w:t>
            </w:r>
          </w:p>
        </w:tc>
        <w:tc>
          <w:tcPr>
            <w:tcW w:w="181" w:type="dxa"/>
            <w:tcBorders/>
            <w:shd w:fill="FFFFFF" w:val="clear"/>
            <w:tcMar>
              <w:bottom w:w="0" w:type="dxa"/>
            </w:tcMar>
            <w:vAlign w:val="bottom"/>
          </w:tcPr>
          <w:p>
            <w:pPr>
              <w:pStyle w:val="TableContents"/>
              <w:spacing w:before="0" w:after="283"/>
              <w:jc w:val="left"/>
              <w:rPr/>
            </w:pPr>
            <w:r>
              <w:rPr/>
              <w:t> </w:t>
            </w:r>
          </w:p>
        </w:tc>
        <w:tc>
          <w:tcPr>
            <w:tcW w:w="1007"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(8,463</w:t>
            </w:r>
          </w:p>
        </w:tc>
        <w:tc>
          <w:tcPr>
            <w:tcW w:w="117"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r>
      <w:tr>
        <w:trPr/>
        <w:tc>
          <w:tcPr>
            <w:tcW w:w="1398" w:type="dxa"/>
            <w:tcBorders/>
            <w:shd w:fill="CCEEFF" w:val="clear"/>
            <w:tcMar>
              <w:bottom w:w="0" w:type="dxa"/>
            </w:tcMar>
            <w:vAlign w:val="bottom"/>
          </w:tcPr>
          <w:p>
            <w:pPr>
              <w:pStyle w:val="TableContents"/>
              <w:spacing w:lineRule="auto" w:line="300" w:before="0" w:after="0"/>
              <w:ind w:left="180" w:right="0" w:hanging="180"/>
              <w:jc w:val="left"/>
              <w:rPr>
                <w:rFonts w:ascii="Times New Roman" w:hAnsi="Times New Roman"/>
                <w:sz w:val="20"/>
              </w:rPr>
            </w:pPr>
            <w:r>
              <w:rPr>
                <w:rFonts w:ascii="Times New Roman" w:hAnsi="Times New Roman"/>
                <w:sz w:val="20"/>
              </w:rPr>
              <w:t>Other comprehensive income:</w:t>
            </w:r>
          </w:p>
        </w:tc>
        <w:tc>
          <w:tcPr>
            <w:tcW w:w="70" w:type="dxa"/>
            <w:tcBorders/>
            <w:shd w:fill="CCEEFF" w:val="clear"/>
            <w:tcMar>
              <w:bottom w:w="0" w:type="dxa"/>
            </w:tcMar>
            <w:vAlign w:val="center"/>
          </w:tcPr>
          <w:p>
            <w:pPr>
              <w:pStyle w:val="TableContents"/>
              <w:spacing w:before="0" w:after="283"/>
              <w:rPr/>
            </w:pPr>
            <w:r>
              <w:rPr/>
              <w:t> </w:t>
            </w:r>
          </w:p>
        </w:tc>
        <w:tc>
          <w:tcPr>
            <w:tcW w:w="70" w:type="dxa"/>
            <w:tcBorders/>
            <w:shd w:fill="CCEEFF" w:val="clear"/>
            <w:tcMar>
              <w:bottom w:w="0" w:type="dxa"/>
            </w:tcMar>
            <w:vAlign w:val="bottom"/>
          </w:tcPr>
          <w:p>
            <w:pPr>
              <w:pStyle w:val="TableContents"/>
              <w:spacing w:before="0" w:after="283"/>
              <w:jc w:val="left"/>
              <w:rPr/>
            </w:pPr>
            <w:r>
              <w:rPr/>
              <w:t> </w:t>
            </w:r>
          </w:p>
        </w:tc>
        <w:tc>
          <w:tcPr>
            <w:tcW w:w="625"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89" w:type="dxa"/>
            <w:tcBorders/>
            <w:shd w:fill="CCEEFF" w:val="clear"/>
            <w:tcMar>
              <w:bottom w:w="0" w:type="dxa"/>
            </w:tcMar>
            <w:vAlign w:val="bottom"/>
          </w:tcPr>
          <w:p>
            <w:pPr>
              <w:pStyle w:val="TableContents"/>
              <w:spacing w:before="0" w:after="283"/>
              <w:jc w:val="left"/>
              <w:rPr/>
            </w:pPr>
            <w:r>
              <w:rPr/>
              <w:t> </w:t>
            </w:r>
          </w:p>
        </w:tc>
        <w:tc>
          <w:tcPr>
            <w:tcW w:w="144" w:type="dxa"/>
            <w:tcBorders/>
            <w:shd w:fill="CCEEFF" w:val="clear"/>
            <w:tcMar>
              <w:bottom w:w="0" w:type="dxa"/>
            </w:tcMar>
            <w:vAlign w:val="bottom"/>
          </w:tcPr>
          <w:p>
            <w:pPr>
              <w:pStyle w:val="TableContents"/>
              <w:spacing w:before="0" w:after="283"/>
              <w:jc w:val="left"/>
              <w:rPr/>
            </w:pPr>
            <w:r>
              <w:rPr/>
              <w:t> </w:t>
            </w:r>
          </w:p>
        </w:tc>
        <w:tc>
          <w:tcPr>
            <w:tcW w:w="423"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70" w:type="dxa"/>
            <w:tcBorders/>
            <w:shd w:fill="CCEEFF" w:val="clear"/>
            <w:tcMar>
              <w:bottom w:w="0" w:type="dxa"/>
            </w:tcMar>
            <w:vAlign w:val="bottom"/>
          </w:tcPr>
          <w:p>
            <w:pPr>
              <w:pStyle w:val="TableContents"/>
              <w:spacing w:before="0" w:after="283"/>
              <w:jc w:val="left"/>
              <w:rPr/>
            </w:pPr>
            <w:r>
              <w:rPr/>
              <w:t> </w:t>
            </w:r>
          </w:p>
        </w:tc>
        <w:tc>
          <w:tcPr>
            <w:tcW w:w="74" w:type="dxa"/>
            <w:tcBorders/>
            <w:shd w:fill="CCEEFF" w:val="clear"/>
            <w:tcMar>
              <w:bottom w:w="0" w:type="dxa"/>
            </w:tcMar>
            <w:vAlign w:val="bottom"/>
          </w:tcPr>
          <w:p>
            <w:pPr>
              <w:pStyle w:val="TableContents"/>
              <w:spacing w:before="0" w:after="283"/>
              <w:jc w:val="left"/>
              <w:rPr/>
            </w:pPr>
            <w:r>
              <w:rPr/>
              <w:t> </w:t>
            </w:r>
          </w:p>
        </w:tc>
        <w:tc>
          <w:tcPr>
            <w:tcW w:w="565"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89" w:type="dxa"/>
            <w:tcBorders/>
            <w:shd w:fill="CCEEFF" w:val="clear"/>
            <w:tcMar>
              <w:bottom w:w="0" w:type="dxa"/>
            </w:tcMar>
            <w:vAlign w:val="bottom"/>
          </w:tcPr>
          <w:p>
            <w:pPr>
              <w:pStyle w:val="TableContents"/>
              <w:spacing w:before="0" w:after="283"/>
              <w:jc w:val="left"/>
              <w:rPr/>
            </w:pPr>
            <w:r>
              <w:rPr/>
              <w:t> </w:t>
            </w:r>
          </w:p>
        </w:tc>
        <w:tc>
          <w:tcPr>
            <w:tcW w:w="184" w:type="dxa"/>
            <w:tcBorders/>
            <w:shd w:fill="CCEEFF" w:val="clear"/>
            <w:tcMar>
              <w:bottom w:w="0" w:type="dxa"/>
            </w:tcMar>
            <w:vAlign w:val="bottom"/>
          </w:tcPr>
          <w:p>
            <w:pPr>
              <w:pStyle w:val="TableContents"/>
              <w:spacing w:before="0" w:after="283"/>
              <w:jc w:val="left"/>
              <w:rPr/>
            </w:pPr>
            <w:r>
              <w:rPr/>
              <w:t> </w:t>
            </w:r>
          </w:p>
        </w:tc>
        <w:tc>
          <w:tcPr>
            <w:tcW w:w="383"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89" w:type="dxa"/>
            <w:tcBorders/>
            <w:shd w:fill="CCEEFF" w:val="clear"/>
            <w:tcMar>
              <w:bottom w:w="0" w:type="dxa"/>
            </w:tcMar>
            <w:vAlign w:val="bottom"/>
          </w:tcPr>
          <w:p>
            <w:pPr>
              <w:pStyle w:val="TableContents"/>
              <w:spacing w:before="0" w:after="283"/>
              <w:jc w:val="left"/>
              <w:rPr/>
            </w:pPr>
            <w:r>
              <w:rPr/>
              <w:t> </w:t>
            </w:r>
          </w:p>
        </w:tc>
        <w:tc>
          <w:tcPr>
            <w:tcW w:w="145" w:type="dxa"/>
            <w:tcBorders/>
            <w:shd w:fill="CCEEFF" w:val="clear"/>
            <w:tcMar>
              <w:bottom w:w="0" w:type="dxa"/>
            </w:tcMar>
            <w:vAlign w:val="bottom"/>
          </w:tcPr>
          <w:p>
            <w:pPr>
              <w:pStyle w:val="TableContents"/>
              <w:spacing w:before="0" w:after="283"/>
              <w:jc w:val="left"/>
              <w:rPr/>
            </w:pPr>
            <w:r>
              <w:rPr/>
              <w:t> </w:t>
            </w:r>
          </w:p>
        </w:tc>
        <w:tc>
          <w:tcPr>
            <w:tcW w:w="804"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70" w:type="dxa"/>
            <w:tcBorders/>
            <w:shd w:fill="CCEEFF" w:val="clear"/>
            <w:tcMar>
              <w:bottom w:w="0" w:type="dxa"/>
            </w:tcMar>
            <w:vAlign w:val="bottom"/>
          </w:tcPr>
          <w:p>
            <w:pPr>
              <w:pStyle w:val="TableContents"/>
              <w:spacing w:before="0" w:after="283"/>
              <w:jc w:val="left"/>
              <w:rPr/>
            </w:pPr>
            <w:r>
              <w:rPr/>
              <w:t> </w:t>
            </w:r>
          </w:p>
        </w:tc>
        <w:tc>
          <w:tcPr>
            <w:tcW w:w="157" w:type="dxa"/>
            <w:tcBorders/>
            <w:shd w:fill="CCEEFF" w:val="clear"/>
            <w:tcMar>
              <w:bottom w:w="0" w:type="dxa"/>
            </w:tcMar>
            <w:vAlign w:val="bottom"/>
          </w:tcPr>
          <w:p>
            <w:pPr>
              <w:pStyle w:val="TableContents"/>
              <w:spacing w:before="0" w:after="283"/>
              <w:jc w:val="left"/>
              <w:rPr/>
            </w:pPr>
            <w:r>
              <w:rPr/>
              <w:t> </w:t>
            </w:r>
          </w:p>
        </w:tc>
        <w:tc>
          <w:tcPr>
            <w:tcW w:w="693"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2581" w:name="TAB11118"/>
            <w:bookmarkEnd w:id="2581"/>
            <w:r>
              <w:rPr>
                <w:rFonts w:ascii="Times New Roman" w:hAnsi="Times New Roman"/>
                <w:sz w:val="20"/>
              </w:rPr>
              <w:t>--</w:t>
            </w:r>
          </w:p>
        </w:tc>
        <w:tc>
          <w:tcPr>
            <w:tcW w:w="89" w:type="dxa"/>
            <w:tcBorders/>
            <w:shd w:fill="CCEEFF" w:val="clear"/>
            <w:tcMar>
              <w:bottom w:w="0" w:type="dxa"/>
            </w:tcMar>
            <w:vAlign w:val="bottom"/>
          </w:tcPr>
          <w:p>
            <w:pPr>
              <w:pStyle w:val="TableContents"/>
              <w:spacing w:before="0" w:after="283"/>
              <w:jc w:val="left"/>
              <w:rPr/>
            </w:pPr>
            <w:r>
              <w:rPr/>
              <w:t> </w:t>
            </w:r>
          </w:p>
        </w:tc>
        <w:tc>
          <w:tcPr>
            <w:tcW w:w="185" w:type="dxa"/>
            <w:tcBorders/>
            <w:shd w:fill="CCEEFF" w:val="clear"/>
            <w:tcMar>
              <w:bottom w:w="0" w:type="dxa"/>
            </w:tcMar>
            <w:vAlign w:val="bottom"/>
          </w:tcPr>
          <w:p>
            <w:pPr>
              <w:pStyle w:val="TableContents"/>
              <w:spacing w:before="0" w:after="283"/>
              <w:jc w:val="left"/>
              <w:rPr/>
            </w:pPr>
            <w:r>
              <w:rPr/>
              <w:t> </w:t>
            </w:r>
          </w:p>
        </w:tc>
        <w:tc>
          <w:tcPr>
            <w:tcW w:w="962"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89" w:type="dxa"/>
            <w:tcBorders/>
            <w:shd w:fill="CCEEFF" w:val="clear"/>
            <w:tcMar>
              <w:bottom w:w="0" w:type="dxa"/>
            </w:tcMar>
            <w:vAlign w:val="bottom"/>
          </w:tcPr>
          <w:p>
            <w:pPr>
              <w:pStyle w:val="TableContents"/>
              <w:spacing w:before="0" w:after="283"/>
              <w:jc w:val="left"/>
              <w:rPr/>
            </w:pPr>
            <w:r>
              <w:rPr/>
              <w:t> </w:t>
            </w:r>
          </w:p>
        </w:tc>
        <w:tc>
          <w:tcPr>
            <w:tcW w:w="234" w:type="dxa"/>
            <w:tcBorders/>
            <w:shd w:fill="CCEEFF" w:val="clear"/>
            <w:tcMar>
              <w:bottom w:w="0" w:type="dxa"/>
            </w:tcMar>
            <w:vAlign w:val="bottom"/>
          </w:tcPr>
          <w:p>
            <w:pPr>
              <w:pStyle w:val="TableContents"/>
              <w:spacing w:before="0" w:after="283"/>
              <w:jc w:val="left"/>
              <w:rPr/>
            </w:pPr>
            <w:r>
              <w:rPr/>
              <w:t> </w:t>
            </w:r>
          </w:p>
        </w:tc>
        <w:tc>
          <w:tcPr>
            <w:tcW w:w="1110"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89" w:type="dxa"/>
            <w:tcBorders/>
            <w:shd w:fill="CCEEFF" w:val="clear"/>
            <w:tcMar>
              <w:bottom w:w="0" w:type="dxa"/>
            </w:tcMar>
            <w:vAlign w:val="bottom"/>
          </w:tcPr>
          <w:p>
            <w:pPr>
              <w:pStyle w:val="TableContents"/>
              <w:spacing w:before="0" w:after="283"/>
              <w:jc w:val="left"/>
              <w:rPr/>
            </w:pPr>
            <w:r>
              <w:rPr/>
              <w:t> </w:t>
            </w:r>
          </w:p>
        </w:tc>
        <w:tc>
          <w:tcPr>
            <w:tcW w:w="181" w:type="dxa"/>
            <w:tcBorders/>
            <w:shd w:fill="CCEEFF" w:val="clear"/>
            <w:tcMar>
              <w:bottom w:w="0" w:type="dxa"/>
            </w:tcMar>
            <w:vAlign w:val="bottom"/>
          </w:tcPr>
          <w:p>
            <w:pPr>
              <w:pStyle w:val="TableContents"/>
              <w:spacing w:before="0" w:after="283"/>
              <w:jc w:val="left"/>
              <w:rPr/>
            </w:pPr>
            <w:r>
              <w:rPr/>
              <w:t> </w:t>
            </w:r>
          </w:p>
        </w:tc>
        <w:tc>
          <w:tcPr>
            <w:tcW w:w="1007"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117" w:type="dxa"/>
            <w:tcBorders/>
            <w:shd w:fill="CCEEFF" w:val="clear"/>
            <w:tcMar>
              <w:bottom w:w="0" w:type="dxa"/>
            </w:tcMar>
            <w:vAlign w:val="bottom"/>
          </w:tcPr>
          <w:p>
            <w:pPr>
              <w:pStyle w:val="TableContents"/>
              <w:spacing w:before="0" w:after="283"/>
              <w:jc w:val="left"/>
              <w:rPr/>
            </w:pPr>
            <w:r>
              <w:rPr/>
              <w:t> </w:t>
            </w:r>
          </w:p>
        </w:tc>
      </w:tr>
      <w:tr>
        <w:trPr/>
        <w:tc>
          <w:tcPr>
            <w:tcW w:w="1398" w:type="dxa"/>
            <w:tcBorders>
              <w:bottom w:val="single" w:sz="2" w:space="0" w:color="000000"/>
            </w:tcBorders>
            <w:shd w:fill="FFFFFF" w:val="clear"/>
            <w:vAlign w:val="bottom"/>
          </w:tcPr>
          <w:p>
            <w:pPr>
              <w:pStyle w:val="TableContents"/>
              <w:spacing w:lineRule="auto" w:line="300" w:before="0" w:after="0"/>
              <w:ind w:left="360" w:right="0" w:hanging="180"/>
              <w:jc w:val="left"/>
              <w:rPr>
                <w:rFonts w:ascii="Times New Roman" w:hAnsi="Times New Roman"/>
                <w:sz w:val="20"/>
              </w:rPr>
            </w:pPr>
            <w:r>
              <w:rPr>
                <w:rFonts w:ascii="Times New Roman" w:hAnsi="Times New Roman"/>
                <w:sz w:val="20"/>
              </w:rPr>
              <w:t>Cumulative foreign exchange rate adjustment</w:t>
            </w:r>
          </w:p>
        </w:tc>
        <w:tc>
          <w:tcPr>
            <w:tcW w:w="70" w:type="dxa"/>
            <w:tcBorders>
              <w:bottom w:val="single" w:sz="4" w:space="0" w:color="FFFFFF"/>
            </w:tcBorders>
            <w:shd w:fill="FFFFFF" w:val="clear"/>
            <w:vAlign w:val="center"/>
          </w:tcPr>
          <w:p>
            <w:pPr>
              <w:pStyle w:val="TableContents"/>
              <w:spacing w:before="0" w:after="283"/>
              <w:rPr/>
            </w:pPr>
            <w:r>
              <w:rPr/>
              <w:t> </w:t>
            </w:r>
          </w:p>
        </w:tc>
        <w:tc>
          <w:tcPr>
            <w:tcW w:w="70" w:type="dxa"/>
            <w:tcBorders>
              <w:bottom w:val="single" w:sz="2" w:space="0" w:color="000000"/>
            </w:tcBorders>
            <w:shd w:fill="FFFFFF" w:val="clear"/>
            <w:vAlign w:val="bottom"/>
          </w:tcPr>
          <w:p>
            <w:pPr>
              <w:pStyle w:val="TableContents"/>
              <w:spacing w:before="0" w:after="283"/>
              <w:jc w:val="left"/>
              <w:rPr/>
            </w:pPr>
            <w:r>
              <w:rPr/>
              <w:t> </w:t>
            </w:r>
          </w:p>
        </w:tc>
        <w:tc>
          <w:tcPr>
            <w:tcW w:w="625"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89" w:type="dxa"/>
            <w:tcBorders>
              <w:bottom w:val="single" w:sz="4" w:space="0" w:color="FFFFFF"/>
            </w:tcBorders>
            <w:shd w:fill="FFFFFF" w:val="clear"/>
            <w:vAlign w:val="bottom"/>
          </w:tcPr>
          <w:p>
            <w:pPr>
              <w:pStyle w:val="TableContents"/>
              <w:spacing w:before="0" w:after="283"/>
              <w:jc w:val="left"/>
              <w:rPr/>
            </w:pPr>
            <w:r>
              <w:rPr/>
              <w:t> </w:t>
            </w:r>
          </w:p>
        </w:tc>
        <w:tc>
          <w:tcPr>
            <w:tcW w:w="144" w:type="dxa"/>
            <w:tcBorders>
              <w:bottom w:val="single" w:sz="2" w:space="0" w:color="000000"/>
            </w:tcBorders>
            <w:shd w:fill="FFFFFF" w:val="clear"/>
            <w:vAlign w:val="bottom"/>
          </w:tcPr>
          <w:p>
            <w:pPr>
              <w:pStyle w:val="TableContents"/>
              <w:spacing w:before="0" w:after="283"/>
              <w:jc w:val="left"/>
              <w:rPr/>
            </w:pPr>
            <w:r>
              <w:rPr/>
              <w:t> </w:t>
            </w:r>
          </w:p>
        </w:tc>
        <w:tc>
          <w:tcPr>
            <w:tcW w:w="423"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70" w:type="dxa"/>
            <w:tcBorders>
              <w:bottom w:val="single" w:sz="4" w:space="0" w:color="FFFFFF"/>
            </w:tcBorders>
            <w:shd w:fill="FFFFFF" w:val="clear"/>
            <w:vAlign w:val="bottom"/>
          </w:tcPr>
          <w:p>
            <w:pPr>
              <w:pStyle w:val="TableContents"/>
              <w:spacing w:before="0" w:after="283"/>
              <w:jc w:val="left"/>
              <w:rPr/>
            </w:pPr>
            <w:r>
              <w:rPr/>
              <w:t> </w:t>
            </w:r>
          </w:p>
        </w:tc>
        <w:tc>
          <w:tcPr>
            <w:tcW w:w="74" w:type="dxa"/>
            <w:tcBorders>
              <w:bottom w:val="single" w:sz="2" w:space="0" w:color="000000"/>
            </w:tcBorders>
            <w:shd w:fill="FFFFFF" w:val="clear"/>
            <w:vAlign w:val="bottom"/>
          </w:tcPr>
          <w:p>
            <w:pPr>
              <w:pStyle w:val="TableContents"/>
              <w:spacing w:before="0" w:after="283"/>
              <w:jc w:val="left"/>
              <w:rPr/>
            </w:pPr>
            <w:r>
              <w:rPr/>
              <w:t> </w:t>
            </w:r>
          </w:p>
        </w:tc>
        <w:tc>
          <w:tcPr>
            <w:tcW w:w="565"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89" w:type="dxa"/>
            <w:tcBorders>
              <w:bottom w:val="single" w:sz="4" w:space="0" w:color="FFFFFF"/>
            </w:tcBorders>
            <w:shd w:fill="FFFFFF" w:val="clear"/>
            <w:vAlign w:val="bottom"/>
          </w:tcPr>
          <w:p>
            <w:pPr>
              <w:pStyle w:val="TableContents"/>
              <w:spacing w:before="0" w:after="283"/>
              <w:jc w:val="left"/>
              <w:rPr/>
            </w:pPr>
            <w:r>
              <w:rPr/>
              <w:t> </w:t>
            </w:r>
          </w:p>
        </w:tc>
        <w:tc>
          <w:tcPr>
            <w:tcW w:w="184" w:type="dxa"/>
            <w:tcBorders>
              <w:bottom w:val="single" w:sz="2" w:space="0" w:color="000000"/>
            </w:tcBorders>
            <w:shd w:fill="FFFFFF" w:val="clear"/>
            <w:vAlign w:val="bottom"/>
          </w:tcPr>
          <w:p>
            <w:pPr>
              <w:pStyle w:val="TableContents"/>
              <w:spacing w:before="0" w:after="283"/>
              <w:jc w:val="left"/>
              <w:rPr/>
            </w:pPr>
            <w:r>
              <w:rPr/>
              <w:t> </w:t>
            </w:r>
          </w:p>
        </w:tc>
        <w:tc>
          <w:tcPr>
            <w:tcW w:w="383"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89" w:type="dxa"/>
            <w:tcBorders>
              <w:bottom w:val="single" w:sz="4" w:space="0" w:color="FFFFFF"/>
            </w:tcBorders>
            <w:shd w:fill="FFFFFF" w:val="clear"/>
            <w:vAlign w:val="bottom"/>
          </w:tcPr>
          <w:p>
            <w:pPr>
              <w:pStyle w:val="TableContents"/>
              <w:spacing w:before="0" w:after="283"/>
              <w:jc w:val="left"/>
              <w:rPr/>
            </w:pPr>
            <w:r>
              <w:rPr/>
              <w:t> </w:t>
            </w:r>
          </w:p>
        </w:tc>
        <w:tc>
          <w:tcPr>
            <w:tcW w:w="145" w:type="dxa"/>
            <w:tcBorders>
              <w:bottom w:val="single" w:sz="2" w:space="0" w:color="000000"/>
            </w:tcBorders>
            <w:shd w:fill="FFFFFF" w:val="clear"/>
            <w:vAlign w:val="bottom"/>
          </w:tcPr>
          <w:p>
            <w:pPr>
              <w:pStyle w:val="TableContents"/>
              <w:spacing w:before="0" w:after="283"/>
              <w:jc w:val="left"/>
              <w:rPr/>
            </w:pPr>
            <w:r>
              <w:rPr/>
              <w:t> </w:t>
            </w:r>
          </w:p>
        </w:tc>
        <w:tc>
          <w:tcPr>
            <w:tcW w:w="804"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70" w:type="dxa"/>
            <w:tcBorders>
              <w:bottom w:val="single" w:sz="4" w:space="0" w:color="FFFFFF"/>
            </w:tcBorders>
            <w:shd w:fill="FFFFFF" w:val="clear"/>
            <w:vAlign w:val="bottom"/>
          </w:tcPr>
          <w:p>
            <w:pPr>
              <w:pStyle w:val="TableContents"/>
              <w:spacing w:before="0" w:after="283"/>
              <w:jc w:val="left"/>
              <w:rPr/>
            </w:pPr>
            <w:r>
              <w:rPr/>
              <w:t> </w:t>
            </w:r>
          </w:p>
        </w:tc>
        <w:tc>
          <w:tcPr>
            <w:tcW w:w="157" w:type="dxa"/>
            <w:tcBorders>
              <w:bottom w:val="single" w:sz="2" w:space="0" w:color="000000"/>
            </w:tcBorders>
            <w:shd w:fill="FFFFFF" w:val="clear"/>
            <w:vAlign w:val="bottom"/>
          </w:tcPr>
          <w:p>
            <w:pPr>
              <w:pStyle w:val="TableContents"/>
              <w:spacing w:before="0" w:after="283"/>
              <w:jc w:val="left"/>
              <w:rPr/>
            </w:pPr>
            <w:r>
              <w:rPr/>
              <w:t> </w:t>
            </w:r>
          </w:p>
        </w:tc>
        <w:tc>
          <w:tcPr>
            <w:tcW w:w="693"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2582" w:name="TAB11119"/>
            <w:bookmarkEnd w:id="2582"/>
            <w:r>
              <w:rPr>
                <w:rFonts w:ascii="Times New Roman" w:hAnsi="Times New Roman"/>
                <w:sz w:val="20"/>
              </w:rPr>
              <w:t>--</w:t>
            </w:r>
          </w:p>
        </w:tc>
        <w:tc>
          <w:tcPr>
            <w:tcW w:w="89" w:type="dxa"/>
            <w:tcBorders>
              <w:bottom w:val="single" w:sz="4" w:space="0" w:color="FFFFFF"/>
            </w:tcBorders>
            <w:shd w:fill="FFFFFF" w:val="clear"/>
            <w:vAlign w:val="bottom"/>
          </w:tcPr>
          <w:p>
            <w:pPr>
              <w:pStyle w:val="TableContents"/>
              <w:spacing w:before="0" w:after="283"/>
              <w:jc w:val="left"/>
              <w:rPr/>
            </w:pPr>
            <w:r>
              <w:rPr/>
              <w:t> </w:t>
            </w:r>
          </w:p>
        </w:tc>
        <w:tc>
          <w:tcPr>
            <w:tcW w:w="185" w:type="dxa"/>
            <w:tcBorders>
              <w:bottom w:val="single" w:sz="2" w:space="0" w:color="000000"/>
            </w:tcBorders>
            <w:shd w:fill="FFFFFF" w:val="clear"/>
            <w:vAlign w:val="bottom"/>
          </w:tcPr>
          <w:p>
            <w:pPr>
              <w:pStyle w:val="TableContents"/>
              <w:spacing w:before="0" w:after="283"/>
              <w:jc w:val="left"/>
              <w:rPr/>
            </w:pPr>
            <w:r>
              <w:rPr/>
              <w:t> </w:t>
            </w:r>
          </w:p>
        </w:tc>
        <w:tc>
          <w:tcPr>
            <w:tcW w:w="962"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89" w:type="dxa"/>
            <w:tcBorders>
              <w:bottom w:val="single" w:sz="4" w:space="0" w:color="FFFFFF"/>
            </w:tcBorders>
            <w:shd w:fill="FFFFFF" w:val="clear"/>
            <w:vAlign w:val="bottom"/>
          </w:tcPr>
          <w:p>
            <w:pPr>
              <w:pStyle w:val="TableContents"/>
              <w:spacing w:before="0" w:after="283"/>
              <w:jc w:val="left"/>
              <w:rPr/>
            </w:pPr>
            <w:r>
              <w:rPr/>
              <w:t> </w:t>
            </w:r>
          </w:p>
        </w:tc>
        <w:tc>
          <w:tcPr>
            <w:tcW w:w="234" w:type="dxa"/>
            <w:tcBorders>
              <w:bottom w:val="single" w:sz="2" w:space="0" w:color="000000"/>
            </w:tcBorders>
            <w:shd w:fill="FFFFFF" w:val="clear"/>
            <w:vAlign w:val="bottom"/>
          </w:tcPr>
          <w:p>
            <w:pPr>
              <w:pStyle w:val="TableContents"/>
              <w:spacing w:before="0" w:after="283"/>
              <w:jc w:val="left"/>
              <w:rPr/>
            </w:pPr>
            <w:r>
              <w:rPr/>
              <w:t> </w:t>
            </w:r>
          </w:p>
        </w:tc>
        <w:tc>
          <w:tcPr>
            <w:tcW w:w="1110"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1,190</w:t>
            </w:r>
          </w:p>
        </w:tc>
        <w:tc>
          <w:tcPr>
            <w:tcW w:w="89" w:type="dxa"/>
            <w:tcBorders>
              <w:bottom w:val="single" w:sz="4" w:space="0" w:color="FFFFFF"/>
            </w:tcBorders>
            <w:shd w:fill="FFFFFF" w:val="clear"/>
            <w:vAlign w:val="bottom"/>
          </w:tcPr>
          <w:p>
            <w:pPr>
              <w:pStyle w:val="TableContents"/>
              <w:spacing w:before="0" w:after="283"/>
              <w:jc w:val="left"/>
              <w:rPr/>
            </w:pPr>
            <w:r>
              <w:rPr/>
              <w:t> </w:t>
            </w:r>
          </w:p>
        </w:tc>
        <w:tc>
          <w:tcPr>
            <w:tcW w:w="181" w:type="dxa"/>
            <w:tcBorders>
              <w:bottom w:val="single" w:sz="2" w:space="0" w:color="000000"/>
            </w:tcBorders>
            <w:shd w:fill="FFFFFF" w:val="clear"/>
            <w:vAlign w:val="bottom"/>
          </w:tcPr>
          <w:p>
            <w:pPr>
              <w:pStyle w:val="TableContents"/>
              <w:spacing w:before="0" w:after="283"/>
              <w:jc w:val="left"/>
              <w:rPr/>
            </w:pPr>
            <w:r>
              <w:rPr/>
              <w:t> </w:t>
            </w:r>
          </w:p>
        </w:tc>
        <w:tc>
          <w:tcPr>
            <w:tcW w:w="1007"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1,190</w:t>
            </w:r>
          </w:p>
        </w:tc>
        <w:tc>
          <w:tcPr>
            <w:tcW w:w="117" w:type="dxa"/>
            <w:tcBorders>
              <w:bottom w:val="single" w:sz="4" w:space="0" w:color="FFFFFF"/>
            </w:tcBorders>
            <w:shd w:fill="FFFFFF" w:val="clear"/>
            <w:vAlign w:val="bottom"/>
          </w:tcPr>
          <w:p>
            <w:pPr>
              <w:pStyle w:val="TableContents"/>
              <w:spacing w:before="0" w:after="283"/>
              <w:jc w:val="left"/>
              <w:rPr/>
            </w:pPr>
            <w:r>
              <w:rPr/>
              <w:t> </w:t>
            </w:r>
          </w:p>
        </w:tc>
      </w:tr>
      <w:tr>
        <w:trPr/>
        <w:tc>
          <w:tcPr>
            <w:tcW w:w="1398" w:type="dxa"/>
            <w:tcBorders>
              <w:bottom w:val="single" w:sz="2" w:space="0" w:color="000000"/>
            </w:tcBorders>
            <w:shd w:fill="CCEEFF" w:val="clear"/>
            <w:vAlign w:val="bottom"/>
          </w:tcPr>
          <w:p>
            <w:pPr>
              <w:pStyle w:val="TableContents"/>
              <w:spacing w:lineRule="auto" w:line="300" w:before="0" w:after="0"/>
              <w:ind w:left="180" w:right="0" w:hanging="180"/>
              <w:jc w:val="left"/>
              <w:rPr>
                <w:rFonts w:ascii="Times New Roman" w:hAnsi="Times New Roman"/>
                <w:sz w:val="20"/>
              </w:rPr>
            </w:pPr>
            <w:r>
              <w:rPr>
                <w:rFonts w:ascii="Times New Roman" w:hAnsi="Times New Roman"/>
                <w:sz w:val="20"/>
              </w:rPr>
              <w:t>Total comprehensive income</w:t>
            </w:r>
          </w:p>
        </w:tc>
        <w:tc>
          <w:tcPr>
            <w:tcW w:w="70" w:type="dxa"/>
            <w:tcBorders>
              <w:bottom w:val="single" w:sz="2" w:space="0" w:color="CCEEFF"/>
            </w:tcBorders>
            <w:shd w:fill="CCEEFF" w:val="clear"/>
            <w:vAlign w:val="center"/>
          </w:tcPr>
          <w:p>
            <w:pPr>
              <w:pStyle w:val="TableContents"/>
              <w:spacing w:before="0" w:after="283"/>
              <w:rPr/>
            </w:pPr>
            <w:r>
              <w:rPr/>
              <w:t> </w:t>
            </w:r>
          </w:p>
        </w:tc>
        <w:tc>
          <w:tcPr>
            <w:tcW w:w="70" w:type="dxa"/>
            <w:tcBorders>
              <w:bottom w:val="single" w:sz="2" w:space="0" w:color="000000"/>
            </w:tcBorders>
            <w:shd w:fill="CCEEFF" w:val="clear"/>
            <w:vAlign w:val="bottom"/>
          </w:tcPr>
          <w:p>
            <w:pPr>
              <w:pStyle w:val="TableContents"/>
              <w:spacing w:before="0" w:after="283"/>
              <w:jc w:val="left"/>
              <w:rPr/>
            </w:pPr>
            <w:r>
              <w:rPr/>
              <w:t> </w:t>
            </w:r>
          </w:p>
        </w:tc>
        <w:tc>
          <w:tcPr>
            <w:tcW w:w="625"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89" w:type="dxa"/>
            <w:tcBorders>
              <w:bottom w:val="single" w:sz="2" w:space="0" w:color="CCEEFF"/>
            </w:tcBorders>
            <w:shd w:fill="CCEEFF" w:val="clear"/>
            <w:vAlign w:val="bottom"/>
          </w:tcPr>
          <w:p>
            <w:pPr>
              <w:pStyle w:val="TableContents"/>
              <w:spacing w:before="0" w:after="283"/>
              <w:jc w:val="left"/>
              <w:rPr/>
            </w:pPr>
            <w:r>
              <w:rPr/>
              <w:t> </w:t>
            </w:r>
          </w:p>
        </w:tc>
        <w:tc>
          <w:tcPr>
            <w:tcW w:w="144" w:type="dxa"/>
            <w:tcBorders>
              <w:bottom w:val="single" w:sz="2" w:space="0" w:color="000000"/>
            </w:tcBorders>
            <w:shd w:fill="CCEEFF" w:val="clear"/>
            <w:vAlign w:val="bottom"/>
          </w:tcPr>
          <w:p>
            <w:pPr>
              <w:pStyle w:val="TableContents"/>
              <w:spacing w:before="0" w:after="283"/>
              <w:jc w:val="left"/>
              <w:rPr/>
            </w:pPr>
            <w:r>
              <w:rPr/>
              <w:t> </w:t>
            </w:r>
          </w:p>
        </w:tc>
        <w:tc>
          <w:tcPr>
            <w:tcW w:w="423"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70" w:type="dxa"/>
            <w:tcBorders>
              <w:bottom w:val="single" w:sz="2" w:space="0" w:color="CCEEFF"/>
            </w:tcBorders>
            <w:shd w:fill="CCEEFF" w:val="clear"/>
            <w:vAlign w:val="bottom"/>
          </w:tcPr>
          <w:p>
            <w:pPr>
              <w:pStyle w:val="TableContents"/>
              <w:spacing w:before="0" w:after="283"/>
              <w:jc w:val="left"/>
              <w:rPr/>
            </w:pPr>
            <w:r>
              <w:rPr/>
              <w:t> </w:t>
            </w:r>
          </w:p>
        </w:tc>
        <w:tc>
          <w:tcPr>
            <w:tcW w:w="74" w:type="dxa"/>
            <w:tcBorders>
              <w:bottom w:val="single" w:sz="2" w:space="0" w:color="000000"/>
            </w:tcBorders>
            <w:shd w:fill="CCEEFF" w:val="clear"/>
            <w:vAlign w:val="bottom"/>
          </w:tcPr>
          <w:p>
            <w:pPr>
              <w:pStyle w:val="TableContents"/>
              <w:spacing w:before="0" w:after="283"/>
              <w:jc w:val="left"/>
              <w:rPr/>
            </w:pPr>
            <w:r>
              <w:rPr/>
              <w:t> </w:t>
            </w:r>
          </w:p>
        </w:tc>
        <w:tc>
          <w:tcPr>
            <w:tcW w:w="565"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89" w:type="dxa"/>
            <w:tcBorders>
              <w:bottom w:val="single" w:sz="2" w:space="0" w:color="CCEEFF"/>
            </w:tcBorders>
            <w:shd w:fill="CCEEFF" w:val="clear"/>
            <w:vAlign w:val="bottom"/>
          </w:tcPr>
          <w:p>
            <w:pPr>
              <w:pStyle w:val="TableContents"/>
              <w:spacing w:before="0" w:after="283"/>
              <w:jc w:val="left"/>
              <w:rPr/>
            </w:pPr>
            <w:r>
              <w:rPr/>
              <w:t> </w:t>
            </w:r>
          </w:p>
        </w:tc>
        <w:tc>
          <w:tcPr>
            <w:tcW w:w="184" w:type="dxa"/>
            <w:tcBorders>
              <w:bottom w:val="single" w:sz="2" w:space="0" w:color="000000"/>
            </w:tcBorders>
            <w:shd w:fill="CCEEFF" w:val="clear"/>
            <w:vAlign w:val="bottom"/>
          </w:tcPr>
          <w:p>
            <w:pPr>
              <w:pStyle w:val="TableContents"/>
              <w:spacing w:before="0" w:after="283"/>
              <w:jc w:val="left"/>
              <w:rPr/>
            </w:pPr>
            <w:r>
              <w:rPr/>
              <w:t> </w:t>
            </w:r>
          </w:p>
        </w:tc>
        <w:tc>
          <w:tcPr>
            <w:tcW w:w="383"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89" w:type="dxa"/>
            <w:tcBorders>
              <w:bottom w:val="single" w:sz="2" w:space="0" w:color="CCEEFF"/>
            </w:tcBorders>
            <w:shd w:fill="CCEEFF" w:val="clear"/>
            <w:vAlign w:val="bottom"/>
          </w:tcPr>
          <w:p>
            <w:pPr>
              <w:pStyle w:val="TableContents"/>
              <w:spacing w:before="0" w:after="283"/>
              <w:jc w:val="left"/>
              <w:rPr/>
            </w:pPr>
            <w:r>
              <w:rPr/>
              <w:t> </w:t>
            </w:r>
          </w:p>
        </w:tc>
        <w:tc>
          <w:tcPr>
            <w:tcW w:w="145" w:type="dxa"/>
            <w:tcBorders>
              <w:bottom w:val="single" w:sz="2" w:space="0" w:color="000000"/>
            </w:tcBorders>
            <w:shd w:fill="CCEEFF" w:val="clear"/>
            <w:vAlign w:val="bottom"/>
          </w:tcPr>
          <w:p>
            <w:pPr>
              <w:pStyle w:val="TableContents"/>
              <w:spacing w:before="0" w:after="283"/>
              <w:jc w:val="left"/>
              <w:rPr/>
            </w:pPr>
            <w:r>
              <w:rPr/>
              <w:t> </w:t>
            </w:r>
          </w:p>
        </w:tc>
        <w:tc>
          <w:tcPr>
            <w:tcW w:w="804"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70" w:type="dxa"/>
            <w:tcBorders>
              <w:bottom w:val="single" w:sz="2" w:space="0" w:color="CCEEFF"/>
            </w:tcBorders>
            <w:shd w:fill="CCEEFF" w:val="clear"/>
            <w:vAlign w:val="bottom"/>
          </w:tcPr>
          <w:p>
            <w:pPr>
              <w:pStyle w:val="TableContents"/>
              <w:spacing w:before="0" w:after="283"/>
              <w:jc w:val="left"/>
              <w:rPr/>
            </w:pPr>
            <w:r>
              <w:rPr/>
              <w:t> </w:t>
            </w:r>
          </w:p>
        </w:tc>
        <w:tc>
          <w:tcPr>
            <w:tcW w:w="157" w:type="dxa"/>
            <w:tcBorders>
              <w:bottom w:val="single" w:sz="2" w:space="0" w:color="000000"/>
            </w:tcBorders>
            <w:shd w:fill="CCEEFF" w:val="clear"/>
            <w:vAlign w:val="bottom"/>
          </w:tcPr>
          <w:p>
            <w:pPr>
              <w:pStyle w:val="TableContents"/>
              <w:spacing w:before="0" w:after="283"/>
              <w:jc w:val="left"/>
              <w:rPr/>
            </w:pPr>
            <w:r>
              <w:rPr/>
              <w:t> </w:t>
            </w:r>
          </w:p>
        </w:tc>
        <w:tc>
          <w:tcPr>
            <w:tcW w:w="693"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2583" w:name="TAB11120"/>
            <w:bookmarkEnd w:id="2583"/>
            <w:r>
              <w:rPr>
                <w:rFonts w:ascii="Times New Roman" w:hAnsi="Times New Roman"/>
                <w:sz w:val="20"/>
              </w:rPr>
              <w:t>--</w:t>
            </w:r>
          </w:p>
        </w:tc>
        <w:tc>
          <w:tcPr>
            <w:tcW w:w="89" w:type="dxa"/>
            <w:tcBorders>
              <w:bottom w:val="single" w:sz="2" w:space="0" w:color="CCEEFF"/>
            </w:tcBorders>
            <w:shd w:fill="CCEEFF" w:val="clear"/>
            <w:vAlign w:val="bottom"/>
          </w:tcPr>
          <w:p>
            <w:pPr>
              <w:pStyle w:val="TableContents"/>
              <w:spacing w:before="0" w:after="283"/>
              <w:jc w:val="left"/>
              <w:rPr/>
            </w:pPr>
            <w:r>
              <w:rPr/>
              <w:t> </w:t>
            </w:r>
          </w:p>
        </w:tc>
        <w:tc>
          <w:tcPr>
            <w:tcW w:w="185" w:type="dxa"/>
            <w:tcBorders>
              <w:bottom w:val="single" w:sz="2" w:space="0" w:color="000000"/>
            </w:tcBorders>
            <w:shd w:fill="CCEEFF" w:val="clear"/>
            <w:vAlign w:val="bottom"/>
          </w:tcPr>
          <w:p>
            <w:pPr>
              <w:pStyle w:val="TableContents"/>
              <w:spacing w:before="0" w:after="283"/>
              <w:jc w:val="left"/>
              <w:rPr/>
            </w:pPr>
            <w:r>
              <w:rPr/>
              <w:t> </w:t>
            </w:r>
          </w:p>
        </w:tc>
        <w:tc>
          <w:tcPr>
            <w:tcW w:w="962"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89" w:type="dxa"/>
            <w:tcBorders>
              <w:bottom w:val="single" w:sz="2" w:space="0" w:color="CCEEFF"/>
            </w:tcBorders>
            <w:shd w:fill="CCEEFF" w:val="clear"/>
            <w:vAlign w:val="bottom"/>
          </w:tcPr>
          <w:p>
            <w:pPr>
              <w:pStyle w:val="TableContents"/>
              <w:spacing w:before="0" w:after="283"/>
              <w:jc w:val="left"/>
              <w:rPr/>
            </w:pPr>
            <w:r>
              <w:rPr/>
              <w:t> </w:t>
            </w:r>
          </w:p>
        </w:tc>
        <w:tc>
          <w:tcPr>
            <w:tcW w:w="234" w:type="dxa"/>
            <w:tcBorders>
              <w:bottom w:val="single" w:sz="2" w:space="0" w:color="000000"/>
            </w:tcBorders>
            <w:shd w:fill="CCEEFF" w:val="clear"/>
            <w:vAlign w:val="bottom"/>
          </w:tcPr>
          <w:p>
            <w:pPr>
              <w:pStyle w:val="TableContents"/>
              <w:spacing w:before="0" w:after="283"/>
              <w:jc w:val="left"/>
              <w:rPr/>
            </w:pPr>
            <w:r>
              <w:rPr/>
              <w:t> </w:t>
            </w:r>
          </w:p>
        </w:tc>
        <w:tc>
          <w:tcPr>
            <w:tcW w:w="1110"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89" w:type="dxa"/>
            <w:tcBorders>
              <w:bottom w:val="single" w:sz="2" w:space="0" w:color="CCEEFF"/>
            </w:tcBorders>
            <w:shd w:fill="CCEEFF" w:val="clear"/>
            <w:vAlign w:val="bottom"/>
          </w:tcPr>
          <w:p>
            <w:pPr>
              <w:pStyle w:val="TableContents"/>
              <w:spacing w:before="0" w:after="283"/>
              <w:jc w:val="left"/>
              <w:rPr/>
            </w:pPr>
            <w:r>
              <w:rPr/>
              <w:t> </w:t>
            </w:r>
          </w:p>
        </w:tc>
        <w:tc>
          <w:tcPr>
            <w:tcW w:w="181" w:type="dxa"/>
            <w:tcBorders>
              <w:bottom w:val="single" w:sz="2" w:space="0" w:color="000000"/>
            </w:tcBorders>
            <w:shd w:fill="CCEEFF" w:val="clear"/>
            <w:vAlign w:val="bottom"/>
          </w:tcPr>
          <w:p>
            <w:pPr>
              <w:pStyle w:val="TableContents"/>
              <w:spacing w:before="0" w:after="283"/>
              <w:jc w:val="left"/>
              <w:rPr/>
            </w:pPr>
            <w:r>
              <w:rPr/>
              <w:t> </w:t>
            </w:r>
          </w:p>
        </w:tc>
        <w:tc>
          <w:tcPr>
            <w:tcW w:w="1007"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(7,273</w:t>
            </w:r>
          </w:p>
        </w:tc>
        <w:tc>
          <w:tcPr>
            <w:tcW w:w="117" w:type="dxa"/>
            <w:tcBorders>
              <w:bottom w:val="single" w:sz="2" w:space="0" w:color="CCEEFF"/>
            </w:tcBorders>
            <w:shd w:fill="CCEE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r>
      <w:tr>
        <w:trPr/>
        <w:tc>
          <w:tcPr>
            <w:tcW w:w="1398" w:type="dxa"/>
            <w:tcBorders/>
            <w:shd w:fill="FFFFFF" w:val="clear"/>
            <w:tcMar>
              <w:bottom w:w="0" w:type="dxa"/>
            </w:tcMar>
            <w:vAlign w:val="bottom"/>
          </w:tcPr>
          <w:p>
            <w:pPr>
              <w:pStyle w:val="TableContents"/>
              <w:spacing w:lineRule="auto" w:line="300" w:before="0" w:after="0"/>
              <w:ind w:left="180" w:right="0" w:hanging="180"/>
              <w:jc w:val="left"/>
              <w:rPr>
                <w:rFonts w:ascii="Times New Roman" w:hAnsi="Times New Roman"/>
                <w:sz w:val="20"/>
              </w:rPr>
            </w:pPr>
            <w:r>
              <w:rPr>
                <w:rFonts w:ascii="Times New Roman" w:hAnsi="Times New Roman"/>
                <w:sz w:val="20"/>
              </w:rPr>
              <w:t>Class B common stock received from stockholder in exchange for Class A common stock</w:t>
            </w:r>
          </w:p>
        </w:tc>
        <w:tc>
          <w:tcPr>
            <w:tcW w:w="70" w:type="dxa"/>
            <w:tcBorders/>
            <w:shd w:fill="FFFFFF" w:val="clear"/>
            <w:tcMar>
              <w:bottom w:w="0" w:type="dxa"/>
            </w:tcMar>
            <w:vAlign w:val="center"/>
          </w:tcPr>
          <w:p>
            <w:pPr>
              <w:pStyle w:val="TableContents"/>
              <w:spacing w:before="0" w:after="283"/>
              <w:rPr/>
            </w:pPr>
            <w:r>
              <w:rPr/>
              <w:t> </w:t>
            </w:r>
          </w:p>
        </w:tc>
        <w:tc>
          <w:tcPr>
            <w:tcW w:w="70" w:type="dxa"/>
            <w:tcBorders/>
            <w:shd w:fill="FFFFFF" w:val="clear"/>
            <w:tcMar>
              <w:bottom w:w="0" w:type="dxa"/>
            </w:tcMar>
            <w:vAlign w:val="bottom"/>
          </w:tcPr>
          <w:p>
            <w:pPr>
              <w:pStyle w:val="TableContents"/>
              <w:spacing w:before="0" w:after="283"/>
              <w:jc w:val="left"/>
              <w:rPr/>
            </w:pPr>
            <w:r>
              <w:rPr/>
              <w:t> </w:t>
            </w:r>
          </w:p>
        </w:tc>
        <w:tc>
          <w:tcPr>
            <w:tcW w:w="625"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487</w:t>
            </w:r>
          </w:p>
        </w:tc>
        <w:tc>
          <w:tcPr>
            <w:tcW w:w="89" w:type="dxa"/>
            <w:tcBorders/>
            <w:shd w:fill="FFFFFF" w:val="clear"/>
            <w:tcMar>
              <w:bottom w:w="0" w:type="dxa"/>
            </w:tcMar>
            <w:vAlign w:val="bottom"/>
          </w:tcPr>
          <w:p>
            <w:pPr>
              <w:pStyle w:val="TableContents"/>
              <w:spacing w:before="0" w:after="283"/>
              <w:jc w:val="left"/>
              <w:rPr/>
            </w:pPr>
            <w:r>
              <w:rPr/>
              <w:t> </w:t>
            </w:r>
          </w:p>
        </w:tc>
        <w:tc>
          <w:tcPr>
            <w:tcW w:w="144" w:type="dxa"/>
            <w:tcBorders/>
            <w:shd w:fill="FFFFFF" w:val="clear"/>
            <w:tcMar>
              <w:bottom w:w="0" w:type="dxa"/>
            </w:tcMar>
            <w:vAlign w:val="bottom"/>
          </w:tcPr>
          <w:p>
            <w:pPr>
              <w:pStyle w:val="TableContents"/>
              <w:spacing w:before="0" w:after="283"/>
              <w:jc w:val="left"/>
              <w:rPr/>
            </w:pPr>
            <w:r>
              <w:rPr/>
              <w:t> </w:t>
            </w:r>
          </w:p>
        </w:tc>
        <w:tc>
          <w:tcPr>
            <w:tcW w:w="423"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5</w:t>
            </w:r>
          </w:p>
        </w:tc>
        <w:tc>
          <w:tcPr>
            <w:tcW w:w="70" w:type="dxa"/>
            <w:tcBorders/>
            <w:shd w:fill="FFFFFF" w:val="clear"/>
            <w:tcMar>
              <w:bottom w:w="0" w:type="dxa"/>
            </w:tcMar>
            <w:vAlign w:val="bottom"/>
          </w:tcPr>
          <w:p>
            <w:pPr>
              <w:pStyle w:val="TableContents"/>
              <w:spacing w:before="0" w:after="283"/>
              <w:jc w:val="left"/>
              <w:rPr/>
            </w:pPr>
            <w:r>
              <w:rPr/>
              <w:t> </w:t>
            </w:r>
          </w:p>
        </w:tc>
        <w:tc>
          <w:tcPr>
            <w:tcW w:w="74" w:type="dxa"/>
            <w:tcBorders/>
            <w:shd w:fill="FFFFFF" w:val="clear"/>
            <w:tcMar>
              <w:bottom w:w="0" w:type="dxa"/>
            </w:tcMar>
            <w:vAlign w:val="bottom"/>
          </w:tcPr>
          <w:p>
            <w:pPr>
              <w:pStyle w:val="TableContents"/>
              <w:spacing w:before="0" w:after="283"/>
              <w:jc w:val="left"/>
              <w:rPr/>
            </w:pPr>
            <w:r>
              <w:rPr/>
              <w:t> </w:t>
            </w:r>
          </w:p>
        </w:tc>
        <w:tc>
          <w:tcPr>
            <w:tcW w:w="565"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(487</w:t>
            </w:r>
          </w:p>
        </w:tc>
        <w:tc>
          <w:tcPr>
            <w:tcW w:w="89"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84" w:type="dxa"/>
            <w:tcBorders/>
            <w:shd w:fill="FFFFFF" w:val="clear"/>
            <w:tcMar>
              <w:bottom w:w="0" w:type="dxa"/>
            </w:tcMar>
            <w:vAlign w:val="bottom"/>
          </w:tcPr>
          <w:p>
            <w:pPr>
              <w:pStyle w:val="TableContents"/>
              <w:spacing w:before="0" w:after="283"/>
              <w:jc w:val="left"/>
              <w:rPr/>
            </w:pPr>
            <w:r>
              <w:rPr/>
              <w:t> </w:t>
            </w:r>
          </w:p>
        </w:tc>
        <w:tc>
          <w:tcPr>
            <w:tcW w:w="383"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(5</w:t>
            </w:r>
          </w:p>
        </w:tc>
        <w:tc>
          <w:tcPr>
            <w:tcW w:w="89"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45" w:type="dxa"/>
            <w:tcBorders/>
            <w:shd w:fill="FFFFFF" w:val="clear"/>
            <w:tcMar>
              <w:bottom w:w="0" w:type="dxa"/>
            </w:tcMar>
            <w:vAlign w:val="bottom"/>
          </w:tcPr>
          <w:p>
            <w:pPr>
              <w:pStyle w:val="TableContents"/>
              <w:spacing w:before="0" w:after="283"/>
              <w:jc w:val="left"/>
              <w:rPr/>
            </w:pPr>
            <w:r>
              <w:rPr/>
              <w:t> </w:t>
            </w:r>
          </w:p>
        </w:tc>
        <w:tc>
          <w:tcPr>
            <w:tcW w:w="804"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70" w:type="dxa"/>
            <w:tcBorders/>
            <w:shd w:fill="FFFFFF" w:val="clear"/>
            <w:tcMar>
              <w:bottom w:w="0" w:type="dxa"/>
            </w:tcMar>
            <w:vAlign w:val="bottom"/>
          </w:tcPr>
          <w:p>
            <w:pPr>
              <w:pStyle w:val="TableContents"/>
              <w:spacing w:before="0" w:after="283"/>
              <w:jc w:val="left"/>
              <w:rPr/>
            </w:pPr>
            <w:r>
              <w:rPr/>
              <w:t> </w:t>
            </w:r>
          </w:p>
        </w:tc>
        <w:tc>
          <w:tcPr>
            <w:tcW w:w="157" w:type="dxa"/>
            <w:tcBorders/>
            <w:shd w:fill="FFFFFF" w:val="clear"/>
            <w:tcMar>
              <w:bottom w:w="0" w:type="dxa"/>
            </w:tcMar>
            <w:vAlign w:val="bottom"/>
          </w:tcPr>
          <w:p>
            <w:pPr>
              <w:pStyle w:val="TableContents"/>
              <w:spacing w:before="0" w:after="283"/>
              <w:jc w:val="left"/>
              <w:rPr/>
            </w:pPr>
            <w:r>
              <w:rPr/>
              <w:t> </w:t>
            </w:r>
          </w:p>
        </w:tc>
        <w:tc>
          <w:tcPr>
            <w:tcW w:w="693"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2584" w:name="TAB11121"/>
            <w:bookmarkEnd w:id="2584"/>
            <w:r>
              <w:rPr>
                <w:rFonts w:ascii="Times New Roman" w:hAnsi="Times New Roman"/>
                <w:sz w:val="20"/>
              </w:rPr>
              <w:t>--</w:t>
            </w:r>
          </w:p>
        </w:tc>
        <w:tc>
          <w:tcPr>
            <w:tcW w:w="89" w:type="dxa"/>
            <w:tcBorders/>
            <w:shd w:fill="FFFFFF" w:val="clear"/>
            <w:tcMar>
              <w:bottom w:w="0" w:type="dxa"/>
            </w:tcMar>
            <w:vAlign w:val="bottom"/>
          </w:tcPr>
          <w:p>
            <w:pPr>
              <w:pStyle w:val="TableContents"/>
              <w:spacing w:before="0" w:after="283"/>
              <w:jc w:val="left"/>
              <w:rPr/>
            </w:pPr>
            <w:r>
              <w:rPr/>
              <w:t> </w:t>
            </w:r>
          </w:p>
        </w:tc>
        <w:tc>
          <w:tcPr>
            <w:tcW w:w="185" w:type="dxa"/>
            <w:tcBorders/>
            <w:shd w:fill="FFFFFF" w:val="clear"/>
            <w:tcMar>
              <w:bottom w:w="0" w:type="dxa"/>
            </w:tcMar>
            <w:vAlign w:val="bottom"/>
          </w:tcPr>
          <w:p>
            <w:pPr>
              <w:pStyle w:val="TableContents"/>
              <w:spacing w:before="0" w:after="283"/>
              <w:jc w:val="left"/>
              <w:rPr/>
            </w:pPr>
            <w:r>
              <w:rPr/>
              <w:t> </w:t>
            </w:r>
          </w:p>
        </w:tc>
        <w:tc>
          <w:tcPr>
            <w:tcW w:w="962"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89" w:type="dxa"/>
            <w:tcBorders/>
            <w:shd w:fill="FFFFFF" w:val="clear"/>
            <w:tcMar>
              <w:bottom w:w="0" w:type="dxa"/>
            </w:tcMar>
            <w:vAlign w:val="bottom"/>
          </w:tcPr>
          <w:p>
            <w:pPr>
              <w:pStyle w:val="TableContents"/>
              <w:spacing w:before="0" w:after="283"/>
              <w:jc w:val="left"/>
              <w:rPr/>
            </w:pPr>
            <w:r>
              <w:rPr/>
              <w:t> </w:t>
            </w:r>
          </w:p>
        </w:tc>
        <w:tc>
          <w:tcPr>
            <w:tcW w:w="234" w:type="dxa"/>
            <w:tcBorders/>
            <w:shd w:fill="FFFFFF" w:val="clear"/>
            <w:tcMar>
              <w:bottom w:w="0" w:type="dxa"/>
            </w:tcMar>
            <w:vAlign w:val="bottom"/>
          </w:tcPr>
          <w:p>
            <w:pPr>
              <w:pStyle w:val="TableContents"/>
              <w:spacing w:before="0" w:after="283"/>
              <w:jc w:val="left"/>
              <w:rPr/>
            </w:pPr>
            <w:r>
              <w:rPr/>
              <w:t> </w:t>
            </w:r>
          </w:p>
        </w:tc>
        <w:tc>
          <w:tcPr>
            <w:tcW w:w="1110"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89" w:type="dxa"/>
            <w:tcBorders/>
            <w:shd w:fill="FFFFFF" w:val="clear"/>
            <w:tcMar>
              <w:bottom w:w="0" w:type="dxa"/>
            </w:tcMar>
            <w:vAlign w:val="bottom"/>
          </w:tcPr>
          <w:p>
            <w:pPr>
              <w:pStyle w:val="TableContents"/>
              <w:spacing w:before="0" w:after="283"/>
              <w:jc w:val="left"/>
              <w:rPr/>
            </w:pPr>
            <w:r>
              <w:rPr/>
              <w:t> </w:t>
            </w:r>
          </w:p>
        </w:tc>
        <w:tc>
          <w:tcPr>
            <w:tcW w:w="181" w:type="dxa"/>
            <w:tcBorders/>
            <w:shd w:fill="FFFFFF" w:val="clear"/>
            <w:tcMar>
              <w:bottom w:w="0" w:type="dxa"/>
            </w:tcMar>
            <w:vAlign w:val="bottom"/>
          </w:tcPr>
          <w:p>
            <w:pPr>
              <w:pStyle w:val="TableContents"/>
              <w:spacing w:before="0" w:after="283"/>
              <w:jc w:val="left"/>
              <w:rPr/>
            </w:pPr>
            <w:r>
              <w:rPr/>
              <w:t> </w:t>
            </w:r>
          </w:p>
        </w:tc>
        <w:tc>
          <w:tcPr>
            <w:tcW w:w="1007"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117" w:type="dxa"/>
            <w:tcBorders/>
            <w:shd w:fill="FFFFFF" w:val="clear"/>
            <w:tcMar>
              <w:bottom w:w="0" w:type="dxa"/>
            </w:tcMar>
            <w:vAlign w:val="bottom"/>
          </w:tcPr>
          <w:p>
            <w:pPr>
              <w:pStyle w:val="TableContents"/>
              <w:spacing w:before="0" w:after="283"/>
              <w:jc w:val="left"/>
              <w:rPr/>
            </w:pPr>
            <w:r>
              <w:rPr/>
              <w:t> </w:t>
            </w:r>
          </w:p>
        </w:tc>
      </w:tr>
      <w:tr>
        <w:trPr/>
        <w:tc>
          <w:tcPr>
            <w:tcW w:w="1398" w:type="dxa"/>
            <w:tcBorders>
              <w:bottom w:val="single" w:sz="2" w:space="0" w:color="000000"/>
            </w:tcBorders>
            <w:shd w:fill="CCEEFF" w:val="clear"/>
            <w:vAlign w:val="bottom"/>
          </w:tcPr>
          <w:p>
            <w:pPr>
              <w:pStyle w:val="TableContents"/>
              <w:spacing w:lineRule="auto" w:line="300" w:before="0" w:after="0"/>
              <w:ind w:left="180" w:right="0" w:hanging="180"/>
              <w:jc w:val="left"/>
              <w:rPr>
                <w:rFonts w:ascii="Times New Roman" w:hAnsi="Times New Roman"/>
                <w:sz w:val="20"/>
              </w:rPr>
            </w:pPr>
            <w:r>
              <w:rPr>
                <w:rFonts w:ascii="Times New Roman" w:hAnsi="Times New Roman"/>
                <w:sz w:val="20"/>
              </w:rPr>
              <w:t xml:space="preserve">Class A common stock issued </w:t>
            </w:r>
          </w:p>
        </w:tc>
        <w:tc>
          <w:tcPr>
            <w:tcW w:w="70" w:type="dxa"/>
            <w:tcBorders>
              <w:bottom w:val="single" w:sz="2" w:space="0" w:color="CCEEFF"/>
            </w:tcBorders>
            <w:shd w:fill="CCEEFF" w:val="clear"/>
            <w:vAlign w:val="center"/>
          </w:tcPr>
          <w:p>
            <w:pPr>
              <w:pStyle w:val="TableContents"/>
              <w:spacing w:before="0" w:after="283"/>
              <w:rPr/>
            </w:pPr>
            <w:r>
              <w:rPr/>
              <w:t> </w:t>
            </w:r>
          </w:p>
        </w:tc>
        <w:tc>
          <w:tcPr>
            <w:tcW w:w="70" w:type="dxa"/>
            <w:tcBorders>
              <w:bottom w:val="single" w:sz="2" w:space="0" w:color="000000"/>
            </w:tcBorders>
            <w:shd w:fill="CCEEFF" w:val="clear"/>
            <w:vAlign w:val="bottom"/>
          </w:tcPr>
          <w:p>
            <w:pPr>
              <w:pStyle w:val="TableContents"/>
              <w:spacing w:before="0" w:after="283"/>
              <w:jc w:val="left"/>
              <w:rPr/>
            </w:pPr>
            <w:r>
              <w:rPr/>
              <w:t> </w:t>
            </w:r>
          </w:p>
        </w:tc>
        <w:tc>
          <w:tcPr>
            <w:tcW w:w="625"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99</w:t>
            </w:r>
          </w:p>
        </w:tc>
        <w:tc>
          <w:tcPr>
            <w:tcW w:w="89" w:type="dxa"/>
            <w:tcBorders>
              <w:bottom w:val="single" w:sz="2" w:space="0" w:color="CCEEFF"/>
            </w:tcBorders>
            <w:shd w:fill="CCEEFF" w:val="clear"/>
            <w:vAlign w:val="bottom"/>
          </w:tcPr>
          <w:p>
            <w:pPr>
              <w:pStyle w:val="TableContents"/>
              <w:spacing w:before="0" w:after="283"/>
              <w:jc w:val="left"/>
              <w:rPr/>
            </w:pPr>
            <w:r>
              <w:rPr/>
              <w:t> </w:t>
            </w:r>
          </w:p>
        </w:tc>
        <w:tc>
          <w:tcPr>
            <w:tcW w:w="144" w:type="dxa"/>
            <w:tcBorders>
              <w:bottom w:val="single" w:sz="2" w:space="0" w:color="000000"/>
            </w:tcBorders>
            <w:shd w:fill="CCEEFF" w:val="clear"/>
            <w:vAlign w:val="bottom"/>
          </w:tcPr>
          <w:p>
            <w:pPr>
              <w:pStyle w:val="TableContents"/>
              <w:spacing w:before="0" w:after="283"/>
              <w:jc w:val="left"/>
              <w:rPr/>
            </w:pPr>
            <w:r>
              <w:rPr/>
              <w:t> </w:t>
            </w:r>
          </w:p>
        </w:tc>
        <w:tc>
          <w:tcPr>
            <w:tcW w:w="423"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w:t>
            </w:r>
          </w:p>
        </w:tc>
        <w:tc>
          <w:tcPr>
            <w:tcW w:w="70" w:type="dxa"/>
            <w:tcBorders>
              <w:bottom w:val="single" w:sz="2" w:space="0" w:color="CCEEFF"/>
            </w:tcBorders>
            <w:shd w:fill="CCEEFF" w:val="clear"/>
            <w:vAlign w:val="bottom"/>
          </w:tcPr>
          <w:p>
            <w:pPr>
              <w:pStyle w:val="TableContents"/>
              <w:spacing w:before="0" w:after="283"/>
              <w:jc w:val="left"/>
              <w:rPr/>
            </w:pPr>
            <w:r>
              <w:rPr/>
              <w:t> </w:t>
            </w:r>
          </w:p>
        </w:tc>
        <w:tc>
          <w:tcPr>
            <w:tcW w:w="74" w:type="dxa"/>
            <w:tcBorders>
              <w:bottom w:val="single" w:sz="2" w:space="0" w:color="000000"/>
            </w:tcBorders>
            <w:shd w:fill="CCEEFF" w:val="clear"/>
            <w:vAlign w:val="bottom"/>
          </w:tcPr>
          <w:p>
            <w:pPr>
              <w:pStyle w:val="TableContents"/>
              <w:spacing w:before="0" w:after="283"/>
              <w:jc w:val="left"/>
              <w:rPr/>
            </w:pPr>
            <w:r>
              <w:rPr/>
              <w:t> </w:t>
            </w:r>
          </w:p>
        </w:tc>
        <w:tc>
          <w:tcPr>
            <w:tcW w:w="565"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89" w:type="dxa"/>
            <w:tcBorders>
              <w:bottom w:val="single" w:sz="2" w:space="0" w:color="CCEEFF"/>
            </w:tcBorders>
            <w:shd w:fill="CCEEFF" w:val="clear"/>
            <w:vAlign w:val="bottom"/>
          </w:tcPr>
          <w:p>
            <w:pPr>
              <w:pStyle w:val="TableContents"/>
              <w:spacing w:before="0" w:after="283"/>
              <w:jc w:val="left"/>
              <w:rPr/>
            </w:pPr>
            <w:r>
              <w:rPr/>
              <w:t> </w:t>
            </w:r>
          </w:p>
        </w:tc>
        <w:tc>
          <w:tcPr>
            <w:tcW w:w="184" w:type="dxa"/>
            <w:tcBorders>
              <w:bottom w:val="single" w:sz="2" w:space="0" w:color="000000"/>
            </w:tcBorders>
            <w:shd w:fill="CCEEFF" w:val="clear"/>
            <w:vAlign w:val="bottom"/>
          </w:tcPr>
          <w:p>
            <w:pPr>
              <w:pStyle w:val="TableContents"/>
              <w:spacing w:before="0" w:after="283"/>
              <w:jc w:val="left"/>
              <w:rPr/>
            </w:pPr>
            <w:r>
              <w:rPr/>
              <w:t> </w:t>
            </w:r>
          </w:p>
        </w:tc>
        <w:tc>
          <w:tcPr>
            <w:tcW w:w="383"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89" w:type="dxa"/>
            <w:tcBorders>
              <w:bottom w:val="single" w:sz="2" w:space="0" w:color="CCEEFF"/>
            </w:tcBorders>
            <w:shd w:fill="CCEEFF" w:val="clear"/>
            <w:vAlign w:val="bottom"/>
          </w:tcPr>
          <w:p>
            <w:pPr>
              <w:pStyle w:val="TableContents"/>
              <w:spacing w:before="0" w:after="283"/>
              <w:jc w:val="left"/>
              <w:rPr/>
            </w:pPr>
            <w:r>
              <w:rPr/>
              <w:t> </w:t>
            </w:r>
          </w:p>
        </w:tc>
        <w:tc>
          <w:tcPr>
            <w:tcW w:w="145" w:type="dxa"/>
            <w:tcBorders>
              <w:bottom w:val="single" w:sz="2" w:space="0" w:color="000000"/>
            </w:tcBorders>
            <w:shd w:fill="CCEEFF" w:val="clear"/>
            <w:vAlign w:val="bottom"/>
          </w:tcPr>
          <w:p>
            <w:pPr>
              <w:pStyle w:val="TableContents"/>
              <w:spacing w:before="0" w:after="283"/>
              <w:jc w:val="left"/>
              <w:rPr/>
            </w:pPr>
            <w:r>
              <w:rPr/>
              <w:t> </w:t>
            </w:r>
          </w:p>
        </w:tc>
        <w:tc>
          <w:tcPr>
            <w:tcW w:w="804"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791</w:t>
            </w:r>
          </w:p>
        </w:tc>
        <w:tc>
          <w:tcPr>
            <w:tcW w:w="70" w:type="dxa"/>
            <w:tcBorders>
              <w:bottom w:val="single" w:sz="2" w:space="0" w:color="CCEEFF"/>
            </w:tcBorders>
            <w:shd w:fill="CCEEFF" w:val="clear"/>
            <w:vAlign w:val="bottom"/>
          </w:tcPr>
          <w:p>
            <w:pPr>
              <w:pStyle w:val="TableContents"/>
              <w:spacing w:before="0" w:after="283"/>
              <w:jc w:val="left"/>
              <w:rPr/>
            </w:pPr>
            <w:r>
              <w:rPr/>
              <w:t> </w:t>
            </w:r>
          </w:p>
        </w:tc>
        <w:tc>
          <w:tcPr>
            <w:tcW w:w="157" w:type="dxa"/>
            <w:tcBorders>
              <w:bottom w:val="single" w:sz="2" w:space="0" w:color="000000"/>
            </w:tcBorders>
            <w:shd w:fill="CCEEFF" w:val="clear"/>
            <w:vAlign w:val="bottom"/>
          </w:tcPr>
          <w:p>
            <w:pPr>
              <w:pStyle w:val="TableContents"/>
              <w:spacing w:before="0" w:after="283"/>
              <w:jc w:val="left"/>
              <w:rPr/>
            </w:pPr>
            <w:r>
              <w:rPr/>
              <w:t> </w:t>
            </w:r>
          </w:p>
        </w:tc>
        <w:tc>
          <w:tcPr>
            <w:tcW w:w="693"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2585" w:name="TAB11122"/>
            <w:bookmarkEnd w:id="2585"/>
            <w:r>
              <w:rPr>
                <w:rFonts w:ascii="Times New Roman" w:hAnsi="Times New Roman"/>
                <w:sz w:val="20"/>
              </w:rPr>
              <w:t>--</w:t>
            </w:r>
          </w:p>
        </w:tc>
        <w:tc>
          <w:tcPr>
            <w:tcW w:w="89" w:type="dxa"/>
            <w:tcBorders>
              <w:bottom w:val="single" w:sz="2" w:space="0" w:color="CCEEFF"/>
            </w:tcBorders>
            <w:shd w:fill="CCEEFF" w:val="clear"/>
            <w:vAlign w:val="bottom"/>
          </w:tcPr>
          <w:p>
            <w:pPr>
              <w:pStyle w:val="TableContents"/>
              <w:spacing w:before="0" w:after="283"/>
              <w:jc w:val="left"/>
              <w:rPr/>
            </w:pPr>
            <w:r>
              <w:rPr/>
              <w:t> </w:t>
            </w:r>
          </w:p>
        </w:tc>
        <w:tc>
          <w:tcPr>
            <w:tcW w:w="185" w:type="dxa"/>
            <w:tcBorders>
              <w:bottom w:val="single" w:sz="2" w:space="0" w:color="000000"/>
            </w:tcBorders>
            <w:shd w:fill="CCEEFF" w:val="clear"/>
            <w:vAlign w:val="bottom"/>
          </w:tcPr>
          <w:p>
            <w:pPr>
              <w:pStyle w:val="TableContents"/>
              <w:spacing w:before="0" w:after="283"/>
              <w:jc w:val="left"/>
              <w:rPr/>
            </w:pPr>
            <w:r>
              <w:rPr/>
              <w:t> </w:t>
            </w:r>
          </w:p>
        </w:tc>
        <w:tc>
          <w:tcPr>
            <w:tcW w:w="962"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89" w:type="dxa"/>
            <w:tcBorders>
              <w:bottom w:val="single" w:sz="2" w:space="0" w:color="CCEEFF"/>
            </w:tcBorders>
            <w:shd w:fill="CCEEFF" w:val="clear"/>
            <w:vAlign w:val="bottom"/>
          </w:tcPr>
          <w:p>
            <w:pPr>
              <w:pStyle w:val="TableContents"/>
              <w:spacing w:before="0" w:after="283"/>
              <w:jc w:val="left"/>
              <w:rPr/>
            </w:pPr>
            <w:r>
              <w:rPr/>
              <w:t> </w:t>
            </w:r>
          </w:p>
        </w:tc>
        <w:tc>
          <w:tcPr>
            <w:tcW w:w="234" w:type="dxa"/>
            <w:tcBorders>
              <w:bottom w:val="single" w:sz="2" w:space="0" w:color="000000"/>
            </w:tcBorders>
            <w:shd w:fill="CCEEFF" w:val="clear"/>
            <w:vAlign w:val="bottom"/>
          </w:tcPr>
          <w:p>
            <w:pPr>
              <w:pStyle w:val="TableContents"/>
              <w:spacing w:before="0" w:after="283"/>
              <w:jc w:val="left"/>
              <w:rPr/>
            </w:pPr>
            <w:r>
              <w:rPr/>
              <w:t> </w:t>
            </w:r>
          </w:p>
        </w:tc>
        <w:tc>
          <w:tcPr>
            <w:tcW w:w="1110"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89" w:type="dxa"/>
            <w:tcBorders>
              <w:bottom w:val="single" w:sz="2" w:space="0" w:color="CCEEFF"/>
            </w:tcBorders>
            <w:shd w:fill="CCEEFF" w:val="clear"/>
            <w:vAlign w:val="bottom"/>
          </w:tcPr>
          <w:p>
            <w:pPr>
              <w:pStyle w:val="TableContents"/>
              <w:spacing w:before="0" w:after="283"/>
              <w:jc w:val="left"/>
              <w:rPr/>
            </w:pPr>
            <w:r>
              <w:rPr/>
              <w:t> </w:t>
            </w:r>
          </w:p>
        </w:tc>
        <w:tc>
          <w:tcPr>
            <w:tcW w:w="181" w:type="dxa"/>
            <w:tcBorders>
              <w:bottom w:val="single" w:sz="2" w:space="0" w:color="000000"/>
            </w:tcBorders>
            <w:shd w:fill="CCEEFF" w:val="clear"/>
            <w:vAlign w:val="bottom"/>
          </w:tcPr>
          <w:p>
            <w:pPr>
              <w:pStyle w:val="TableContents"/>
              <w:spacing w:before="0" w:after="283"/>
              <w:jc w:val="left"/>
              <w:rPr/>
            </w:pPr>
            <w:r>
              <w:rPr/>
              <w:t> </w:t>
            </w:r>
          </w:p>
        </w:tc>
        <w:tc>
          <w:tcPr>
            <w:tcW w:w="1007"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792</w:t>
            </w:r>
          </w:p>
        </w:tc>
        <w:tc>
          <w:tcPr>
            <w:tcW w:w="117" w:type="dxa"/>
            <w:tcBorders>
              <w:bottom w:val="single" w:sz="2" w:space="0" w:color="CCEEFF"/>
            </w:tcBorders>
            <w:shd w:fill="CCEEFF" w:val="clear"/>
            <w:vAlign w:val="bottom"/>
          </w:tcPr>
          <w:p>
            <w:pPr>
              <w:pStyle w:val="TableContents"/>
              <w:spacing w:before="0" w:after="283"/>
              <w:jc w:val="left"/>
              <w:rPr/>
            </w:pPr>
            <w:r>
              <w:rPr/>
              <w:t> </w:t>
            </w:r>
          </w:p>
        </w:tc>
      </w:tr>
      <w:tr>
        <w:trPr/>
        <w:tc>
          <w:tcPr>
            <w:tcW w:w="1398" w:type="dxa"/>
            <w:tcBorders>
              <w:bottom w:val="double" w:sz="2" w:space="0" w:color="000000"/>
            </w:tcBorders>
            <w:shd w:fill="FFFFFF" w:val="clear"/>
            <w:vAlign w:val="bottom"/>
          </w:tcPr>
          <w:p>
            <w:pPr>
              <w:pStyle w:val="TableContents"/>
              <w:spacing w:lineRule="auto" w:line="300" w:before="0" w:after="0"/>
              <w:ind w:left="180" w:right="0" w:hanging="180"/>
              <w:jc w:val="left"/>
              <w:rPr>
                <w:rFonts w:ascii="Times New Roman" w:hAnsi="Times New Roman"/>
                <w:sz w:val="20"/>
              </w:rPr>
            </w:pPr>
            <w:r>
              <w:rPr>
                <w:rFonts w:ascii="Times New Roman" w:hAnsi="Times New Roman"/>
                <w:sz w:val="20"/>
              </w:rPr>
              <w:t>At December 31, 2004</w:t>
            </w:r>
          </w:p>
        </w:tc>
        <w:tc>
          <w:tcPr>
            <w:tcW w:w="70" w:type="dxa"/>
            <w:tcBorders>
              <w:bottom w:val="single" w:sz="4" w:space="0" w:color="FFFFFF"/>
            </w:tcBorders>
            <w:shd w:fill="FFFFFF" w:val="clear"/>
            <w:vAlign w:val="center"/>
          </w:tcPr>
          <w:p>
            <w:pPr>
              <w:pStyle w:val="TableContents"/>
              <w:spacing w:before="0" w:after="283"/>
              <w:rPr/>
            </w:pPr>
            <w:r>
              <w:rPr/>
              <w:t> </w:t>
            </w:r>
          </w:p>
        </w:tc>
        <w:tc>
          <w:tcPr>
            <w:tcW w:w="70" w:type="dxa"/>
            <w:tcBorders>
              <w:bottom w:val="double" w:sz="2" w:space="0" w:color="000000"/>
            </w:tcBorders>
            <w:shd w:fill="FFFFFF" w:val="clear"/>
            <w:vAlign w:val="bottom"/>
          </w:tcPr>
          <w:p>
            <w:pPr>
              <w:pStyle w:val="TableContents"/>
              <w:spacing w:before="0" w:after="283"/>
              <w:jc w:val="left"/>
              <w:rPr/>
            </w:pPr>
            <w:r>
              <w:rPr/>
              <w:t> </w:t>
            </w:r>
          </w:p>
        </w:tc>
        <w:tc>
          <w:tcPr>
            <w:tcW w:w="625"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20,453</w:t>
            </w:r>
          </w:p>
        </w:tc>
        <w:tc>
          <w:tcPr>
            <w:tcW w:w="89" w:type="dxa"/>
            <w:tcBorders>
              <w:bottom w:val="single" w:sz="4" w:space="0" w:color="FFFFFF"/>
            </w:tcBorders>
            <w:shd w:fill="FFFFFF" w:val="clear"/>
            <w:vAlign w:val="bottom"/>
          </w:tcPr>
          <w:p>
            <w:pPr>
              <w:pStyle w:val="TableContents"/>
              <w:spacing w:before="0" w:after="283"/>
              <w:jc w:val="left"/>
              <w:rPr/>
            </w:pPr>
            <w:r>
              <w:rPr/>
              <w:t> </w:t>
            </w:r>
          </w:p>
        </w:tc>
        <w:tc>
          <w:tcPr>
            <w:tcW w:w="144" w:type="dxa"/>
            <w:tcBorders>
              <w:bottom w:val="doub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423"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205</w:t>
            </w:r>
          </w:p>
        </w:tc>
        <w:tc>
          <w:tcPr>
            <w:tcW w:w="70" w:type="dxa"/>
            <w:tcBorders>
              <w:bottom w:val="single" w:sz="4" w:space="0" w:color="FFFFFF"/>
            </w:tcBorders>
            <w:shd w:fill="FFFFFF" w:val="clear"/>
            <w:vAlign w:val="bottom"/>
          </w:tcPr>
          <w:p>
            <w:pPr>
              <w:pStyle w:val="TableContents"/>
              <w:spacing w:before="0" w:after="283"/>
              <w:jc w:val="left"/>
              <w:rPr/>
            </w:pPr>
            <w:r>
              <w:rPr/>
              <w:t> </w:t>
            </w:r>
          </w:p>
        </w:tc>
        <w:tc>
          <w:tcPr>
            <w:tcW w:w="74" w:type="dxa"/>
            <w:tcBorders>
              <w:bottom w:val="double" w:sz="2" w:space="0" w:color="000000"/>
            </w:tcBorders>
            <w:shd w:fill="FFFFFF" w:val="clear"/>
            <w:vAlign w:val="bottom"/>
          </w:tcPr>
          <w:p>
            <w:pPr>
              <w:pStyle w:val="TableContents"/>
              <w:spacing w:before="0" w:after="283"/>
              <w:jc w:val="left"/>
              <w:rPr/>
            </w:pPr>
            <w:r>
              <w:rPr/>
              <w:t> </w:t>
            </w:r>
          </w:p>
        </w:tc>
        <w:tc>
          <w:tcPr>
            <w:tcW w:w="565"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1,545</w:t>
            </w:r>
          </w:p>
        </w:tc>
        <w:tc>
          <w:tcPr>
            <w:tcW w:w="89" w:type="dxa"/>
            <w:tcBorders>
              <w:bottom w:val="single" w:sz="4" w:space="0" w:color="FFFFFF"/>
            </w:tcBorders>
            <w:shd w:fill="FFFFFF" w:val="clear"/>
            <w:vAlign w:val="bottom"/>
          </w:tcPr>
          <w:p>
            <w:pPr>
              <w:pStyle w:val="TableContents"/>
              <w:spacing w:before="0" w:after="283"/>
              <w:jc w:val="left"/>
              <w:rPr/>
            </w:pPr>
            <w:r>
              <w:rPr/>
              <w:t> </w:t>
            </w:r>
          </w:p>
        </w:tc>
        <w:tc>
          <w:tcPr>
            <w:tcW w:w="184" w:type="dxa"/>
            <w:tcBorders>
              <w:bottom w:val="doub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383"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15</w:t>
            </w:r>
          </w:p>
        </w:tc>
        <w:tc>
          <w:tcPr>
            <w:tcW w:w="89" w:type="dxa"/>
            <w:tcBorders>
              <w:bottom w:val="single" w:sz="4" w:space="0" w:color="FFFFFF"/>
            </w:tcBorders>
            <w:shd w:fill="FFFFFF" w:val="clear"/>
            <w:vAlign w:val="bottom"/>
          </w:tcPr>
          <w:p>
            <w:pPr>
              <w:pStyle w:val="TableContents"/>
              <w:spacing w:before="0" w:after="283"/>
              <w:jc w:val="left"/>
              <w:rPr/>
            </w:pPr>
            <w:r>
              <w:rPr/>
              <w:t> </w:t>
            </w:r>
          </w:p>
        </w:tc>
        <w:tc>
          <w:tcPr>
            <w:tcW w:w="145" w:type="dxa"/>
            <w:tcBorders>
              <w:bottom w:val="doub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bookmarkStart w:id="2586" w:name="TAB11123"/>
            <w:bookmarkEnd w:id="2586"/>
            <w:r>
              <w:rPr>
                <w:rFonts w:ascii="Times New Roman" w:hAnsi="Times New Roman"/>
                <w:sz w:val="20"/>
              </w:rPr>
              <w:t>$</w:t>
            </w:r>
          </w:p>
        </w:tc>
        <w:tc>
          <w:tcPr>
            <w:tcW w:w="804"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2587" w:name="TAB11124"/>
            <w:bookmarkEnd w:id="2587"/>
            <w:r>
              <w:rPr>
                <w:rFonts w:ascii="Times New Roman" w:hAnsi="Times New Roman"/>
                <w:sz w:val="20"/>
              </w:rPr>
              <w:t>124,307</w:t>
            </w:r>
          </w:p>
        </w:tc>
        <w:tc>
          <w:tcPr>
            <w:tcW w:w="70" w:type="dxa"/>
            <w:tcBorders>
              <w:bottom w:val="single" w:sz="4" w:space="0" w:color="FFFFFF"/>
            </w:tcBorders>
            <w:shd w:fill="FFFFFF" w:val="clear"/>
            <w:vAlign w:val="bottom"/>
          </w:tcPr>
          <w:p>
            <w:pPr>
              <w:pStyle w:val="TableContents"/>
              <w:spacing w:before="0" w:after="283"/>
              <w:jc w:val="left"/>
              <w:rPr/>
            </w:pPr>
            <w:r>
              <w:rPr/>
              <w:t> </w:t>
            </w:r>
          </w:p>
        </w:tc>
        <w:tc>
          <w:tcPr>
            <w:tcW w:w="157" w:type="dxa"/>
            <w:tcBorders>
              <w:bottom w:val="doub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bookmarkStart w:id="2588" w:name="TAB11125"/>
            <w:bookmarkEnd w:id="2588"/>
            <w:r>
              <w:rPr>
                <w:rFonts w:ascii="Times New Roman" w:hAnsi="Times New Roman"/>
                <w:sz w:val="20"/>
              </w:rPr>
              <w:t>$</w:t>
            </w:r>
          </w:p>
        </w:tc>
        <w:tc>
          <w:tcPr>
            <w:tcW w:w="693"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2589" w:name="TAB11126"/>
            <w:bookmarkEnd w:id="2589"/>
            <w:r>
              <w:rPr>
                <w:rFonts w:ascii="Times New Roman" w:hAnsi="Times New Roman"/>
                <w:sz w:val="20"/>
              </w:rPr>
              <w:t>--</w:t>
            </w:r>
          </w:p>
        </w:tc>
        <w:tc>
          <w:tcPr>
            <w:tcW w:w="89" w:type="dxa"/>
            <w:tcBorders>
              <w:bottom w:val="single" w:sz="4" w:space="0" w:color="FFFFFF"/>
            </w:tcBorders>
            <w:shd w:fill="FFFFFF" w:val="clear"/>
            <w:vAlign w:val="bottom"/>
          </w:tcPr>
          <w:p>
            <w:pPr>
              <w:pStyle w:val="TableContents"/>
              <w:spacing w:before="0" w:after="283"/>
              <w:jc w:val="left"/>
              <w:rPr/>
            </w:pPr>
            <w:r>
              <w:rPr/>
              <w:t> </w:t>
            </w:r>
          </w:p>
        </w:tc>
        <w:tc>
          <w:tcPr>
            <w:tcW w:w="185" w:type="dxa"/>
            <w:tcBorders>
              <w:bottom w:val="doub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bookmarkStart w:id="2590" w:name="TAB11127"/>
            <w:bookmarkEnd w:id="2590"/>
            <w:r>
              <w:rPr>
                <w:rFonts w:ascii="Times New Roman" w:hAnsi="Times New Roman"/>
                <w:sz w:val="20"/>
              </w:rPr>
              <w:t>$</w:t>
            </w:r>
          </w:p>
        </w:tc>
        <w:tc>
          <w:tcPr>
            <w:tcW w:w="962"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2591" w:name="TAB11128"/>
            <w:bookmarkEnd w:id="2591"/>
            <w:r>
              <w:rPr>
                <w:rFonts w:ascii="Times New Roman" w:hAnsi="Times New Roman"/>
                <w:sz w:val="20"/>
              </w:rPr>
              <w:t>(54,903</w:t>
            </w:r>
          </w:p>
        </w:tc>
        <w:tc>
          <w:tcPr>
            <w:tcW w:w="89" w:type="dxa"/>
            <w:tcBorders>
              <w:bottom w:val="single" w:sz="4" w:space="0" w:color="FFFFFF"/>
            </w:tcBorders>
            <w:shd w:fill="FFFFFF" w:val="clear"/>
            <w:vAlign w:val="bottom"/>
          </w:tcPr>
          <w:p>
            <w:pPr>
              <w:pStyle w:val="TableContents"/>
              <w:spacing w:lineRule="auto" w:line="300" w:before="0" w:after="0"/>
              <w:ind w:left="0" w:right="0" w:hanging="0"/>
              <w:jc w:val="left"/>
              <w:rPr>
                <w:rFonts w:ascii="Times New Roman" w:hAnsi="Times New Roman"/>
                <w:sz w:val="20"/>
              </w:rPr>
            </w:pPr>
            <w:bookmarkStart w:id="2592" w:name="TAB11129"/>
            <w:bookmarkEnd w:id="2592"/>
            <w:r>
              <w:rPr>
                <w:rFonts w:ascii="Times New Roman" w:hAnsi="Times New Roman"/>
                <w:sz w:val="20"/>
              </w:rPr>
              <w:t>)</w:t>
            </w:r>
          </w:p>
        </w:tc>
        <w:tc>
          <w:tcPr>
            <w:tcW w:w="234" w:type="dxa"/>
            <w:tcBorders>
              <w:bottom w:val="doub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bookmarkStart w:id="2593" w:name="TAB11130"/>
            <w:bookmarkEnd w:id="2593"/>
            <w:r>
              <w:rPr>
                <w:rFonts w:ascii="Times New Roman" w:hAnsi="Times New Roman"/>
                <w:sz w:val="20"/>
              </w:rPr>
              <w:t>$</w:t>
            </w:r>
          </w:p>
        </w:tc>
        <w:tc>
          <w:tcPr>
            <w:tcW w:w="1110"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2594" w:name="TAB11131"/>
            <w:bookmarkEnd w:id="2594"/>
            <w:r>
              <w:rPr>
                <w:rFonts w:ascii="Times New Roman" w:hAnsi="Times New Roman"/>
                <w:sz w:val="20"/>
              </w:rPr>
              <w:t>32,386</w:t>
            </w:r>
          </w:p>
        </w:tc>
        <w:tc>
          <w:tcPr>
            <w:tcW w:w="89" w:type="dxa"/>
            <w:tcBorders>
              <w:bottom w:val="single" w:sz="4" w:space="0" w:color="FFFFFF"/>
            </w:tcBorders>
            <w:shd w:fill="FFFFFF" w:val="clear"/>
            <w:vAlign w:val="bottom"/>
          </w:tcPr>
          <w:p>
            <w:pPr>
              <w:pStyle w:val="TableContents"/>
              <w:spacing w:before="0" w:after="283"/>
              <w:jc w:val="left"/>
              <w:rPr/>
            </w:pPr>
            <w:r>
              <w:rPr/>
              <w:t> </w:t>
            </w:r>
          </w:p>
        </w:tc>
        <w:tc>
          <w:tcPr>
            <w:tcW w:w="181" w:type="dxa"/>
            <w:tcBorders>
              <w:bottom w:val="doub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bookmarkStart w:id="2595" w:name="TAB11132"/>
            <w:bookmarkEnd w:id="2595"/>
            <w:r>
              <w:rPr>
                <w:rFonts w:ascii="Times New Roman" w:hAnsi="Times New Roman"/>
                <w:sz w:val="20"/>
              </w:rPr>
              <w:t>$</w:t>
            </w:r>
          </w:p>
        </w:tc>
        <w:tc>
          <w:tcPr>
            <w:tcW w:w="1007"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2596" w:name="TAB11133"/>
            <w:bookmarkEnd w:id="2596"/>
            <w:r>
              <w:rPr>
                <w:rFonts w:ascii="Times New Roman" w:hAnsi="Times New Roman"/>
                <w:sz w:val="20"/>
              </w:rPr>
              <w:t>102,010</w:t>
            </w:r>
          </w:p>
        </w:tc>
        <w:tc>
          <w:tcPr>
            <w:tcW w:w="117" w:type="dxa"/>
            <w:tcBorders>
              <w:bottom w:val="single" w:sz="4" w:space="0" w:color="FFFFFF"/>
            </w:tcBorders>
            <w:shd w:fill="FFFFFF" w:val="clear"/>
            <w:vAlign w:val="bottom"/>
          </w:tcPr>
          <w:p>
            <w:pPr>
              <w:pStyle w:val="TableContents"/>
              <w:spacing w:before="0" w:after="283"/>
              <w:jc w:val="left"/>
              <w:rPr/>
            </w:pPr>
            <w:r>
              <w:rPr/>
              <w:t> </w:t>
            </w:r>
          </w:p>
        </w:tc>
      </w:tr>
      <w:tr>
        <w:trPr/>
        <w:tc>
          <w:tcPr>
            <w:tcW w:w="1398" w:type="dxa"/>
            <w:tcBorders/>
            <w:shd w:fill="CCEEFF" w:val="clear"/>
            <w:tcMar>
              <w:bottom w:w="0" w:type="dxa"/>
            </w:tcMar>
            <w:vAlign w:val="bottom"/>
          </w:tcPr>
          <w:p>
            <w:pPr>
              <w:pStyle w:val="TableContents"/>
              <w:spacing w:lineRule="auto" w:line="300" w:before="0" w:after="0"/>
              <w:ind w:left="180" w:right="0" w:hanging="180"/>
              <w:jc w:val="left"/>
              <w:rPr/>
            </w:pPr>
            <w:r>
              <w:rPr/>
              <w:t> </w:t>
            </w:r>
          </w:p>
          <w:p>
            <w:pPr>
              <w:pStyle w:val="TableContents"/>
              <w:spacing w:lineRule="auto" w:line="300" w:before="0" w:after="0"/>
              <w:ind w:left="180" w:right="0" w:hanging="180"/>
              <w:jc w:val="left"/>
              <w:rPr>
                <w:rFonts w:ascii="Times New Roman" w:hAnsi="Times New Roman"/>
                <w:sz w:val="20"/>
              </w:rPr>
            </w:pPr>
            <w:r>
              <w:rPr>
                <w:rFonts w:ascii="Times New Roman" w:hAnsi="Times New Roman"/>
                <w:sz w:val="20"/>
              </w:rPr>
              <w:t>Net income</w:t>
            </w:r>
          </w:p>
        </w:tc>
        <w:tc>
          <w:tcPr>
            <w:tcW w:w="70" w:type="dxa"/>
            <w:tcBorders/>
            <w:shd w:fill="CCEEFF" w:val="clear"/>
            <w:tcMar>
              <w:bottom w:w="0" w:type="dxa"/>
            </w:tcMar>
            <w:vAlign w:val="center"/>
          </w:tcPr>
          <w:p>
            <w:pPr>
              <w:pStyle w:val="TableContents"/>
              <w:spacing w:before="0" w:after="283"/>
              <w:rPr/>
            </w:pPr>
            <w:r>
              <w:rPr/>
              <w:t> </w:t>
            </w:r>
          </w:p>
        </w:tc>
        <w:tc>
          <w:tcPr>
            <w:tcW w:w="70" w:type="dxa"/>
            <w:tcBorders/>
            <w:shd w:fill="CCEEFF" w:val="clear"/>
            <w:tcMar>
              <w:bottom w:w="0" w:type="dxa"/>
            </w:tcMar>
            <w:vAlign w:val="bottom"/>
          </w:tcPr>
          <w:p>
            <w:pPr>
              <w:pStyle w:val="TableContents"/>
              <w:spacing w:before="0" w:after="283"/>
              <w:jc w:val="left"/>
              <w:rPr/>
            </w:pPr>
            <w:r>
              <w:rPr/>
              <w:t> </w:t>
            </w:r>
          </w:p>
        </w:tc>
        <w:tc>
          <w:tcPr>
            <w:tcW w:w="625"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89" w:type="dxa"/>
            <w:tcBorders/>
            <w:shd w:fill="CCEEFF" w:val="clear"/>
            <w:tcMar>
              <w:bottom w:w="0" w:type="dxa"/>
            </w:tcMar>
            <w:vAlign w:val="bottom"/>
          </w:tcPr>
          <w:p>
            <w:pPr>
              <w:pStyle w:val="TableContents"/>
              <w:spacing w:before="0" w:after="283"/>
              <w:jc w:val="left"/>
              <w:rPr/>
            </w:pPr>
            <w:r>
              <w:rPr/>
              <w:t> </w:t>
            </w:r>
          </w:p>
        </w:tc>
        <w:tc>
          <w:tcPr>
            <w:tcW w:w="144" w:type="dxa"/>
            <w:tcBorders/>
            <w:shd w:fill="CCEEFF" w:val="clear"/>
            <w:tcMar>
              <w:bottom w:w="0" w:type="dxa"/>
            </w:tcMar>
            <w:vAlign w:val="bottom"/>
          </w:tcPr>
          <w:p>
            <w:pPr>
              <w:pStyle w:val="TableContents"/>
              <w:spacing w:before="0" w:after="283"/>
              <w:jc w:val="left"/>
              <w:rPr/>
            </w:pPr>
            <w:r>
              <w:rPr/>
              <w:t> </w:t>
            </w:r>
          </w:p>
        </w:tc>
        <w:tc>
          <w:tcPr>
            <w:tcW w:w="423"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70" w:type="dxa"/>
            <w:tcBorders/>
            <w:shd w:fill="CCEEFF" w:val="clear"/>
            <w:tcMar>
              <w:bottom w:w="0" w:type="dxa"/>
            </w:tcMar>
            <w:vAlign w:val="bottom"/>
          </w:tcPr>
          <w:p>
            <w:pPr>
              <w:pStyle w:val="TableContents"/>
              <w:spacing w:before="0" w:after="283"/>
              <w:jc w:val="left"/>
              <w:rPr/>
            </w:pPr>
            <w:r>
              <w:rPr/>
              <w:t> </w:t>
            </w:r>
          </w:p>
        </w:tc>
        <w:tc>
          <w:tcPr>
            <w:tcW w:w="74" w:type="dxa"/>
            <w:tcBorders/>
            <w:shd w:fill="CCEEFF" w:val="clear"/>
            <w:tcMar>
              <w:bottom w:w="0" w:type="dxa"/>
            </w:tcMar>
            <w:vAlign w:val="bottom"/>
          </w:tcPr>
          <w:p>
            <w:pPr>
              <w:pStyle w:val="TableContents"/>
              <w:spacing w:before="0" w:after="283"/>
              <w:jc w:val="left"/>
              <w:rPr/>
            </w:pPr>
            <w:r>
              <w:rPr/>
              <w:t> </w:t>
            </w:r>
          </w:p>
        </w:tc>
        <w:tc>
          <w:tcPr>
            <w:tcW w:w="565"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89" w:type="dxa"/>
            <w:tcBorders/>
            <w:shd w:fill="CCEEFF" w:val="clear"/>
            <w:tcMar>
              <w:bottom w:w="0" w:type="dxa"/>
            </w:tcMar>
            <w:vAlign w:val="bottom"/>
          </w:tcPr>
          <w:p>
            <w:pPr>
              <w:pStyle w:val="TableContents"/>
              <w:spacing w:before="0" w:after="283"/>
              <w:jc w:val="left"/>
              <w:rPr/>
            </w:pPr>
            <w:r>
              <w:rPr/>
              <w:t> </w:t>
            </w:r>
          </w:p>
        </w:tc>
        <w:tc>
          <w:tcPr>
            <w:tcW w:w="184" w:type="dxa"/>
            <w:tcBorders/>
            <w:shd w:fill="CCEEFF" w:val="clear"/>
            <w:tcMar>
              <w:bottom w:w="0" w:type="dxa"/>
            </w:tcMar>
            <w:vAlign w:val="bottom"/>
          </w:tcPr>
          <w:p>
            <w:pPr>
              <w:pStyle w:val="TableContents"/>
              <w:spacing w:before="0" w:after="283"/>
              <w:jc w:val="left"/>
              <w:rPr/>
            </w:pPr>
            <w:r>
              <w:rPr/>
              <w:t> </w:t>
            </w:r>
          </w:p>
        </w:tc>
        <w:tc>
          <w:tcPr>
            <w:tcW w:w="383"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89" w:type="dxa"/>
            <w:tcBorders/>
            <w:shd w:fill="CCEEFF" w:val="clear"/>
            <w:tcMar>
              <w:bottom w:w="0" w:type="dxa"/>
            </w:tcMar>
            <w:vAlign w:val="bottom"/>
          </w:tcPr>
          <w:p>
            <w:pPr>
              <w:pStyle w:val="TableContents"/>
              <w:spacing w:before="0" w:after="283"/>
              <w:jc w:val="left"/>
              <w:rPr/>
            </w:pPr>
            <w:r>
              <w:rPr/>
              <w:t> </w:t>
            </w:r>
          </w:p>
        </w:tc>
        <w:tc>
          <w:tcPr>
            <w:tcW w:w="145" w:type="dxa"/>
            <w:tcBorders/>
            <w:shd w:fill="CCEEFF" w:val="clear"/>
            <w:tcMar>
              <w:bottom w:w="0" w:type="dxa"/>
            </w:tcMar>
            <w:vAlign w:val="bottom"/>
          </w:tcPr>
          <w:p>
            <w:pPr>
              <w:pStyle w:val="TableContents"/>
              <w:spacing w:before="0" w:after="283"/>
              <w:jc w:val="left"/>
              <w:rPr/>
            </w:pPr>
            <w:r>
              <w:rPr/>
              <w:t> </w:t>
            </w:r>
          </w:p>
        </w:tc>
        <w:tc>
          <w:tcPr>
            <w:tcW w:w="804"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70" w:type="dxa"/>
            <w:tcBorders/>
            <w:shd w:fill="CCEEFF" w:val="clear"/>
            <w:tcMar>
              <w:bottom w:w="0" w:type="dxa"/>
            </w:tcMar>
            <w:vAlign w:val="bottom"/>
          </w:tcPr>
          <w:p>
            <w:pPr>
              <w:pStyle w:val="TableContents"/>
              <w:spacing w:before="0" w:after="283"/>
              <w:jc w:val="left"/>
              <w:rPr/>
            </w:pPr>
            <w:r>
              <w:rPr/>
              <w:t> </w:t>
            </w:r>
          </w:p>
        </w:tc>
        <w:tc>
          <w:tcPr>
            <w:tcW w:w="157" w:type="dxa"/>
            <w:tcBorders/>
            <w:shd w:fill="CCEEFF" w:val="clear"/>
            <w:tcMar>
              <w:bottom w:w="0" w:type="dxa"/>
            </w:tcMar>
            <w:vAlign w:val="bottom"/>
          </w:tcPr>
          <w:p>
            <w:pPr>
              <w:pStyle w:val="TableContents"/>
              <w:spacing w:before="0" w:after="283"/>
              <w:jc w:val="left"/>
              <w:rPr/>
            </w:pPr>
            <w:r>
              <w:rPr/>
              <w:t> </w:t>
            </w:r>
          </w:p>
        </w:tc>
        <w:tc>
          <w:tcPr>
            <w:tcW w:w="693"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2597" w:name="TAB11134"/>
            <w:bookmarkEnd w:id="2597"/>
            <w:r>
              <w:rPr>
                <w:rFonts w:ascii="Times New Roman" w:hAnsi="Times New Roman"/>
                <w:sz w:val="20"/>
              </w:rPr>
              <w:t>--</w:t>
            </w:r>
          </w:p>
        </w:tc>
        <w:tc>
          <w:tcPr>
            <w:tcW w:w="89" w:type="dxa"/>
            <w:tcBorders/>
            <w:shd w:fill="CCEEFF" w:val="clear"/>
            <w:tcMar>
              <w:bottom w:w="0" w:type="dxa"/>
            </w:tcMar>
            <w:vAlign w:val="bottom"/>
          </w:tcPr>
          <w:p>
            <w:pPr>
              <w:pStyle w:val="TableContents"/>
              <w:spacing w:before="0" w:after="283"/>
              <w:jc w:val="left"/>
              <w:rPr/>
            </w:pPr>
            <w:r>
              <w:rPr/>
              <w:t> </w:t>
            </w:r>
          </w:p>
        </w:tc>
        <w:tc>
          <w:tcPr>
            <w:tcW w:w="185" w:type="dxa"/>
            <w:tcBorders/>
            <w:shd w:fill="CCEEFF" w:val="clear"/>
            <w:tcMar>
              <w:bottom w:w="0" w:type="dxa"/>
            </w:tcMar>
            <w:vAlign w:val="bottom"/>
          </w:tcPr>
          <w:p>
            <w:pPr>
              <w:pStyle w:val="TableContents"/>
              <w:spacing w:before="0" w:after="283"/>
              <w:jc w:val="left"/>
              <w:rPr/>
            </w:pPr>
            <w:r>
              <w:rPr/>
              <w:t> </w:t>
            </w:r>
          </w:p>
        </w:tc>
        <w:tc>
          <w:tcPr>
            <w:tcW w:w="962"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989</w:t>
            </w:r>
          </w:p>
        </w:tc>
        <w:tc>
          <w:tcPr>
            <w:tcW w:w="89" w:type="dxa"/>
            <w:tcBorders/>
            <w:shd w:fill="CCEEFF" w:val="clear"/>
            <w:tcMar>
              <w:bottom w:w="0" w:type="dxa"/>
            </w:tcMar>
            <w:vAlign w:val="bottom"/>
          </w:tcPr>
          <w:p>
            <w:pPr>
              <w:pStyle w:val="TableContents"/>
              <w:spacing w:before="0" w:after="283"/>
              <w:jc w:val="left"/>
              <w:rPr/>
            </w:pPr>
            <w:r>
              <w:rPr/>
              <w:t> </w:t>
            </w:r>
          </w:p>
        </w:tc>
        <w:tc>
          <w:tcPr>
            <w:tcW w:w="234" w:type="dxa"/>
            <w:tcBorders/>
            <w:shd w:fill="CCEEFF" w:val="clear"/>
            <w:tcMar>
              <w:bottom w:w="0" w:type="dxa"/>
            </w:tcMar>
            <w:vAlign w:val="bottom"/>
          </w:tcPr>
          <w:p>
            <w:pPr>
              <w:pStyle w:val="TableContents"/>
              <w:spacing w:before="0" w:after="283"/>
              <w:jc w:val="left"/>
              <w:rPr/>
            </w:pPr>
            <w:r>
              <w:rPr/>
              <w:t> </w:t>
            </w:r>
          </w:p>
        </w:tc>
        <w:tc>
          <w:tcPr>
            <w:tcW w:w="1110"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89" w:type="dxa"/>
            <w:tcBorders/>
            <w:shd w:fill="CCEEFF" w:val="clear"/>
            <w:tcMar>
              <w:bottom w:w="0" w:type="dxa"/>
            </w:tcMar>
            <w:vAlign w:val="bottom"/>
          </w:tcPr>
          <w:p>
            <w:pPr>
              <w:pStyle w:val="TableContents"/>
              <w:spacing w:before="0" w:after="283"/>
              <w:jc w:val="left"/>
              <w:rPr/>
            </w:pPr>
            <w:r>
              <w:rPr/>
              <w:t> </w:t>
            </w:r>
          </w:p>
        </w:tc>
        <w:tc>
          <w:tcPr>
            <w:tcW w:w="181" w:type="dxa"/>
            <w:tcBorders/>
            <w:shd w:fill="CCEEFF" w:val="clear"/>
            <w:tcMar>
              <w:bottom w:w="0" w:type="dxa"/>
            </w:tcMar>
            <w:vAlign w:val="bottom"/>
          </w:tcPr>
          <w:p>
            <w:pPr>
              <w:pStyle w:val="TableContents"/>
              <w:spacing w:before="0" w:after="283"/>
              <w:jc w:val="left"/>
              <w:rPr/>
            </w:pPr>
            <w:r>
              <w:rPr/>
              <w:t> </w:t>
            </w:r>
          </w:p>
        </w:tc>
        <w:tc>
          <w:tcPr>
            <w:tcW w:w="1007"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989</w:t>
            </w:r>
          </w:p>
        </w:tc>
        <w:tc>
          <w:tcPr>
            <w:tcW w:w="117" w:type="dxa"/>
            <w:tcBorders/>
            <w:shd w:fill="CCEEFF" w:val="clear"/>
            <w:tcMar>
              <w:bottom w:w="0" w:type="dxa"/>
            </w:tcMar>
            <w:vAlign w:val="bottom"/>
          </w:tcPr>
          <w:p>
            <w:pPr>
              <w:pStyle w:val="TableContents"/>
              <w:spacing w:before="0" w:after="283"/>
              <w:jc w:val="left"/>
              <w:rPr/>
            </w:pPr>
            <w:r>
              <w:rPr/>
              <w:t> </w:t>
            </w:r>
          </w:p>
        </w:tc>
      </w:tr>
      <w:tr>
        <w:trPr/>
        <w:tc>
          <w:tcPr>
            <w:tcW w:w="1398" w:type="dxa"/>
            <w:tcBorders/>
            <w:shd w:fill="FFFFFF" w:val="clear"/>
            <w:tcMar>
              <w:bottom w:w="0" w:type="dxa"/>
            </w:tcMar>
            <w:vAlign w:val="bottom"/>
          </w:tcPr>
          <w:p>
            <w:pPr>
              <w:pStyle w:val="TableContents"/>
              <w:spacing w:lineRule="auto" w:line="300" w:before="0" w:after="0"/>
              <w:ind w:left="180" w:right="0" w:hanging="180"/>
              <w:jc w:val="left"/>
              <w:rPr>
                <w:rFonts w:ascii="Times New Roman" w:hAnsi="Times New Roman"/>
                <w:sz w:val="20"/>
              </w:rPr>
            </w:pPr>
            <w:r>
              <w:rPr>
                <w:rFonts w:ascii="Times New Roman" w:hAnsi="Times New Roman"/>
                <w:sz w:val="20"/>
              </w:rPr>
              <w:t>Other comprehensive income:</w:t>
            </w:r>
          </w:p>
        </w:tc>
        <w:tc>
          <w:tcPr>
            <w:tcW w:w="70" w:type="dxa"/>
            <w:tcBorders/>
            <w:shd w:fill="FFFFFF" w:val="clear"/>
            <w:tcMar>
              <w:bottom w:w="0" w:type="dxa"/>
            </w:tcMar>
            <w:vAlign w:val="center"/>
          </w:tcPr>
          <w:p>
            <w:pPr>
              <w:pStyle w:val="TableContents"/>
              <w:spacing w:before="0" w:after="283"/>
              <w:rPr/>
            </w:pPr>
            <w:r>
              <w:rPr/>
              <w:t> </w:t>
            </w:r>
          </w:p>
        </w:tc>
        <w:tc>
          <w:tcPr>
            <w:tcW w:w="70" w:type="dxa"/>
            <w:tcBorders/>
            <w:shd w:fill="FFFFFF" w:val="clear"/>
            <w:tcMar>
              <w:bottom w:w="0" w:type="dxa"/>
            </w:tcMar>
            <w:vAlign w:val="bottom"/>
          </w:tcPr>
          <w:p>
            <w:pPr>
              <w:pStyle w:val="TableContents"/>
              <w:spacing w:before="0" w:after="283"/>
              <w:jc w:val="left"/>
              <w:rPr/>
            </w:pPr>
            <w:r>
              <w:rPr/>
              <w:t> </w:t>
            </w:r>
          </w:p>
        </w:tc>
        <w:tc>
          <w:tcPr>
            <w:tcW w:w="625"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89" w:type="dxa"/>
            <w:tcBorders/>
            <w:shd w:fill="FFFFFF" w:val="clear"/>
            <w:tcMar>
              <w:bottom w:w="0" w:type="dxa"/>
            </w:tcMar>
            <w:vAlign w:val="bottom"/>
          </w:tcPr>
          <w:p>
            <w:pPr>
              <w:pStyle w:val="TableContents"/>
              <w:spacing w:before="0" w:after="283"/>
              <w:jc w:val="left"/>
              <w:rPr/>
            </w:pPr>
            <w:r>
              <w:rPr/>
              <w:t> </w:t>
            </w:r>
          </w:p>
        </w:tc>
        <w:tc>
          <w:tcPr>
            <w:tcW w:w="144" w:type="dxa"/>
            <w:tcBorders/>
            <w:shd w:fill="FFFFFF" w:val="clear"/>
            <w:tcMar>
              <w:bottom w:w="0" w:type="dxa"/>
            </w:tcMar>
            <w:vAlign w:val="bottom"/>
          </w:tcPr>
          <w:p>
            <w:pPr>
              <w:pStyle w:val="TableContents"/>
              <w:spacing w:before="0" w:after="283"/>
              <w:jc w:val="left"/>
              <w:rPr/>
            </w:pPr>
            <w:r>
              <w:rPr/>
              <w:t> </w:t>
            </w:r>
          </w:p>
        </w:tc>
        <w:tc>
          <w:tcPr>
            <w:tcW w:w="423"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70" w:type="dxa"/>
            <w:tcBorders/>
            <w:shd w:fill="FFFFFF" w:val="clear"/>
            <w:tcMar>
              <w:bottom w:w="0" w:type="dxa"/>
            </w:tcMar>
            <w:vAlign w:val="bottom"/>
          </w:tcPr>
          <w:p>
            <w:pPr>
              <w:pStyle w:val="TableContents"/>
              <w:spacing w:before="0" w:after="283"/>
              <w:jc w:val="left"/>
              <w:rPr/>
            </w:pPr>
            <w:r>
              <w:rPr/>
              <w:t> </w:t>
            </w:r>
          </w:p>
        </w:tc>
        <w:tc>
          <w:tcPr>
            <w:tcW w:w="74" w:type="dxa"/>
            <w:tcBorders/>
            <w:shd w:fill="FFFFFF" w:val="clear"/>
            <w:tcMar>
              <w:bottom w:w="0" w:type="dxa"/>
            </w:tcMar>
            <w:vAlign w:val="bottom"/>
          </w:tcPr>
          <w:p>
            <w:pPr>
              <w:pStyle w:val="TableContents"/>
              <w:spacing w:before="0" w:after="283"/>
              <w:jc w:val="left"/>
              <w:rPr/>
            </w:pPr>
            <w:r>
              <w:rPr/>
              <w:t> </w:t>
            </w:r>
          </w:p>
        </w:tc>
        <w:tc>
          <w:tcPr>
            <w:tcW w:w="565"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89" w:type="dxa"/>
            <w:tcBorders/>
            <w:shd w:fill="FFFFFF" w:val="clear"/>
            <w:tcMar>
              <w:bottom w:w="0" w:type="dxa"/>
            </w:tcMar>
            <w:vAlign w:val="bottom"/>
          </w:tcPr>
          <w:p>
            <w:pPr>
              <w:pStyle w:val="TableContents"/>
              <w:spacing w:before="0" w:after="283"/>
              <w:jc w:val="left"/>
              <w:rPr/>
            </w:pPr>
            <w:r>
              <w:rPr/>
              <w:t> </w:t>
            </w:r>
          </w:p>
        </w:tc>
        <w:tc>
          <w:tcPr>
            <w:tcW w:w="184" w:type="dxa"/>
            <w:tcBorders/>
            <w:shd w:fill="FFFFFF" w:val="clear"/>
            <w:tcMar>
              <w:bottom w:w="0" w:type="dxa"/>
            </w:tcMar>
            <w:vAlign w:val="bottom"/>
          </w:tcPr>
          <w:p>
            <w:pPr>
              <w:pStyle w:val="TableContents"/>
              <w:spacing w:before="0" w:after="283"/>
              <w:jc w:val="left"/>
              <w:rPr/>
            </w:pPr>
            <w:r>
              <w:rPr/>
              <w:t> </w:t>
            </w:r>
          </w:p>
        </w:tc>
        <w:tc>
          <w:tcPr>
            <w:tcW w:w="383"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89" w:type="dxa"/>
            <w:tcBorders/>
            <w:shd w:fill="FFFFFF" w:val="clear"/>
            <w:tcMar>
              <w:bottom w:w="0" w:type="dxa"/>
            </w:tcMar>
            <w:vAlign w:val="bottom"/>
          </w:tcPr>
          <w:p>
            <w:pPr>
              <w:pStyle w:val="TableContents"/>
              <w:spacing w:before="0" w:after="283"/>
              <w:jc w:val="left"/>
              <w:rPr/>
            </w:pPr>
            <w:r>
              <w:rPr/>
              <w:t> </w:t>
            </w:r>
          </w:p>
        </w:tc>
        <w:tc>
          <w:tcPr>
            <w:tcW w:w="145" w:type="dxa"/>
            <w:tcBorders/>
            <w:shd w:fill="FFFFFF" w:val="clear"/>
            <w:tcMar>
              <w:bottom w:w="0" w:type="dxa"/>
            </w:tcMar>
            <w:vAlign w:val="bottom"/>
          </w:tcPr>
          <w:p>
            <w:pPr>
              <w:pStyle w:val="TableContents"/>
              <w:spacing w:before="0" w:after="283"/>
              <w:jc w:val="left"/>
              <w:rPr/>
            </w:pPr>
            <w:r>
              <w:rPr/>
              <w:t> </w:t>
            </w:r>
          </w:p>
        </w:tc>
        <w:tc>
          <w:tcPr>
            <w:tcW w:w="804"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70" w:type="dxa"/>
            <w:tcBorders/>
            <w:shd w:fill="FFFFFF" w:val="clear"/>
            <w:tcMar>
              <w:bottom w:w="0" w:type="dxa"/>
            </w:tcMar>
            <w:vAlign w:val="bottom"/>
          </w:tcPr>
          <w:p>
            <w:pPr>
              <w:pStyle w:val="TableContents"/>
              <w:spacing w:before="0" w:after="283"/>
              <w:jc w:val="left"/>
              <w:rPr/>
            </w:pPr>
            <w:r>
              <w:rPr/>
              <w:t> </w:t>
            </w:r>
          </w:p>
        </w:tc>
        <w:tc>
          <w:tcPr>
            <w:tcW w:w="157" w:type="dxa"/>
            <w:tcBorders/>
            <w:shd w:fill="FFFFFF" w:val="clear"/>
            <w:tcMar>
              <w:bottom w:w="0" w:type="dxa"/>
            </w:tcMar>
            <w:vAlign w:val="bottom"/>
          </w:tcPr>
          <w:p>
            <w:pPr>
              <w:pStyle w:val="TableContents"/>
              <w:spacing w:before="0" w:after="283"/>
              <w:jc w:val="left"/>
              <w:rPr/>
            </w:pPr>
            <w:r>
              <w:rPr/>
              <w:t> </w:t>
            </w:r>
          </w:p>
        </w:tc>
        <w:tc>
          <w:tcPr>
            <w:tcW w:w="693"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2598" w:name="TAB11135"/>
            <w:bookmarkEnd w:id="2598"/>
            <w:r>
              <w:rPr>
                <w:rFonts w:ascii="Times New Roman" w:hAnsi="Times New Roman"/>
                <w:sz w:val="20"/>
              </w:rPr>
              <w:t>--</w:t>
            </w:r>
          </w:p>
        </w:tc>
        <w:tc>
          <w:tcPr>
            <w:tcW w:w="89" w:type="dxa"/>
            <w:tcBorders/>
            <w:shd w:fill="FFFFFF" w:val="clear"/>
            <w:tcMar>
              <w:bottom w:w="0" w:type="dxa"/>
            </w:tcMar>
            <w:vAlign w:val="bottom"/>
          </w:tcPr>
          <w:p>
            <w:pPr>
              <w:pStyle w:val="TableContents"/>
              <w:spacing w:before="0" w:after="283"/>
              <w:jc w:val="left"/>
              <w:rPr/>
            </w:pPr>
            <w:r>
              <w:rPr/>
              <w:t> </w:t>
            </w:r>
          </w:p>
        </w:tc>
        <w:tc>
          <w:tcPr>
            <w:tcW w:w="185" w:type="dxa"/>
            <w:tcBorders/>
            <w:shd w:fill="FFFFFF" w:val="clear"/>
            <w:tcMar>
              <w:bottom w:w="0" w:type="dxa"/>
            </w:tcMar>
            <w:vAlign w:val="bottom"/>
          </w:tcPr>
          <w:p>
            <w:pPr>
              <w:pStyle w:val="TableContents"/>
              <w:spacing w:before="0" w:after="283"/>
              <w:jc w:val="left"/>
              <w:rPr/>
            </w:pPr>
            <w:r>
              <w:rPr/>
              <w:t> </w:t>
            </w:r>
          </w:p>
        </w:tc>
        <w:tc>
          <w:tcPr>
            <w:tcW w:w="962"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89" w:type="dxa"/>
            <w:tcBorders/>
            <w:shd w:fill="FFFFFF" w:val="clear"/>
            <w:tcMar>
              <w:bottom w:w="0" w:type="dxa"/>
            </w:tcMar>
            <w:vAlign w:val="bottom"/>
          </w:tcPr>
          <w:p>
            <w:pPr>
              <w:pStyle w:val="TableContents"/>
              <w:spacing w:before="0" w:after="283"/>
              <w:jc w:val="left"/>
              <w:rPr/>
            </w:pPr>
            <w:r>
              <w:rPr/>
              <w:t> </w:t>
            </w:r>
          </w:p>
        </w:tc>
        <w:tc>
          <w:tcPr>
            <w:tcW w:w="234" w:type="dxa"/>
            <w:tcBorders/>
            <w:shd w:fill="FFFFFF" w:val="clear"/>
            <w:tcMar>
              <w:bottom w:w="0" w:type="dxa"/>
            </w:tcMar>
            <w:vAlign w:val="bottom"/>
          </w:tcPr>
          <w:p>
            <w:pPr>
              <w:pStyle w:val="TableContents"/>
              <w:spacing w:before="0" w:after="283"/>
              <w:jc w:val="left"/>
              <w:rPr/>
            </w:pPr>
            <w:r>
              <w:rPr/>
              <w:t> </w:t>
            </w:r>
          </w:p>
        </w:tc>
        <w:tc>
          <w:tcPr>
            <w:tcW w:w="1110"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89" w:type="dxa"/>
            <w:tcBorders/>
            <w:shd w:fill="FFFFFF" w:val="clear"/>
            <w:tcMar>
              <w:bottom w:w="0" w:type="dxa"/>
            </w:tcMar>
            <w:vAlign w:val="bottom"/>
          </w:tcPr>
          <w:p>
            <w:pPr>
              <w:pStyle w:val="TableContents"/>
              <w:spacing w:before="0" w:after="283"/>
              <w:jc w:val="left"/>
              <w:rPr/>
            </w:pPr>
            <w:r>
              <w:rPr/>
              <w:t> </w:t>
            </w:r>
          </w:p>
        </w:tc>
        <w:tc>
          <w:tcPr>
            <w:tcW w:w="181" w:type="dxa"/>
            <w:tcBorders/>
            <w:shd w:fill="FFFFFF" w:val="clear"/>
            <w:tcMar>
              <w:bottom w:w="0" w:type="dxa"/>
            </w:tcMar>
            <w:vAlign w:val="bottom"/>
          </w:tcPr>
          <w:p>
            <w:pPr>
              <w:pStyle w:val="TableContents"/>
              <w:spacing w:before="0" w:after="283"/>
              <w:jc w:val="left"/>
              <w:rPr/>
            </w:pPr>
            <w:r>
              <w:rPr/>
              <w:t> </w:t>
            </w:r>
          </w:p>
        </w:tc>
        <w:tc>
          <w:tcPr>
            <w:tcW w:w="1007"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117" w:type="dxa"/>
            <w:tcBorders/>
            <w:shd w:fill="FFFFFF" w:val="clear"/>
            <w:tcMar>
              <w:bottom w:w="0" w:type="dxa"/>
            </w:tcMar>
            <w:vAlign w:val="bottom"/>
          </w:tcPr>
          <w:p>
            <w:pPr>
              <w:pStyle w:val="TableContents"/>
              <w:spacing w:before="0" w:after="283"/>
              <w:jc w:val="left"/>
              <w:rPr/>
            </w:pPr>
            <w:r>
              <w:rPr/>
              <w:t> </w:t>
            </w:r>
          </w:p>
        </w:tc>
      </w:tr>
      <w:tr>
        <w:trPr/>
        <w:tc>
          <w:tcPr>
            <w:tcW w:w="1398" w:type="dxa"/>
            <w:tcBorders/>
            <w:shd w:fill="CCEEFF" w:val="clear"/>
            <w:tcMar>
              <w:bottom w:w="0" w:type="dxa"/>
            </w:tcMar>
            <w:vAlign w:val="bottom"/>
          </w:tcPr>
          <w:p>
            <w:pPr>
              <w:pStyle w:val="TableContents"/>
              <w:spacing w:lineRule="auto" w:line="300" w:before="0" w:after="0"/>
              <w:ind w:left="360" w:right="0" w:hanging="180"/>
              <w:jc w:val="left"/>
              <w:rPr>
                <w:rFonts w:ascii="Times New Roman" w:hAnsi="Times New Roman"/>
                <w:sz w:val="20"/>
              </w:rPr>
            </w:pPr>
            <w:r>
              <w:rPr>
                <w:rFonts w:ascii="Times New Roman" w:hAnsi="Times New Roman"/>
                <w:sz w:val="20"/>
              </w:rPr>
              <w:t>Cumulative foreign exchange rate adjustment</w:t>
            </w:r>
          </w:p>
        </w:tc>
        <w:tc>
          <w:tcPr>
            <w:tcW w:w="70" w:type="dxa"/>
            <w:tcBorders/>
            <w:shd w:fill="CCEEFF" w:val="clear"/>
            <w:tcMar>
              <w:bottom w:w="0" w:type="dxa"/>
            </w:tcMar>
            <w:vAlign w:val="center"/>
          </w:tcPr>
          <w:p>
            <w:pPr>
              <w:pStyle w:val="TableContents"/>
              <w:spacing w:before="0" w:after="283"/>
              <w:rPr/>
            </w:pPr>
            <w:r>
              <w:rPr/>
              <w:t> </w:t>
            </w:r>
          </w:p>
        </w:tc>
        <w:tc>
          <w:tcPr>
            <w:tcW w:w="70" w:type="dxa"/>
            <w:tcBorders/>
            <w:shd w:fill="CCEEFF" w:val="clear"/>
            <w:tcMar>
              <w:bottom w:w="0" w:type="dxa"/>
            </w:tcMar>
            <w:vAlign w:val="bottom"/>
          </w:tcPr>
          <w:p>
            <w:pPr>
              <w:pStyle w:val="TableContents"/>
              <w:spacing w:before="0" w:after="283"/>
              <w:jc w:val="left"/>
              <w:rPr/>
            </w:pPr>
            <w:r>
              <w:rPr/>
              <w:t> </w:t>
            </w:r>
          </w:p>
        </w:tc>
        <w:tc>
          <w:tcPr>
            <w:tcW w:w="625"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89" w:type="dxa"/>
            <w:tcBorders/>
            <w:shd w:fill="CCEEFF" w:val="clear"/>
            <w:tcMar>
              <w:bottom w:w="0" w:type="dxa"/>
            </w:tcMar>
            <w:vAlign w:val="bottom"/>
          </w:tcPr>
          <w:p>
            <w:pPr>
              <w:pStyle w:val="TableContents"/>
              <w:spacing w:before="0" w:after="283"/>
              <w:jc w:val="left"/>
              <w:rPr/>
            </w:pPr>
            <w:r>
              <w:rPr/>
              <w:t> </w:t>
            </w:r>
          </w:p>
        </w:tc>
        <w:tc>
          <w:tcPr>
            <w:tcW w:w="144" w:type="dxa"/>
            <w:tcBorders/>
            <w:shd w:fill="CCEEFF" w:val="clear"/>
            <w:tcMar>
              <w:bottom w:w="0" w:type="dxa"/>
            </w:tcMar>
            <w:vAlign w:val="bottom"/>
          </w:tcPr>
          <w:p>
            <w:pPr>
              <w:pStyle w:val="TableContents"/>
              <w:spacing w:before="0" w:after="283"/>
              <w:jc w:val="left"/>
              <w:rPr/>
            </w:pPr>
            <w:r>
              <w:rPr/>
              <w:t> </w:t>
            </w:r>
          </w:p>
        </w:tc>
        <w:tc>
          <w:tcPr>
            <w:tcW w:w="423"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70" w:type="dxa"/>
            <w:tcBorders/>
            <w:shd w:fill="CCEEFF" w:val="clear"/>
            <w:tcMar>
              <w:bottom w:w="0" w:type="dxa"/>
            </w:tcMar>
            <w:vAlign w:val="bottom"/>
          </w:tcPr>
          <w:p>
            <w:pPr>
              <w:pStyle w:val="TableContents"/>
              <w:spacing w:before="0" w:after="283"/>
              <w:jc w:val="left"/>
              <w:rPr/>
            </w:pPr>
            <w:r>
              <w:rPr/>
              <w:t> </w:t>
            </w:r>
          </w:p>
        </w:tc>
        <w:tc>
          <w:tcPr>
            <w:tcW w:w="74" w:type="dxa"/>
            <w:tcBorders/>
            <w:shd w:fill="CCEEFF" w:val="clear"/>
            <w:tcMar>
              <w:bottom w:w="0" w:type="dxa"/>
            </w:tcMar>
            <w:vAlign w:val="bottom"/>
          </w:tcPr>
          <w:p>
            <w:pPr>
              <w:pStyle w:val="TableContents"/>
              <w:spacing w:before="0" w:after="283"/>
              <w:jc w:val="left"/>
              <w:rPr/>
            </w:pPr>
            <w:r>
              <w:rPr/>
              <w:t> </w:t>
            </w:r>
          </w:p>
        </w:tc>
        <w:tc>
          <w:tcPr>
            <w:tcW w:w="565"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89" w:type="dxa"/>
            <w:tcBorders/>
            <w:shd w:fill="CCEEFF" w:val="clear"/>
            <w:tcMar>
              <w:bottom w:w="0" w:type="dxa"/>
            </w:tcMar>
            <w:vAlign w:val="bottom"/>
          </w:tcPr>
          <w:p>
            <w:pPr>
              <w:pStyle w:val="TableContents"/>
              <w:spacing w:before="0" w:after="283"/>
              <w:jc w:val="left"/>
              <w:rPr/>
            </w:pPr>
            <w:r>
              <w:rPr/>
              <w:t> </w:t>
            </w:r>
          </w:p>
        </w:tc>
        <w:tc>
          <w:tcPr>
            <w:tcW w:w="184" w:type="dxa"/>
            <w:tcBorders/>
            <w:shd w:fill="CCEEFF" w:val="clear"/>
            <w:tcMar>
              <w:bottom w:w="0" w:type="dxa"/>
            </w:tcMar>
            <w:vAlign w:val="bottom"/>
          </w:tcPr>
          <w:p>
            <w:pPr>
              <w:pStyle w:val="TableContents"/>
              <w:spacing w:before="0" w:after="283"/>
              <w:jc w:val="left"/>
              <w:rPr/>
            </w:pPr>
            <w:r>
              <w:rPr/>
              <w:t> </w:t>
            </w:r>
          </w:p>
        </w:tc>
        <w:tc>
          <w:tcPr>
            <w:tcW w:w="383"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89" w:type="dxa"/>
            <w:tcBorders/>
            <w:shd w:fill="CCEEFF" w:val="clear"/>
            <w:tcMar>
              <w:bottom w:w="0" w:type="dxa"/>
            </w:tcMar>
            <w:vAlign w:val="bottom"/>
          </w:tcPr>
          <w:p>
            <w:pPr>
              <w:pStyle w:val="TableContents"/>
              <w:spacing w:before="0" w:after="283"/>
              <w:jc w:val="left"/>
              <w:rPr/>
            </w:pPr>
            <w:r>
              <w:rPr/>
              <w:t> </w:t>
            </w:r>
          </w:p>
        </w:tc>
        <w:tc>
          <w:tcPr>
            <w:tcW w:w="145" w:type="dxa"/>
            <w:tcBorders/>
            <w:shd w:fill="CCEEFF" w:val="clear"/>
            <w:tcMar>
              <w:bottom w:w="0" w:type="dxa"/>
            </w:tcMar>
            <w:vAlign w:val="bottom"/>
          </w:tcPr>
          <w:p>
            <w:pPr>
              <w:pStyle w:val="TableContents"/>
              <w:spacing w:before="0" w:after="283"/>
              <w:jc w:val="left"/>
              <w:rPr/>
            </w:pPr>
            <w:r>
              <w:rPr/>
              <w:t> </w:t>
            </w:r>
          </w:p>
        </w:tc>
        <w:tc>
          <w:tcPr>
            <w:tcW w:w="804"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70" w:type="dxa"/>
            <w:tcBorders/>
            <w:shd w:fill="CCEEFF" w:val="clear"/>
            <w:tcMar>
              <w:bottom w:w="0" w:type="dxa"/>
            </w:tcMar>
            <w:vAlign w:val="bottom"/>
          </w:tcPr>
          <w:p>
            <w:pPr>
              <w:pStyle w:val="TableContents"/>
              <w:spacing w:before="0" w:after="283"/>
              <w:jc w:val="left"/>
              <w:rPr/>
            </w:pPr>
            <w:r>
              <w:rPr/>
              <w:t> </w:t>
            </w:r>
          </w:p>
        </w:tc>
        <w:tc>
          <w:tcPr>
            <w:tcW w:w="157" w:type="dxa"/>
            <w:tcBorders/>
            <w:shd w:fill="CCEEFF" w:val="clear"/>
            <w:tcMar>
              <w:bottom w:w="0" w:type="dxa"/>
            </w:tcMar>
            <w:vAlign w:val="bottom"/>
          </w:tcPr>
          <w:p>
            <w:pPr>
              <w:pStyle w:val="TableContents"/>
              <w:spacing w:before="0" w:after="283"/>
              <w:jc w:val="left"/>
              <w:rPr/>
            </w:pPr>
            <w:r>
              <w:rPr/>
              <w:t> </w:t>
            </w:r>
          </w:p>
        </w:tc>
        <w:tc>
          <w:tcPr>
            <w:tcW w:w="693"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2599" w:name="TAB11136"/>
            <w:bookmarkEnd w:id="2599"/>
            <w:r>
              <w:rPr>
                <w:rFonts w:ascii="Times New Roman" w:hAnsi="Times New Roman"/>
                <w:sz w:val="20"/>
              </w:rPr>
              <w:t>--</w:t>
            </w:r>
          </w:p>
        </w:tc>
        <w:tc>
          <w:tcPr>
            <w:tcW w:w="89" w:type="dxa"/>
            <w:tcBorders/>
            <w:shd w:fill="CCEEFF" w:val="clear"/>
            <w:tcMar>
              <w:bottom w:w="0" w:type="dxa"/>
            </w:tcMar>
            <w:vAlign w:val="bottom"/>
          </w:tcPr>
          <w:p>
            <w:pPr>
              <w:pStyle w:val="TableContents"/>
              <w:spacing w:before="0" w:after="283"/>
              <w:jc w:val="left"/>
              <w:rPr/>
            </w:pPr>
            <w:r>
              <w:rPr/>
              <w:t> </w:t>
            </w:r>
          </w:p>
        </w:tc>
        <w:tc>
          <w:tcPr>
            <w:tcW w:w="185" w:type="dxa"/>
            <w:tcBorders/>
            <w:shd w:fill="CCEEFF" w:val="clear"/>
            <w:tcMar>
              <w:bottom w:w="0" w:type="dxa"/>
            </w:tcMar>
            <w:vAlign w:val="bottom"/>
          </w:tcPr>
          <w:p>
            <w:pPr>
              <w:pStyle w:val="TableContents"/>
              <w:spacing w:before="0" w:after="283"/>
              <w:jc w:val="left"/>
              <w:rPr/>
            </w:pPr>
            <w:r>
              <w:rPr/>
              <w:t> </w:t>
            </w:r>
          </w:p>
        </w:tc>
        <w:tc>
          <w:tcPr>
            <w:tcW w:w="962"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89" w:type="dxa"/>
            <w:tcBorders/>
            <w:shd w:fill="CCEEFF" w:val="clear"/>
            <w:tcMar>
              <w:bottom w:w="0" w:type="dxa"/>
            </w:tcMar>
            <w:vAlign w:val="bottom"/>
          </w:tcPr>
          <w:p>
            <w:pPr>
              <w:pStyle w:val="TableContents"/>
              <w:spacing w:before="0" w:after="283"/>
              <w:jc w:val="left"/>
              <w:rPr/>
            </w:pPr>
            <w:r>
              <w:rPr/>
              <w:t> </w:t>
            </w:r>
          </w:p>
        </w:tc>
        <w:tc>
          <w:tcPr>
            <w:tcW w:w="234" w:type="dxa"/>
            <w:tcBorders/>
            <w:shd w:fill="CCEEFF" w:val="clear"/>
            <w:tcMar>
              <w:bottom w:w="0" w:type="dxa"/>
            </w:tcMar>
            <w:vAlign w:val="bottom"/>
          </w:tcPr>
          <w:p>
            <w:pPr>
              <w:pStyle w:val="TableContents"/>
              <w:spacing w:before="0" w:after="283"/>
              <w:jc w:val="left"/>
              <w:rPr/>
            </w:pPr>
            <w:r>
              <w:rPr/>
              <w:t> </w:t>
            </w:r>
          </w:p>
        </w:tc>
        <w:tc>
          <w:tcPr>
            <w:tcW w:w="1110"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(3,822</w:t>
            </w:r>
          </w:p>
        </w:tc>
        <w:tc>
          <w:tcPr>
            <w:tcW w:w="89"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81" w:type="dxa"/>
            <w:tcBorders/>
            <w:shd w:fill="CCEEFF" w:val="clear"/>
            <w:tcMar>
              <w:bottom w:w="0" w:type="dxa"/>
            </w:tcMar>
            <w:vAlign w:val="bottom"/>
          </w:tcPr>
          <w:p>
            <w:pPr>
              <w:pStyle w:val="TableContents"/>
              <w:spacing w:before="0" w:after="283"/>
              <w:jc w:val="left"/>
              <w:rPr/>
            </w:pPr>
            <w:r>
              <w:rPr/>
              <w:t> </w:t>
            </w:r>
          </w:p>
        </w:tc>
        <w:tc>
          <w:tcPr>
            <w:tcW w:w="1007"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(3,822</w:t>
            </w:r>
          </w:p>
        </w:tc>
        <w:tc>
          <w:tcPr>
            <w:tcW w:w="117"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r>
      <w:tr>
        <w:trPr/>
        <w:tc>
          <w:tcPr>
            <w:tcW w:w="1398" w:type="dxa"/>
            <w:tcBorders>
              <w:bottom w:val="single" w:sz="2" w:space="0" w:color="000000"/>
            </w:tcBorders>
            <w:shd w:fill="FFFFFF" w:val="clear"/>
            <w:vAlign w:val="bottom"/>
          </w:tcPr>
          <w:p>
            <w:pPr>
              <w:pStyle w:val="TableContents"/>
              <w:spacing w:lineRule="auto" w:line="300" w:before="0" w:after="0"/>
              <w:ind w:left="360" w:right="0" w:hanging="180"/>
              <w:jc w:val="left"/>
              <w:rPr>
                <w:rFonts w:ascii="Times New Roman" w:hAnsi="Times New Roman"/>
                <w:sz w:val="20"/>
              </w:rPr>
            </w:pPr>
            <w:r>
              <w:rPr>
                <w:rFonts w:ascii="Times New Roman" w:hAnsi="Times New Roman"/>
                <w:sz w:val="20"/>
              </w:rPr>
              <w:t>Unrealized gain on securities</w:t>
            </w:r>
          </w:p>
        </w:tc>
        <w:tc>
          <w:tcPr>
            <w:tcW w:w="70" w:type="dxa"/>
            <w:tcBorders>
              <w:bottom w:val="single" w:sz="2" w:space="0" w:color="FFFFFF"/>
            </w:tcBorders>
            <w:shd w:fill="FFFFFF" w:val="clear"/>
            <w:vAlign w:val="center"/>
          </w:tcPr>
          <w:p>
            <w:pPr>
              <w:pStyle w:val="TableContents"/>
              <w:spacing w:before="0" w:after="283"/>
              <w:rPr/>
            </w:pPr>
            <w:r>
              <w:rPr/>
              <w:t> </w:t>
            </w:r>
          </w:p>
        </w:tc>
        <w:tc>
          <w:tcPr>
            <w:tcW w:w="70" w:type="dxa"/>
            <w:tcBorders>
              <w:bottom w:val="single" w:sz="2" w:space="0" w:color="000000"/>
            </w:tcBorders>
            <w:shd w:fill="FFFFFF" w:val="clear"/>
            <w:vAlign w:val="bottom"/>
          </w:tcPr>
          <w:p>
            <w:pPr>
              <w:pStyle w:val="TableContents"/>
              <w:spacing w:before="0" w:after="283"/>
              <w:jc w:val="left"/>
              <w:rPr/>
            </w:pPr>
            <w:r>
              <w:rPr/>
              <w:t> </w:t>
            </w:r>
          </w:p>
        </w:tc>
        <w:tc>
          <w:tcPr>
            <w:tcW w:w="625"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89" w:type="dxa"/>
            <w:tcBorders>
              <w:bottom w:val="single" w:sz="2" w:space="0" w:color="FFFFFF"/>
            </w:tcBorders>
            <w:shd w:fill="FFFFFF" w:val="clear"/>
            <w:vAlign w:val="bottom"/>
          </w:tcPr>
          <w:p>
            <w:pPr>
              <w:pStyle w:val="TableContents"/>
              <w:spacing w:before="0" w:after="283"/>
              <w:jc w:val="left"/>
              <w:rPr/>
            </w:pPr>
            <w:r>
              <w:rPr/>
              <w:t> </w:t>
            </w:r>
          </w:p>
        </w:tc>
        <w:tc>
          <w:tcPr>
            <w:tcW w:w="144" w:type="dxa"/>
            <w:tcBorders>
              <w:bottom w:val="single" w:sz="2" w:space="0" w:color="000000"/>
            </w:tcBorders>
            <w:shd w:fill="FFFFFF" w:val="clear"/>
            <w:vAlign w:val="bottom"/>
          </w:tcPr>
          <w:p>
            <w:pPr>
              <w:pStyle w:val="TableContents"/>
              <w:spacing w:before="0" w:after="283"/>
              <w:jc w:val="left"/>
              <w:rPr/>
            </w:pPr>
            <w:r>
              <w:rPr/>
              <w:t> </w:t>
            </w:r>
          </w:p>
        </w:tc>
        <w:tc>
          <w:tcPr>
            <w:tcW w:w="423"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70" w:type="dxa"/>
            <w:tcBorders>
              <w:bottom w:val="single" w:sz="2" w:space="0" w:color="FFFFFF"/>
            </w:tcBorders>
            <w:shd w:fill="FFFFFF" w:val="clear"/>
            <w:vAlign w:val="bottom"/>
          </w:tcPr>
          <w:p>
            <w:pPr>
              <w:pStyle w:val="TableContents"/>
              <w:spacing w:before="0" w:after="283"/>
              <w:jc w:val="left"/>
              <w:rPr/>
            </w:pPr>
            <w:r>
              <w:rPr/>
              <w:t> </w:t>
            </w:r>
          </w:p>
        </w:tc>
        <w:tc>
          <w:tcPr>
            <w:tcW w:w="74" w:type="dxa"/>
            <w:tcBorders>
              <w:bottom w:val="single" w:sz="2" w:space="0" w:color="000000"/>
            </w:tcBorders>
            <w:shd w:fill="FFFFFF" w:val="clear"/>
            <w:vAlign w:val="bottom"/>
          </w:tcPr>
          <w:p>
            <w:pPr>
              <w:pStyle w:val="TableContents"/>
              <w:spacing w:before="0" w:after="283"/>
              <w:jc w:val="left"/>
              <w:rPr/>
            </w:pPr>
            <w:r>
              <w:rPr/>
              <w:t> </w:t>
            </w:r>
          </w:p>
        </w:tc>
        <w:tc>
          <w:tcPr>
            <w:tcW w:w="565"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89" w:type="dxa"/>
            <w:tcBorders>
              <w:bottom w:val="single" w:sz="2" w:space="0" w:color="FFFFFF"/>
            </w:tcBorders>
            <w:shd w:fill="FFFFFF" w:val="clear"/>
            <w:vAlign w:val="bottom"/>
          </w:tcPr>
          <w:p>
            <w:pPr>
              <w:pStyle w:val="TableContents"/>
              <w:spacing w:before="0" w:after="283"/>
              <w:jc w:val="left"/>
              <w:rPr/>
            </w:pPr>
            <w:r>
              <w:rPr/>
              <w:t> </w:t>
            </w:r>
          </w:p>
        </w:tc>
        <w:tc>
          <w:tcPr>
            <w:tcW w:w="184" w:type="dxa"/>
            <w:tcBorders>
              <w:bottom w:val="single" w:sz="2" w:space="0" w:color="000000"/>
            </w:tcBorders>
            <w:shd w:fill="FFFFFF" w:val="clear"/>
            <w:vAlign w:val="bottom"/>
          </w:tcPr>
          <w:p>
            <w:pPr>
              <w:pStyle w:val="TableContents"/>
              <w:spacing w:before="0" w:after="283"/>
              <w:jc w:val="left"/>
              <w:rPr/>
            </w:pPr>
            <w:r>
              <w:rPr/>
              <w:t> </w:t>
            </w:r>
          </w:p>
        </w:tc>
        <w:tc>
          <w:tcPr>
            <w:tcW w:w="383"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89" w:type="dxa"/>
            <w:tcBorders>
              <w:bottom w:val="single" w:sz="2" w:space="0" w:color="FFFFFF"/>
            </w:tcBorders>
            <w:shd w:fill="FFFFFF" w:val="clear"/>
            <w:vAlign w:val="bottom"/>
          </w:tcPr>
          <w:p>
            <w:pPr>
              <w:pStyle w:val="TableContents"/>
              <w:spacing w:before="0" w:after="283"/>
              <w:jc w:val="left"/>
              <w:rPr/>
            </w:pPr>
            <w:r>
              <w:rPr/>
              <w:t> </w:t>
            </w:r>
          </w:p>
        </w:tc>
        <w:tc>
          <w:tcPr>
            <w:tcW w:w="145" w:type="dxa"/>
            <w:tcBorders>
              <w:bottom w:val="single" w:sz="2" w:space="0" w:color="000000"/>
            </w:tcBorders>
            <w:shd w:fill="FFFFFF" w:val="clear"/>
            <w:vAlign w:val="bottom"/>
          </w:tcPr>
          <w:p>
            <w:pPr>
              <w:pStyle w:val="TableContents"/>
              <w:spacing w:before="0" w:after="283"/>
              <w:jc w:val="left"/>
              <w:rPr/>
            </w:pPr>
            <w:r>
              <w:rPr/>
              <w:t> </w:t>
            </w:r>
          </w:p>
        </w:tc>
        <w:tc>
          <w:tcPr>
            <w:tcW w:w="804"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70" w:type="dxa"/>
            <w:tcBorders>
              <w:bottom w:val="single" w:sz="2" w:space="0" w:color="FFFFFF"/>
            </w:tcBorders>
            <w:shd w:fill="FFFFFF" w:val="clear"/>
            <w:vAlign w:val="bottom"/>
          </w:tcPr>
          <w:p>
            <w:pPr>
              <w:pStyle w:val="TableContents"/>
              <w:spacing w:before="0" w:after="283"/>
              <w:jc w:val="left"/>
              <w:rPr/>
            </w:pPr>
            <w:r>
              <w:rPr/>
              <w:t> </w:t>
            </w:r>
          </w:p>
        </w:tc>
        <w:tc>
          <w:tcPr>
            <w:tcW w:w="157" w:type="dxa"/>
            <w:tcBorders>
              <w:bottom w:val="single" w:sz="2" w:space="0" w:color="000000"/>
            </w:tcBorders>
            <w:shd w:fill="FFFFFF" w:val="clear"/>
            <w:vAlign w:val="bottom"/>
          </w:tcPr>
          <w:p>
            <w:pPr>
              <w:pStyle w:val="TableContents"/>
              <w:spacing w:before="0" w:after="283"/>
              <w:jc w:val="left"/>
              <w:rPr/>
            </w:pPr>
            <w:r>
              <w:rPr/>
              <w:t> </w:t>
            </w:r>
          </w:p>
        </w:tc>
        <w:tc>
          <w:tcPr>
            <w:tcW w:w="693"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2600" w:name="TAB11137"/>
            <w:bookmarkEnd w:id="2600"/>
            <w:r>
              <w:rPr>
                <w:rFonts w:ascii="Times New Roman" w:hAnsi="Times New Roman"/>
                <w:sz w:val="20"/>
              </w:rPr>
              <w:t>--</w:t>
            </w:r>
          </w:p>
        </w:tc>
        <w:tc>
          <w:tcPr>
            <w:tcW w:w="89" w:type="dxa"/>
            <w:tcBorders>
              <w:bottom w:val="single" w:sz="2" w:space="0" w:color="FFFFFF"/>
            </w:tcBorders>
            <w:shd w:fill="FFFFFF" w:val="clear"/>
            <w:vAlign w:val="bottom"/>
          </w:tcPr>
          <w:p>
            <w:pPr>
              <w:pStyle w:val="TableContents"/>
              <w:spacing w:before="0" w:after="283"/>
              <w:jc w:val="left"/>
              <w:rPr/>
            </w:pPr>
            <w:r>
              <w:rPr/>
              <w:t> </w:t>
            </w:r>
          </w:p>
        </w:tc>
        <w:tc>
          <w:tcPr>
            <w:tcW w:w="185" w:type="dxa"/>
            <w:tcBorders>
              <w:bottom w:val="single" w:sz="2" w:space="0" w:color="000000"/>
            </w:tcBorders>
            <w:shd w:fill="FFFFFF" w:val="clear"/>
            <w:vAlign w:val="bottom"/>
          </w:tcPr>
          <w:p>
            <w:pPr>
              <w:pStyle w:val="TableContents"/>
              <w:spacing w:before="0" w:after="283"/>
              <w:jc w:val="left"/>
              <w:rPr/>
            </w:pPr>
            <w:r>
              <w:rPr/>
              <w:t> </w:t>
            </w:r>
          </w:p>
        </w:tc>
        <w:tc>
          <w:tcPr>
            <w:tcW w:w="962"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89" w:type="dxa"/>
            <w:tcBorders>
              <w:bottom w:val="single" w:sz="2" w:space="0" w:color="FFFFFF"/>
            </w:tcBorders>
            <w:shd w:fill="FFFFFF" w:val="clear"/>
            <w:vAlign w:val="bottom"/>
          </w:tcPr>
          <w:p>
            <w:pPr>
              <w:pStyle w:val="TableContents"/>
              <w:spacing w:before="0" w:after="283"/>
              <w:jc w:val="left"/>
              <w:rPr/>
            </w:pPr>
            <w:r>
              <w:rPr/>
              <w:t> </w:t>
            </w:r>
          </w:p>
        </w:tc>
        <w:tc>
          <w:tcPr>
            <w:tcW w:w="234" w:type="dxa"/>
            <w:tcBorders>
              <w:bottom w:val="single" w:sz="2" w:space="0" w:color="000000"/>
            </w:tcBorders>
            <w:shd w:fill="FFFFFF" w:val="clear"/>
            <w:vAlign w:val="bottom"/>
          </w:tcPr>
          <w:p>
            <w:pPr>
              <w:pStyle w:val="TableContents"/>
              <w:spacing w:before="0" w:after="283"/>
              <w:jc w:val="left"/>
              <w:rPr/>
            </w:pPr>
            <w:r>
              <w:rPr/>
              <w:t> </w:t>
            </w:r>
          </w:p>
        </w:tc>
        <w:tc>
          <w:tcPr>
            <w:tcW w:w="1110"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11</w:t>
            </w:r>
          </w:p>
        </w:tc>
        <w:tc>
          <w:tcPr>
            <w:tcW w:w="89" w:type="dxa"/>
            <w:tcBorders>
              <w:bottom w:val="single" w:sz="2" w:space="0" w:color="FFFFFF"/>
            </w:tcBorders>
            <w:shd w:fill="FFFFFF" w:val="clear"/>
            <w:vAlign w:val="bottom"/>
          </w:tcPr>
          <w:p>
            <w:pPr>
              <w:pStyle w:val="TableContents"/>
              <w:spacing w:before="0" w:after="283"/>
              <w:jc w:val="left"/>
              <w:rPr/>
            </w:pPr>
            <w:r>
              <w:rPr/>
              <w:t> </w:t>
            </w:r>
          </w:p>
        </w:tc>
        <w:tc>
          <w:tcPr>
            <w:tcW w:w="181" w:type="dxa"/>
            <w:tcBorders>
              <w:bottom w:val="single" w:sz="2" w:space="0" w:color="000000"/>
            </w:tcBorders>
            <w:shd w:fill="FFFFFF" w:val="clear"/>
            <w:vAlign w:val="bottom"/>
          </w:tcPr>
          <w:p>
            <w:pPr>
              <w:pStyle w:val="TableContents"/>
              <w:spacing w:before="0" w:after="283"/>
              <w:jc w:val="left"/>
              <w:rPr/>
            </w:pPr>
            <w:r>
              <w:rPr/>
              <w:t> </w:t>
            </w:r>
          </w:p>
        </w:tc>
        <w:tc>
          <w:tcPr>
            <w:tcW w:w="1007"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11</w:t>
            </w:r>
          </w:p>
        </w:tc>
        <w:tc>
          <w:tcPr>
            <w:tcW w:w="117" w:type="dxa"/>
            <w:tcBorders>
              <w:bottom w:val="single" w:sz="2" w:space="0" w:color="FFFFFF"/>
            </w:tcBorders>
            <w:shd w:fill="FFFFFF" w:val="clear"/>
            <w:vAlign w:val="bottom"/>
          </w:tcPr>
          <w:p>
            <w:pPr>
              <w:pStyle w:val="TableContents"/>
              <w:spacing w:before="0" w:after="283"/>
              <w:jc w:val="left"/>
              <w:rPr/>
            </w:pPr>
            <w:r>
              <w:rPr/>
              <w:t> </w:t>
            </w:r>
          </w:p>
        </w:tc>
      </w:tr>
      <w:tr>
        <w:trPr/>
        <w:tc>
          <w:tcPr>
            <w:tcW w:w="1398" w:type="dxa"/>
            <w:tcBorders>
              <w:bottom w:val="single" w:sz="2" w:space="0" w:color="000000"/>
            </w:tcBorders>
            <w:shd w:fill="CCEEFF" w:val="clear"/>
            <w:vAlign w:val="bottom"/>
          </w:tcPr>
          <w:p>
            <w:pPr>
              <w:pStyle w:val="TableContents"/>
              <w:spacing w:lineRule="auto" w:line="300" w:before="0" w:after="0"/>
              <w:ind w:left="180" w:right="0" w:hanging="180"/>
              <w:jc w:val="left"/>
              <w:rPr>
                <w:rFonts w:ascii="Times New Roman" w:hAnsi="Times New Roman"/>
                <w:sz w:val="20"/>
              </w:rPr>
            </w:pPr>
            <w:r>
              <w:rPr>
                <w:rFonts w:ascii="Times New Roman" w:hAnsi="Times New Roman"/>
                <w:sz w:val="20"/>
              </w:rPr>
              <w:t>Total comprehensive income</w:t>
            </w:r>
          </w:p>
        </w:tc>
        <w:tc>
          <w:tcPr>
            <w:tcW w:w="70" w:type="dxa"/>
            <w:tcBorders>
              <w:bottom w:val="single" w:sz="2" w:space="0" w:color="CCEEFF"/>
            </w:tcBorders>
            <w:shd w:fill="CCEEFF" w:val="clear"/>
            <w:vAlign w:val="center"/>
          </w:tcPr>
          <w:p>
            <w:pPr>
              <w:pStyle w:val="TableContents"/>
              <w:spacing w:before="0" w:after="283"/>
              <w:rPr/>
            </w:pPr>
            <w:r>
              <w:rPr/>
              <w:t> </w:t>
            </w:r>
          </w:p>
        </w:tc>
        <w:tc>
          <w:tcPr>
            <w:tcW w:w="70" w:type="dxa"/>
            <w:tcBorders>
              <w:bottom w:val="single" w:sz="2" w:space="0" w:color="000000"/>
            </w:tcBorders>
            <w:shd w:fill="CCEEFF" w:val="clear"/>
            <w:vAlign w:val="bottom"/>
          </w:tcPr>
          <w:p>
            <w:pPr>
              <w:pStyle w:val="TableContents"/>
              <w:spacing w:before="0" w:after="283"/>
              <w:jc w:val="left"/>
              <w:rPr/>
            </w:pPr>
            <w:r>
              <w:rPr/>
              <w:t> </w:t>
            </w:r>
          </w:p>
        </w:tc>
        <w:tc>
          <w:tcPr>
            <w:tcW w:w="625"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89" w:type="dxa"/>
            <w:tcBorders>
              <w:bottom w:val="single" w:sz="2" w:space="0" w:color="CCEEFF"/>
            </w:tcBorders>
            <w:shd w:fill="CCEEFF" w:val="clear"/>
            <w:vAlign w:val="bottom"/>
          </w:tcPr>
          <w:p>
            <w:pPr>
              <w:pStyle w:val="TableContents"/>
              <w:spacing w:before="0" w:after="283"/>
              <w:jc w:val="left"/>
              <w:rPr/>
            </w:pPr>
            <w:r>
              <w:rPr/>
              <w:t> </w:t>
            </w:r>
          </w:p>
        </w:tc>
        <w:tc>
          <w:tcPr>
            <w:tcW w:w="144" w:type="dxa"/>
            <w:tcBorders>
              <w:bottom w:val="single" w:sz="2" w:space="0" w:color="000000"/>
            </w:tcBorders>
            <w:shd w:fill="CCEEFF" w:val="clear"/>
            <w:vAlign w:val="bottom"/>
          </w:tcPr>
          <w:p>
            <w:pPr>
              <w:pStyle w:val="TableContents"/>
              <w:spacing w:before="0" w:after="283"/>
              <w:jc w:val="left"/>
              <w:rPr/>
            </w:pPr>
            <w:r>
              <w:rPr/>
              <w:t> </w:t>
            </w:r>
          </w:p>
        </w:tc>
        <w:tc>
          <w:tcPr>
            <w:tcW w:w="423"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70" w:type="dxa"/>
            <w:tcBorders>
              <w:bottom w:val="single" w:sz="2" w:space="0" w:color="CCEEFF"/>
            </w:tcBorders>
            <w:shd w:fill="CCEEFF" w:val="clear"/>
            <w:vAlign w:val="bottom"/>
          </w:tcPr>
          <w:p>
            <w:pPr>
              <w:pStyle w:val="TableContents"/>
              <w:spacing w:before="0" w:after="283"/>
              <w:jc w:val="left"/>
              <w:rPr/>
            </w:pPr>
            <w:r>
              <w:rPr/>
              <w:t> </w:t>
            </w:r>
          </w:p>
        </w:tc>
        <w:tc>
          <w:tcPr>
            <w:tcW w:w="74" w:type="dxa"/>
            <w:tcBorders>
              <w:bottom w:val="single" w:sz="2" w:space="0" w:color="000000"/>
            </w:tcBorders>
            <w:shd w:fill="CCEEFF" w:val="clear"/>
            <w:vAlign w:val="bottom"/>
          </w:tcPr>
          <w:p>
            <w:pPr>
              <w:pStyle w:val="TableContents"/>
              <w:spacing w:before="0" w:after="283"/>
              <w:jc w:val="left"/>
              <w:rPr/>
            </w:pPr>
            <w:r>
              <w:rPr/>
              <w:t> </w:t>
            </w:r>
          </w:p>
        </w:tc>
        <w:tc>
          <w:tcPr>
            <w:tcW w:w="565"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89" w:type="dxa"/>
            <w:tcBorders>
              <w:bottom w:val="single" w:sz="2" w:space="0" w:color="CCEEFF"/>
            </w:tcBorders>
            <w:shd w:fill="CCEEFF" w:val="clear"/>
            <w:vAlign w:val="bottom"/>
          </w:tcPr>
          <w:p>
            <w:pPr>
              <w:pStyle w:val="TableContents"/>
              <w:spacing w:before="0" w:after="283"/>
              <w:jc w:val="left"/>
              <w:rPr/>
            </w:pPr>
            <w:r>
              <w:rPr/>
              <w:t> </w:t>
            </w:r>
          </w:p>
        </w:tc>
        <w:tc>
          <w:tcPr>
            <w:tcW w:w="184" w:type="dxa"/>
            <w:tcBorders>
              <w:bottom w:val="single" w:sz="2" w:space="0" w:color="000000"/>
            </w:tcBorders>
            <w:shd w:fill="CCEEFF" w:val="clear"/>
            <w:vAlign w:val="bottom"/>
          </w:tcPr>
          <w:p>
            <w:pPr>
              <w:pStyle w:val="TableContents"/>
              <w:spacing w:before="0" w:after="283"/>
              <w:jc w:val="left"/>
              <w:rPr/>
            </w:pPr>
            <w:r>
              <w:rPr/>
              <w:t> </w:t>
            </w:r>
          </w:p>
        </w:tc>
        <w:tc>
          <w:tcPr>
            <w:tcW w:w="383"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89" w:type="dxa"/>
            <w:tcBorders>
              <w:bottom w:val="single" w:sz="2" w:space="0" w:color="CCEEFF"/>
            </w:tcBorders>
            <w:shd w:fill="CCEEFF" w:val="clear"/>
            <w:vAlign w:val="bottom"/>
          </w:tcPr>
          <w:p>
            <w:pPr>
              <w:pStyle w:val="TableContents"/>
              <w:spacing w:before="0" w:after="283"/>
              <w:jc w:val="left"/>
              <w:rPr/>
            </w:pPr>
            <w:r>
              <w:rPr/>
              <w:t> </w:t>
            </w:r>
          </w:p>
        </w:tc>
        <w:tc>
          <w:tcPr>
            <w:tcW w:w="145" w:type="dxa"/>
            <w:tcBorders>
              <w:bottom w:val="single" w:sz="2" w:space="0" w:color="000000"/>
            </w:tcBorders>
            <w:shd w:fill="CCEEFF" w:val="clear"/>
            <w:vAlign w:val="bottom"/>
          </w:tcPr>
          <w:p>
            <w:pPr>
              <w:pStyle w:val="TableContents"/>
              <w:spacing w:before="0" w:after="283"/>
              <w:jc w:val="left"/>
              <w:rPr/>
            </w:pPr>
            <w:r>
              <w:rPr/>
              <w:t> </w:t>
            </w:r>
          </w:p>
        </w:tc>
        <w:tc>
          <w:tcPr>
            <w:tcW w:w="804"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70" w:type="dxa"/>
            <w:tcBorders>
              <w:bottom w:val="single" w:sz="2" w:space="0" w:color="CCEEFF"/>
            </w:tcBorders>
            <w:shd w:fill="CCEEFF" w:val="clear"/>
            <w:vAlign w:val="bottom"/>
          </w:tcPr>
          <w:p>
            <w:pPr>
              <w:pStyle w:val="TableContents"/>
              <w:spacing w:before="0" w:after="283"/>
              <w:jc w:val="left"/>
              <w:rPr/>
            </w:pPr>
            <w:r>
              <w:rPr/>
              <w:t> </w:t>
            </w:r>
          </w:p>
        </w:tc>
        <w:tc>
          <w:tcPr>
            <w:tcW w:w="157" w:type="dxa"/>
            <w:tcBorders>
              <w:bottom w:val="single" w:sz="2" w:space="0" w:color="000000"/>
            </w:tcBorders>
            <w:shd w:fill="CCEEFF" w:val="clear"/>
            <w:vAlign w:val="bottom"/>
          </w:tcPr>
          <w:p>
            <w:pPr>
              <w:pStyle w:val="TableContents"/>
              <w:spacing w:before="0" w:after="283"/>
              <w:jc w:val="left"/>
              <w:rPr/>
            </w:pPr>
            <w:r>
              <w:rPr/>
              <w:t> </w:t>
            </w:r>
          </w:p>
        </w:tc>
        <w:tc>
          <w:tcPr>
            <w:tcW w:w="693"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2601" w:name="TAB11138"/>
            <w:bookmarkEnd w:id="2601"/>
            <w:r>
              <w:rPr>
                <w:rFonts w:ascii="Times New Roman" w:hAnsi="Times New Roman"/>
                <w:sz w:val="20"/>
              </w:rPr>
              <w:t>--</w:t>
            </w:r>
          </w:p>
        </w:tc>
        <w:tc>
          <w:tcPr>
            <w:tcW w:w="89" w:type="dxa"/>
            <w:tcBorders>
              <w:bottom w:val="single" w:sz="2" w:space="0" w:color="CCEEFF"/>
            </w:tcBorders>
            <w:shd w:fill="CCEEFF" w:val="clear"/>
            <w:vAlign w:val="bottom"/>
          </w:tcPr>
          <w:p>
            <w:pPr>
              <w:pStyle w:val="TableContents"/>
              <w:spacing w:before="0" w:after="283"/>
              <w:jc w:val="left"/>
              <w:rPr/>
            </w:pPr>
            <w:r>
              <w:rPr/>
              <w:t> </w:t>
            </w:r>
          </w:p>
        </w:tc>
        <w:tc>
          <w:tcPr>
            <w:tcW w:w="185" w:type="dxa"/>
            <w:tcBorders>
              <w:bottom w:val="single" w:sz="2" w:space="0" w:color="000000"/>
            </w:tcBorders>
            <w:shd w:fill="CCEEFF" w:val="clear"/>
            <w:vAlign w:val="bottom"/>
          </w:tcPr>
          <w:p>
            <w:pPr>
              <w:pStyle w:val="TableContents"/>
              <w:spacing w:before="0" w:after="283"/>
              <w:jc w:val="left"/>
              <w:rPr/>
            </w:pPr>
            <w:r>
              <w:rPr/>
              <w:t> </w:t>
            </w:r>
          </w:p>
        </w:tc>
        <w:tc>
          <w:tcPr>
            <w:tcW w:w="962"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89" w:type="dxa"/>
            <w:tcBorders>
              <w:bottom w:val="single" w:sz="2" w:space="0" w:color="CCEEFF"/>
            </w:tcBorders>
            <w:shd w:fill="CCEEFF" w:val="clear"/>
            <w:vAlign w:val="bottom"/>
          </w:tcPr>
          <w:p>
            <w:pPr>
              <w:pStyle w:val="TableContents"/>
              <w:spacing w:before="0" w:after="283"/>
              <w:jc w:val="left"/>
              <w:rPr/>
            </w:pPr>
            <w:r>
              <w:rPr/>
              <w:t> </w:t>
            </w:r>
          </w:p>
        </w:tc>
        <w:tc>
          <w:tcPr>
            <w:tcW w:w="234" w:type="dxa"/>
            <w:tcBorders>
              <w:bottom w:val="single" w:sz="2" w:space="0" w:color="000000"/>
            </w:tcBorders>
            <w:shd w:fill="CCEEFF" w:val="clear"/>
            <w:vAlign w:val="bottom"/>
          </w:tcPr>
          <w:p>
            <w:pPr>
              <w:pStyle w:val="TableContents"/>
              <w:spacing w:before="0" w:after="283"/>
              <w:jc w:val="left"/>
              <w:rPr/>
            </w:pPr>
            <w:r>
              <w:rPr/>
              <w:t> </w:t>
            </w:r>
          </w:p>
        </w:tc>
        <w:tc>
          <w:tcPr>
            <w:tcW w:w="1110"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89" w:type="dxa"/>
            <w:tcBorders>
              <w:bottom w:val="single" w:sz="2" w:space="0" w:color="CCEEFF"/>
            </w:tcBorders>
            <w:shd w:fill="CCEEFF" w:val="clear"/>
            <w:vAlign w:val="bottom"/>
          </w:tcPr>
          <w:p>
            <w:pPr>
              <w:pStyle w:val="TableContents"/>
              <w:spacing w:before="0" w:after="283"/>
              <w:jc w:val="left"/>
              <w:rPr/>
            </w:pPr>
            <w:r>
              <w:rPr/>
              <w:t> </w:t>
            </w:r>
          </w:p>
        </w:tc>
        <w:tc>
          <w:tcPr>
            <w:tcW w:w="181" w:type="dxa"/>
            <w:tcBorders>
              <w:bottom w:val="single" w:sz="2" w:space="0" w:color="000000"/>
            </w:tcBorders>
            <w:shd w:fill="CCEEFF" w:val="clear"/>
            <w:vAlign w:val="bottom"/>
          </w:tcPr>
          <w:p>
            <w:pPr>
              <w:pStyle w:val="TableContents"/>
              <w:spacing w:before="0" w:after="283"/>
              <w:jc w:val="left"/>
              <w:rPr/>
            </w:pPr>
            <w:r>
              <w:rPr/>
              <w:t> </w:t>
            </w:r>
          </w:p>
        </w:tc>
        <w:tc>
          <w:tcPr>
            <w:tcW w:w="1007"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(2,822</w:t>
            </w:r>
          </w:p>
        </w:tc>
        <w:tc>
          <w:tcPr>
            <w:tcW w:w="117" w:type="dxa"/>
            <w:tcBorders>
              <w:bottom w:val="single" w:sz="2" w:space="0" w:color="CCEEFF"/>
            </w:tcBorders>
            <w:shd w:fill="CCEE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r>
      <w:tr>
        <w:trPr/>
        <w:tc>
          <w:tcPr>
            <w:tcW w:w="1398" w:type="dxa"/>
            <w:tcBorders/>
            <w:shd w:fill="FFFFFF" w:val="clear"/>
            <w:tcMar>
              <w:bottom w:w="0" w:type="dxa"/>
            </w:tcMar>
            <w:vAlign w:val="bottom"/>
          </w:tcPr>
          <w:p>
            <w:pPr>
              <w:pStyle w:val="TableContents"/>
              <w:spacing w:lineRule="auto" w:line="300" w:before="0" w:after="0"/>
              <w:ind w:left="180" w:right="0" w:hanging="180"/>
              <w:jc w:val="left"/>
              <w:rPr>
                <w:rFonts w:ascii="Times New Roman" w:hAnsi="Times New Roman"/>
                <w:sz w:val="20"/>
              </w:rPr>
            </w:pPr>
            <w:r>
              <w:rPr>
                <w:rFonts w:ascii="Times New Roman" w:hAnsi="Times New Roman"/>
                <w:sz w:val="20"/>
              </w:rPr>
              <w:t>Class B common stock received from stockholder in exchange for Class A common stock</w:t>
            </w:r>
          </w:p>
        </w:tc>
        <w:tc>
          <w:tcPr>
            <w:tcW w:w="70" w:type="dxa"/>
            <w:tcBorders/>
            <w:shd w:fill="FFFFFF" w:val="clear"/>
            <w:tcMar>
              <w:bottom w:w="0" w:type="dxa"/>
            </w:tcMar>
            <w:vAlign w:val="center"/>
          </w:tcPr>
          <w:p>
            <w:pPr>
              <w:pStyle w:val="TableContents"/>
              <w:spacing w:before="0" w:after="283"/>
              <w:rPr/>
            </w:pPr>
            <w:r>
              <w:rPr/>
              <w:t> </w:t>
            </w:r>
          </w:p>
        </w:tc>
        <w:tc>
          <w:tcPr>
            <w:tcW w:w="70" w:type="dxa"/>
            <w:tcBorders/>
            <w:shd w:fill="FFFFFF" w:val="clear"/>
            <w:tcMar>
              <w:bottom w:w="0" w:type="dxa"/>
            </w:tcMar>
            <w:vAlign w:val="bottom"/>
          </w:tcPr>
          <w:p>
            <w:pPr>
              <w:pStyle w:val="TableContents"/>
              <w:spacing w:before="0" w:after="283"/>
              <w:jc w:val="left"/>
              <w:rPr/>
            </w:pPr>
            <w:r>
              <w:rPr/>
              <w:t> </w:t>
            </w:r>
          </w:p>
        </w:tc>
        <w:tc>
          <w:tcPr>
            <w:tcW w:w="625"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50</w:t>
            </w:r>
          </w:p>
        </w:tc>
        <w:tc>
          <w:tcPr>
            <w:tcW w:w="89" w:type="dxa"/>
            <w:tcBorders/>
            <w:shd w:fill="FFFFFF" w:val="clear"/>
            <w:tcMar>
              <w:bottom w:w="0" w:type="dxa"/>
            </w:tcMar>
            <w:vAlign w:val="bottom"/>
          </w:tcPr>
          <w:p>
            <w:pPr>
              <w:pStyle w:val="TableContents"/>
              <w:spacing w:before="0" w:after="283"/>
              <w:jc w:val="left"/>
              <w:rPr/>
            </w:pPr>
            <w:r>
              <w:rPr/>
              <w:t> </w:t>
            </w:r>
          </w:p>
        </w:tc>
        <w:tc>
          <w:tcPr>
            <w:tcW w:w="144" w:type="dxa"/>
            <w:tcBorders/>
            <w:shd w:fill="FFFFFF" w:val="clear"/>
            <w:tcMar>
              <w:bottom w:w="0" w:type="dxa"/>
            </w:tcMar>
            <w:vAlign w:val="bottom"/>
          </w:tcPr>
          <w:p>
            <w:pPr>
              <w:pStyle w:val="TableContents"/>
              <w:spacing w:before="0" w:after="283"/>
              <w:jc w:val="left"/>
              <w:rPr/>
            </w:pPr>
            <w:r>
              <w:rPr/>
              <w:t> </w:t>
            </w:r>
          </w:p>
        </w:tc>
        <w:tc>
          <w:tcPr>
            <w:tcW w:w="423"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70" w:type="dxa"/>
            <w:tcBorders/>
            <w:shd w:fill="FFFFFF" w:val="clear"/>
            <w:tcMar>
              <w:bottom w:w="0" w:type="dxa"/>
            </w:tcMar>
            <w:vAlign w:val="bottom"/>
          </w:tcPr>
          <w:p>
            <w:pPr>
              <w:pStyle w:val="TableContents"/>
              <w:spacing w:before="0" w:after="283"/>
              <w:jc w:val="left"/>
              <w:rPr/>
            </w:pPr>
            <w:r>
              <w:rPr/>
              <w:t> </w:t>
            </w:r>
          </w:p>
        </w:tc>
        <w:tc>
          <w:tcPr>
            <w:tcW w:w="74" w:type="dxa"/>
            <w:tcBorders/>
            <w:shd w:fill="FFFFFF" w:val="clear"/>
            <w:tcMar>
              <w:bottom w:w="0" w:type="dxa"/>
            </w:tcMar>
            <w:vAlign w:val="bottom"/>
          </w:tcPr>
          <w:p>
            <w:pPr>
              <w:pStyle w:val="TableContents"/>
              <w:spacing w:before="0" w:after="283"/>
              <w:jc w:val="left"/>
              <w:rPr/>
            </w:pPr>
            <w:r>
              <w:rPr/>
              <w:t> </w:t>
            </w:r>
          </w:p>
        </w:tc>
        <w:tc>
          <w:tcPr>
            <w:tcW w:w="565"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(50</w:t>
            </w:r>
          </w:p>
        </w:tc>
        <w:tc>
          <w:tcPr>
            <w:tcW w:w="89"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84" w:type="dxa"/>
            <w:tcBorders/>
            <w:shd w:fill="FFFFFF" w:val="clear"/>
            <w:tcMar>
              <w:bottom w:w="0" w:type="dxa"/>
            </w:tcMar>
            <w:vAlign w:val="bottom"/>
          </w:tcPr>
          <w:p>
            <w:pPr>
              <w:pStyle w:val="TableContents"/>
              <w:spacing w:before="0" w:after="283"/>
              <w:jc w:val="left"/>
              <w:rPr/>
            </w:pPr>
            <w:r>
              <w:rPr/>
              <w:t> </w:t>
            </w:r>
          </w:p>
        </w:tc>
        <w:tc>
          <w:tcPr>
            <w:tcW w:w="383"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89" w:type="dxa"/>
            <w:tcBorders/>
            <w:shd w:fill="FFFFFF" w:val="clear"/>
            <w:tcMar>
              <w:bottom w:w="0" w:type="dxa"/>
            </w:tcMar>
            <w:vAlign w:val="bottom"/>
          </w:tcPr>
          <w:p>
            <w:pPr>
              <w:pStyle w:val="TableContents"/>
              <w:spacing w:before="0" w:after="283"/>
              <w:jc w:val="left"/>
              <w:rPr/>
            </w:pPr>
            <w:r>
              <w:rPr/>
              <w:t> </w:t>
            </w:r>
          </w:p>
        </w:tc>
        <w:tc>
          <w:tcPr>
            <w:tcW w:w="145" w:type="dxa"/>
            <w:tcBorders/>
            <w:shd w:fill="FFFFFF" w:val="clear"/>
            <w:tcMar>
              <w:bottom w:w="0" w:type="dxa"/>
            </w:tcMar>
            <w:vAlign w:val="bottom"/>
          </w:tcPr>
          <w:p>
            <w:pPr>
              <w:pStyle w:val="TableContents"/>
              <w:spacing w:before="0" w:after="283"/>
              <w:jc w:val="left"/>
              <w:rPr/>
            </w:pPr>
            <w:r>
              <w:rPr/>
              <w:t> </w:t>
            </w:r>
          </w:p>
        </w:tc>
        <w:tc>
          <w:tcPr>
            <w:tcW w:w="804"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70" w:type="dxa"/>
            <w:tcBorders/>
            <w:shd w:fill="FFFFFF" w:val="clear"/>
            <w:tcMar>
              <w:bottom w:w="0" w:type="dxa"/>
            </w:tcMar>
            <w:vAlign w:val="bottom"/>
          </w:tcPr>
          <w:p>
            <w:pPr>
              <w:pStyle w:val="TableContents"/>
              <w:spacing w:before="0" w:after="283"/>
              <w:jc w:val="left"/>
              <w:rPr/>
            </w:pPr>
            <w:r>
              <w:rPr/>
              <w:t> </w:t>
            </w:r>
          </w:p>
        </w:tc>
        <w:tc>
          <w:tcPr>
            <w:tcW w:w="157" w:type="dxa"/>
            <w:tcBorders/>
            <w:shd w:fill="FFFFFF" w:val="clear"/>
            <w:tcMar>
              <w:bottom w:w="0" w:type="dxa"/>
            </w:tcMar>
            <w:vAlign w:val="bottom"/>
          </w:tcPr>
          <w:p>
            <w:pPr>
              <w:pStyle w:val="TableContents"/>
              <w:spacing w:before="0" w:after="283"/>
              <w:jc w:val="left"/>
              <w:rPr/>
            </w:pPr>
            <w:r>
              <w:rPr/>
              <w:t> </w:t>
            </w:r>
          </w:p>
        </w:tc>
        <w:tc>
          <w:tcPr>
            <w:tcW w:w="693"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2602" w:name="TAB11139"/>
            <w:bookmarkEnd w:id="2602"/>
            <w:r>
              <w:rPr>
                <w:rFonts w:ascii="Times New Roman" w:hAnsi="Times New Roman"/>
                <w:sz w:val="20"/>
              </w:rPr>
              <w:t>--</w:t>
            </w:r>
          </w:p>
        </w:tc>
        <w:tc>
          <w:tcPr>
            <w:tcW w:w="89" w:type="dxa"/>
            <w:tcBorders/>
            <w:shd w:fill="FFFFFF" w:val="clear"/>
            <w:tcMar>
              <w:bottom w:w="0" w:type="dxa"/>
            </w:tcMar>
            <w:vAlign w:val="bottom"/>
          </w:tcPr>
          <w:p>
            <w:pPr>
              <w:pStyle w:val="TableContents"/>
              <w:spacing w:before="0" w:after="283"/>
              <w:jc w:val="left"/>
              <w:rPr/>
            </w:pPr>
            <w:r>
              <w:rPr/>
              <w:t> </w:t>
            </w:r>
          </w:p>
        </w:tc>
        <w:tc>
          <w:tcPr>
            <w:tcW w:w="185" w:type="dxa"/>
            <w:tcBorders/>
            <w:shd w:fill="FFFFFF" w:val="clear"/>
            <w:tcMar>
              <w:bottom w:w="0" w:type="dxa"/>
            </w:tcMar>
            <w:vAlign w:val="bottom"/>
          </w:tcPr>
          <w:p>
            <w:pPr>
              <w:pStyle w:val="TableContents"/>
              <w:spacing w:before="0" w:after="283"/>
              <w:jc w:val="left"/>
              <w:rPr/>
            </w:pPr>
            <w:r>
              <w:rPr/>
              <w:t> </w:t>
            </w:r>
          </w:p>
        </w:tc>
        <w:tc>
          <w:tcPr>
            <w:tcW w:w="962"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89" w:type="dxa"/>
            <w:tcBorders/>
            <w:shd w:fill="FFFFFF" w:val="clear"/>
            <w:tcMar>
              <w:bottom w:w="0" w:type="dxa"/>
            </w:tcMar>
            <w:vAlign w:val="bottom"/>
          </w:tcPr>
          <w:p>
            <w:pPr>
              <w:pStyle w:val="TableContents"/>
              <w:spacing w:before="0" w:after="283"/>
              <w:jc w:val="left"/>
              <w:rPr/>
            </w:pPr>
            <w:r>
              <w:rPr/>
              <w:t> </w:t>
            </w:r>
          </w:p>
        </w:tc>
        <w:tc>
          <w:tcPr>
            <w:tcW w:w="234" w:type="dxa"/>
            <w:tcBorders/>
            <w:shd w:fill="FFFFFF" w:val="clear"/>
            <w:tcMar>
              <w:bottom w:w="0" w:type="dxa"/>
            </w:tcMar>
            <w:vAlign w:val="bottom"/>
          </w:tcPr>
          <w:p>
            <w:pPr>
              <w:pStyle w:val="TableContents"/>
              <w:spacing w:before="0" w:after="283"/>
              <w:jc w:val="left"/>
              <w:rPr/>
            </w:pPr>
            <w:r>
              <w:rPr/>
              <w:t> </w:t>
            </w:r>
          </w:p>
        </w:tc>
        <w:tc>
          <w:tcPr>
            <w:tcW w:w="1110"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89" w:type="dxa"/>
            <w:tcBorders/>
            <w:shd w:fill="FFFFFF" w:val="clear"/>
            <w:tcMar>
              <w:bottom w:w="0" w:type="dxa"/>
            </w:tcMar>
            <w:vAlign w:val="bottom"/>
          </w:tcPr>
          <w:p>
            <w:pPr>
              <w:pStyle w:val="TableContents"/>
              <w:spacing w:before="0" w:after="283"/>
              <w:jc w:val="left"/>
              <w:rPr/>
            </w:pPr>
            <w:r>
              <w:rPr/>
              <w:t> </w:t>
            </w:r>
          </w:p>
        </w:tc>
        <w:tc>
          <w:tcPr>
            <w:tcW w:w="181" w:type="dxa"/>
            <w:tcBorders/>
            <w:shd w:fill="FFFFFF" w:val="clear"/>
            <w:tcMar>
              <w:bottom w:w="0" w:type="dxa"/>
            </w:tcMar>
            <w:vAlign w:val="bottom"/>
          </w:tcPr>
          <w:p>
            <w:pPr>
              <w:pStyle w:val="TableContents"/>
              <w:spacing w:before="0" w:after="283"/>
              <w:jc w:val="left"/>
              <w:rPr/>
            </w:pPr>
            <w:r>
              <w:rPr/>
              <w:t> </w:t>
            </w:r>
          </w:p>
        </w:tc>
        <w:tc>
          <w:tcPr>
            <w:tcW w:w="1007"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117" w:type="dxa"/>
            <w:tcBorders/>
            <w:shd w:fill="FFFFFF" w:val="clear"/>
            <w:tcMar>
              <w:bottom w:w="0" w:type="dxa"/>
            </w:tcMar>
            <w:vAlign w:val="bottom"/>
          </w:tcPr>
          <w:p>
            <w:pPr>
              <w:pStyle w:val="TableContents"/>
              <w:spacing w:before="0" w:after="283"/>
              <w:jc w:val="left"/>
              <w:rPr/>
            </w:pPr>
            <w:r>
              <w:rPr/>
              <w:t> </w:t>
            </w:r>
          </w:p>
        </w:tc>
      </w:tr>
      <w:tr>
        <w:trPr/>
        <w:tc>
          <w:tcPr>
            <w:tcW w:w="1398" w:type="dxa"/>
            <w:tcBorders>
              <w:bottom w:val="single" w:sz="2" w:space="0" w:color="000000"/>
            </w:tcBorders>
            <w:shd w:fill="CCEEFF" w:val="clear"/>
            <w:vAlign w:val="bottom"/>
          </w:tcPr>
          <w:p>
            <w:pPr>
              <w:pStyle w:val="TableContents"/>
              <w:spacing w:lineRule="auto" w:line="300" w:before="0" w:after="0"/>
              <w:ind w:left="180" w:right="0" w:hanging="180"/>
              <w:jc w:val="left"/>
              <w:rPr>
                <w:rFonts w:ascii="Times New Roman" w:hAnsi="Times New Roman"/>
                <w:sz w:val="20"/>
              </w:rPr>
            </w:pPr>
            <w:r>
              <w:rPr>
                <w:rFonts w:ascii="Times New Roman" w:hAnsi="Times New Roman"/>
                <w:sz w:val="20"/>
              </w:rPr>
              <w:t>Class A common stock issued for stock options exercised in exchange for cash or treasury shares</w:t>
            </w:r>
          </w:p>
        </w:tc>
        <w:tc>
          <w:tcPr>
            <w:tcW w:w="70" w:type="dxa"/>
            <w:tcBorders>
              <w:bottom w:val="single" w:sz="2" w:space="0" w:color="CCEEFF"/>
            </w:tcBorders>
            <w:shd w:fill="CCEEFF" w:val="clear"/>
            <w:vAlign w:val="center"/>
          </w:tcPr>
          <w:p>
            <w:pPr>
              <w:pStyle w:val="TableContents"/>
              <w:spacing w:before="0" w:after="283"/>
              <w:rPr/>
            </w:pPr>
            <w:r>
              <w:rPr/>
              <w:t> </w:t>
            </w:r>
          </w:p>
        </w:tc>
        <w:tc>
          <w:tcPr>
            <w:tcW w:w="70" w:type="dxa"/>
            <w:tcBorders>
              <w:bottom w:val="single" w:sz="2" w:space="0" w:color="000000"/>
            </w:tcBorders>
            <w:shd w:fill="CCEEFF" w:val="clear"/>
            <w:vAlign w:val="bottom"/>
          </w:tcPr>
          <w:p>
            <w:pPr>
              <w:pStyle w:val="TableContents"/>
              <w:spacing w:before="0" w:after="283"/>
              <w:jc w:val="left"/>
              <w:rPr/>
            </w:pPr>
            <w:r>
              <w:rPr/>
              <w:t> </w:t>
            </w:r>
          </w:p>
        </w:tc>
        <w:tc>
          <w:tcPr>
            <w:tcW w:w="625"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487</w:t>
            </w:r>
          </w:p>
        </w:tc>
        <w:tc>
          <w:tcPr>
            <w:tcW w:w="89" w:type="dxa"/>
            <w:tcBorders>
              <w:bottom w:val="single" w:sz="2" w:space="0" w:color="CCEEFF"/>
            </w:tcBorders>
            <w:shd w:fill="CCEEFF" w:val="clear"/>
            <w:vAlign w:val="bottom"/>
          </w:tcPr>
          <w:p>
            <w:pPr>
              <w:pStyle w:val="TableContents"/>
              <w:spacing w:before="0" w:after="283"/>
              <w:jc w:val="left"/>
              <w:rPr/>
            </w:pPr>
            <w:r>
              <w:rPr/>
              <w:t> </w:t>
            </w:r>
          </w:p>
        </w:tc>
        <w:tc>
          <w:tcPr>
            <w:tcW w:w="144" w:type="dxa"/>
            <w:tcBorders>
              <w:bottom w:val="single" w:sz="2" w:space="0" w:color="000000"/>
            </w:tcBorders>
            <w:shd w:fill="CCEEFF" w:val="clear"/>
            <w:vAlign w:val="bottom"/>
          </w:tcPr>
          <w:p>
            <w:pPr>
              <w:pStyle w:val="TableContents"/>
              <w:spacing w:before="0" w:after="283"/>
              <w:jc w:val="left"/>
              <w:rPr/>
            </w:pPr>
            <w:r>
              <w:rPr/>
              <w:t> </w:t>
            </w:r>
          </w:p>
        </w:tc>
        <w:tc>
          <w:tcPr>
            <w:tcW w:w="423"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10</w:t>
            </w:r>
          </w:p>
        </w:tc>
        <w:tc>
          <w:tcPr>
            <w:tcW w:w="70" w:type="dxa"/>
            <w:tcBorders>
              <w:bottom w:val="single" w:sz="2" w:space="0" w:color="CCEEFF"/>
            </w:tcBorders>
            <w:shd w:fill="CCEEFF" w:val="clear"/>
            <w:vAlign w:val="bottom"/>
          </w:tcPr>
          <w:p>
            <w:pPr>
              <w:pStyle w:val="TableContents"/>
              <w:spacing w:before="0" w:after="283"/>
              <w:jc w:val="left"/>
              <w:rPr/>
            </w:pPr>
            <w:r>
              <w:rPr/>
              <w:t> </w:t>
            </w:r>
          </w:p>
        </w:tc>
        <w:tc>
          <w:tcPr>
            <w:tcW w:w="74" w:type="dxa"/>
            <w:tcBorders>
              <w:bottom w:val="single" w:sz="2" w:space="0" w:color="000000"/>
            </w:tcBorders>
            <w:shd w:fill="CCEEFF" w:val="clear"/>
            <w:vAlign w:val="bottom"/>
          </w:tcPr>
          <w:p>
            <w:pPr>
              <w:pStyle w:val="TableContents"/>
              <w:spacing w:before="0" w:after="283"/>
              <w:jc w:val="left"/>
              <w:rPr/>
            </w:pPr>
            <w:r>
              <w:rPr/>
              <w:t> </w:t>
            </w:r>
          </w:p>
        </w:tc>
        <w:tc>
          <w:tcPr>
            <w:tcW w:w="565"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89" w:type="dxa"/>
            <w:tcBorders>
              <w:bottom w:val="single" w:sz="2" w:space="0" w:color="CCEEFF"/>
            </w:tcBorders>
            <w:shd w:fill="CCEEFF" w:val="clear"/>
            <w:vAlign w:val="bottom"/>
          </w:tcPr>
          <w:p>
            <w:pPr>
              <w:pStyle w:val="TableContents"/>
              <w:spacing w:before="0" w:after="283"/>
              <w:jc w:val="left"/>
              <w:rPr/>
            </w:pPr>
            <w:r>
              <w:rPr/>
              <w:t> </w:t>
            </w:r>
          </w:p>
        </w:tc>
        <w:tc>
          <w:tcPr>
            <w:tcW w:w="184" w:type="dxa"/>
            <w:tcBorders>
              <w:bottom w:val="single" w:sz="2" w:space="0" w:color="000000"/>
            </w:tcBorders>
            <w:shd w:fill="CCEEFF" w:val="clear"/>
            <w:vAlign w:val="bottom"/>
          </w:tcPr>
          <w:p>
            <w:pPr>
              <w:pStyle w:val="TableContents"/>
              <w:spacing w:before="0" w:after="283"/>
              <w:jc w:val="left"/>
              <w:rPr/>
            </w:pPr>
            <w:r>
              <w:rPr/>
              <w:t> </w:t>
            </w:r>
          </w:p>
        </w:tc>
        <w:tc>
          <w:tcPr>
            <w:tcW w:w="383"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89" w:type="dxa"/>
            <w:tcBorders>
              <w:bottom w:val="single" w:sz="2" w:space="0" w:color="CCEEFF"/>
            </w:tcBorders>
            <w:shd w:fill="CCEEFF" w:val="clear"/>
            <w:vAlign w:val="bottom"/>
          </w:tcPr>
          <w:p>
            <w:pPr>
              <w:pStyle w:val="TableContents"/>
              <w:spacing w:before="0" w:after="283"/>
              <w:jc w:val="left"/>
              <w:rPr/>
            </w:pPr>
            <w:r>
              <w:rPr/>
              <w:t> </w:t>
            </w:r>
          </w:p>
        </w:tc>
        <w:tc>
          <w:tcPr>
            <w:tcW w:w="145" w:type="dxa"/>
            <w:tcBorders>
              <w:bottom w:val="single" w:sz="2" w:space="0" w:color="000000"/>
            </w:tcBorders>
            <w:shd w:fill="CCEEFF" w:val="clear"/>
            <w:vAlign w:val="bottom"/>
          </w:tcPr>
          <w:p>
            <w:pPr>
              <w:pStyle w:val="TableContents"/>
              <w:spacing w:before="0" w:after="283"/>
              <w:jc w:val="left"/>
              <w:rPr/>
            </w:pPr>
            <w:r>
              <w:rPr/>
              <w:t> </w:t>
            </w:r>
          </w:p>
        </w:tc>
        <w:tc>
          <w:tcPr>
            <w:tcW w:w="804"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3,721</w:t>
            </w:r>
          </w:p>
        </w:tc>
        <w:tc>
          <w:tcPr>
            <w:tcW w:w="70" w:type="dxa"/>
            <w:tcBorders>
              <w:bottom w:val="single" w:sz="2" w:space="0" w:color="CCEEFF"/>
            </w:tcBorders>
            <w:shd w:fill="CCEEFF" w:val="clear"/>
            <w:vAlign w:val="bottom"/>
          </w:tcPr>
          <w:p>
            <w:pPr>
              <w:pStyle w:val="TableContents"/>
              <w:spacing w:before="0" w:after="283"/>
              <w:jc w:val="left"/>
              <w:rPr/>
            </w:pPr>
            <w:r>
              <w:rPr/>
              <w:t> </w:t>
            </w:r>
          </w:p>
        </w:tc>
        <w:tc>
          <w:tcPr>
            <w:tcW w:w="157" w:type="dxa"/>
            <w:tcBorders>
              <w:bottom w:val="single" w:sz="2" w:space="0" w:color="000000"/>
            </w:tcBorders>
            <w:shd w:fill="CCEEFF" w:val="clear"/>
            <w:vAlign w:val="bottom"/>
          </w:tcPr>
          <w:p>
            <w:pPr>
              <w:pStyle w:val="TableContents"/>
              <w:spacing w:before="0" w:after="283"/>
              <w:jc w:val="left"/>
              <w:rPr/>
            </w:pPr>
            <w:r>
              <w:rPr/>
              <w:t> </w:t>
            </w:r>
          </w:p>
        </w:tc>
        <w:tc>
          <w:tcPr>
            <w:tcW w:w="693"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2603" w:name="TAB11140"/>
            <w:bookmarkEnd w:id="2603"/>
            <w:r>
              <w:rPr>
                <w:rFonts w:ascii="Times New Roman" w:hAnsi="Times New Roman"/>
                <w:sz w:val="20"/>
              </w:rPr>
              <w:t>(3,515</w:t>
            </w:r>
          </w:p>
        </w:tc>
        <w:tc>
          <w:tcPr>
            <w:tcW w:w="89" w:type="dxa"/>
            <w:tcBorders>
              <w:bottom w:val="single" w:sz="2" w:space="0" w:color="CCEEFF"/>
            </w:tcBorders>
            <w:shd w:fill="CCEEFF" w:val="clear"/>
            <w:vAlign w:val="bottom"/>
          </w:tcPr>
          <w:p>
            <w:pPr>
              <w:pStyle w:val="TableContents"/>
              <w:spacing w:lineRule="auto" w:line="300" w:before="0" w:after="0"/>
              <w:ind w:left="0" w:right="0" w:hanging="0"/>
              <w:jc w:val="left"/>
              <w:rPr>
                <w:rFonts w:ascii="Times New Roman" w:hAnsi="Times New Roman"/>
                <w:sz w:val="20"/>
              </w:rPr>
            </w:pPr>
            <w:bookmarkStart w:id="2604" w:name="TAB11141"/>
            <w:bookmarkEnd w:id="2604"/>
            <w:r>
              <w:rPr>
                <w:rFonts w:ascii="Times New Roman" w:hAnsi="Times New Roman"/>
                <w:sz w:val="20"/>
              </w:rPr>
              <w:t>)</w:t>
            </w:r>
          </w:p>
        </w:tc>
        <w:tc>
          <w:tcPr>
            <w:tcW w:w="185" w:type="dxa"/>
            <w:tcBorders>
              <w:bottom w:val="single" w:sz="2" w:space="0" w:color="000000"/>
            </w:tcBorders>
            <w:shd w:fill="CCEEFF" w:val="clear"/>
            <w:vAlign w:val="bottom"/>
          </w:tcPr>
          <w:p>
            <w:pPr>
              <w:pStyle w:val="TableContents"/>
              <w:spacing w:before="0" w:after="283"/>
              <w:jc w:val="left"/>
              <w:rPr/>
            </w:pPr>
            <w:r>
              <w:rPr/>
              <w:t> </w:t>
            </w:r>
          </w:p>
        </w:tc>
        <w:tc>
          <w:tcPr>
            <w:tcW w:w="962"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89" w:type="dxa"/>
            <w:tcBorders>
              <w:bottom w:val="single" w:sz="2" w:space="0" w:color="CCEEFF"/>
            </w:tcBorders>
            <w:shd w:fill="CCEEFF" w:val="clear"/>
            <w:vAlign w:val="bottom"/>
          </w:tcPr>
          <w:p>
            <w:pPr>
              <w:pStyle w:val="TableContents"/>
              <w:spacing w:before="0" w:after="283"/>
              <w:jc w:val="left"/>
              <w:rPr/>
            </w:pPr>
            <w:r>
              <w:rPr/>
              <w:t> </w:t>
            </w:r>
          </w:p>
        </w:tc>
        <w:tc>
          <w:tcPr>
            <w:tcW w:w="234" w:type="dxa"/>
            <w:tcBorders>
              <w:bottom w:val="single" w:sz="2" w:space="0" w:color="000000"/>
            </w:tcBorders>
            <w:shd w:fill="CCEEFF" w:val="clear"/>
            <w:vAlign w:val="bottom"/>
          </w:tcPr>
          <w:p>
            <w:pPr>
              <w:pStyle w:val="TableContents"/>
              <w:spacing w:before="0" w:after="283"/>
              <w:jc w:val="left"/>
              <w:rPr/>
            </w:pPr>
            <w:r>
              <w:rPr/>
              <w:t> </w:t>
            </w:r>
          </w:p>
        </w:tc>
        <w:tc>
          <w:tcPr>
            <w:tcW w:w="1110"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89" w:type="dxa"/>
            <w:tcBorders>
              <w:bottom w:val="single" w:sz="2" w:space="0" w:color="CCEEFF"/>
            </w:tcBorders>
            <w:shd w:fill="CCEEFF" w:val="clear"/>
            <w:vAlign w:val="bottom"/>
          </w:tcPr>
          <w:p>
            <w:pPr>
              <w:pStyle w:val="TableContents"/>
              <w:spacing w:before="0" w:after="283"/>
              <w:jc w:val="left"/>
              <w:rPr/>
            </w:pPr>
            <w:r>
              <w:rPr/>
              <w:t> </w:t>
            </w:r>
          </w:p>
        </w:tc>
        <w:tc>
          <w:tcPr>
            <w:tcW w:w="181" w:type="dxa"/>
            <w:tcBorders>
              <w:bottom w:val="single" w:sz="2" w:space="0" w:color="000000"/>
            </w:tcBorders>
            <w:shd w:fill="CCEEFF" w:val="clear"/>
            <w:vAlign w:val="bottom"/>
          </w:tcPr>
          <w:p>
            <w:pPr>
              <w:pStyle w:val="TableContents"/>
              <w:spacing w:before="0" w:after="283"/>
              <w:jc w:val="left"/>
              <w:rPr/>
            </w:pPr>
            <w:r>
              <w:rPr/>
              <w:t> </w:t>
            </w:r>
          </w:p>
        </w:tc>
        <w:tc>
          <w:tcPr>
            <w:tcW w:w="1007"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216</w:t>
            </w:r>
          </w:p>
        </w:tc>
        <w:tc>
          <w:tcPr>
            <w:tcW w:w="117" w:type="dxa"/>
            <w:tcBorders>
              <w:bottom w:val="single" w:sz="2" w:space="0" w:color="CCEEFF"/>
            </w:tcBorders>
            <w:shd w:fill="CCEEFF" w:val="clear"/>
            <w:vAlign w:val="bottom"/>
          </w:tcPr>
          <w:p>
            <w:pPr>
              <w:pStyle w:val="TableContents"/>
              <w:spacing w:before="0" w:after="283"/>
              <w:jc w:val="left"/>
              <w:rPr/>
            </w:pPr>
            <w:r>
              <w:rPr/>
              <w:t> </w:t>
            </w:r>
          </w:p>
        </w:tc>
      </w:tr>
      <w:tr>
        <w:trPr/>
        <w:tc>
          <w:tcPr>
            <w:tcW w:w="1398" w:type="dxa"/>
            <w:tcBorders>
              <w:bottom w:val="double" w:sz="2" w:space="0" w:color="000000"/>
            </w:tcBorders>
            <w:shd w:fill="FFFFFF" w:val="clear"/>
            <w:vAlign w:val="bottom"/>
          </w:tcPr>
          <w:p>
            <w:pPr>
              <w:pStyle w:val="TableContents"/>
              <w:spacing w:lineRule="auto" w:line="300" w:before="0" w:after="0"/>
              <w:ind w:left="180" w:right="0" w:hanging="180"/>
              <w:jc w:val="left"/>
              <w:rPr>
                <w:rFonts w:ascii="Times New Roman" w:hAnsi="Times New Roman"/>
                <w:sz w:val="20"/>
              </w:rPr>
            </w:pPr>
            <w:r>
              <w:rPr>
                <w:rFonts w:ascii="Times New Roman" w:hAnsi="Times New Roman"/>
                <w:sz w:val="20"/>
              </w:rPr>
              <w:t>At December 31, 2005</w:t>
            </w:r>
          </w:p>
        </w:tc>
        <w:tc>
          <w:tcPr>
            <w:tcW w:w="70" w:type="dxa"/>
            <w:tcBorders>
              <w:bottom w:val="single" w:sz="4" w:space="0" w:color="FFFFFF"/>
            </w:tcBorders>
            <w:shd w:fill="FFFFFF" w:val="clear"/>
            <w:vAlign w:val="center"/>
          </w:tcPr>
          <w:p>
            <w:pPr>
              <w:pStyle w:val="TableContents"/>
              <w:spacing w:before="0" w:after="283"/>
              <w:rPr/>
            </w:pPr>
            <w:r>
              <w:rPr/>
              <w:t> </w:t>
            </w:r>
          </w:p>
        </w:tc>
        <w:tc>
          <w:tcPr>
            <w:tcW w:w="70" w:type="dxa"/>
            <w:tcBorders>
              <w:bottom w:val="double" w:sz="2" w:space="0" w:color="000000"/>
            </w:tcBorders>
            <w:shd w:fill="FFFFFF" w:val="clear"/>
            <w:vAlign w:val="bottom"/>
          </w:tcPr>
          <w:p>
            <w:pPr>
              <w:pStyle w:val="TableContents"/>
              <w:spacing w:before="0" w:after="283"/>
              <w:jc w:val="left"/>
              <w:rPr/>
            </w:pPr>
            <w:r>
              <w:rPr/>
              <w:t> </w:t>
            </w:r>
          </w:p>
        </w:tc>
        <w:tc>
          <w:tcPr>
            <w:tcW w:w="625"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20,990</w:t>
            </w:r>
          </w:p>
        </w:tc>
        <w:tc>
          <w:tcPr>
            <w:tcW w:w="89" w:type="dxa"/>
            <w:tcBorders>
              <w:bottom w:val="single" w:sz="4" w:space="0" w:color="FFFFFF"/>
            </w:tcBorders>
            <w:shd w:fill="FFFFFF" w:val="clear"/>
            <w:vAlign w:val="bottom"/>
          </w:tcPr>
          <w:p>
            <w:pPr>
              <w:pStyle w:val="TableContents"/>
              <w:spacing w:before="0" w:after="283"/>
              <w:jc w:val="left"/>
              <w:rPr/>
            </w:pPr>
            <w:r>
              <w:rPr/>
              <w:t> </w:t>
            </w:r>
          </w:p>
        </w:tc>
        <w:tc>
          <w:tcPr>
            <w:tcW w:w="144" w:type="dxa"/>
            <w:tcBorders>
              <w:bottom w:val="doub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423"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215</w:t>
            </w:r>
          </w:p>
        </w:tc>
        <w:tc>
          <w:tcPr>
            <w:tcW w:w="70" w:type="dxa"/>
            <w:tcBorders>
              <w:bottom w:val="single" w:sz="4" w:space="0" w:color="FFFFFF"/>
            </w:tcBorders>
            <w:shd w:fill="FFFFFF" w:val="clear"/>
            <w:vAlign w:val="bottom"/>
          </w:tcPr>
          <w:p>
            <w:pPr>
              <w:pStyle w:val="TableContents"/>
              <w:spacing w:before="0" w:after="283"/>
              <w:jc w:val="left"/>
              <w:rPr/>
            </w:pPr>
            <w:r>
              <w:rPr/>
              <w:t> </w:t>
            </w:r>
          </w:p>
        </w:tc>
        <w:tc>
          <w:tcPr>
            <w:tcW w:w="74" w:type="dxa"/>
            <w:tcBorders>
              <w:bottom w:val="double" w:sz="2" w:space="0" w:color="000000"/>
            </w:tcBorders>
            <w:shd w:fill="FFFFFF" w:val="clear"/>
            <w:vAlign w:val="bottom"/>
          </w:tcPr>
          <w:p>
            <w:pPr>
              <w:pStyle w:val="TableContents"/>
              <w:spacing w:before="0" w:after="283"/>
              <w:jc w:val="left"/>
              <w:rPr/>
            </w:pPr>
            <w:r>
              <w:rPr/>
              <w:t> </w:t>
            </w:r>
          </w:p>
        </w:tc>
        <w:tc>
          <w:tcPr>
            <w:tcW w:w="565"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1,495</w:t>
            </w:r>
          </w:p>
        </w:tc>
        <w:tc>
          <w:tcPr>
            <w:tcW w:w="89" w:type="dxa"/>
            <w:tcBorders>
              <w:bottom w:val="single" w:sz="4" w:space="0" w:color="FFFFFF"/>
            </w:tcBorders>
            <w:shd w:fill="FFFFFF" w:val="clear"/>
            <w:vAlign w:val="bottom"/>
          </w:tcPr>
          <w:p>
            <w:pPr>
              <w:pStyle w:val="TableContents"/>
              <w:spacing w:before="0" w:after="283"/>
              <w:jc w:val="left"/>
              <w:rPr/>
            </w:pPr>
            <w:r>
              <w:rPr/>
              <w:t> </w:t>
            </w:r>
          </w:p>
        </w:tc>
        <w:tc>
          <w:tcPr>
            <w:tcW w:w="184" w:type="dxa"/>
            <w:tcBorders>
              <w:bottom w:val="doub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383"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15</w:t>
            </w:r>
          </w:p>
        </w:tc>
        <w:tc>
          <w:tcPr>
            <w:tcW w:w="89" w:type="dxa"/>
            <w:tcBorders>
              <w:bottom w:val="single" w:sz="4" w:space="0" w:color="FFFFFF"/>
            </w:tcBorders>
            <w:shd w:fill="FFFFFF" w:val="clear"/>
            <w:vAlign w:val="bottom"/>
          </w:tcPr>
          <w:p>
            <w:pPr>
              <w:pStyle w:val="TableContents"/>
              <w:spacing w:before="0" w:after="283"/>
              <w:jc w:val="left"/>
              <w:rPr/>
            </w:pPr>
            <w:r>
              <w:rPr/>
              <w:t> </w:t>
            </w:r>
          </w:p>
        </w:tc>
        <w:tc>
          <w:tcPr>
            <w:tcW w:w="145" w:type="dxa"/>
            <w:tcBorders>
              <w:bottom w:val="doub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bookmarkStart w:id="2605" w:name="TAB11142"/>
            <w:bookmarkEnd w:id="2605"/>
            <w:r>
              <w:rPr>
                <w:rFonts w:ascii="Times New Roman" w:hAnsi="Times New Roman"/>
                <w:sz w:val="20"/>
              </w:rPr>
              <w:t>$</w:t>
            </w:r>
          </w:p>
        </w:tc>
        <w:tc>
          <w:tcPr>
            <w:tcW w:w="804"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2606" w:name="TAB11143"/>
            <w:bookmarkEnd w:id="2606"/>
            <w:r>
              <w:rPr>
                <w:rFonts w:ascii="Times New Roman" w:hAnsi="Times New Roman"/>
                <w:sz w:val="20"/>
              </w:rPr>
              <w:t>128,028</w:t>
            </w:r>
          </w:p>
        </w:tc>
        <w:tc>
          <w:tcPr>
            <w:tcW w:w="70" w:type="dxa"/>
            <w:tcBorders>
              <w:bottom w:val="single" w:sz="4" w:space="0" w:color="FFFFFF"/>
            </w:tcBorders>
            <w:shd w:fill="FFFFFF" w:val="clear"/>
            <w:vAlign w:val="bottom"/>
          </w:tcPr>
          <w:p>
            <w:pPr>
              <w:pStyle w:val="TableContents"/>
              <w:spacing w:before="0" w:after="283"/>
              <w:jc w:val="left"/>
              <w:rPr/>
            </w:pPr>
            <w:r>
              <w:rPr/>
              <w:t> </w:t>
            </w:r>
          </w:p>
        </w:tc>
        <w:tc>
          <w:tcPr>
            <w:tcW w:w="157" w:type="dxa"/>
            <w:tcBorders>
              <w:bottom w:val="doub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bookmarkStart w:id="2607" w:name="TAB11144"/>
            <w:bookmarkEnd w:id="2607"/>
            <w:r>
              <w:rPr>
                <w:rFonts w:ascii="Times New Roman" w:hAnsi="Times New Roman"/>
                <w:sz w:val="20"/>
              </w:rPr>
              <w:t>$</w:t>
            </w:r>
          </w:p>
        </w:tc>
        <w:tc>
          <w:tcPr>
            <w:tcW w:w="693"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2608" w:name="TAB11145"/>
            <w:bookmarkEnd w:id="2608"/>
            <w:r>
              <w:rPr>
                <w:rFonts w:ascii="Times New Roman" w:hAnsi="Times New Roman"/>
                <w:sz w:val="20"/>
              </w:rPr>
              <w:t>(3,515</w:t>
            </w:r>
          </w:p>
        </w:tc>
        <w:tc>
          <w:tcPr>
            <w:tcW w:w="89" w:type="dxa"/>
            <w:tcBorders>
              <w:bottom w:val="single" w:sz="4" w:space="0" w:color="FFFFFF"/>
            </w:tcBorders>
            <w:shd w:fill="FFFFFF" w:val="clear"/>
            <w:vAlign w:val="bottom"/>
          </w:tcPr>
          <w:p>
            <w:pPr>
              <w:pStyle w:val="TableContents"/>
              <w:spacing w:lineRule="auto" w:line="300" w:before="0" w:after="0"/>
              <w:ind w:left="0" w:right="0" w:hanging="0"/>
              <w:jc w:val="left"/>
              <w:rPr>
                <w:rFonts w:ascii="Times New Roman" w:hAnsi="Times New Roman"/>
                <w:sz w:val="20"/>
              </w:rPr>
            </w:pPr>
            <w:bookmarkStart w:id="2609" w:name="TAB11146"/>
            <w:bookmarkEnd w:id="2609"/>
            <w:r>
              <w:rPr>
                <w:rFonts w:ascii="Times New Roman" w:hAnsi="Times New Roman"/>
                <w:sz w:val="20"/>
              </w:rPr>
              <w:t>)</w:t>
            </w:r>
          </w:p>
        </w:tc>
        <w:tc>
          <w:tcPr>
            <w:tcW w:w="185" w:type="dxa"/>
            <w:tcBorders>
              <w:bottom w:val="doub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bookmarkStart w:id="2610" w:name="TAB11147"/>
            <w:bookmarkEnd w:id="2610"/>
            <w:r>
              <w:rPr>
                <w:rFonts w:ascii="Times New Roman" w:hAnsi="Times New Roman"/>
                <w:sz w:val="20"/>
              </w:rPr>
              <w:t>$</w:t>
            </w:r>
          </w:p>
        </w:tc>
        <w:tc>
          <w:tcPr>
            <w:tcW w:w="962"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2611" w:name="TAB11148"/>
            <w:bookmarkEnd w:id="2611"/>
            <w:r>
              <w:rPr>
                <w:rFonts w:ascii="Times New Roman" w:hAnsi="Times New Roman"/>
                <w:sz w:val="20"/>
              </w:rPr>
              <w:t>(53,914</w:t>
            </w:r>
          </w:p>
        </w:tc>
        <w:tc>
          <w:tcPr>
            <w:tcW w:w="89" w:type="dxa"/>
            <w:tcBorders>
              <w:bottom w:val="single" w:sz="4" w:space="0" w:color="FFFFFF"/>
            </w:tcBorders>
            <w:shd w:fill="FFFFFF" w:val="clear"/>
            <w:vAlign w:val="bottom"/>
          </w:tcPr>
          <w:p>
            <w:pPr>
              <w:pStyle w:val="TableContents"/>
              <w:spacing w:lineRule="auto" w:line="300" w:before="0" w:after="0"/>
              <w:ind w:left="0" w:right="0" w:hanging="0"/>
              <w:jc w:val="left"/>
              <w:rPr>
                <w:rFonts w:ascii="Times New Roman" w:hAnsi="Times New Roman"/>
                <w:sz w:val="20"/>
              </w:rPr>
            </w:pPr>
            <w:bookmarkStart w:id="2612" w:name="TAB11149"/>
            <w:bookmarkEnd w:id="2612"/>
            <w:r>
              <w:rPr>
                <w:rFonts w:ascii="Times New Roman" w:hAnsi="Times New Roman"/>
                <w:sz w:val="20"/>
              </w:rPr>
              <w:t>)</w:t>
            </w:r>
          </w:p>
        </w:tc>
        <w:tc>
          <w:tcPr>
            <w:tcW w:w="234" w:type="dxa"/>
            <w:tcBorders>
              <w:bottom w:val="doub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bookmarkStart w:id="2613" w:name="TAB11150"/>
            <w:bookmarkEnd w:id="2613"/>
            <w:r>
              <w:rPr>
                <w:rFonts w:ascii="Times New Roman" w:hAnsi="Times New Roman"/>
                <w:sz w:val="20"/>
              </w:rPr>
              <w:t>$</w:t>
            </w:r>
          </w:p>
        </w:tc>
        <w:tc>
          <w:tcPr>
            <w:tcW w:w="1110"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2614" w:name="TAB11151"/>
            <w:bookmarkEnd w:id="2614"/>
            <w:r>
              <w:rPr>
                <w:rFonts w:ascii="Times New Roman" w:hAnsi="Times New Roman"/>
                <w:sz w:val="20"/>
              </w:rPr>
              <w:t>28,575</w:t>
            </w:r>
          </w:p>
        </w:tc>
        <w:tc>
          <w:tcPr>
            <w:tcW w:w="89" w:type="dxa"/>
            <w:tcBorders>
              <w:bottom w:val="single" w:sz="4" w:space="0" w:color="FFFFFF"/>
            </w:tcBorders>
            <w:shd w:fill="FFFFFF" w:val="clear"/>
            <w:vAlign w:val="bottom"/>
          </w:tcPr>
          <w:p>
            <w:pPr>
              <w:pStyle w:val="TableContents"/>
              <w:spacing w:before="0" w:after="283"/>
              <w:jc w:val="left"/>
              <w:rPr/>
            </w:pPr>
            <w:r>
              <w:rPr/>
              <w:t> </w:t>
            </w:r>
          </w:p>
        </w:tc>
        <w:tc>
          <w:tcPr>
            <w:tcW w:w="181" w:type="dxa"/>
            <w:tcBorders>
              <w:bottom w:val="doub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bookmarkStart w:id="2615" w:name="TAB11152"/>
            <w:bookmarkEnd w:id="2615"/>
            <w:r>
              <w:rPr>
                <w:rFonts w:ascii="Times New Roman" w:hAnsi="Times New Roman"/>
                <w:sz w:val="20"/>
              </w:rPr>
              <w:t>$</w:t>
            </w:r>
          </w:p>
        </w:tc>
        <w:tc>
          <w:tcPr>
            <w:tcW w:w="1007"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2616" w:name="TAB11153"/>
            <w:bookmarkEnd w:id="2616"/>
            <w:r>
              <w:rPr>
                <w:rFonts w:ascii="Times New Roman" w:hAnsi="Times New Roman"/>
                <w:sz w:val="20"/>
              </w:rPr>
              <w:t>99,404</w:t>
            </w:r>
          </w:p>
        </w:tc>
        <w:tc>
          <w:tcPr>
            <w:tcW w:w="117" w:type="dxa"/>
            <w:tcBorders>
              <w:bottom w:val="single" w:sz="4" w:space="0" w:color="FFFFFF"/>
            </w:tcBorders>
            <w:shd w:fill="FFFFFF" w:val="clear"/>
            <w:vAlign w:val="bottom"/>
          </w:tcPr>
          <w:p>
            <w:pPr>
              <w:pStyle w:val="TableContents"/>
              <w:spacing w:before="0" w:after="283"/>
              <w:jc w:val="left"/>
              <w:rPr/>
            </w:pPr>
            <w:r>
              <w:rPr/>
              <w:t> </w:t>
            </w:r>
          </w:p>
        </w:tc>
      </w:tr>
      <w:tr>
        <w:trPr/>
        <w:tc>
          <w:tcPr>
            <w:tcW w:w="1398" w:type="dxa"/>
            <w:tcBorders/>
            <w:shd w:fill="CCEEFF" w:val="clear"/>
            <w:tcMar>
              <w:bottom w:w="0" w:type="dxa"/>
            </w:tcMar>
            <w:vAlign w:val="bottom"/>
          </w:tcPr>
          <w:p>
            <w:pPr>
              <w:pStyle w:val="TableContents"/>
              <w:spacing w:lineRule="auto" w:line="300" w:before="0" w:after="0"/>
              <w:ind w:left="180" w:right="0" w:hanging="180"/>
              <w:jc w:val="left"/>
              <w:rPr/>
            </w:pPr>
            <w:r>
              <w:rPr/>
              <w:t> </w:t>
            </w:r>
          </w:p>
          <w:p>
            <w:pPr>
              <w:pStyle w:val="TableContents"/>
              <w:spacing w:lineRule="auto" w:line="300" w:before="0" w:after="0"/>
              <w:ind w:left="180" w:right="0" w:hanging="180"/>
              <w:jc w:val="left"/>
              <w:rPr>
                <w:rFonts w:ascii="Times New Roman" w:hAnsi="Times New Roman"/>
                <w:sz w:val="20"/>
              </w:rPr>
            </w:pPr>
            <w:r>
              <w:rPr>
                <w:rFonts w:ascii="Times New Roman" w:hAnsi="Times New Roman"/>
                <w:sz w:val="20"/>
              </w:rPr>
              <w:t>Net income</w:t>
            </w:r>
          </w:p>
        </w:tc>
        <w:tc>
          <w:tcPr>
            <w:tcW w:w="70" w:type="dxa"/>
            <w:tcBorders/>
            <w:shd w:fill="CCEEFF" w:val="clear"/>
            <w:tcMar>
              <w:bottom w:w="0" w:type="dxa"/>
            </w:tcMar>
            <w:vAlign w:val="center"/>
          </w:tcPr>
          <w:p>
            <w:pPr>
              <w:pStyle w:val="TableContents"/>
              <w:spacing w:before="0" w:after="283"/>
              <w:rPr/>
            </w:pPr>
            <w:r>
              <w:rPr/>
              <w:t> </w:t>
            </w:r>
          </w:p>
        </w:tc>
        <w:tc>
          <w:tcPr>
            <w:tcW w:w="70" w:type="dxa"/>
            <w:tcBorders/>
            <w:shd w:fill="CCEEFF" w:val="clear"/>
            <w:tcMar>
              <w:bottom w:w="0" w:type="dxa"/>
            </w:tcMar>
            <w:vAlign w:val="bottom"/>
          </w:tcPr>
          <w:p>
            <w:pPr>
              <w:pStyle w:val="TableContents"/>
              <w:spacing w:before="0" w:after="283"/>
              <w:jc w:val="left"/>
              <w:rPr/>
            </w:pPr>
            <w:r>
              <w:rPr/>
              <w:t> </w:t>
            </w:r>
          </w:p>
        </w:tc>
        <w:tc>
          <w:tcPr>
            <w:tcW w:w="625"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89" w:type="dxa"/>
            <w:tcBorders/>
            <w:shd w:fill="CCEEFF" w:val="clear"/>
            <w:tcMar>
              <w:bottom w:w="0" w:type="dxa"/>
            </w:tcMar>
            <w:vAlign w:val="bottom"/>
          </w:tcPr>
          <w:p>
            <w:pPr>
              <w:pStyle w:val="TableContents"/>
              <w:spacing w:before="0" w:after="283"/>
              <w:jc w:val="left"/>
              <w:rPr/>
            </w:pPr>
            <w:r>
              <w:rPr/>
              <w:t> </w:t>
            </w:r>
          </w:p>
        </w:tc>
        <w:tc>
          <w:tcPr>
            <w:tcW w:w="144" w:type="dxa"/>
            <w:tcBorders/>
            <w:shd w:fill="CCEEFF" w:val="clear"/>
            <w:tcMar>
              <w:bottom w:w="0" w:type="dxa"/>
            </w:tcMar>
            <w:vAlign w:val="bottom"/>
          </w:tcPr>
          <w:p>
            <w:pPr>
              <w:pStyle w:val="TableContents"/>
              <w:spacing w:before="0" w:after="283"/>
              <w:jc w:val="left"/>
              <w:rPr/>
            </w:pPr>
            <w:r>
              <w:rPr/>
              <w:t> </w:t>
            </w:r>
          </w:p>
        </w:tc>
        <w:tc>
          <w:tcPr>
            <w:tcW w:w="423"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70" w:type="dxa"/>
            <w:tcBorders/>
            <w:shd w:fill="CCEEFF" w:val="clear"/>
            <w:tcMar>
              <w:bottom w:w="0" w:type="dxa"/>
            </w:tcMar>
            <w:vAlign w:val="bottom"/>
          </w:tcPr>
          <w:p>
            <w:pPr>
              <w:pStyle w:val="TableContents"/>
              <w:spacing w:before="0" w:after="283"/>
              <w:jc w:val="left"/>
              <w:rPr/>
            </w:pPr>
            <w:r>
              <w:rPr/>
              <w:t> </w:t>
            </w:r>
          </w:p>
        </w:tc>
        <w:tc>
          <w:tcPr>
            <w:tcW w:w="74" w:type="dxa"/>
            <w:tcBorders/>
            <w:shd w:fill="CCEEFF" w:val="clear"/>
            <w:tcMar>
              <w:bottom w:w="0" w:type="dxa"/>
            </w:tcMar>
            <w:vAlign w:val="bottom"/>
          </w:tcPr>
          <w:p>
            <w:pPr>
              <w:pStyle w:val="TableContents"/>
              <w:spacing w:before="0" w:after="283"/>
              <w:jc w:val="left"/>
              <w:rPr/>
            </w:pPr>
            <w:r>
              <w:rPr/>
              <w:t> </w:t>
            </w:r>
          </w:p>
        </w:tc>
        <w:tc>
          <w:tcPr>
            <w:tcW w:w="565"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89" w:type="dxa"/>
            <w:tcBorders/>
            <w:shd w:fill="CCEEFF" w:val="clear"/>
            <w:tcMar>
              <w:bottom w:w="0" w:type="dxa"/>
            </w:tcMar>
            <w:vAlign w:val="bottom"/>
          </w:tcPr>
          <w:p>
            <w:pPr>
              <w:pStyle w:val="TableContents"/>
              <w:spacing w:before="0" w:after="283"/>
              <w:jc w:val="left"/>
              <w:rPr/>
            </w:pPr>
            <w:r>
              <w:rPr/>
              <w:t> </w:t>
            </w:r>
          </w:p>
        </w:tc>
        <w:tc>
          <w:tcPr>
            <w:tcW w:w="184" w:type="dxa"/>
            <w:tcBorders/>
            <w:shd w:fill="CCEEFF" w:val="clear"/>
            <w:tcMar>
              <w:bottom w:w="0" w:type="dxa"/>
            </w:tcMar>
            <w:vAlign w:val="bottom"/>
          </w:tcPr>
          <w:p>
            <w:pPr>
              <w:pStyle w:val="TableContents"/>
              <w:spacing w:before="0" w:after="283"/>
              <w:jc w:val="left"/>
              <w:rPr/>
            </w:pPr>
            <w:r>
              <w:rPr/>
              <w:t> </w:t>
            </w:r>
          </w:p>
        </w:tc>
        <w:tc>
          <w:tcPr>
            <w:tcW w:w="383"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89" w:type="dxa"/>
            <w:tcBorders/>
            <w:shd w:fill="CCEEFF" w:val="clear"/>
            <w:tcMar>
              <w:bottom w:w="0" w:type="dxa"/>
            </w:tcMar>
            <w:vAlign w:val="bottom"/>
          </w:tcPr>
          <w:p>
            <w:pPr>
              <w:pStyle w:val="TableContents"/>
              <w:spacing w:before="0" w:after="283"/>
              <w:jc w:val="left"/>
              <w:rPr/>
            </w:pPr>
            <w:r>
              <w:rPr/>
              <w:t> </w:t>
            </w:r>
          </w:p>
        </w:tc>
        <w:tc>
          <w:tcPr>
            <w:tcW w:w="145" w:type="dxa"/>
            <w:tcBorders/>
            <w:shd w:fill="CCEEFF" w:val="clear"/>
            <w:tcMar>
              <w:bottom w:w="0" w:type="dxa"/>
            </w:tcMar>
            <w:vAlign w:val="bottom"/>
          </w:tcPr>
          <w:p>
            <w:pPr>
              <w:pStyle w:val="TableContents"/>
              <w:spacing w:before="0" w:after="283"/>
              <w:jc w:val="left"/>
              <w:rPr/>
            </w:pPr>
            <w:r>
              <w:rPr/>
              <w:t> </w:t>
            </w:r>
          </w:p>
        </w:tc>
        <w:tc>
          <w:tcPr>
            <w:tcW w:w="804"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70" w:type="dxa"/>
            <w:tcBorders/>
            <w:shd w:fill="CCEEFF" w:val="clear"/>
            <w:tcMar>
              <w:bottom w:w="0" w:type="dxa"/>
            </w:tcMar>
            <w:vAlign w:val="bottom"/>
          </w:tcPr>
          <w:p>
            <w:pPr>
              <w:pStyle w:val="TableContents"/>
              <w:spacing w:before="0" w:after="283"/>
              <w:jc w:val="left"/>
              <w:rPr/>
            </w:pPr>
            <w:r>
              <w:rPr/>
              <w:t> </w:t>
            </w:r>
          </w:p>
        </w:tc>
        <w:tc>
          <w:tcPr>
            <w:tcW w:w="157" w:type="dxa"/>
            <w:tcBorders/>
            <w:shd w:fill="CCEEFF" w:val="clear"/>
            <w:tcMar>
              <w:bottom w:w="0" w:type="dxa"/>
            </w:tcMar>
            <w:vAlign w:val="bottom"/>
          </w:tcPr>
          <w:p>
            <w:pPr>
              <w:pStyle w:val="TableContents"/>
              <w:spacing w:before="0" w:after="283"/>
              <w:jc w:val="left"/>
              <w:rPr/>
            </w:pPr>
            <w:r>
              <w:rPr/>
              <w:t> </w:t>
            </w:r>
          </w:p>
        </w:tc>
        <w:tc>
          <w:tcPr>
            <w:tcW w:w="693"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2617" w:name="TAB11154"/>
            <w:bookmarkEnd w:id="2617"/>
            <w:r>
              <w:rPr>
                <w:rFonts w:ascii="Times New Roman" w:hAnsi="Times New Roman"/>
                <w:sz w:val="20"/>
              </w:rPr>
              <w:t>--</w:t>
            </w:r>
          </w:p>
        </w:tc>
        <w:tc>
          <w:tcPr>
            <w:tcW w:w="89" w:type="dxa"/>
            <w:tcBorders/>
            <w:shd w:fill="CCEEFF" w:val="clear"/>
            <w:tcMar>
              <w:bottom w:w="0" w:type="dxa"/>
            </w:tcMar>
            <w:vAlign w:val="bottom"/>
          </w:tcPr>
          <w:p>
            <w:pPr>
              <w:pStyle w:val="TableContents"/>
              <w:spacing w:before="0" w:after="283"/>
              <w:jc w:val="left"/>
              <w:rPr/>
            </w:pPr>
            <w:r>
              <w:rPr/>
              <w:t> </w:t>
            </w:r>
          </w:p>
        </w:tc>
        <w:tc>
          <w:tcPr>
            <w:tcW w:w="185" w:type="dxa"/>
            <w:tcBorders/>
            <w:shd w:fill="CCEEFF" w:val="clear"/>
            <w:tcMar>
              <w:bottom w:w="0" w:type="dxa"/>
            </w:tcMar>
            <w:vAlign w:val="bottom"/>
          </w:tcPr>
          <w:p>
            <w:pPr>
              <w:pStyle w:val="TableContents"/>
              <w:spacing w:before="0" w:after="283"/>
              <w:jc w:val="left"/>
              <w:rPr/>
            </w:pPr>
            <w:r>
              <w:rPr/>
              <w:t> </w:t>
            </w:r>
          </w:p>
        </w:tc>
        <w:tc>
          <w:tcPr>
            <w:tcW w:w="962"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3,856</w:t>
            </w:r>
          </w:p>
        </w:tc>
        <w:tc>
          <w:tcPr>
            <w:tcW w:w="89" w:type="dxa"/>
            <w:tcBorders/>
            <w:shd w:fill="CCEEFF" w:val="clear"/>
            <w:tcMar>
              <w:bottom w:w="0" w:type="dxa"/>
            </w:tcMar>
            <w:vAlign w:val="bottom"/>
          </w:tcPr>
          <w:p>
            <w:pPr>
              <w:pStyle w:val="TableContents"/>
              <w:spacing w:before="0" w:after="283"/>
              <w:jc w:val="left"/>
              <w:rPr/>
            </w:pPr>
            <w:r>
              <w:rPr/>
              <w:t> </w:t>
            </w:r>
          </w:p>
        </w:tc>
        <w:tc>
          <w:tcPr>
            <w:tcW w:w="234" w:type="dxa"/>
            <w:tcBorders/>
            <w:shd w:fill="CCEEFF" w:val="clear"/>
            <w:tcMar>
              <w:bottom w:w="0" w:type="dxa"/>
            </w:tcMar>
            <w:vAlign w:val="bottom"/>
          </w:tcPr>
          <w:p>
            <w:pPr>
              <w:pStyle w:val="TableContents"/>
              <w:spacing w:before="0" w:after="283"/>
              <w:jc w:val="left"/>
              <w:rPr/>
            </w:pPr>
            <w:r>
              <w:rPr/>
              <w:t> </w:t>
            </w:r>
          </w:p>
        </w:tc>
        <w:tc>
          <w:tcPr>
            <w:tcW w:w="1110"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89" w:type="dxa"/>
            <w:tcBorders/>
            <w:shd w:fill="CCEEFF" w:val="clear"/>
            <w:tcMar>
              <w:bottom w:w="0" w:type="dxa"/>
            </w:tcMar>
            <w:vAlign w:val="bottom"/>
          </w:tcPr>
          <w:p>
            <w:pPr>
              <w:pStyle w:val="TableContents"/>
              <w:spacing w:before="0" w:after="283"/>
              <w:jc w:val="left"/>
              <w:rPr/>
            </w:pPr>
            <w:r>
              <w:rPr/>
              <w:t> </w:t>
            </w:r>
          </w:p>
        </w:tc>
        <w:tc>
          <w:tcPr>
            <w:tcW w:w="181" w:type="dxa"/>
            <w:tcBorders/>
            <w:shd w:fill="CCEEFF" w:val="clear"/>
            <w:tcMar>
              <w:bottom w:w="0" w:type="dxa"/>
            </w:tcMar>
            <w:vAlign w:val="bottom"/>
          </w:tcPr>
          <w:p>
            <w:pPr>
              <w:pStyle w:val="TableContents"/>
              <w:spacing w:before="0" w:after="283"/>
              <w:jc w:val="left"/>
              <w:rPr/>
            </w:pPr>
            <w:r>
              <w:rPr/>
              <w:t> </w:t>
            </w:r>
          </w:p>
        </w:tc>
        <w:tc>
          <w:tcPr>
            <w:tcW w:w="1007"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3,856</w:t>
            </w:r>
          </w:p>
        </w:tc>
        <w:tc>
          <w:tcPr>
            <w:tcW w:w="117" w:type="dxa"/>
            <w:tcBorders/>
            <w:shd w:fill="CCEEFF" w:val="clear"/>
            <w:tcMar>
              <w:bottom w:w="0" w:type="dxa"/>
            </w:tcMar>
            <w:vAlign w:val="bottom"/>
          </w:tcPr>
          <w:p>
            <w:pPr>
              <w:pStyle w:val="TableContents"/>
              <w:spacing w:before="0" w:after="283"/>
              <w:jc w:val="left"/>
              <w:rPr/>
            </w:pPr>
            <w:r>
              <w:rPr/>
              <w:t> </w:t>
            </w:r>
          </w:p>
        </w:tc>
      </w:tr>
      <w:tr>
        <w:trPr/>
        <w:tc>
          <w:tcPr>
            <w:tcW w:w="1398" w:type="dxa"/>
            <w:tcBorders/>
            <w:shd w:fill="FFFFFF" w:val="clear"/>
            <w:tcMar>
              <w:bottom w:w="0" w:type="dxa"/>
            </w:tcMar>
            <w:vAlign w:val="bottom"/>
          </w:tcPr>
          <w:p>
            <w:pPr>
              <w:pStyle w:val="TableContents"/>
              <w:spacing w:lineRule="auto" w:line="300" w:before="0" w:after="0"/>
              <w:ind w:left="180" w:right="0" w:hanging="180"/>
              <w:jc w:val="left"/>
              <w:rPr>
                <w:rFonts w:ascii="Times New Roman" w:hAnsi="Times New Roman"/>
                <w:sz w:val="20"/>
              </w:rPr>
            </w:pPr>
            <w:r>
              <w:rPr>
                <w:rFonts w:ascii="Times New Roman" w:hAnsi="Times New Roman"/>
                <w:sz w:val="20"/>
              </w:rPr>
              <w:t>Other comprehensive income:</w:t>
            </w:r>
          </w:p>
        </w:tc>
        <w:tc>
          <w:tcPr>
            <w:tcW w:w="70" w:type="dxa"/>
            <w:tcBorders/>
            <w:shd w:fill="FFFFFF" w:val="clear"/>
            <w:tcMar>
              <w:bottom w:w="0" w:type="dxa"/>
            </w:tcMar>
            <w:vAlign w:val="center"/>
          </w:tcPr>
          <w:p>
            <w:pPr>
              <w:pStyle w:val="TableContents"/>
              <w:spacing w:before="0" w:after="283"/>
              <w:rPr/>
            </w:pPr>
            <w:r>
              <w:rPr/>
              <w:t> </w:t>
            </w:r>
          </w:p>
        </w:tc>
        <w:tc>
          <w:tcPr>
            <w:tcW w:w="70" w:type="dxa"/>
            <w:tcBorders/>
            <w:shd w:fill="FFFFFF" w:val="clear"/>
            <w:tcMar>
              <w:bottom w:w="0" w:type="dxa"/>
            </w:tcMar>
            <w:vAlign w:val="bottom"/>
          </w:tcPr>
          <w:p>
            <w:pPr>
              <w:pStyle w:val="TableContents"/>
              <w:spacing w:before="0" w:after="283"/>
              <w:jc w:val="left"/>
              <w:rPr/>
            </w:pPr>
            <w:r>
              <w:rPr/>
              <w:t> </w:t>
            </w:r>
          </w:p>
        </w:tc>
        <w:tc>
          <w:tcPr>
            <w:tcW w:w="625"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89" w:type="dxa"/>
            <w:tcBorders/>
            <w:shd w:fill="FFFFFF" w:val="clear"/>
            <w:tcMar>
              <w:bottom w:w="0" w:type="dxa"/>
            </w:tcMar>
            <w:vAlign w:val="bottom"/>
          </w:tcPr>
          <w:p>
            <w:pPr>
              <w:pStyle w:val="TableContents"/>
              <w:spacing w:before="0" w:after="283"/>
              <w:jc w:val="left"/>
              <w:rPr/>
            </w:pPr>
            <w:r>
              <w:rPr/>
              <w:t> </w:t>
            </w:r>
          </w:p>
        </w:tc>
        <w:tc>
          <w:tcPr>
            <w:tcW w:w="144" w:type="dxa"/>
            <w:tcBorders/>
            <w:shd w:fill="FFFFFF" w:val="clear"/>
            <w:tcMar>
              <w:bottom w:w="0" w:type="dxa"/>
            </w:tcMar>
            <w:vAlign w:val="bottom"/>
          </w:tcPr>
          <w:p>
            <w:pPr>
              <w:pStyle w:val="TableContents"/>
              <w:spacing w:before="0" w:after="283"/>
              <w:jc w:val="left"/>
              <w:rPr/>
            </w:pPr>
            <w:r>
              <w:rPr/>
              <w:t> </w:t>
            </w:r>
          </w:p>
        </w:tc>
        <w:tc>
          <w:tcPr>
            <w:tcW w:w="423"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70" w:type="dxa"/>
            <w:tcBorders/>
            <w:shd w:fill="FFFFFF" w:val="clear"/>
            <w:tcMar>
              <w:bottom w:w="0" w:type="dxa"/>
            </w:tcMar>
            <w:vAlign w:val="bottom"/>
          </w:tcPr>
          <w:p>
            <w:pPr>
              <w:pStyle w:val="TableContents"/>
              <w:spacing w:before="0" w:after="283"/>
              <w:jc w:val="left"/>
              <w:rPr/>
            </w:pPr>
            <w:r>
              <w:rPr/>
              <w:t> </w:t>
            </w:r>
          </w:p>
        </w:tc>
        <w:tc>
          <w:tcPr>
            <w:tcW w:w="74" w:type="dxa"/>
            <w:tcBorders/>
            <w:shd w:fill="FFFFFF" w:val="clear"/>
            <w:tcMar>
              <w:bottom w:w="0" w:type="dxa"/>
            </w:tcMar>
            <w:vAlign w:val="bottom"/>
          </w:tcPr>
          <w:p>
            <w:pPr>
              <w:pStyle w:val="TableContents"/>
              <w:spacing w:before="0" w:after="283"/>
              <w:jc w:val="left"/>
              <w:rPr/>
            </w:pPr>
            <w:r>
              <w:rPr/>
              <w:t> </w:t>
            </w:r>
          </w:p>
        </w:tc>
        <w:tc>
          <w:tcPr>
            <w:tcW w:w="565"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89" w:type="dxa"/>
            <w:tcBorders/>
            <w:shd w:fill="FFFFFF" w:val="clear"/>
            <w:tcMar>
              <w:bottom w:w="0" w:type="dxa"/>
            </w:tcMar>
            <w:vAlign w:val="bottom"/>
          </w:tcPr>
          <w:p>
            <w:pPr>
              <w:pStyle w:val="TableContents"/>
              <w:spacing w:before="0" w:after="283"/>
              <w:jc w:val="left"/>
              <w:rPr/>
            </w:pPr>
            <w:r>
              <w:rPr/>
              <w:t> </w:t>
            </w:r>
          </w:p>
        </w:tc>
        <w:tc>
          <w:tcPr>
            <w:tcW w:w="184" w:type="dxa"/>
            <w:tcBorders/>
            <w:shd w:fill="FFFFFF" w:val="clear"/>
            <w:tcMar>
              <w:bottom w:w="0" w:type="dxa"/>
            </w:tcMar>
            <w:vAlign w:val="bottom"/>
          </w:tcPr>
          <w:p>
            <w:pPr>
              <w:pStyle w:val="TableContents"/>
              <w:spacing w:before="0" w:after="283"/>
              <w:jc w:val="left"/>
              <w:rPr/>
            </w:pPr>
            <w:r>
              <w:rPr/>
              <w:t> </w:t>
            </w:r>
          </w:p>
        </w:tc>
        <w:tc>
          <w:tcPr>
            <w:tcW w:w="383"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89" w:type="dxa"/>
            <w:tcBorders/>
            <w:shd w:fill="FFFFFF" w:val="clear"/>
            <w:tcMar>
              <w:bottom w:w="0" w:type="dxa"/>
            </w:tcMar>
            <w:vAlign w:val="bottom"/>
          </w:tcPr>
          <w:p>
            <w:pPr>
              <w:pStyle w:val="TableContents"/>
              <w:spacing w:before="0" w:after="283"/>
              <w:jc w:val="left"/>
              <w:rPr/>
            </w:pPr>
            <w:r>
              <w:rPr/>
              <w:t> </w:t>
            </w:r>
          </w:p>
        </w:tc>
        <w:tc>
          <w:tcPr>
            <w:tcW w:w="145" w:type="dxa"/>
            <w:tcBorders/>
            <w:shd w:fill="FFFFFF" w:val="clear"/>
            <w:tcMar>
              <w:bottom w:w="0" w:type="dxa"/>
            </w:tcMar>
            <w:vAlign w:val="bottom"/>
          </w:tcPr>
          <w:p>
            <w:pPr>
              <w:pStyle w:val="TableContents"/>
              <w:spacing w:before="0" w:after="283"/>
              <w:jc w:val="left"/>
              <w:rPr/>
            </w:pPr>
            <w:r>
              <w:rPr/>
              <w:t> </w:t>
            </w:r>
          </w:p>
        </w:tc>
        <w:tc>
          <w:tcPr>
            <w:tcW w:w="804"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70" w:type="dxa"/>
            <w:tcBorders/>
            <w:shd w:fill="FFFFFF" w:val="clear"/>
            <w:tcMar>
              <w:bottom w:w="0" w:type="dxa"/>
            </w:tcMar>
            <w:vAlign w:val="bottom"/>
          </w:tcPr>
          <w:p>
            <w:pPr>
              <w:pStyle w:val="TableContents"/>
              <w:spacing w:before="0" w:after="283"/>
              <w:jc w:val="left"/>
              <w:rPr/>
            </w:pPr>
            <w:r>
              <w:rPr/>
              <w:t> </w:t>
            </w:r>
          </w:p>
        </w:tc>
        <w:tc>
          <w:tcPr>
            <w:tcW w:w="157" w:type="dxa"/>
            <w:tcBorders/>
            <w:shd w:fill="FFFFFF" w:val="clear"/>
            <w:tcMar>
              <w:bottom w:w="0" w:type="dxa"/>
            </w:tcMar>
            <w:vAlign w:val="bottom"/>
          </w:tcPr>
          <w:p>
            <w:pPr>
              <w:pStyle w:val="TableContents"/>
              <w:spacing w:before="0" w:after="283"/>
              <w:jc w:val="left"/>
              <w:rPr/>
            </w:pPr>
            <w:r>
              <w:rPr/>
              <w:t> </w:t>
            </w:r>
          </w:p>
        </w:tc>
        <w:tc>
          <w:tcPr>
            <w:tcW w:w="693"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2618" w:name="TAB11155"/>
            <w:bookmarkEnd w:id="2618"/>
            <w:r>
              <w:rPr>
                <w:rFonts w:ascii="Times New Roman" w:hAnsi="Times New Roman"/>
                <w:sz w:val="20"/>
              </w:rPr>
              <w:t>--</w:t>
            </w:r>
          </w:p>
        </w:tc>
        <w:tc>
          <w:tcPr>
            <w:tcW w:w="89" w:type="dxa"/>
            <w:tcBorders/>
            <w:shd w:fill="FFFFFF" w:val="clear"/>
            <w:tcMar>
              <w:bottom w:w="0" w:type="dxa"/>
            </w:tcMar>
            <w:vAlign w:val="bottom"/>
          </w:tcPr>
          <w:p>
            <w:pPr>
              <w:pStyle w:val="TableContents"/>
              <w:spacing w:before="0" w:after="283"/>
              <w:jc w:val="left"/>
              <w:rPr/>
            </w:pPr>
            <w:r>
              <w:rPr/>
              <w:t> </w:t>
            </w:r>
          </w:p>
        </w:tc>
        <w:tc>
          <w:tcPr>
            <w:tcW w:w="185" w:type="dxa"/>
            <w:tcBorders/>
            <w:shd w:fill="FFFFFF" w:val="clear"/>
            <w:tcMar>
              <w:bottom w:w="0" w:type="dxa"/>
            </w:tcMar>
            <w:vAlign w:val="bottom"/>
          </w:tcPr>
          <w:p>
            <w:pPr>
              <w:pStyle w:val="TableContents"/>
              <w:spacing w:before="0" w:after="283"/>
              <w:jc w:val="left"/>
              <w:rPr/>
            </w:pPr>
            <w:r>
              <w:rPr/>
              <w:t> </w:t>
            </w:r>
          </w:p>
        </w:tc>
        <w:tc>
          <w:tcPr>
            <w:tcW w:w="962"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89" w:type="dxa"/>
            <w:tcBorders/>
            <w:shd w:fill="FFFFFF" w:val="clear"/>
            <w:tcMar>
              <w:bottom w:w="0" w:type="dxa"/>
            </w:tcMar>
            <w:vAlign w:val="bottom"/>
          </w:tcPr>
          <w:p>
            <w:pPr>
              <w:pStyle w:val="TableContents"/>
              <w:spacing w:before="0" w:after="283"/>
              <w:jc w:val="left"/>
              <w:rPr/>
            </w:pPr>
            <w:r>
              <w:rPr/>
              <w:t> </w:t>
            </w:r>
          </w:p>
        </w:tc>
        <w:tc>
          <w:tcPr>
            <w:tcW w:w="234" w:type="dxa"/>
            <w:tcBorders/>
            <w:shd w:fill="FFFFFF" w:val="clear"/>
            <w:tcMar>
              <w:bottom w:w="0" w:type="dxa"/>
            </w:tcMar>
            <w:vAlign w:val="bottom"/>
          </w:tcPr>
          <w:p>
            <w:pPr>
              <w:pStyle w:val="TableContents"/>
              <w:spacing w:before="0" w:after="283"/>
              <w:jc w:val="left"/>
              <w:rPr/>
            </w:pPr>
            <w:r>
              <w:rPr/>
              <w:t> </w:t>
            </w:r>
          </w:p>
        </w:tc>
        <w:tc>
          <w:tcPr>
            <w:tcW w:w="1110"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89" w:type="dxa"/>
            <w:tcBorders/>
            <w:shd w:fill="FFFFFF" w:val="clear"/>
            <w:tcMar>
              <w:bottom w:w="0" w:type="dxa"/>
            </w:tcMar>
            <w:vAlign w:val="bottom"/>
          </w:tcPr>
          <w:p>
            <w:pPr>
              <w:pStyle w:val="TableContents"/>
              <w:spacing w:before="0" w:after="283"/>
              <w:jc w:val="left"/>
              <w:rPr/>
            </w:pPr>
            <w:r>
              <w:rPr/>
              <w:t> </w:t>
            </w:r>
          </w:p>
        </w:tc>
        <w:tc>
          <w:tcPr>
            <w:tcW w:w="181" w:type="dxa"/>
            <w:tcBorders/>
            <w:shd w:fill="FFFFFF" w:val="clear"/>
            <w:tcMar>
              <w:bottom w:w="0" w:type="dxa"/>
            </w:tcMar>
            <w:vAlign w:val="bottom"/>
          </w:tcPr>
          <w:p>
            <w:pPr>
              <w:pStyle w:val="TableContents"/>
              <w:spacing w:before="0" w:after="283"/>
              <w:jc w:val="left"/>
              <w:rPr/>
            </w:pPr>
            <w:r>
              <w:rPr/>
              <w:t> </w:t>
            </w:r>
          </w:p>
        </w:tc>
        <w:tc>
          <w:tcPr>
            <w:tcW w:w="1007"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117" w:type="dxa"/>
            <w:tcBorders/>
            <w:shd w:fill="FFFFFF" w:val="clear"/>
            <w:tcMar>
              <w:bottom w:w="0" w:type="dxa"/>
            </w:tcMar>
            <w:vAlign w:val="bottom"/>
          </w:tcPr>
          <w:p>
            <w:pPr>
              <w:pStyle w:val="TableContents"/>
              <w:spacing w:before="0" w:after="283"/>
              <w:jc w:val="left"/>
              <w:rPr/>
            </w:pPr>
            <w:r>
              <w:rPr/>
              <w:t> </w:t>
            </w:r>
          </w:p>
        </w:tc>
      </w:tr>
      <w:tr>
        <w:trPr/>
        <w:tc>
          <w:tcPr>
            <w:tcW w:w="1398" w:type="dxa"/>
            <w:tcBorders/>
            <w:shd w:fill="CCEEFF" w:val="clear"/>
            <w:tcMar>
              <w:bottom w:w="0" w:type="dxa"/>
            </w:tcMar>
            <w:vAlign w:val="bottom"/>
          </w:tcPr>
          <w:p>
            <w:pPr>
              <w:pStyle w:val="TableContents"/>
              <w:spacing w:lineRule="auto" w:line="300" w:before="0" w:after="0"/>
              <w:ind w:left="360" w:right="0" w:hanging="180"/>
              <w:jc w:val="left"/>
              <w:rPr>
                <w:rFonts w:ascii="Times New Roman" w:hAnsi="Times New Roman"/>
                <w:sz w:val="20"/>
              </w:rPr>
            </w:pPr>
            <w:r>
              <w:rPr>
                <w:rFonts w:ascii="Times New Roman" w:hAnsi="Times New Roman"/>
                <w:sz w:val="20"/>
              </w:rPr>
              <w:t>Cumulative foreign exchange rate adjustment</w:t>
            </w:r>
          </w:p>
        </w:tc>
        <w:tc>
          <w:tcPr>
            <w:tcW w:w="70" w:type="dxa"/>
            <w:tcBorders/>
            <w:shd w:fill="CCEEFF" w:val="clear"/>
            <w:tcMar>
              <w:bottom w:w="0" w:type="dxa"/>
            </w:tcMar>
            <w:vAlign w:val="center"/>
          </w:tcPr>
          <w:p>
            <w:pPr>
              <w:pStyle w:val="TableContents"/>
              <w:spacing w:before="0" w:after="283"/>
              <w:rPr/>
            </w:pPr>
            <w:r>
              <w:rPr/>
              <w:t> </w:t>
            </w:r>
          </w:p>
        </w:tc>
        <w:tc>
          <w:tcPr>
            <w:tcW w:w="70" w:type="dxa"/>
            <w:tcBorders/>
            <w:shd w:fill="CCEEFF" w:val="clear"/>
            <w:tcMar>
              <w:bottom w:w="0" w:type="dxa"/>
            </w:tcMar>
            <w:vAlign w:val="bottom"/>
          </w:tcPr>
          <w:p>
            <w:pPr>
              <w:pStyle w:val="TableContents"/>
              <w:spacing w:before="0" w:after="283"/>
              <w:jc w:val="left"/>
              <w:rPr/>
            </w:pPr>
            <w:r>
              <w:rPr/>
              <w:t> </w:t>
            </w:r>
          </w:p>
        </w:tc>
        <w:tc>
          <w:tcPr>
            <w:tcW w:w="625"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89" w:type="dxa"/>
            <w:tcBorders/>
            <w:shd w:fill="CCEEFF" w:val="clear"/>
            <w:tcMar>
              <w:bottom w:w="0" w:type="dxa"/>
            </w:tcMar>
            <w:vAlign w:val="bottom"/>
          </w:tcPr>
          <w:p>
            <w:pPr>
              <w:pStyle w:val="TableContents"/>
              <w:spacing w:before="0" w:after="283"/>
              <w:jc w:val="left"/>
              <w:rPr/>
            </w:pPr>
            <w:r>
              <w:rPr/>
              <w:t> </w:t>
            </w:r>
          </w:p>
        </w:tc>
        <w:tc>
          <w:tcPr>
            <w:tcW w:w="144" w:type="dxa"/>
            <w:tcBorders/>
            <w:shd w:fill="CCEEFF" w:val="clear"/>
            <w:tcMar>
              <w:bottom w:w="0" w:type="dxa"/>
            </w:tcMar>
            <w:vAlign w:val="bottom"/>
          </w:tcPr>
          <w:p>
            <w:pPr>
              <w:pStyle w:val="TableContents"/>
              <w:spacing w:before="0" w:after="283"/>
              <w:jc w:val="left"/>
              <w:rPr/>
            </w:pPr>
            <w:r>
              <w:rPr/>
              <w:t> </w:t>
            </w:r>
          </w:p>
        </w:tc>
        <w:tc>
          <w:tcPr>
            <w:tcW w:w="423"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70" w:type="dxa"/>
            <w:tcBorders/>
            <w:shd w:fill="CCEEFF" w:val="clear"/>
            <w:tcMar>
              <w:bottom w:w="0" w:type="dxa"/>
            </w:tcMar>
            <w:vAlign w:val="bottom"/>
          </w:tcPr>
          <w:p>
            <w:pPr>
              <w:pStyle w:val="TableContents"/>
              <w:spacing w:before="0" w:after="283"/>
              <w:jc w:val="left"/>
              <w:rPr/>
            </w:pPr>
            <w:r>
              <w:rPr/>
              <w:t> </w:t>
            </w:r>
          </w:p>
        </w:tc>
        <w:tc>
          <w:tcPr>
            <w:tcW w:w="74" w:type="dxa"/>
            <w:tcBorders/>
            <w:shd w:fill="CCEEFF" w:val="clear"/>
            <w:tcMar>
              <w:bottom w:w="0" w:type="dxa"/>
            </w:tcMar>
            <w:vAlign w:val="bottom"/>
          </w:tcPr>
          <w:p>
            <w:pPr>
              <w:pStyle w:val="TableContents"/>
              <w:spacing w:before="0" w:after="283"/>
              <w:jc w:val="left"/>
              <w:rPr/>
            </w:pPr>
            <w:r>
              <w:rPr/>
              <w:t> </w:t>
            </w:r>
          </w:p>
        </w:tc>
        <w:tc>
          <w:tcPr>
            <w:tcW w:w="565"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89" w:type="dxa"/>
            <w:tcBorders/>
            <w:shd w:fill="CCEEFF" w:val="clear"/>
            <w:tcMar>
              <w:bottom w:w="0" w:type="dxa"/>
            </w:tcMar>
            <w:vAlign w:val="bottom"/>
          </w:tcPr>
          <w:p>
            <w:pPr>
              <w:pStyle w:val="TableContents"/>
              <w:spacing w:before="0" w:after="283"/>
              <w:jc w:val="left"/>
              <w:rPr/>
            </w:pPr>
            <w:r>
              <w:rPr/>
              <w:t> </w:t>
            </w:r>
          </w:p>
        </w:tc>
        <w:tc>
          <w:tcPr>
            <w:tcW w:w="184" w:type="dxa"/>
            <w:tcBorders/>
            <w:shd w:fill="CCEEFF" w:val="clear"/>
            <w:tcMar>
              <w:bottom w:w="0" w:type="dxa"/>
            </w:tcMar>
            <w:vAlign w:val="bottom"/>
          </w:tcPr>
          <w:p>
            <w:pPr>
              <w:pStyle w:val="TableContents"/>
              <w:spacing w:before="0" w:after="283"/>
              <w:jc w:val="left"/>
              <w:rPr/>
            </w:pPr>
            <w:r>
              <w:rPr/>
              <w:t> </w:t>
            </w:r>
          </w:p>
        </w:tc>
        <w:tc>
          <w:tcPr>
            <w:tcW w:w="383"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89" w:type="dxa"/>
            <w:tcBorders/>
            <w:shd w:fill="CCEEFF" w:val="clear"/>
            <w:tcMar>
              <w:bottom w:w="0" w:type="dxa"/>
            </w:tcMar>
            <w:vAlign w:val="bottom"/>
          </w:tcPr>
          <w:p>
            <w:pPr>
              <w:pStyle w:val="TableContents"/>
              <w:spacing w:before="0" w:after="283"/>
              <w:jc w:val="left"/>
              <w:rPr/>
            </w:pPr>
            <w:r>
              <w:rPr/>
              <w:t> </w:t>
            </w:r>
          </w:p>
        </w:tc>
        <w:tc>
          <w:tcPr>
            <w:tcW w:w="145" w:type="dxa"/>
            <w:tcBorders/>
            <w:shd w:fill="CCEEFF" w:val="clear"/>
            <w:tcMar>
              <w:bottom w:w="0" w:type="dxa"/>
            </w:tcMar>
            <w:vAlign w:val="bottom"/>
          </w:tcPr>
          <w:p>
            <w:pPr>
              <w:pStyle w:val="TableContents"/>
              <w:spacing w:before="0" w:after="283"/>
              <w:jc w:val="left"/>
              <w:rPr/>
            </w:pPr>
            <w:r>
              <w:rPr/>
              <w:t> </w:t>
            </w:r>
          </w:p>
        </w:tc>
        <w:tc>
          <w:tcPr>
            <w:tcW w:w="804"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70" w:type="dxa"/>
            <w:tcBorders/>
            <w:shd w:fill="CCEEFF" w:val="clear"/>
            <w:tcMar>
              <w:bottom w:w="0" w:type="dxa"/>
            </w:tcMar>
            <w:vAlign w:val="bottom"/>
          </w:tcPr>
          <w:p>
            <w:pPr>
              <w:pStyle w:val="TableContents"/>
              <w:spacing w:before="0" w:after="283"/>
              <w:jc w:val="left"/>
              <w:rPr/>
            </w:pPr>
            <w:r>
              <w:rPr/>
              <w:t> </w:t>
            </w:r>
          </w:p>
        </w:tc>
        <w:tc>
          <w:tcPr>
            <w:tcW w:w="157" w:type="dxa"/>
            <w:tcBorders/>
            <w:shd w:fill="CCEEFF" w:val="clear"/>
            <w:tcMar>
              <w:bottom w:w="0" w:type="dxa"/>
            </w:tcMar>
            <w:vAlign w:val="bottom"/>
          </w:tcPr>
          <w:p>
            <w:pPr>
              <w:pStyle w:val="TableContents"/>
              <w:spacing w:before="0" w:after="283"/>
              <w:jc w:val="left"/>
              <w:rPr/>
            </w:pPr>
            <w:r>
              <w:rPr/>
              <w:t> </w:t>
            </w:r>
          </w:p>
        </w:tc>
        <w:tc>
          <w:tcPr>
            <w:tcW w:w="693"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2619" w:name="TAB11156"/>
            <w:bookmarkEnd w:id="2619"/>
            <w:r>
              <w:rPr>
                <w:rFonts w:ascii="Times New Roman" w:hAnsi="Times New Roman"/>
                <w:sz w:val="20"/>
              </w:rPr>
              <w:t>--</w:t>
            </w:r>
          </w:p>
        </w:tc>
        <w:tc>
          <w:tcPr>
            <w:tcW w:w="89" w:type="dxa"/>
            <w:tcBorders/>
            <w:shd w:fill="CCEEFF" w:val="clear"/>
            <w:tcMar>
              <w:bottom w:w="0" w:type="dxa"/>
            </w:tcMar>
            <w:vAlign w:val="bottom"/>
          </w:tcPr>
          <w:p>
            <w:pPr>
              <w:pStyle w:val="TableContents"/>
              <w:spacing w:before="0" w:after="283"/>
              <w:jc w:val="left"/>
              <w:rPr/>
            </w:pPr>
            <w:r>
              <w:rPr/>
              <w:t> </w:t>
            </w:r>
          </w:p>
        </w:tc>
        <w:tc>
          <w:tcPr>
            <w:tcW w:w="185" w:type="dxa"/>
            <w:tcBorders/>
            <w:shd w:fill="CCEEFF" w:val="clear"/>
            <w:tcMar>
              <w:bottom w:w="0" w:type="dxa"/>
            </w:tcMar>
            <w:vAlign w:val="bottom"/>
          </w:tcPr>
          <w:p>
            <w:pPr>
              <w:pStyle w:val="TableContents"/>
              <w:spacing w:before="0" w:after="283"/>
              <w:jc w:val="left"/>
              <w:rPr/>
            </w:pPr>
            <w:r>
              <w:rPr/>
              <w:t> </w:t>
            </w:r>
          </w:p>
        </w:tc>
        <w:tc>
          <w:tcPr>
            <w:tcW w:w="962"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89" w:type="dxa"/>
            <w:tcBorders/>
            <w:shd w:fill="CCEEFF" w:val="clear"/>
            <w:tcMar>
              <w:bottom w:w="0" w:type="dxa"/>
            </w:tcMar>
            <w:vAlign w:val="bottom"/>
          </w:tcPr>
          <w:p>
            <w:pPr>
              <w:pStyle w:val="TableContents"/>
              <w:spacing w:before="0" w:after="283"/>
              <w:jc w:val="left"/>
              <w:rPr/>
            </w:pPr>
            <w:r>
              <w:rPr/>
              <w:t> </w:t>
            </w:r>
          </w:p>
        </w:tc>
        <w:tc>
          <w:tcPr>
            <w:tcW w:w="234" w:type="dxa"/>
            <w:tcBorders/>
            <w:shd w:fill="CCEEFF" w:val="clear"/>
            <w:tcMar>
              <w:bottom w:w="0" w:type="dxa"/>
            </w:tcMar>
            <w:vAlign w:val="bottom"/>
          </w:tcPr>
          <w:p>
            <w:pPr>
              <w:pStyle w:val="TableContents"/>
              <w:spacing w:before="0" w:after="283"/>
              <w:jc w:val="left"/>
              <w:rPr/>
            </w:pPr>
            <w:r>
              <w:rPr/>
              <w:t> </w:t>
            </w:r>
          </w:p>
        </w:tc>
        <w:tc>
          <w:tcPr>
            <w:tcW w:w="1110"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4,928</w:t>
            </w:r>
          </w:p>
        </w:tc>
        <w:tc>
          <w:tcPr>
            <w:tcW w:w="89" w:type="dxa"/>
            <w:tcBorders/>
            <w:shd w:fill="CCEEFF" w:val="clear"/>
            <w:tcMar>
              <w:bottom w:w="0" w:type="dxa"/>
            </w:tcMar>
            <w:vAlign w:val="bottom"/>
          </w:tcPr>
          <w:p>
            <w:pPr>
              <w:pStyle w:val="TableContents"/>
              <w:spacing w:before="0" w:after="283"/>
              <w:jc w:val="left"/>
              <w:rPr/>
            </w:pPr>
            <w:r>
              <w:rPr/>
              <w:t> </w:t>
            </w:r>
          </w:p>
        </w:tc>
        <w:tc>
          <w:tcPr>
            <w:tcW w:w="181" w:type="dxa"/>
            <w:tcBorders/>
            <w:shd w:fill="CCEEFF" w:val="clear"/>
            <w:tcMar>
              <w:bottom w:w="0" w:type="dxa"/>
            </w:tcMar>
            <w:vAlign w:val="bottom"/>
          </w:tcPr>
          <w:p>
            <w:pPr>
              <w:pStyle w:val="TableContents"/>
              <w:spacing w:before="0" w:after="283"/>
              <w:jc w:val="left"/>
              <w:rPr/>
            </w:pPr>
            <w:r>
              <w:rPr/>
              <w:t> </w:t>
            </w:r>
          </w:p>
        </w:tc>
        <w:tc>
          <w:tcPr>
            <w:tcW w:w="1007"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4,928</w:t>
            </w:r>
          </w:p>
        </w:tc>
        <w:tc>
          <w:tcPr>
            <w:tcW w:w="117" w:type="dxa"/>
            <w:tcBorders/>
            <w:shd w:fill="CCEEFF" w:val="clear"/>
            <w:tcMar>
              <w:bottom w:w="0" w:type="dxa"/>
            </w:tcMar>
            <w:vAlign w:val="bottom"/>
          </w:tcPr>
          <w:p>
            <w:pPr>
              <w:pStyle w:val="TableContents"/>
              <w:spacing w:before="0" w:after="283"/>
              <w:jc w:val="left"/>
              <w:rPr/>
            </w:pPr>
            <w:r>
              <w:rPr/>
              <w:t> </w:t>
            </w:r>
          </w:p>
        </w:tc>
      </w:tr>
      <w:tr>
        <w:trPr/>
        <w:tc>
          <w:tcPr>
            <w:tcW w:w="1398" w:type="dxa"/>
            <w:tcBorders>
              <w:bottom w:val="single" w:sz="2" w:space="0" w:color="000000"/>
            </w:tcBorders>
            <w:shd w:fill="FFFFFF" w:val="clear"/>
            <w:vAlign w:val="bottom"/>
          </w:tcPr>
          <w:p>
            <w:pPr>
              <w:pStyle w:val="TableContents"/>
              <w:spacing w:lineRule="auto" w:line="300" w:before="0" w:after="0"/>
              <w:ind w:left="360" w:right="0" w:hanging="180"/>
              <w:jc w:val="left"/>
              <w:rPr>
                <w:rFonts w:ascii="Times New Roman" w:hAnsi="Times New Roman"/>
                <w:sz w:val="20"/>
              </w:rPr>
            </w:pPr>
            <w:r>
              <w:rPr>
                <w:rFonts w:ascii="Times New Roman" w:hAnsi="Times New Roman"/>
                <w:sz w:val="20"/>
              </w:rPr>
              <w:t>Unrealized loss on securities</w:t>
            </w:r>
          </w:p>
        </w:tc>
        <w:tc>
          <w:tcPr>
            <w:tcW w:w="70" w:type="dxa"/>
            <w:tcBorders>
              <w:bottom w:val="single" w:sz="2" w:space="0" w:color="FFFFFF"/>
            </w:tcBorders>
            <w:shd w:fill="FFFFFF" w:val="clear"/>
            <w:vAlign w:val="center"/>
          </w:tcPr>
          <w:p>
            <w:pPr>
              <w:pStyle w:val="TableContents"/>
              <w:spacing w:before="0" w:after="283"/>
              <w:rPr/>
            </w:pPr>
            <w:r>
              <w:rPr/>
              <w:t> </w:t>
            </w:r>
          </w:p>
        </w:tc>
        <w:tc>
          <w:tcPr>
            <w:tcW w:w="70" w:type="dxa"/>
            <w:tcBorders>
              <w:bottom w:val="single" w:sz="2" w:space="0" w:color="000000"/>
            </w:tcBorders>
            <w:shd w:fill="FFFFFF" w:val="clear"/>
            <w:vAlign w:val="bottom"/>
          </w:tcPr>
          <w:p>
            <w:pPr>
              <w:pStyle w:val="TableContents"/>
              <w:spacing w:before="0" w:after="283"/>
              <w:jc w:val="left"/>
              <w:rPr/>
            </w:pPr>
            <w:r>
              <w:rPr/>
              <w:t> </w:t>
            </w:r>
          </w:p>
        </w:tc>
        <w:tc>
          <w:tcPr>
            <w:tcW w:w="625"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89" w:type="dxa"/>
            <w:tcBorders>
              <w:bottom w:val="single" w:sz="2" w:space="0" w:color="FFFFFF"/>
            </w:tcBorders>
            <w:shd w:fill="FFFFFF" w:val="clear"/>
            <w:vAlign w:val="bottom"/>
          </w:tcPr>
          <w:p>
            <w:pPr>
              <w:pStyle w:val="TableContents"/>
              <w:spacing w:before="0" w:after="283"/>
              <w:jc w:val="left"/>
              <w:rPr/>
            </w:pPr>
            <w:r>
              <w:rPr/>
              <w:t> </w:t>
            </w:r>
          </w:p>
        </w:tc>
        <w:tc>
          <w:tcPr>
            <w:tcW w:w="144" w:type="dxa"/>
            <w:tcBorders>
              <w:bottom w:val="single" w:sz="2" w:space="0" w:color="000000"/>
            </w:tcBorders>
            <w:shd w:fill="FFFFFF" w:val="clear"/>
            <w:vAlign w:val="bottom"/>
          </w:tcPr>
          <w:p>
            <w:pPr>
              <w:pStyle w:val="TableContents"/>
              <w:spacing w:before="0" w:after="283"/>
              <w:jc w:val="left"/>
              <w:rPr/>
            </w:pPr>
            <w:r>
              <w:rPr/>
              <w:t> </w:t>
            </w:r>
          </w:p>
        </w:tc>
        <w:tc>
          <w:tcPr>
            <w:tcW w:w="423"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70" w:type="dxa"/>
            <w:tcBorders>
              <w:bottom w:val="single" w:sz="2" w:space="0" w:color="FFFFFF"/>
            </w:tcBorders>
            <w:shd w:fill="FFFFFF" w:val="clear"/>
            <w:vAlign w:val="bottom"/>
          </w:tcPr>
          <w:p>
            <w:pPr>
              <w:pStyle w:val="TableContents"/>
              <w:spacing w:before="0" w:after="283"/>
              <w:jc w:val="left"/>
              <w:rPr/>
            </w:pPr>
            <w:r>
              <w:rPr/>
              <w:t> </w:t>
            </w:r>
          </w:p>
        </w:tc>
        <w:tc>
          <w:tcPr>
            <w:tcW w:w="74" w:type="dxa"/>
            <w:tcBorders>
              <w:bottom w:val="single" w:sz="2" w:space="0" w:color="000000"/>
            </w:tcBorders>
            <w:shd w:fill="FFFFFF" w:val="clear"/>
            <w:vAlign w:val="bottom"/>
          </w:tcPr>
          <w:p>
            <w:pPr>
              <w:pStyle w:val="TableContents"/>
              <w:spacing w:before="0" w:after="283"/>
              <w:jc w:val="left"/>
              <w:rPr/>
            </w:pPr>
            <w:r>
              <w:rPr/>
              <w:t> </w:t>
            </w:r>
          </w:p>
        </w:tc>
        <w:tc>
          <w:tcPr>
            <w:tcW w:w="565"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89" w:type="dxa"/>
            <w:tcBorders>
              <w:bottom w:val="single" w:sz="2" w:space="0" w:color="FFFFFF"/>
            </w:tcBorders>
            <w:shd w:fill="FFFFFF" w:val="clear"/>
            <w:vAlign w:val="bottom"/>
          </w:tcPr>
          <w:p>
            <w:pPr>
              <w:pStyle w:val="TableContents"/>
              <w:spacing w:before="0" w:after="283"/>
              <w:jc w:val="left"/>
              <w:rPr/>
            </w:pPr>
            <w:r>
              <w:rPr/>
              <w:t> </w:t>
            </w:r>
          </w:p>
        </w:tc>
        <w:tc>
          <w:tcPr>
            <w:tcW w:w="184" w:type="dxa"/>
            <w:tcBorders>
              <w:bottom w:val="single" w:sz="2" w:space="0" w:color="000000"/>
            </w:tcBorders>
            <w:shd w:fill="FFFFFF" w:val="clear"/>
            <w:vAlign w:val="bottom"/>
          </w:tcPr>
          <w:p>
            <w:pPr>
              <w:pStyle w:val="TableContents"/>
              <w:spacing w:before="0" w:after="283"/>
              <w:jc w:val="left"/>
              <w:rPr/>
            </w:pPr>
            <w:r>
              <w:rPr/>
              <w:t> </w:t>
            </w:r>
          </w:p>
        </w:tc>
        <w:tc>
          <w:tcPr>
            <w:tcW w:w="383"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89" w:type="dxa"/>
            <w:tcBorders>
              <w:bottom w:val="single" w:sz="2" w:space="0" w:color="FFFFFF"/>
            </w:tcBorders>
            <w:shd w:fill="FFFFFF" w:val="clear"/>
            <w:vAlign w:val="bottom"/>
          </w:tcPr>
          <w:p>
            <w:pPr>
              <w:pStyle w:val="TableContents"/>
              <w:spacing w:before="0" w:after="283"/>
              <w:jc w:val="left"/>
              <w:rPr/>
            </w:pPr>
            <w:r>
              <w:rPr/>
              <w:t> </w:t>
            </w:r>
          </w:p>
        </w:tc>
        <w:tc>
          <w:tcPr>
            <w:tcW w:w="145" w:type="dxa"/>
            <w:tcBorders>
              <w:bottom w:val="single" w:sz="2" w:space="0" w:color="000000"/>
            </w:tcBorders>
            <w:shd w:fill="FFFFFF" w:val="clear"/>
            <w:vAlign w:val="bottom"/>
          </w:tcPr>
          <w:p>
            <w:pPr>
              <w:pStyle w:val="TableContents"/>
              <w:spacing w:before="0" w:after="283"/>
              <w:jc w:val="left"/>
              <w:rPr/>
            </w:pPr>
            <w:r>
              <w:rPr/>
              <w:t> </w:t>
            </w:r>
          </w:p>
        </w:tc>
        <w:tc>
          <w:tcPr>
            <w:tcW w:w="804"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70" w:type="dxa"/>
            <w:tcBorders>
              <w:bottom w:val="single" w:sz="2" w:space="0" w:color="FFFFFF"/>
            </w:tcBorders>
            <w:shd w:fill="FFFFFF" w:val="clear"/>
            <w:vAlign w:val="bottom"/>
          </w:tcPr>
          <w:p>
            <w:pPr>
              <w:pStyle w:val="TableContents"/>
              <w:spacing w:before="0" w:after="283"/>
              <w:jc w:val="left"/>
              <w:rPr/>
            </w:pPr>
            <w:r>
              <w:rPr/>
              <w:t> </w:t>
            </w:r>
          </w:p>
        </w:tc>
        <w:tc>
          <w:tcPr>
            <w:tcW w:w="157" w:type="dxa"/>
            <w:tcBorders>
              <w:bottom w:val="single" w:sz="2" w:space="0" w:color="000000"/>
            </w:tcBorders>
            <w:shd w:fill="FFFFFF" w:val="clear"/>
            <w:vAlign w:val="bottom"/>
          </w:tcPr>
          <w:p>
            <w:pPr>
              <w:pStyle w:val="TableContents"/>
              <w:spacing w:before="0" w:after="283"/>
              <w:jc w:val="left"/>
              <w:rPr/>
            </w:pPr>
            <w:r>
              <w:rPr/>
              <w:t> </w:t>
            </w:r>
          </w:p>
        </w:tc>
        <w:tc>
          <w:tcPr>
            <w:tcW w:w="693"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2620" w:name="TAB11157"/>
            <w:bookmarkEnd w:id="2620"/>
            <w:r>
              <w:rPr>
                <w:rFonts w:ascii="Times New Roman" w:hAnsi="Times New Roman"/>
                <w:sz w:val="20"/>
              </w:rPr>
              <w:t>--</w:t>
            </w:r>
          </w:p>
        </w:tc>
        <w:tc>
          <w:tcPr>
            <w:tcW w:w="89" w:type="dxa"/>
            <w:tcBorders>
              <w:bottom w:val="single" w:sz="2" w:space="0" w:color="FFFFFF"/>
            </w:tcBorders>
            <w:shd w:fill="FFFFFF" w:val="clear"/>
            <w:vAlign w:val="bottom"/>
          </w:tcPr>
          <w:p>
            <w:pPr>
              <w:pStyle w:val="TableContents"/>
              <w:spacing w:before="0" w:after="283"/>
              <w:jc w:val="left"/>
              <w:rPr/>
            </w:pPr>
            <w:r>
              <w:rPr/>
              <w:t> </w:t>
            </w:r>
          </w:p>
        </w:tc>
        <w:tc>
          <w:tcPr>
            <w:tcW w:w="185" w:type="dxa"/>
            <w:tcBorders>
              <w:bottom w:val="single" w:sz="2" w:space="0" w:color="000000"/>
            </w:tcBorders>
            <w:shd w:fill="FFFFFF" w:val="clear"/>
            <w:vAlign w:val="bottom"/>
          </w:tcPr>
          <w:p>
            <w:pPr>
              <w:pStyle w:val="TableContents"/>
              <w:spacing w:before="0" w:after="283"/>
              <w:jc w:val="left"/>
              <w:rPr/>
            </w:pPr>
            <w:r>
              <w:rPr/>
              <w:t> </w:t>
            </w:r>
          </w:p>
        </w:tc>
        <w:tc>
          <w:tcPr>
            <w:tcW w:w="962"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89" w:type="dxa"/>
            <w:tcBorders>
              <w:bottom w:val="single" w:sz="2" w:space="0" w:color="FFFFFF"/>
            </w:tcBorders>
            <w:shd w:fill="FFFFFF" w:val="clear"/>
            <w:vAlign w:val="bottom"/>
          </w:tcPr>
          <w:p>
            <w:pPr>
              <w:pStyle w:val="TableContents"/>
              <w:spacing w:before="0" w:after="283"/>
              <w:jc w:val="left"/>
              <w:rPr/>
            </w:pPr>
            <w:r>
              <w:rPr/>
              <w:t> </w:t>
            </w:r>
          </w:p>
        </w:tc>
        <w:tc>
          <w:tcPr>
            <w:tcW w:w="234" w:type="dxa"/>
            <w:tcBorders>
              <w:bottom w:val="single" w:sz="2" w:space="0" w:color="000000"/>
            </w:tcBorders>
            <w:shd w:fill="FFFFFF" w:val="clear"/>
            <w:vAlign w:val="bottom"/>
          </w:tcPr>
          <w:p>
            <w:pPr>
              <w:pStyle w:val="TableContents"/>
              <w:spacing w:before="0" w:after="283"/>
              <w:jc w:val="left"/>
              <w:rPr/>
            </w:pPr>
            <w:r>
              <w:rPr/>
              <w:t> </w:t>
            </w:r>
          </w:p>
        </w:tc>
        <w:tc>
          <w:tcPr>
            <w:tcW w:w="1110"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(110</w:t>
            </w:r>
          </w:p>
        </w:tc>
        <w:tc>
          <w:tcPr>
            <w:tcW w:w="89" w:type="dxa"/>
            <w:tcBorders>
              <w:bottom w:val="single" w:sz="2" w:space="0" w:color="FFFFFF"/>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81" w:type="dxa"/>
            <w:tcBorders>
              <w:bottom w:val="single" w:sz="2" w:space="0" w:color="000000"/>
            </w:tcBorders>
            <w:shd w:fill="FFFFFF" w:val="clear"/>
            <w:vAlign w:val="bottom"/>
          </w:tcPr>
          <w:p>
            <w:pPr>
              <w:pStyle w:val="TableContents"/>
              <w:spacing w:before="0" w:after="283"/>
              <w:jc w:val="left"/>
              <w:rPr/>
            </w:pPr>
            <w:r>
              <w:rPr/>
              <w:t> </w:t>
            </w:r>
          </w:p>
        </w:tc>
        <w:tc>
          <w:tcPr>
            <w:tcW w:w="1007"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(110</w:t>
            </w:r>
          </w:p>
        </w:tc>
        <w:tc>
          <w:tcPr>
            <w:tcW w:w="117" w:type="dxa"/>
            <w:tcBorders>
              <w:bottom w:val="single" w:sz="2" w:space="0" w:color="FFFFFF"/>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r>
      <w:tr>
        <w:trPr/>
        <w:tc>
          <w:tcPr>
            <w:tcW w:w="1398" w:type="dxa"/>
            <w:tcBorders>
              <w:bottom w:val="single" w:sz="2" w:space="0" w:color="000000"/>
            </w:tcBorders>
            <w:shd w:fill="CCEEFF" w:val="clear"/>
            <w:vAlign w:val="bottom"/>
          </w:tcPr>
          <w:p>
            <w:pPr>
              <w:pStyle w:val="TableContents"/>
              <w:spacing w:lineRule="auto" w:line="300" w:before="0" w:after="0"/>
              <w:ind w:left="180" w:right="0" w:hanging="180"/>
              <w:jc w:val="left"/>
              <w:rPr>
                <w:rFonts w:ascii="Times New Roman" w:hAnsi="Times New Roman"/>
                <w:sz w:val="20"/>
              </w:rPr>
            </w:pPr>
            <w:r>
              <w:rPr>
                <w:rFonts w:ascii="Times New Roman" w:hAnsi="Times New Roman"/>
                <w:sz w:val="20"/>
              </w:rPr>
              <w:t>Total comprehensive income</w:t>
            </w:r>
          </w:p>
        </w:tc>
        <w:tc>
          <w:tcPr>
            <w:tcW w:w="70" w:type="dxa"/>
            <w:tcBorders>
              <w:bottom w:val="single" w:sz="2" w:space="0" w:color="CCEEFF"/>
            </w:tcBorders>
            <w:shd w:fill="CCEEFF" w:val="clear"/>
            <w:vAlign w:val="center"/>
          </w:tcPr>
          <w:p>
            <w:pPr>
              <w:pStyle w:val="TableContents"/>
              <w:spacing w:before="0" w:after="283"/>
              <w:rPr/>
            </w:pPr>
            <w:r>
              <w:rPr/>
              <w:t> </w:t>
            </w:r>
          </w:p>
        </w:tc>
        <w:tc>
          <w:tcPr>
            <w:tcW w:w="70" w:type="dxa"/>
            <w:tcBorders>
              <w:bottom w:val="single" w:sz="2" w:space="0" w:color="000000"/>
            </w:tcBorders>
            <w:shd w:fill="CCEEFF" w:val="clear"/>
            <w:vAlign w:val="bottom"/>
          </w:tcPr>
          <w:p>
            <w:pPr>
              <w:pStyle w:val="TableContents"/>
              <w:spacing w:before="0" w:after="283"/>
              <w:jc w:val="left"/>
              <w:rPr/>
            </w:pPr>
            <w:r>
              <w:rPr/>
              <w:t> </w:t>
            </w:r>
          </w:p>
        </w:tc>
        <w:tc>
          <w:tcPr>
            <w:tcW w:w="625"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89" w:type="dxa"/>
            <w:tcBorders>
              <w:bottom w:val="single" w:sz="2" w:space="0" w:color="CCEEFF"/>
            </w:tcBorders>
            <w:shd w:fill="CCEEFF" w:val="clear"/>
            <w:vAlign w:val="bottom"/>
          </w:tcPr>
          <w:p>
            <w:pPr>
              <w:pStyle w:val="TableContents"/>
              <w:spacing w:before="0" w:after="283"/>
              <w:jc w:val="left"/>
              <w:rPr/>
            </w:pPr>
            <w:r>
              <w:rPr/>
              <w:t> </w:t>
            </w:r>
          </w:p>
        </w:tc>
        <w:tc>
          <w:tcPr>
            <w:tcW w:w="144" w:type="dxa"/>
            <w:tcBorders>
              <w:bottom w:val="single" w:sz="2" w:space="0" w:color="000000"/>
            </w:tcBorders>
            <w:shd w:fill="CCEEFF" w:val="clear"/>
            <w:vAlign w:val="bottom"/>
          </w:tcPr>
          <w:p>
            <w:pPr>
              <w:pStyle w:val="TableContents"/>
              <w:spacing w:before="0" w:after="283"/>
              <w:jc w:val="left"/>
              <w:rPr/>
            </w:pPr>
            <w:r>
              <w:rPr/>
              <w:t> </w:t>
            </w:r>
          </w:p>
        </w:tc>
        <w:tc>
          <w:tcPr>
            <w:tcW w:w="423"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70" w:type="dxa"/>
            <w:tcBorders>
              <w:bottom w:val="single" w:sz="2" w:space="0" w:color="CCEEFF"/>
            </w:tcBorders>
            <w:shd w:fill="CCEEFF" w:val="clear"/>
            <w:vAlign w:val="bottom"/>
          </w:tcPr>
          <w:p>
            <w:pPr>
              <w:pStyle w:val="TableContents"/>
              <w:spacing w:before="0" w:after="283"/>
              <w:jc w:val="left"/>
              <w:rPr/>
            </w:pPr>
            <w:r>
              <w:rPr/>
              <w:t> </w:t>
            </w:r>
          </w:p>
        </w:tc>
        <w:tc>
          <w:tcPr>
            <w:tcW w:w="74" w:type="dxa"/>
            <w:tcBorders>
              <w:bottom w:val="single" w:sz="2" w:space="0" w:color="000000"/>
            </w:tcBorders>
            <w:shd w:fill="CCEEFF" w:val="clear"/>
            <w:vAlign w:val="bottom"/>
          </w:tcPr>
          <w:p>
            <w:pPr>
              <w:pStyle w:val="TableContents"/>
              <w:spacing w:before="0" w:after="283"/>
              <w:jc w:val="left"/>
              <w:rPr/>
            </w:pPr>
            <w:r>
              <w:rPr/>
              <w:t> </w:t>
            </w:r>
          </w:p>
        </w:tc>
        <w:tc>
          <w:tcPr>
            <w:tcW w:w="565"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89" w:type="dxa"/>
            <w:tcBorders>
              <w:bottom w:val="single" w:sz="2" w:space="0" w:color="CCEEFF"/>
            </w:tcBorders>
            <w:shd w:fill="CCEEFF" w:val="clear"/>
            <w:vAlign w:val="bottom"/>
          </w:tcPr>
          <w:p>
            <w:pPr>
              <w:pStyle w:val="TableContents"/>
              <w:spacing w:before="0" w:after="283"/>
              <w:jc w:val="left"/>
              <w:rPr/>
            </w:pPr>
            <w:r>
              <w:rPr/>
              <w:t> </w:t>
            </w:r>
          </w:p>
        </w:tc>
        <w:tc>
          <w:tcPr>
            <w:tcW w:w="184" w:type="dxa"/>
            <w:tcBorders>
              <w:bottom w:val="single" w:sz="2" w:space="0" w:color="000000"/>
            </w:tcBorders>
            <w:shd w:fill="CCEEFF" w:val="clear"/>
            <w:vAlign w:val="bottom"/>
          </w:tcPr>
          <w:p>
            <w:pPr>
              <w:pStyle w:val="TableContents"/>
              <w:spacing w:before="0" w:after="283"/>
              <w:jc w:val="left"/>
              <w:rPr/>
            </w:pPr>
            <w:r>
              <w:rPr/>
              <w:t> </w:t>
            </w:r>
          </w:p>
        </w:tc>
        <w:tc>
          <w:tcPr>
            <w:tcW w:w="383"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89" w:type="dxa"/>
            <w:tcBorders>
              <w:bottom w:val="single" w:sz="2" w:space="0" w:color="CCEEFF"/>
            </w:tcBorders>
            <w:shd w:fill="CCEEFF" w:val="clear"/>
            <w:vAlign w:val="bottom"/>
          </w:tcPr>
          <w:p>
            <w:pPr>
              <w:pStyle w:val="TableContents"/>
              <w:spacing w:before="0" w:after="283"/>
              <w:jc w:val="left"/>
              <w:rPr/>
            </w:pPr>
            <w:r>
              <w:rPr/>
              <w:t> </w:t>
            </w:r>
          </w:p>
        </w:tc>
        <w:tc>
          <w:tcPr>
            <w:tcW w:w="145" w:type="dxa"/>
            <w:tcBorders>
              <w:bottom w:val="single" w:sz="2" w:space="0" w:color="000000"/>
            </w:tcBorders>
            <w:shd w:fill="CCEEFF" w:val="clear"/>
            <w:vAlign w:val="bottom"/>
          </w:tcPr>
          <w:p>
            <w:pPr>
              <w:pStyle w:val="TableContents"/>
              <w:spacing w:before="0" w:after="283"/>
              <w:jc w:val="left"/>
              <w:rPr/>
            </w:pPr>
            <w:r>
              <w:rPr/>
              <w:t> </w:t>
            </w:r>
          </w:p>
        </w:tc>
        <w:tc>
          <w:tcPr>
            <w:tcW w:w="804"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70" w:type="dxa"/>
            <w:tcBorders>
              <w:bottom w:val="single" w:sz="2" w:space="0" w:color="CCEEFF"/>
            </w:tcBorders>
            <w:shd w:fill="CCEEFF" w:val="clear"/>
            <w:vAlign w:val="bottom"/>
          </w:tcPr>
          <w:p>
            <w:pPr>
              <w:pStyle w:val="TableContents"/>
              <w:spacing w:before="0" w:after="283"/>
              <w:jc w:val="left"/>
              <w:rPr/>
            </w:pPr>
            <w:r>
              <w:rPr/>
              <w:t> </w:t>
            </w:r>
          </w:p>
        </w:tc>
        <w:tc>
          <w:tcPr>
            <w:tcW w:w="157" w:type="dxa"/>
            <w:tcBorders>
              <w:bottom w:val="single" w:sz="2" w:space="0" w:color="000000"/>
            </w:tcBorders>
            <w:shd w:fill="CCEEFF" w:val="clear"/>
            <w:vAlign w:val="bottom"/>
          </w:tcPr>
          <w:p>
            <w:pPr>
              <w:pStyle w:val="TableContents"/>
              <w:spacing w:before="0" w:after="283"/>
              <w:jc w:val="left"/>
              <w:rPr/>
            </w:pPr>
            <w:r>
              <w:rPr/>
              <w:t> </w:t>
            </w:r>
          </w:p>
        </w:tc>
        <w:tc>
          <w:tcPr>
            <w:tcW w:w="693"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2621" w:name="TAB11158"/>
            <w:bookmarkEnd w:id="2621"/>
            <w:r>
              <w:rPr>
                <w:rFonts w:ascii="Times New Roman" w:hAnsi="Times New Roman"/>
                <w:sz w:val="20"/>
              </w:rPr>
              <w:t>--</w:t>
            </w:r>
          </w:p>
        </w:tc>
        <w:tc>
          <w:tcPr>
            <w:tcW w:w="89" w:type="dxa"/>
            <w:tcBorders>
              <w:bottom w:val="single" w:sz="2" w:space="0" w:color="CCEEFF"/>
            </w:tcBorders>
            <w:shd w:fill="CCEEFF" w:val="clear"/>
            <w:vAlign w:val="bottom"/>
          </w:tcPr>
          <w:p>
            <w:pPr>
              <w:pStyle w:val="TableContents"/>
              <w:spacing w:before="0" w:after="283"/>
              <w:jc w:val="left"/>
              <w:rPr/>
            </w:pPr>
            <w:r>
              <w:rPr/>
              <w:t> </w:t>
            </w:r>
          </w:p>
        </w:tc>
        <w:tc>
          <w:tcPr>
            <w:tcW w:w="185" w:type="dxa"/>
            <w:tcBorders>
              <w:bottom w:val="single" w:sz="2" w:space="0" w:color="000000"/>
            </w:tcBorders>
            <w:shd w:fill="CCEEFF" w:val="clear"/>
            <w:vAlign w:val="bottom"/>
          </w:tcPr>
          <w:p>
            <w:pPr>
              <w:pStyle w:val="TableContents"/>
              <w:spacing w:before="0" w:after="283"/>
              <w:jc w:val="left"/>
              <w:rPr/>
            </w:pPr>
            <w:r>
              <w:rPr/>
              <w:t> </w:t>
            </w:r>
          </w:p>
        </w:tc>
        <w:tc>
          <w:tcPr>
            <w:tcW w:w="962"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89" w:type="dxa"/>
            <w:tcBorders>
              <w:bottom w:val="single" w:sz="2" w:space="0" w:color="CCEEFF"/>
            </w:tcBorders>
            <w:shd w:fill="CCEEFF" w:val="clear"/>
            <w:vAlign w:val="bottom"/>
          </w:tcPr>
          <w:p>
            <w:pPr>
              <w:pStyle w:val="TableContents"/>
              <w:spacing w:before="0" w:after="283"/>
              <w:jc w:val="left"/>
              <w:rPr/>
            </w:pPr>
            <w:r>
              <w:rPr/>
              <w:t> </w:t>
            </w:r>
          </w:p>
        </w:tc>
        <w:tc>
          <w:tcPr>
            <w:tcW w:w="234" w:type="dxa"/>
            <w:tcBorders>
              <w:bottom w:val="single" w:sz="2" w:space="0" w:color="000000"/>
            </w:tcBorders>
            <w:shd w:fill="CCEEFF" w:val="clear"/>
            <w:vAlign w:val="bottom"/>
          </w:tcPr>
          <w:p>
            <w:pPr>
              <w:pStyle w:val="TableContents"/>
              <w:spacing w:before="0" w:after="283"/>
              <w:jc w:val="left"/>
              <w:rPr/>
            </w:pPr>
            <w:r>
              <w:rPr/>
              <w:t> </w:t>
            </w:r>
          </w:p>
        </w:tc>
        <w:tc>
          <w:tcPr>
            <w:tcW w:w="1110"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89" w:type="dxa"/>
            <w:tcBorders>
              <w:bottom w:val="single" w:sz="2" w:space="0" w:color="CCEEFF"/>
            </w:tcBorders>
            <w:shd w:fill="CCEEFF" w:val="clear"/>
            <w:vAlign w:val="bottom"/>
          </w:tcPr>
          <w:p>
            <w:pPr>
              <w:pStyle w:val="TableContents"/>
              <w:spacing w:before="0" w:after="283"/>
              <w:jc w:val="left"/>
              <w:rPr/>
            </w:pPr>
            <w:r>
              <w:rPr/>
              <w:t> </w:t>
            </w:r>
          </w:p>
        </w:tc>
        <w:tc>
          <w:tcPr>
            <w:tcW w:w="181" w:type="dxa"/>
            <w:tcBorders>
              <w:bottom w:val="single" w:sz="2" w:space="0" w:color="000000"/>
            </w:tcBorders>
            <w:shd w:fill="CCEEFF" w:val="clear"/>
            <w:vAlign w:val="bottom"/>
          </w:tcPr>
          <w:p>
            <w:pPr>
              <w:pStyle w:val="TableContents"/>
              <w:spacing w:before="0" w:after="283"/>
              <w:jc w:val="left"/>
              <w:rPr/>
            </w:pPr>
            <w:r>
              <w:rPr/>
              <w:t> </w:t>
            </w:r>
          </w:p>
        </w:tc>
        <w:tc>
          <w:tcPr>
            <w:tcW w:w="1007"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8,674</w:t>
            </w:r>
          </w:p>
        </w:tc>
        <w:tc>
          <w:tcPr>
            <w:tcW w:w="117" w:type="dxa"/>
            <w:tcBorders>
              <w:bottom w:val="single" w:sz="2" w:space="0" w:color="CCEEFF"/>
            </w:tcBorders>
            <w:shd w:fill="CCEEFF" w:val="clear"/>
            <w:vAlign w:val="bottom"/>
          </w:tcPr>
          <w:p>
            <w:pPr>
              <w:pStyle w:val="TableContents"/>
              <w:spacing w:before="0" w:after="283"/>
              <w:jc w:val="left"/>
              <w:rPr/>
            </w:pPr>
            <w:r>
              <w:rPr/>
              <w:t> </w:t>
            </w:r>
          </w:p>
        </w:tc>
      </w:tr>
      <w:tr>
        <w:trPr/>
        <w:tc>
          <w:tcPr>
            <w:tcW w:w="1398" w:type="dxa"/>
            <w:tcBorders/>
            <w:shd w:fill="FFFFFF" w:val="clear"/>
            <w:tcMar>
              <w:bottom w:w="0" w:type="dxa"/>
            </w:tcMar>
            <w:vAlign w:val="bottom"/>
          </w:tcPr>
          <w:p>
            <w:pPr>
              <w:pStyle w:val="TableContents"/>
              <w:spacing w:lineRule="auto" w:line="300" w:before="0" w:after="0"/>
              <w:ind w:left="180" w:right="0" w:hanging="180"/>
              <w:jc w:val="left"/>
              <w:rPr>
                <w:rFonts w:ascii="Times New Roman" w:hAnsi="Times New Roman"/>
                <w:sz w:val="20"/>
              </w:rPr>
            </w:pPr>
            <w:r>
              <w:rPr>
                <w:rFonts w:ascii="Times New Roman" w:hAnsi="Times New Roman"/>
                <w:sz w:val="20"/>
              </w:rPr>
              <w:t>Stock option and restricted stock compensation expense</w:t>
            </w:r>
          </w:p>
        </w:tc>
        <w:tc>
          <w:tcPr>
            <w:tcW w:w="70" w:type="dxa"/>
            <w:tcBorders/>
            <w:shd w:fill="FFFFFF" w:val="clear"/>
            <w:tcMar>
              <w:bottom w:w="0" w:type="dxa"/>
            </w:tcMar>
            <w:vAlign w:val="center"/>
          </w:tcPr>
          <w:p>
            <w:pPr>
              <w:pStyle w:val="TableContents"/>
              <w:spacing w:before="0" w:after="283"/>
              <w:rPr/>
            </w:pPr>
            <w:r>
              <w:rPr/>
              <w:t> </w:t>
            </w:r>
          </w:p>
        </w:tc>
        <w:tc>
          <w:tcPr>
            <w:tcW w:w="70" w:type="dxa"/>
            <w:tcBorders/>
            <w:shd w:fill="FFFFFF" w:val="clear"/>
            <w:tcMar>
              <w:bottom w:w="0" w:type="dxa"/>
            </w:tcMar>
            <w:vAlign w:val="bottom"/>
          </w:tcPr>
          <w:p>
            <w:pPr>
              <w:pStyle w:val="TableContents"/>
              <w:spacing w:before="0" w:after="283"/>
              <w:jc w:val="left"/>
              <w:rPr/>
            </w:pPr>
            <w:r>
              <w:rPr/>
              <w:t> </w:t>
            </w:r>
          </w:p>
        </w:tc>
        <w:tc>
          <w:tcPr>
            <w:tcW w:w="625"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16</w:t>
            </w:r>
          </w:p>
        </w:tc>
        <w:tc>
          <w:tcPr>
            <w:tcW w:w="89" w:type="dxa"/>
            <w:tcBorders/>
            <w:shd w:fill="FFFFFF" w:val="clear"/>
            <w:tcMar>
              <w:bottom w:w="0" w:type="dxa"/>
            </w:tcMar>
            <w:vAlign w:val="bottom"/>
          </w:tcPr>
          <w:p>
            <w:pPr>
              <w:pStyle w:val="TableContents"/>
              <w:spacing w:before="0" w:after="283"/>
              <w:jc w:val="left"/>
              <w:rPr/>
            </w:pPr>
            <w:r>
              <w:rPr/>
              <w:t> </w:t>
            </w:r>
          </w:p>
        </w:tc>
        <w:tc>
          <w:tcPr>
            <w:tcW w:w="144" w:type="dxa"/>
            <w:tcBorders/>
            <w:shd w:fill="FFFFFF" w:val="clear"/>
            <w:tcMar>
              <w:bottom w:w="0" w:type="dxa"/>
            </w:tcMar>
            <w:vAlign w:val="bottom"/>
          </w:tcPr>
          <w:p>
            <w:pPr>
              <w:pStyle w:val="TableContents"/>
              <w:spacing w:before="0" w:after="283"/>
              <w:jc w:val="left"/>
              <w:rPr/>
            </w:pPr>
            <w:r>
              <w:rPr/>
              <w:t> </w:t>
            </w:r>
          </w:p>
        </w:tc>
        <w:tc>
          <w:tcPr>
            <w:tcW w:w="423"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70" w:type="dxa"/>
            <w:tcBorders/>
            <w:shd w:fill="FFFFFF" w:val="clear"/>
            <w:tcMar>
              <w:bottom w:w="0" w:type="dxa"/>
            </w:tcMar>
            <w:vAlign w:val="bottom"/>
          </w:tcPr>
          <w:p>
            <w:pPr>
              <w:pStyle w:val="TableContents"/>
              <w:spacing w:before="0" w:after="283"/>
              <w:jc w:val="left"/>
              <w:rPr/>
            </w:pPr>
            <w:r>
              <w:rPr/>
              <w:t> </w:t>
            </w:r>
          </w:p>
        </w:tc>
        <w:tc>
          <w:tcPr>
            <w:tcW w:w="74" w:type="dxa"/>
            <w:tcBorders/>
            <w:shd w:fill="FFFFFF" w:val="clear"/>
            <w:tcMar>
              <w:bottom w:w="0" w:type="dxa"/>
            </w:tcMar>
            <w:vAlign w:val="bottom"/>
          </w:tcPr>
          <w:p>
            <w:pPr>
              <w:pStyle w:val="TableContents"/>
              <w:spacing w:before="0" w:after="283"/>
              <w:jc w:val="left"/>
              <w:rPr/>
            </w:pPr>
            <w:r>
              <w:rPr/>
              <w:t> </w:t>
            </w:r>
          </w:p>
        </w:tc>
        <w:tc>
          <w:tcPr>
            <w:tcW w:w="565"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89" w:type="dxa"/>
            <w:tcBorders/>
            <w:shd w:fill="FFFFFF" w:val="clear"/>
            <w:tcMar>
              <w:bottom w:w="0" w:type="dxa"/>
            </w:tcMar>
            <w:vAlign w:val="bottom"/>
          </w:tcPr>
          <w:p>
            <w:pPr>
              <w:pStyle w:val="TableContents"/>
              <w:spacing w:before="0" w:after="283"/>
              <w:jc w:val="left"/>
              <w:rPr/>
            </w:pPr>
            <w:r>
              <w:rPr/>
              <w:t> </w:t>
            </w:r>
          </w:p>
        </w:tc>
        <w:tc>
          <w:tcPr>
            <w:tcW w:w="184" w:type="dxa"/>
            <w:tcBorders/>
            <w:shd w:fill="FFFFFF" w:val="clear"/>
            <w:tcMar>
              <w:bottom w:w="0" w:type="dxa"/>
            </w:tcMar>
            <w:vAlign w:val="bottom"/>
          </w:tcPr>
          <w:p>
            <w:pPr>
              <w:pStyle w:val="TableContents"/>
              <w:spacing w:before="0" w:after="283"/>
              <w:jc w:val="left"/>
              <w:rPr/>
            </w:pPr>
            <w:r>
              <w:rPr/>
              <w:t> </w:t>
            </w:r>
          </w:p>
        </w:tc>
        <w:tc>
          <w:tcPr>
            <w:tcW w:w="383"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89" w:type="dxa"/>
            <w:tcBorders/>
            <w:shd w:fill="FFFFFF" w:val="clear"/>
            <w:tcMar>
              <w:bottom w:w="0" w:type="dxa"/>
            </w:tcMar>
            <w:vAlign w:val="bottom"/>
          </w:tcPr>
          <w:p>
            <w:pPr>
              <w:pStyle w:val="TableContents"/>
              <w:spacing w:before="0" w:after="283"/>
              <w:jc w:val="left"/>
              <w:rPr/>
            </w:pPr>
            <w:r>
              <w:rPr/>
              <w:t> </w:t>
            </w:r>
          </w:p>
        </w:tc>
        <w:tc>
          <w:tcPr>
            <w:tcW w:w="145" w:type="dxa"/>
            <w:tcBorders/>
            <w:shd w:fill="FFFFFF" w:val="clear"/>
            <w:tcMar>
              <w:bottom w:w="0" w:type="dxa"/>
            </w:tcMar>
            <w:vAlign w:val="bottom"/>
          </w:tcPr>
          <w:p>
            <w:pPr>
              <w:pStyle w:val="TableContents"/>
              <w:spacing w:before="0" w:after="283"/>
              <w:jc w:val="left"/>
              <w:rPr/>
            </w:pPr>
            <w:r>
              <w:rPr/>
              <w:t> </w:t>
            </w:r>
          </w:p>
        </w:tc>
        <w:tc>
          <w:tcPr>
            <w:tcW w:w="804"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284</w:t>
            </w:r>
          </w:p>
        </w:tc>
        <w:tc>
          <w:tcPr>
            <w:tcW w:w="70" w:type="dxa"/>
            <w:tcBorders/>
            <w:shd w:fill="FFFFFF" w:val="clear"/>
            <w:tcMar>
              <w:bottom w:w="0" w:type="dxa"/>
            </w:tcMar>
            <w:vAlign w:val="bottom"/>
          </w:tcPr>
          <w:p>
            <w:pPr>
              <w:pStyle w:val="TableContents"/>
              <w:spacing w:before="0" w:after="283"/>
              <w:jc w:val="left"/>
              <w:rPr/>
            </w:pPr>
            <w:r>
              <w:rPr/>
              <w:t> </w:t>
            </w:r>
          </w:p>
        </w:tc>
        <w:tc>
          <w:tcPr>
            <w:tcW w:w="157" w:type="dxa"/>
            <w:tcBorders/>
            <w:shd w:fill="FFFFFF" w:val="clear"/>
            <w:tcMar>
              <w:bottom w:w="0" w:type="dxa"/>
            </w:tcMar>
            <w:vAlign w:val="bottom"/>
          </w:tcPr>
          <w:p>
            <w:pPr>
              <w:pStyle w:val="TableContents"/>
              <w:spacing w:before="0" w:after="283"/>
              <w:jc w:val="left"/>
              <w:rPr/>
            </w:pPr>
            <w:r>
              <w:rPr/>
              <w:t> </w:t>
            </w:r>
          </w:p>
        </w:tc>
        <w:tc>
          <w:tcPr>
            <w:tcW w:w="693"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2622" w:name="TAB11159"/>
            <w:bookmarkEnd w:id="2622"/>
            <w:r>
              <w:rPr>
                <w:rFonts w:ascii="Times New Roman" w:hAnsi="Times New Roman"/>
                <w:sz w:val="20"/>
              </w:rPr>
              <w:t>--</w:t>
            </w:r>
          </w:p>
        </w:tc>
        <w:tc>
          <w:tcPr>
            <w:tcW w:w="89" w:type="dxa"/>
            <w:tcBorders/>
            <w:shd w:fill="FFFFFF" w:val="clear"/>
            <w:tcMar>
              <w:bottom w:w="0" w:type="dxa"/>
            </w:tcMar>
            <w:vAlign w:val="bottom"/>
          </w:tcPr>
          <w:p>
            <w:pPr>
              <w:pStyle w:val="TableContents"/>
              <w:spacing w:before="0" w:after="283"/>
              <w:jc w:val="left"/>
              <w:rPr/>
            </w:pPr>
            <w:r>
              <w:rPr/>
              <w:t> </w:t>
            </w:r>
          </w:p>
        </w:tc>
        <w:tc>
          <w:tcPr>
            <w:tcW w:w="185" w:type="dxa"/>
            <w:tcBorders/>
            <w:shd w:fill="FFFFFF" w:val="clear"/>
            <w:tcMar>
              <w:bottom w:w="0" w:type="dxa"/>
            </w:tcMar>
            <w:vAlign w:val="bottom"/>
          </w:tcPr>
          <w:p>
            <w:pPr>
              <w:pStyle w:val="TableContents"/>
              <w:spacing w:before="0" w:after="283"/>
              <w:jc w:val="left"/>
              <w:rPr/>
            </w:pPr>
            <w:r>
              <w:rPr/>
              <w:t> </w:t>
            </w:r>
          </w:p>
        </w:tc>
        <w:tc>
          <w:tcPr>
            <w:tcW w:w="962"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89" w:type="dxa"/>
            <w:tcBorders/>
            <w:shd w:fill="FFFFFF" w:val="clear"/>
            <w:tcMar>
              <w:bottom w:w="0" w:type="dxa"/>
            </w:tcMar>
            <w:vAlign w:val="bottom"/>
          </w:tcPr>
          <w:p>
            <w:pPr>
              <w:pStyle w:val="TableContents"/>
              <w:spacing w:before="0" w:after="283"/>
              <w:jc w:val="left"/>
              <w:rPr/>
            </w:pPr>
            <w:r>
              <w:rPr/>
              <w:t> </w:t>
            </w:r>
          </w:p>
        </w:tc>
        <w:tc>
          <w:tcPr>
            <w:tcW w:w="234" w:type="dxa"/>
            <w:tcBorders/>
            <w:shd w:fill="FFFFFF" w:val="clear"/>
            <w:tcMar>
              <w:bottom w:w="0" w:type="dxa"/>
            </w:tcMar>
            <w:vAlign w:val="bottom"/>
          </w:tcPr>
          <w:p>
            <w:pPr>
              <w:pStyle w:val="TableContents"/>
              <w:spacing w:before="0" w:after="283"/>
              <w:jc w:val="left"/>
              <w:rPr/>
            </w:pPr>
            <w:r>
              <w:rPr/>
              <w:t> </w:t>
            </w:r>
          </w:p>
        </w:tc>
        <w:tc>
          <w:tcPr>
            <w:tcW w:w="1110"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89" w:type="dxa"/>
            <w:tcBorders/>
            <w:shd w:fill="FFFFFF" w:val="clear"/>
            <w:tcMar>
              <w:bottom w:w="0" w:type="dxa"/>
            </w:tcMar>
            <w:vAlign w:val="bottom"/>
          </w:tcPr>
          <w:p>
            <w:pPr>
              <w:pStyle w:val="TableContents"/>
              <w:spacing w:before="0" w:after="283"/>
              <w:jc w:val="left"/>
              <w:rPr/>
            </w:pPr>
            <w:r>
              <w:rPr/>
              <w:t> </w:t>
            </w:r>
          </w:p>
        </w:tc>
        <w:tc>
          <w:tcPr>
            <w:tcW w:w="181" w:type="dxa"/>
            <w:tcBorders/>
            <w:shd w:fill="FFFFFF" w:val="clear"/>
            <w:tcMar>
              <w:bottom w:w="0" w:type="dxa"/>
            </w:tcMar>
            <w:vAlign w:val="bottom"/>
          </w:tcPr>
          <w:p>
            <w:pPr>
              <w:pStyle w:val="TableContents"/>
              <w:spacing w:before="0" w:after="283"/>
              <w:jc w:val="left"/>
              <w:rPr/>
            </w:pPr>
            <w:r>
              <w:rPr/>
              <w:t> </w:t>
            </w:r>
          </w:p>
        </w:tc>
        <w:tc>
          <w:tcPr>
            <w:tcW w:w="1007"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284</w:t>
            </w:r>
          </w:p>
        </w:tc>
        <w:tc>
          <w:tcPr>
            <w:tcW w:w="117" w:type="dxa"/>
            <w:tcBorders/>
            <w:shd w:fill="FFFFFF" w:val="clear"/>
            <w:tcMar>
              <w:bottom w:w="0" w:type="dxa"/>
            </w:tcMar>
            <w:vAlign w:val="bottom"/>
          </w:tcPr>
          <w:p>
            <w:pPr>
              <w:pStyle w:val="TableContents"/>
              <w:spacing w:before="0" w:after="283"/>
              <w:jc w:val="left"/>
              <w:rPr/>
            </w:pPr>
            <w:r>
              <w:rPr/>
              <w:t> </w:t>
            </w:r>
          </w:p>
        </w:tc>
      </w:tr>
      <w:tr>
        <w:trPr/>
        <w:tc>
          <w:tcPr>
            <w:tcW w:w="1398" w:type="dxa"/>
            <w:tcBorders/>
            <w:shd w:fill="CCEEFF" w:val="clear"/>
            <w:tcMar>
              <w:bottom w:w="0" w:type="dxa"/>
            </w:tcMar>
            <w:vAlign w:val="bottom"/>
          </w:tcPr>
          <w:p>
            <w:pPr>
              <w:pStyle w:val="TableContents"/>
              <w:spacing w:lineRule="auto" w:line="300" w:before="0" w:after="0"/>
              <w:ind w:left="180" w:right="0" w:hanging="180"/>
              <w:jc w:val="left"/>
              <w:rPr>
                <w:rFonts w:ascii="Times New Roman" w:hAnsi="Times New Roman"/>
                <w:sz w:val="20"/>
              </w:rPr>
            </w:pPr>
            <w:r>
              <w:rPr>
                <w:rFonts w:ascii="Times New Roman" w:hAnsi="Times New Roman"/>
                <w:sz w:val="20"/>
              </w:rPr>
              <w:t>Class A common stock received upon exercise of put option</w:t>
            </w:r>
          </w:p>
        </w:tc>
        <w:tc>
          <w:tcPr>
            <w:tcW w:w="70" w:type="dxa"/>
            <w:tcBorders/>
            <w:shd w:fill="CCEEFF" w:val="clear"/>
            <w:tcMar>
              <w:bottom w:w="0" w:type="dxa"/>
            </w:tcMar>
            <w:vAlign w:val="center"/>
          </w:tcPr>
          <w:p>
            <w:pPr>
              <w:pStyle w:val="TableContents"/>
              <w:spacing w:before="0" w:after="283"/>
              <w:rPr/>
            </w:pPr>
            <w:r>
              <w:rPr/>
              <w:t> </w:t>
            </w:r>
          </w:p>
        </w:tc>
        <w:tc>
          <w:tcPr>
            <w:tcW w:w="70" w:type="dxa"/>
            <w:tcBorders/>
            <w:shd w:fill="CCEEFF" w:val="clear"/>
            <w:tcMar>
              <w:bottom w:w="0" w:type="dxa"/>
            </w:tcMar>
            <w:vAlign w:val="bottom"/>
          </w:tcPr>
          <w:p>
            <w:pPr>
              <w:pStyle w:val="TableContents"/>
              <w:spacing w:before="0" w:after="283"/>
              <w:jc w:val="left"/>
              <w:rPr/>
            </w:pPr>
            <w:r>
              <w:rPr/>
              <w:t> </w:t>
            </w:r>
          </w:p>
        </w:tc>
        <w:tc>
          <w:tcPr>
            <w:tcW w:w="625"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(99</w:t>
            </w:r>
          </w:p>
        </w:tc>
        <w:tc>
          <w:tcPr>
            <w:tcW w:w="89"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44" w:type="dxa"/>
            <w:tcBorders/>
            <w:shd w:fill="CCEEFF" w:val="clear"/>
            <w:tcMar>
              <w:bottom w:w="0" w:type="dxa"/>
            </w:tcMar>
            <w:vAlign w:val="bottom"/>
          </w:tcPr>
          <w:p>
            <w:pPr>
              <w:pStyle w:val="TableContents"/>
              <w:spacing w:before="0" w:after="283"/>
              <w:jc w:val="left"/>
              <w:rPr/>
            </w:pPr>
            <w:r>
              <w:rPr/>
              <w:t> </w:t>
            </w:r>
          </w:p>
        </w:tc>
        <w:tc>
          <w:tcPr>
            <w:tcW w:w="423"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70" w:type="dxa"/>
            <w:tcBorders/>
            <w:shd w:fill="CCEEFF" w:val="clear"/>
            <w:tcMar>
              <w:bottom w:w="0" w:type="dxa"/>
            </w:tcMar>
            <w:vAlign w:val="bottom"/>
          </w:tcPr>
          <w:p>
            <w:pPr>
              <w:pStyle w:val="TableContents"/>
              <w:spacing w:before="0" w:after="283"/>
              <w:jc w:val="left"/>
              <w:rPr/>
            </w:pPr>
            <w:r>
              <w:rPr/>
              <w:t> </w:t>
            </w:r>
          </w:p>
        </w:tc>
        <w:tc>
          <w:tcPr>
            <w:tcW w:w="74" w:type="dxa"/>
            <w:tcBorders/>
            <w:shd w:fill="CCEEFF" w:val="clear"/>
            <w:tcMar>
              <w:bottom w:w="0" w:type="dxa"/>
            </w:tcMar>
            <w:vAlign w:val="bottom"/>
          </w:tcPr>
          <w:p>
            <w:pPr>
              <w:pStyle w:val="TableContents"/>
              <w:spacing w:before="0" w:after="283"/>
              <w:jc w:val="left"/>
              <w:rPr/>
            </w:pPr>
            <w:r>
              <w:rPr/>
              <w:t> </w:t>
            </w:r>
          </w:p>
        </w:tc>
        <w:tc>
          <w:tcPr>
            <w:tcW w:w="565"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89" w:type="dxa"/>
            <w:tcBorders/>
            <w:shd w:fill="CCEEFF" w:val="clear"/>
            <w:tcMar>
              <w:bottom w:w="0" w:type="dxa"/>
            </w:tcMar>
            <w:vAlign w:val="bottom"/>
          </w:tcPr>
          <w:p>
            <w:pPr>
              <w:pStyle w:val="TableContents"/>
              <w:spacing w:before="0" w:after="283"/>
              <w:jc w:val="left"/>
              <w:rPr/>
            </w:pPr>
            <w:r>
              <w:rPr/>
              <w:t> </w:t>
            </w:r>
          </w:p>
        </w:tc>
        <w:tc>
          <w:tcPr>
            <w:tcW w:w="184" w:type="dxa"/>
            <w:tcBorders/>
            <w:shd w:fill="CCEEFF" w:val="clear"/>
            <w:tcMar>
              <w:bottom w:w="0" w:type="dxa"/>
            </w:tcMar>
            <w:vAlign w:val="bottom"/>
          </w:tcPr>
          <w:p>
            <w:pPr>
              <w:pStyle w:val="TableContents"/>
              <w:spacing w:before="0" w:after="283"/>
              <w:jc w:val="left"/>
              <w:rPr/>
            </w:pPr>
            <w:r>
              <w:rPr/>
              <w:t> </w:t>
            </w:r>
          </w:p>
        </w:tc>
        <w:tc>
          <w:tcPr>
            <w:tcW w:w="383"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89" w:type="dxa"/>
            <w:tcBorders/>
            <w:shd w:fill="CCEEFF" w:val="clear"/>
            <w:tcMar>
              <w:bottom w:w="0" w:type="dxa"/>
            </w:tcMar>
            <w:vAlign w:val="bottom"/>
          </w:tcPr>
          <w:p>
            <w:pPr>
              <w:pStyle w:val="TableContents"/>
              <w:spacing w:before="0" w:after="283"/>
              <w:jc w:val="left"/>
              <w:rPr/>
            </w:pPr>
            <w:r>
              <w:rPr/>
              <w:t> </w:t>
            </w:r>
          </w:p>
        </w:tc>
        <w:tc>
          <w:tcPr>
            <w:tcW w:w="145" w:type="dxa"/>
            <w:tcBorders/>
            <w:shd w:fill="CCEEFF" w:val="clear"/>
            <w:tcMar>
              <w:bottom w:w="0" w:type="dxa"/>
            </w:tcMar>
            <w:vAlign w:val="bottom"/>
          </w:tcPr>
          <w:p>
            <w:pPr>
              <w:pStyle w:val="TableContents"/>
              <w:spacing w:before="0" w:after="283"/>
              <w:jc w:val="left"/>
              <w:rPr/>
            </w:pPr>
            <w:r>
              <w:rPr/>
              <w:t> </w:t>
            </w:r>
          </w:p>
        </w:tc>
        <w:tc>
          <w:tcPr>
            <w:tcW w:w="804"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2623" w:name="TAB11160"/>
            <w:bookmarkEnd w:id="2623"/>
            <w:r>
              <w:rPr>
                <w:rFonts w:ascii="Times New Roman" w:hAnsi="Times New Roman"/>
                <w:sz w:val="20"/>
              </w:rPr>
              <w:t>--</w:t>
            </w:r>
          </w:p>
        </w:tc>
        <w:tc>
          <w:tcPr>
            <w:tcW w:w="70" w:type="dxa"/>
            <w:tcBorders/>
            <w:shd w:fill="CCEEFF" w:val="clear"/>
            <w:tcMar>
              <w:bottom w:w="0" w:type="dxa"/>
            </w:tcMar>
            <w:vAlign w:val="bottom"/>
          </w:tcPr>
          <w:p>
            <w:pPr>
              <w:pStyle w:val="TableContents"/>
              <w:spacing w:before="0" w:after="283"/>
              <w:jc w:val="left"/>
              <w:rPr/>
            </w:pPr>
            <w:r>
              <w:rPr/>
              <w:t> </w:t>
            </w:r>
          </w:p>
        </w:tc>
        <w:tc>
          <w:tcPr>
            <w:tcW w:w="157" w:type="dxa"/>
            <w:tcBorders/>
            <w:shd w:fill="CCEEFF" w:val="clear"/>
            <w:tcMar>
              <w:bottom w:w="0" w:type="dxa"/>
            </w:tcMar>
            <w:vAlign w:val="bottom"/>
          </w:tcPr>
          <w:p>
            <w:pPr>
              <w:pStyle w:val="TableContents"/>
              <w:spacing w:before="0" w:after="283"/>
              <w:jc w:val="left"/>
              <w:rPr/>
            </w:pPr>
            <w:r>
              <w:rPr/>
              <w:t> </w:t>
            </w:r>
          </w:p>
        </w:tc>
        <w:tc>
          <w:tcPr>
            <w:tcW w:w="693"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2624" w:name="TAB11161"/>
            <w:bookmarkEnd w:id="2624"/>
            <w:r>
              <w:rPr>
                <w:rFonts w:ascii="Times New Roman" w:hAnsi="Times New Roman"/>
                <w:sz w:val="20"/>
              </w:rPr>
              <w:t>(791</w:t>
            </w:r>
          </w:p>
        </w:tc>
        <w:tc>
          <w:tcPr>
            <w:tcW w:w="89"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2625" w:name="TAB11162"/>
            <w:bookmarkEnd w:id="2625"/>
            <w:r>
              <w:rPr>
                <w:rFonts w:ascii="Times New Roman" w:hAnsi="Times New Roman"/>
                <w:sz w:val="20"/>
              </w:rPr>
              <w:t>)</w:t>
            </w:r>
          </w:p>
        </w:tc>
        <w:tc>
          <w:tcPr>
            <w:tcW w:w="185" w:type="dxa"/>
            <w:tcBorders/>
            <w:shd w:fill="CCEEFF" w:val="clear"/>
            <w:tcMar>
              <w:bottom w:w="0" w:type="dxa"/>
            </w:tcMar>
            <w:vAlign w:val="bottom"/>
          </w:tcPr>
          <w:p>
            <w:pPr>
              <w:pStyle w:val="TableContents"/>
              <w:spacing w:before="0" w:after="283"/>
              <w:jc w:val="left"/>
              <w:rPr/>
            </w:pPr>
            <w:r>
              <w:rPr/>
              <w:t> </w:t>
            </w:r>
          </w:p>
        </w:tc>
        <w:tc>
          <w:tcPr>
            <w:tcW w:w="962"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89" w:type="dxa"/>
            <w:tcBorders/>
            <w:shd w:fill="CCEEFF" w:val="clear"/>
            <w:tcMar>
              <w:bottom w:w="0" w:type="dxa"/>
            </w:tcMar>
            <w:vAlign w:val="bottom"/>
          </w:tcPr>
          <w:p>
            <w:pPr>
              <w:pStyle w:val="TableContents"/>
              <w:spacing w:before="0" w:after="283"/>
              <w:jc w:val="left"/>
              <w:rPr/>
            </w:pPr>
            <w:r>
              <w:rPr/>
              <w:t> </w:t>
            </w:r>
          </w:p>
        </w:tc>
        <w:tc>
          <w:tcPr>
            <w:tcW w:w="234" w:type="dxa"/>
            <w:tcBorders/>
            <w:shd w:fill="CCEEFF" w:val="clear"/>
            <w:tcMar>
              <w:bottom w:w="0" w:type="dxa"/>
            </w:tcMar>
            <w:vAlign w:val="bottom"/>
          </w:tcPr>
          <w:p>
            <w:pPr>
              <w:pStyle w:val="TableContents"/>
              <w:spacing w:before="0" w:after="283"/>
              <w:jc w:val="left"/>
              <w:rPr/>
            </w:pPr>
            <w:r>
              <w:rPr/>
              <w:t> </w:t>
            </w:r>
          </w:p>
        </w:tc>
        <w:tc>
          <w:tcPr>
            <w:tcW w:w="1110"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89" w:type="dxa"/>
            <w:tcBorders/>
            <w:shd w:fill="CCEEFF" w:val="clear"/>
            <w:tcMar>
              <w:bottom w:w="0" w:type="dxa"/>
            </w:tcMar>
            <w:vAlign w:val="bottom"/>
          </w:tcPr>
          <w:p>
            <w:pPr>
              <w:pStyle w:val="TableContents"/>
              <w:spacing w:before="0" w:after="283"/>
              <w:jc w:val="left"/>
              <w:rPr/>
            </w:pPr>
            <w:r>
              <w:rPr/>
              <w:t> </w:t>
            </w:r>
          </w:p>
        </w:tc>
        <w:tc>
          <w:tcPr>
            <w:tcW w:w="181" w:type="dxa"/>
            <w:tcBorders/>
            <w:shd w:fill="CCEEFF" w:val="clear"/>
            <w:tcMar>
              <w:bottom w:w="0" w:type="dxa"/>
            </w:tcMar>
            <w:vAlign w:val="bottom"/>
          </w:tcPr>
          <w:p>
            <w:pPr>
              <w:pStyle w:val="TableContents"/>
              <w:spacing w:before="0" w:after="283"/>
              <w:jc w:val="left"/>
              <w:rPr/>
            </w:pPr>
            <w:r>
              <w:rPr/>
              <w:t> </w:t>
            </w:r>
          </w:p>
        </w:tc>
        <w:tc>
          <w:tcPr>
            <w:tcW w:w="1007"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(791</w:t>
            </w:r>
          </w:p>
        </w:tc>
        <w:tc>
          <w:tcPr>
            <w:tcW w:w="117"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r>
      <w:tr>
        <w:trPr/>
        <w:tc>
          <w:tcPr>
            <w:tcW w:w="1398" w:type="dxa"/>
            <w:tcBorders>
              <w:bottom w:val="single" w:sz="2" w:space="0" w:color="000000"/>
            </w:tcBorders>
            <w:shd w:fill="FFFFFF" w:val="clear"/>
            <w:vAlign w:val="bottom"/>
          </w:tcPr>
          <w:p>
            <w:pPr>
              <w:pStyle w:val="TableContents"/>
              <w:spacing w:lineRule="auto" w:line="300" w:before="0" w:after="0"/>
              <w:ind w:left="180" w:right="0" w:hanging="180"/>
              <w:jc w:val="left"/>
              <w:rPr>
                <w:rFonts w:ascii="Times New Roman" w:hAnsi="Times New Roman"/>
                <w:sz w:val="20"/>
              </w:rPr>
            </w:pPr>
            <w:r>
              <w:rPr>
                <w:rFonts w:ascii="Times New Roman" w:hAnsi="Times New Roman"/>
                <w:sz w:val="20"/>
              </w:rPr>
              <w:t>Class A common stock issued for stock options exercised</w:t>
            </w:r>
          </w:p>
        </w:tc>
        <w:tc>
          <w:tcPr>
            <w:tcW w:w="70" w:type="dxa"/>
            <w:tcBorders>
              <w:bottom w:val="single" w:sz="2" w:space="0" w:color="FFFFFF"/>
            </w:tcBorders>
            <w:shd w:fill="FFFFFF" w:val="clear"/>
            <w:vAlign w:val="center"/>
          </w:tcPr>
          <w:p>
            <w:pPr>
              <w:pStyle w:val="TableContents"/>
              <w:spacing w:before="0" w:after="283"/>
              <w:rPr/>
            </w:pPr>
            <w:r>
              <w:rPr/>
              <w:t> </w:t>
            </w:r>
          </w:p>
        </w:tc>
        <w:tc>
          <w:tcPr>
            <w:tcW w:w="70" w:type="dxa"/>
            <w:tcBorders>
              <w:bottom w:val="single" w:sz="2" w:space="0" w:color="000000"/>
            </w:tcBorders>
            <w:shd w:fill="FFFFFF" w:val="clear"/>
            <w:vAlign w:val="bottom"/>
          </w:tcPr>
          <w:p>
            <w:pPr>
              <w:pStyle w:val="TableContents"/>
              <w:spacing w:before="0" w:after="283"/>
              <w:jc w:val="left"/>
              <w:rPr/>
            </w:pPr>
            <w:r>
              <w:rPr/>
              <w:t> </w:t>
            </w:r>
          </w:p>
        </w:tc>
        <w:tc>
          <w:tcPr>
            <w:tcW w:w="625"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74</w:t>
            </w:r>
          </w:p>
        </w:tc>
        <w:tc>
          <w:tcPr>
            <w:tcW w:w="89" w:type="dxa"/>
            <w:tcBorders>
              <w:bottom w:val="single" w:sz="2" w:space="0" w:color="FFFFFF"/>
            </w:tcBorders>
            <w:shd w:fill="FFFFFF" w:val="clear"/>
            <w:vAlign w:val="bottom"/>
          </w:tcPr>
          <w:p>
            <w:pPr>
              <w:pStyle w:val="TableContents"/>
              <w:spacing w:before="0" w:after="283"/>
              <w:jc w:val="left"/>
              <w:rPr/>
            </w:pPr>
            <w:r>
              <w:rPr/>
              <w:t> </w:t>
            </w:r>
          </w:p>
        </w:tc>
        <w:tc>
          <w:tcPr>
            <w:tcW w:w="144" w:type="dxa"/>
            <w:tcBorders>
              <w:bottom w:val="single" w:sz="2" w:space="0" w:color="000000"/>
            </w:tcBorders>
            <w:shd w:fill="FFFFFF" w:val="clear"/>
            <w:vAlign w:val="bottom"/>
          </w:tcPr>
          <w:p>
            <w:pPr>
              <w:pStyle w:val="TableContents"/>
              <w:spacing w:before="0" w:after="283"/>
              <w:jc w:val="left"/>
              <w:rPr/>
            </w:pPr>
            <w:r>
              <w:rPr/>
              <w:t> </w:t>
            </w:r>
          </w:p>
        </w:tc>
        <w:tc>
          <w:tcPr>
            <w:tcW w:w="423"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w:t>
            </w:r>
          </w:p>
        </w:tc>
        <w:tc>
          <w:tcPr>
            <w:tcW w:w="70" w:type="dxa"/>
            <w:tcBorders>
              <w:bottom w:val="single" w:sz="2" w:space="0" w:color="FFFFFF"/>
            </w:tcBorders>
            <w:shd w:fill="FFFFFF" w:val="clear"/>
            <w:vAlign w:val="bottom"/>
          </w:tcPr>
          <w:p>
            <w:pPr>
              <w:pStyle w:val="TableContents"/>
              <w:spacing w:before="0" w:after="283"/>
              <w:jc w:val="left"/>
              <w:rPr/>
            </w:pPr>
            <w:r>
              <w:rPr/>
              <w:t> </w:t>
            </w:r>
          </w:p>
        </w:tc>
        <w:tc>
          <w:tcPr>
            <w:tcW w:w="74" w:type="dxa"/>
            <w:tcBorders>
              <w:bottom w:val="single" w:sz="2" w:space="0" w:color="000000"/>
            </w:tcBorders>
            <w:shd w:fill="FFFFFF" w:val="clear"/>
            <w:vAlign w:val="bottom"/>
          </w:tcPr>
          <w:p>
            <w:pPr>
              <w:pStyle w:val="TableContents"/>
              <w:spacing w:before="0" w:after="283"/>
              <w:jc w:val="left"/>
              <w:rPr/>
            </w:pPr>
            <w:r>
              <w:rPr/>
              <w:t> </w:t>
            </w:r>
          </w:p>
        </w:tc>
        <w:tc>
          <w:tcPr>
            <w:tcW w:w="565"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89" w:type="dxa"/>
            <w:tcBorders>
              <w:bottom w:val="single" w:sz="2" w:space="0" w:color="FFFFFF"/>
            </w:tcBorders>
            <w:shd w:fill="FFFFFF" w:val="clear"/>
            <w:vAlign w:val="bottom"/>
          </w:tcPr>
          <w:p>
            <w:pPr>
              <w:pStyle w:val="TableContents"/>
              <w:spacing w:before="0" w:after="283"/>
              <w:jc w:val="left"/>
              <w:rPr/>
            </w:pPr>
            <w:r>
              <w:rPr/>
              <w:t> </w:t>
            </w:r>
          </w:p>
        </w:tc>
        <w:tc>
          <w:tcPr>
            <w:tcW w:w="184" w:type="dxa"/>
            <w:tcBorders>
              <w:bottom w:val="single" w:sz="2" w:space="0" w:color="000000"/>
            </w:tcBorders>
            <w:shd w:fill="FFFFFF" w:val="clear"/>
            <w:vAlign w:val="bottom"/>
          </w:tcPr>
          <w:p>
            <w:pPr>
              <w:pStyle w:val="TableContents"/>
              <w:spacing w:before="0" w:after="283"/>
              <w:jc w:val="left"/>
              <w:rPr/>
            </w:pPr>
            <w:r>
              <w:rPr/>
              <w:t> </w:t>
            </w:r>
          </w:p>
        </w:tc>
        <w:tc>
          <w:tcPr>
            <w:tcW w:w="383"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89" w:type="dxa"/>
            <w:tcBorders>
              <w:bottom w:val="single" w:sz="2" w:space="0" w:color="FFFFFF"/>
            </w:tcBorders>
            <w:shd w:fill="FFFFFF" w:val="clear"/>
            <w:vAlign w:val="bottom"/>
          </w:tcPr>
          <w:p>
            <w:pPr>
              <w:pStyle w:val="TableContents"/>
              <w:spacing w:before="0" w:after="283"/>
              <w:jc w:val="left"/>
              <w:rPr/>
            </w:pPr>
            <w:r>
              <w:rPr/>
              <w:t> </w:t>
            </w:r>
          </w:p>
        </w:tc>
        <w:tc>
          <w:tcPr>
            <w:tcW w:w="145" w:type="dxa"/>
            <w:tcBorders>
              <w:bottom w:val="single" w:sz="2" w:space="0" w:color="000000"/>
            </w:tcBorders>
            <w:shd w:fill="FFFFFF" w:val="clear"/>
            <w:vAlign w:val="bottom"/>
          </w:tcPr>
          <w:p>
            <w:pPr>
              <w:pStyle w:val="TableContents"/>
              <w:spacing w:before="0" w:after="283"/>
              <w:jc w:val="left"/>
              <w:rPr/>
            </w:pPr>
            <w:r>
              <w:rPr/>
              <w:t> </w:t>
            </w:r>
          </w:p>
        </w:tc>
        <w:tc>
          <w:tcPr>
            <w:tcW w:w="804"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87</w:t>
            </w:r>
          </w:p>
        </w:tc>
        <w:tc>
          <w:tcPr>
            <w:tcW w:w="70" w:type="dxa"/>
            <w:tcBorders>
              <w:bottom w:val="single" w:sz="2" w:space="0" w:color="FFFFFF"/>
            </w:tcBorders>
            <w:shd w:fill="FFFFFF" w:val="clear"/>
            <w:vAlign w:val="bottom"/>
          </w:tcPr>
          <w:p>
            <w:pPr>
              <w:pStyle w:val="TableContents"/>
              <w:spacing w:before="0" w:after="283"/>
              <w:jc w:val="left"/>
              <w:rPr/>
            </w:pPr>
            <w:r>
              <w:rPr/>
              <w:t> </w:t>
            </w:r>
          </w:p>
        </w:tc>
        <w:tc>
          <w:tcPr>
            <w:tcW w:w="157" w:type="dxa"/>
            <w:tcBorders>
              <w:bottom w:val="single" w:sz="2" w:space="0" w:color="000000"/>
            </w:tcBorders>
            <w:shd w:fill="FFFFFF" w:val="clear"/>
            <w:vAlign w:val="bottom"/>
          </w:tcPr>
          <w:p>
            <w:pPr>
              <w:pStyle w:val="TableContents"/>
              <w:spacing w:before="0" w:after="283"/>
              <w:jc w:val="left"/>
              <w:rPr/>
            </w:pPr>
            <w:r>
              <w:rPr/>
              <w:t> </w:t>
            </w:r>
          </w:p>
        </w:tc>
        <w:tc>
          <w:tcPr>
            <w:tcW w:w="693"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2626" w:name="TAB11163"/>
            <w:bookmarkEnd w:id="2626"/>
            <w:r>
              <w:rPr>
                <w:rFonts w:ascii="Times New Roman" w:hAnsi="Times New Roman"/>
                <w:sz w:val="20"/>
              </w:rPr>
              <w:t>-</w:t>
            </w:r>
          </w:p>
        </w:tc>
        <w:tc>
          <w:tcPr>
            <w:tcW w:w="89" w:type="dxa"/>
            <w:tcBorders>
              <w:bottom w:val="single" w:sz="2" w:space="0" w:color="FFFFFF"/>
            </w:tcBorders>
            <w:shd w:fill="FFFFFF" w:val="clear"/>
            <w:vAlign w:val="bottom"/>
          </w:tcPr>
          <w:p>
            <w:pPr>
              <w:pStyle w:val="TableContents"/>
              <w:spacing w:before="0" w:after="283"/>
              <w:jc w:val="left"/>
              <w:rPr/>
            </w:pPr>
            <w:r>
              <w:rPr/>
              <w:t> </w:t>
            </w:r>
          </w:p>
        </w:tc>
        <w:tc>
          <w:tcPr>
            <w:tcW w:w="185" w:type="dxa"/>
            <w:tcBorders>
              <w:bottom w:val="single" w:sz="2" w:space="0" w:color="000000"/>
            </w:tcBorders>
            <w:shd w:fill="FFFFFF" w:val="clear"/>
            <w:vAlign w:val="bottom"/>
          </w:tcPr>
          <w:p>
            <w:pPr>
              <w:pStyle w:val="TableContents"/>
              <w:spacing w:before="0" w:after="283"/>
              <w:jc w:val="left"/>
              <w:rPr/>
            </w:pPr>
            <w:r>
              <w:rPr/>
              <w:t> </w:t>
            </w:r>
          </w:p>
        </w:tc>
        <w:tc>
          <w:tcPr>
            <w:tcW w:w="962"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89" w:type="dxa"/>
            <w:tcBorders>
              <w:bottom w:val="single" w:sz="2" w:space="0" w:color="FFFFFF"/>
            </w:tcBorders>
            <w:shd w:fill="FFFFFF" w:val="clear"/>
            <w:vAlign w:val="bottom"/>
          </w:tcPr>
          <w:p>
            <w:pPr>
              <w:pStyle w:val="TableContents"/>
              <w:spacing w:before="0" w:after="283"/>
              <w:jc w:val="left"/>
              <w:rPr/>
            </w:pPr>
            <w:r>
              <w:rPr/>
              <w:t> </w:t>
            </w:r>
          </w:p>
        </w:tc>
        <w:tc>
          <w:tcPr>
            <w:tcW w:w="234" w:type="dxa"/>
            <w:tcBorders>
              <w:bottom w:val="single" w:sz="2" w:space="0" w:color="000000"/>
            </w:tcBorders>
            <w:shd w:fill="FFFFFF" w:val="clear"/>
            <w:vAlign w:val="bottom"/>
          </w:tcPr>
          <w:p>
            <w:pPr>
              <w:pStyle w:val="TableContents"/>
              <w:spacing w:before="0" w:after="283"/>
              <w:jc w:val="left"/>
              <w:rPr/>
            </w:pPr>
            <w:r>
              <w:rPr/>
              <w:t> </w:t>
            </w:r>
          </w:p>
        </w:tc>
        <w:tc>
          <w:tcPr>
            <w:tcW w:w="1110"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89" w:type="dxa"/>
            <w:tcBorders>
              <w:bottom w:val="single" w:sz="2" w:space="0" w:color="FFFFFF"/>
            </w:tcBorders>
            <w:shd w:fill="FFFFFF" w:val="clear"/>
            <w:vAlign w:val="bottom"/>
          </w:tcPr>
          <w:p>
            <w:pPr>
              <w:pStyle w:val="TableContents"/>
              <w:spacing w:before="0" w:after="283"/>
              <w:jc w:val="left"/>
              <w:rPr/>
            </w:pPr>
            <w:r>
              <w:rPr/>
              <w:t> </w:t>
            </w:r>
          </w:p>
        </w:tc>
        <w:tc>
          <w:tcPr>
            <w:tcW w:w="181" w:type="dxa"/>
            <w:tcBorders>
              <w:bottom w:val="single" w:sz="2" w:space="0" w:color="000000"/>
            </w:tcBorders>
            <w:shd w:fill="FFFFFF" w:val="clear"/>
            <w:vAlign w:val="bottom"/>
          </w:tcPr>
          <w:p>
            <w:pPr>
              <w:pStyle w:val="TableContents"/>
              <w:spacing w:before="0" w:after="283"/>
              <w:jc w:val="left"/>
              <w:rPr/>
            </w:pPr>
            <w:r>
              <w:rPr/>
              <w:t> </w:t>
            </w:r>
          </w:p>
        </w:tc>
        <w:tc>
          <w:tcPr>
            <w:tcW w:w="1007"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88</w:t>
            </w:r>
          </w:p>
        </w:tc>
        <w:tc>
          <w:tcPr>
            <w:tcW w:w="117" w:type="dxa"/>
            <w:tcBorders>
              <w:bottom w:val="single" w:sz="2" w:space="0" w:color="FFFFFF"/>
            </w:tcBorders>
            <w:shd w:fill="FFFFFF" w:val="clear"/>
            <w:vAlign w:val="bottom"/>
          </w:tcPr>
          <w:p>
            <w:pPr>
              <w:pStyle w:val="TableContents"/>
              <w:spacing w:before="0" w:after="283"/>
              <w:jc w:val="left"/>
              <w:rPr/>
            </w:pPr>
            <w:r>
              <w:rPr/>
              <w:t> </w:t>
            </w:r>
          </w:p>
        </w:tc>
      </w:tr>
      <w:tr>
        <w:trPr/>
        <w:tc>
          <w:tcPr>
            <w:tcW w:w="1398" w:type="dxa"/>
            <w:tcBorders>
              <w:bottom w:val="double" w:sz="2" w:space="0" w:color="000000"/>
            </w:tcBorders>
            <w:shd w:fill="CCEEFF" w:val="clear"/>
            <w:vAlign w:val="bottom"/>
          </w:tcPr>
          <w:p>
            <w:pPr>
              <w:pStyle w:val="TableContents"/>
              <w:spacing w:lineRule="auto" w:line="300" w:before="0" w:after="0"/>
              <w:ind w:left="180" w:right="0" w:hanging="180"/>
              <w:jc w:val="left"/>
              <w:rPr>
                <w:rFonts w:ascii="Times New Roman" w:hAnsi="Times New Roman"/>
                <w:sz w:val="20"/>
              </w:rPr>
            </w:pPr>
            <w:r>
              <w:rPr>
                <w:rFonts w:ascii="Times New Roman" w:hAnsi="Times New Roman"/>
                <w:sz w:val="20"/>
              </w:rPr>
              <w:t>At December 31, 2006</w:t>
            </w:r>
          </w:p>
        </w:tc>
        <w:tc>
          <w:tcPr>
            <w:tcW w:w="70" w:type="dxa"/>
            <w:tcBorders>
              <w:bottom w:val="single" w:sz="4" w:space="0" w:color="CCEEFF"/>
            </w:tcBorders>
            <w:shd w:fill="CCEEFF" w:val="clear"/>
            <w:vAlign w:val="center"/>
          </w:tcPr>
          <w:p>
            <w:pPr>
              <w:pStyle w:val="TableContents"/>
              <w:spacing w:before="0" w:after="283"/>
              <w:rPr/>
            </w:pPr>
            <w:r>
              <w:rPr/>
              <w:t> </w:t>
            </w:r>
          </w:p>
        </w:tc>
        <w:tc>
          <w:tcPr>
            <w:tcW w:w="70" w:type="dxa"/>
            <w:tcBorders>
              <w:bottom w:val="double" w:sz="2" w:space="0" w:color="000000"/>
            </w:tcBorders>
            <w:shd w:fill="CCEEFF" w:val="clear"/>
            <w:vAlign w:val="bottom"/>
          </w:tcPr>
          <w:p>
            <w:pPr>
              <w:pStyle w:val="TableContents"/>
              <w:spacing w:before="0" w:after="283"/>
              <w:jc w:val="left"/>
              <w:rPr/>
            </w:pPr>
            <w:r>
              <w:rPr/>
              <w:t> </w:t>
            </w:r>
          </w:p>
        </w:tc>
        <w:tc>
          <w:tcPr>
            <w:tcW w:w="625" w:type="dxa"/>
            <w:tcBorders>
              <w:bottom w:val="doub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20,981</w:t>
            </w:r>
          </w:p>
        </w:tc>
        <w:tc>
          <w:tcPr>
            <w:tcW w:w="89" w:type="dxa"/>
            <w:tcBorders>
              <w:bottom w:val="single" w:sz="4" w:space="0" w:color="CCEEFF"/>
            </w:tcBorders>
            <w:shd w:fill="CCEEFF" w:val="clear"/>
            <w:vAlign w:val="bottom"/>
          </w:tcPr>
          <w:p>
            <w:pPr>
              <w:pStyle w:val="TableContents"/>
              <w:spacing w:before="0" w:after="283"/>
              <w:jc w:val="left"/>
              <w:rPr/>
            </w:pPr>
            <w:r>
              <w:rPr/>
              <w:t> </w:t>
            </w:r>
          </w:p>
        </w:tc>
        <w:tc>
          <w:tcPr>
            <w:tcW w:w="144" w:type="dxa"/>
            <w:tcBorders>
              <w:bottom w:val="doub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423" w:type="dxa"/>
            <w:tcBorders>
              <w:bottom w:val="doub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216</w:t>
            </w:r>
          </w:p>
        </w:tc>
        <w:tc>
          <w:tcPr>
            <w:tcW w:w="70" w:type="dxa"/>
            <w:tcBorders>
              <w:bottom w:val="single" w:sz="4" w:space="0" w:color="CCEEFF"/>
            </w:tcBorders>
            <w:shd w:fill="CCEEFF" w:val="clear"/>
            <w:vAlign w:val="bottom"/>
          </w:tcPr>
          <w:p>
            <w:pPr>
              <w:pStyle w:val="TableContents"/>
              <w:spacing w:before="0" w:after="283"/>
              <w:jc w:val="left"/>
              <w:rPr/>
            </w:pPr>
            <w:r>
              <w:rPr/>
              <w:t> </w:t>
            </w:r>
          </w:p>
        </w:tc>
        <w:tc>
          <w:tcPr>
            <w:tcW w:w="74" w:type="dxa"/>
            <w:tcBorders>
              <w:bottom w:val="double" w:sz="2" w:space="0" w:color="000000"/>
            </w:tcBorders>
            <w:shd w:fill="CCEEFF" w:val="clear"/>
            <w:vAlign w:val="bottom"/>
          </w:tcPr>
          <w:p>
            <w:pPr>
              <w:pStyle w:val="TableContents"/>
              <w:spacing w:before="0" w:after="283"/>
              <w:jc w:val="left"/>
              <w:rPr/>
            </w:pPr>
            <w:r>
              <w:rPr/>
              <w:t> </w:t>
            </w:r>
          </w:p>
        </w:tc>
        <w:tc>
          <w:tcPr>
            <w:tcW w:w="565" w:type="dxa"/>
            <w:tcBorders>
              <w:bottom w:val="doub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1,495</w:t>
            </w:r>
          </w:p>
        </w:tc>
        <w:tc>
          <w:tcPr>
            <w:tcW w:w="89" w:type="dxa"/>
            <w:tcBorders>
              <w:bottom w:val="single" w:sz="4" w:space="0" w:color="CCEEFF"/>
            </w:tcBorders>
            <w:shd w:fill="CCEEFF" w:val="clear"/>
            <w:vAlign w:val="bottom"/>
          </w:tcPr>
          <w:p>
            <w:pPr>
              <w:pStyle w:val="TableContents"/>
              <w:spacing w:before="0" w:after="283"/>
              <w:jc w:val="left"/>
              <w:rPr/>
            </w:pPr>
            <w:r>
              <w:rPr/>
              <w:t> </w:t>
            </w:r>
          </w:p>
        </w:tc>
        <w:tc>
          <w:tcPr>
            <w:tcW w:w="184" w:type="dxa"/>
            <w:tcBorders>
              <w:bottom w:val="doub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383" w:type="dxa"/>
            <w:tcBorders>
              <w:bottom w:val="doub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15</w:t>
            </w:r>
          </w:p>
        </w:tc>
        <w:tc>
          <w:tcPr>
            <w:tcW w:w="89" w:type="dxa"/>
            <w:tcBorders>
              <w:bottom w:val="single" w:sz="4" w:space="0" w:color="CCEEFF"/>
            </w:tcBorders>
            <w:shd w:fill="CCEEFF" w:val="clear"/>
            <w:vAlign w:val="bottom"/>
          </w:tcPr>
          <w:p>
            <w:pPr>
              <w:pStyle w:val="TableContents"/>
              <w:spacing w:before="0" w:after="283"/>
              <w:jc w:val="left"/>
              <w:rPr/>
            </w:pPr>
            <w:r>
              <w:rPr/>
              <w:t> </w:t>
            </w:r>
          </w:p>
        </w:tc>
        <w:tc>
          <w:tcPr>
            <w:tcW w:w="145" w:type="dxa"/>
            <w:tcBorders>
              <w:bottom w:val="doub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bookmarkStart w:id="2627" w:name="TAB11164"/>
            <w:bookmarkEnd w:id="2627"/>
            <w:r>
              <w:rPr>
                <w:rFonts w:ascii="Times New Roman" w:hAnsi="Times New Roman"/>
                <w:sz w:val="20"/>
              </w:rPr>
              <w:t>$</w:t>
            </w:r>
          </w:p>
        </w:tc>
        <w:tc>
          <w:tcPr>
            <w:tcW w:w="804" w:type="dxa"/>
            <w:tcBorders>
              <w:bottom w:val="doub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2628" w:name="TAB11165"/>
            <w:bookmarkEnd w:id="2628"/>
            <w:r>
              <w:rPr>
                <w:rFonts w:ascii="Times New Roman" w:hAnsi="Times New Roman"/>
                <w:sz w:val="20"/>
              </w:rPr>
              <w:t>128,399</w:t>
            </w:r>
          </w:p>
        </w:tc>
        <w:tc>
          <w:tcPr>
            <w:tcW w:w="70" w:type="dxa"/>
            <w:tcBorders>
              <w:bottom w:val="single" w:sz="4" w:space="0" w:color="CCEEFF"/>
            </w:tcBorders>
            <w:shd w:fill="CCEEFF" w:val="clear"/>
            <w:vAlign w:val="bottom"/>
          </w:tcPr>
          <w:p>
            <w:pPr>
              <w:pStyle w:val="TableContents"/>
              <w:spacing w:before="0" w:after="283"/>
              <w:jc w:val="left"/>
              <w:rPr/>
            </w:pPr>
            <w:r>
              <w:rPr/>
              <w:t> </w:t>
            </w:r>
          </w:p>
        </w:tc>
        <w:tc>
          <w:tcPr>
            <w:tcW w:w="157" w:type="dxa"/>
            <w:tcBorders>
              <w:bottom w:val="doub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bookmarkStart w:id="2629" w:name="TAB11166"/>
            <w:bookmarkEnd w:id="2629"/>
            <w:r>
              <w:rPr>
                <w:rFonts w:ascii="Times New Roman" w:hAnsi="Times New Roman"/>
                <w:sz w:val="20"/>
              </w:rPr>
              <w:t>$</w:t>
            </w:r>
          </w:p>
        </w:tc>
        <w:tc>
          <w:tcPr>
            <w:tcW w:w="693" w:type="dxa"/>
            <w:tcBorders>
              <w:bottom w:val="doub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2630" w:name="TAB11167"/>
            <w:bookmarkEnd w:id="2630"/>
            <w:r>
              <w:rPr>
                <w:rFonts w:ascii="Times New Roman" w:hAnsi="Times New Roman"/>
                <w:sz w:val="20"/>
              </w:rPr>
              <w:t>(4,306</w:t>
            </w:r>
          </w:p>
        </w:tc>
        <w:tc>
          <w:tcPr>
            <w:tcW w:w="89" w:type="dxa"/>
            <w:tcBorders>
              <w:bottom w:val="single" w:sz="4" w:space="0" w:color="CCEEFF"/>
            </w:tcBorders>
            <w:shd w:fill="CCEEFF" w:val="clear"/>
            <w:vAlign w:val="bottom"/>
          </w:tcPr>
          <w:p>
            <w:pPr>
              <w:pStyle w:val="TableContents"/>
              <w:spacing w:lineRule="auto" w:line="300" w:before="0" w:after="0"/>
              <w:ind w:left="0" w:right="0" w:hanging="0"/>
              <w:jc w:val="left"/>
              <w:rPr>
                <w:rFonts w:ascii="Times New Roman" w:hAnsi="Times New Roman"/>
                <w:sz w:val="20"/>
              </w:rPr>
            </w:pPr>
            <w:bookmarkStart w:id="2631" w:name="TAB11168"/>
            <w:bookmarkEnd w:id="2631"/>
            <w:r>
              <w:rPr>
                <w:rFonts w:ascii="Times New Roman" w:hAnsi="Times New Roman"/>
                <w:sz w:val="20"/>
              </w:rPr>
              <w:t>)</w:t>
            </w:r>
          </w:p>
        </w:tc>
        <w:tc>
          <w:tcPr>
            <w:tcW w:w="185" w:type="dxa"/>
            <w:tcBorders>
              <w:bottom w:val="doub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bookmarkStart w:id="2632" w:name="TAB11169"/>
            <w:bookmarkEnd w:id="2632"/>
            <w:r>
              <w:rPr>
                <w:rFonts w:ascii="Times New Roman" w:hAnsi="Times New Roman"/>
                <w:sz w:val="20"/>
              </w:rPr>
              <w:t>$</w:t>
            </w:r>
          </w:p>
        </w:tc>
        <w:tc>
          <w:tcPr>
            <w:tcW w:w="962" w:type="dxa"/>
            <w:tcBorders>
              <w:bottom w:val="doub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2633" w:name="TAB11170"/>
            <w:bookmarkEnd w:id="2633"/>
            <w:r>
              <w:rPr>
                <w:rFonts w:ascii="Times New Roman" w:hAnsi="Times New Roman"/>
                <w:sz w:val="20"/>
              </w:rPr>
              <w:t>(50,058</w:t>
            </w:r>
          </w:p>
        </w:tc>
        <w:tc>
          <w:tcPr>
            <w:tcW w:w="89" w:type="dxa"/>
            <w:tcBorders>
              <w:bottom w:val="single" w:sz="4" w:space="0" w:color="CCEEFF"/>
            </w:tcBorders>
            <w:shd w:fill="CCEEFF" w:val="clear"/>
            <w:vAlign w:val="bottom"/>
          </w:tcPr>
          <w:p>
            <w:pPr>
              <w:pStyle w:val="TableContents"/>
              <w:spacing w:lineRule="auto" w:line="300" w:before="0" w:after="0"/>
              <w:ind w:left="0" w:right="0" w:hanging="0"/>
              <w:jc w:val="left"/>
              <w:rPr>
                <w:rFonts w:ascii="Times New Roman" w:hAnsi="Times New Roman"/>
                <w:sz w:val="20"/>
              </w:rPr>
            </w:pPr>
            <w:bookmarkStart w:id="2634" w:name="TAB11171"/>
            <w:bookmarkEnd w:id="2634"/>
            <w:r>
              <w:rPr>
                <w:rFonts w:ascii="Times New Roman" w:hAnsi="Times New Roman"/>
                <w:sz w:val="20"/>
              </w:rPr>
              <w:t>)</w:t>
            </w:r>
          </w:p>
        </w:tc>
        <w:tc>
          <w:tcPr>
            <w:tcW w:w="234" w:type="dxa"/>
            <w:tcBorders>
              <w:bottom w:val="doub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bookmarkStart w:id="2635" w:name="TAB11172"/>
            <w:bookmarkEnd w:id="2635"/>
            <w:r>
              <w:rPr>
                <w:rFonts w:ascii="Times New Roman" w:hAnsi="Times New Roman"/>
                <w:sz w:val="20"/>
              </w:rPr>
              <w:t>$</w:t>
            </w:r>
          </w:p>
        </w:tc>
        <w:tc>
          <w:tcPr>
            <w:tcW w:w="1110" w:type="dxa"/>
            <w:tcBorders>
              <w:bottom w:val="doub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2636" w:name="TAB11173"/>
            <w:bookmarkEnd w:id="2636"/>
            <w:r>
              <w:rPr>
                <w:rFonts w:ascii="Times New Roman" w:hAnsi="Times New Roman"/>
                <w:sz w:val="20"/>
              </w:rPr>
              <w:t>33,393</w:t>
            </w:r>
          </w:p>
        </w:tc>
        <w:tc>
          <w:tcPr>
            <w:tcW w:w="89" w:type="dxa"/>
            <w:tcBorders>
              <w:bottom w:val="single" w:sz="4" w:space="0" w:color="CCEEFF"/>
            </w:tcBorders>
            <w:shd w:fill="CCEEFF" w:val="clear"/>
            <w:vAlign w:val="bottom"/>
          </w:tcPr>
          <w:p>
            <w:pPr>
              <w:pStyle w:val="TableContents"/>
              <w:spacing w:before="0" w:after="283"/>
              <w:jc w:val="left"/>
              <w:rPr/>
            </w:pPr>
            <w:r>
              <w:rPr/>
              <w:t> </w:t>
            </w:r>
          </w:p>
        </w:tc>
        <w:tc>
          <w:tcPr>
            <w:tcW w:w="181" w:type="dxa"/>
            <w:tcBorders>
              <w:bottom w:val="doub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bookmarkStart w:id="2637" w:name="TAB11174"/>
            <w:bookmarkEnd w:id="2637"/>
            <w:r>
              <w:rPr>
                <w:rFonts w:ascii="Times New Roman" w:hAnsi="Times New Roman"/>
                <w:sz w:val="20"/>
              </w:rPr>
              <w:t>$</w:t>
            </w:r>
          </w:p>
        </w:tc>
        <w:tc>
          <w:tcPr>
            <w:tcW w:w="1007" w:type="dxa"/>
            <w:tcBorders>
              <w:bottom w:val="doub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2638" w:name="TAB11175"/>
            <w:bookmarkEnd w:id="2638"/>
            <w:r>
              <w:rPr>
                <w:rFonts w:ascii="Times New Roman" w:hAnsi="Times New Roman"/>
                <w:sz w:val="20"/>
              </w:rPr>
              <w:t>107,659</w:t>
            </w:r>
          </w:p>
        </w:tc>
        <w:tc>
          <w:tcPr>
            <w:tcW w:w="117" w:type="dxa"/>
            <w:tcBorders>
              <w:bottom w:val="single" w:sz="4" w:space="0" w:color="CCEEFF"/>
            </w:tcBorders>
            <w:shd w:fill="CCEEFF" w:val="clear"/>
            <w:vAlign w:val="bottom"/>
          </w:tcPr>
          <w:p>
            <w:pPr>
              <w:pStyle w:val="TableContents"/>
              <w:spacing w:before="0" w:after="283"/>
              <w:jc w:val="left"/>
              <w:rPr/>
            </w:pPr>
            <w:r>
              <w:rPr/>
              <w:t> </w:t>
            </w:r>
          </w:p>
        </w:tc>
      </w:tr>
    </w:tbl>
    <w:p>
      <w:pPr>
        <w:pStyle w:val="TextBody"/>
        <w:spacing w:lineRule="auto" w:line="300" w:before="0" w:after="0"/>
        <w:ind w:left="0" w:right="0" w:hanging="0"/>
        <w:jc w:val="both"/>
        <w:rPr/>
      </w:pPr>
      <w:r>
        <w:rPr/>
        <w:t> </w:t>
      </w:r>
    </w:p>
    <w:p>
      <w:pPr>
        <w:pStyle w:val="TextBody"/>
        <w:spacing w:lineRule="auto" w:line="300" w:before="0" w:after="0"/>
        <w:ind w:left="0" w:right="0" w:hanging="0"/>
        <w:jc w:val="center"/>
        <w:rPr>
          <w:rFonts w:ascii="Times New Roman" w:hAnsi="Times New Roman"/>
          <w:sz w:val="20"/>
        </w:rPr>
      </w:pPr>
      <w:r>
        <w:rPr>
          <w:rFonts w:ascii="Times New Roman" w:hAnsi="Times New Roman"/>
          <w:sz w:val="20"/>
        </w:rPr>
        <w:t>See accompanying notes to consolidated financial statements.</w:t>
      </w:r>
    </w:p>
    <w:p>
      <w:pPr>
        <w:pStyle w:val="TextBody"/>
        <w:spacing w:lineRule="auto" w:line="300"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639" w:name="PGBRK74"/>
      <w:bookmarkStart w:id="2640" w:name="PGBRK74"/>
      <w:bookmarkEnd w:id="264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0"/>
        <w:ind w:left="0" w:right="0" w:hanging="0"/>
        <w:jc w:val="center"/>
        <w:rPr>
          <w:rFonts w:ascii="Times New Roman" w:hAnsi="Times New Roman"/>
          <w:sz w:val="20"/>
        </w:rPr>
      </w:pPr>
      <w:bookmarkStart w:id="2641" w:name="FTR74"/>
      <w:bookmarkEnd w:id="2641"/>
      <w:r>
        <w:rPr>
          <w:rFonts w:ascii="Times New Roman" w:hAnsi="Times New Roman"/>
          <w:sz w:val="20"/>
        </w:rPr>
        <w:t>--</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642" w:name="GLFTR74"/>
      <w:bookmarkStart w:id="2643" w:name="GLFTR74"/>
      <w:bookmarkEnd w:id="264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2644" w:name="PN74"/>
      <w:bookmarkEnd w:id="2644"/>
      <w:r>
        <w:rPr>
          <w:rFonts w:ascii="Times New Roman" w:hAnsi="Times New Roman"/>
          <w:sz w:val="16"/>
        </w:rPr>
        <w:t>-74-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645" w:name="HDR74"/>
      <w:bookmarkStart w:id="2646" w:name="HDR74"/>
      <w:bookmarkEnd w:id="264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2647" w:name="GLHDR74"/>
        <w:bookmarkEnd w:id="2647"/>
        <w:r>
          <w:rPr>
            <w:rStyle w:val="Emphasis"/>
            <w:rFonts w:ascii="Times New Roman" w:hAnsi="Times New Roman"/>
            <w:color w:val="000000"/>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pStyle w:val="TextBody"/>
        <w:spacing w:lineRule="auto" w:line="300" w:before="0" w:after="0"/>
        <w:ind w:left="0" w:right="0" w:hanging="0"/>
        <w:jc w:val="left"/>
        <w:rPr/>
      </w:pPr>
      <w:bookmarkStart w:id="2648" w:name="cashflow"/>
      <w:bookmarkEnd w:id="2648"/>
      <w:r>
        <w:rPr>
          <w:rStyle w:val="StrongEmphasis"/>
          <w:rFonts w:ascii="Times New Roman" w:hAnsi="Times New Roman"/>
          <w:sz w:val="20"/>
        </w:rPr>
        <w:t>Reading International, Inc. and Subsidiaries</w:t>
      </w:r>
    </w:p>
    <w:p>
      <w:pPr>
        <w:pStyle w:val="TextBody"/>
        <w:spacing w:lineRule="auto" w:line="300" w:before="0" w:after="0"/>
        <w:ind w:left="0" w:right="0" w:hanging="0"/>
        <w:jc w:val="left"/>
        <w:rPr/>
      </w:pPr>
      <w:r>
        <w:rPr>
          <w:rStyle w:val="StrongEmphasis"/>
          <w:rFonts w:ascii="Times New Roman" w:hAnsi="Times New Roman"/>
          <w:sz w:val="20"/>
        </w:rPr>
        <w:t>Consolidated Statements of Cash Flows for the Three Years Ended December 31, 2006</w:t>
      </w:r>
    </w:p>
    <w:p>
      <w:pPr>
        <w:pStyle w:val="TextBody"/>
        <w:spacing w:lineRule="auto" w:line="300" w:before="0" w:after="0"/>
        <w:ind w:left="0" w:right="0" w:hanging="0"/>
        <w:jc w:val="left"/>
        <w:rPr/>
      </w:pPr>
      <w:r>
        <w:rPr>
          <w:rStyle w:val="StrongEmphasis"/>
          <w:rFonts w:ascii="Times New Roman" w:hAnsi="Times New Roman"/>
          <w:sz w:val="20"/>
        </w:rPr>
        <w:t xml:space="preserve">(U.S. dollars in thousands) </w:t>
      </w:r>
    </w:p>
    <w:p>
      <w:pPr>
        <w:pStyle w:val="TextBody"/>
        <w:spacing w:lineRule="auto" w:line="300" w:before="0" w:after="0"/>
        <w:ind w:left="0" w:right="0" w:hanging="0"/>
        <w:jc w:val="left"/>
        <w:rPr/>
      </w:pPr>
      <w:r>
        <w:rPr/>
        <w:t> </w:t>
      </w:r>
    </w:p>
    <w:p>
      <w:pPr>
        <w:pStyle w:val="Normal"/>
        <w:spacing w:before="0" w:after="0"/>
        <w:ind w:left="0" w:right="0" w:hanging="0"/>
        <w:rPr>
          <w:sz w:val="4"/>
          <w:szCs w:val="4"/>
        </w:rPr>
      </w:pPr>
      <w:r>
        <w:rPr>
          <w:sz w:val="4"/>
          <w:szCs w:val="4"/>
        </w:rPr>
      </w:r>
      <w:bookmarkStart w:id="2649" w:name="ftable16"/>
      <w:bookmarkStart w:id="2650" w:name="ftable16"/>
      <w:bookmarkEnd w:id="2650"/>
    </w:p>
    <w:tbl>
      <w:tblPr>
        <w:tblW w:w="5000" w:type="pct"/>
        <w:jc w:val="left"/>
        <w:tblInd w:w="0" w:type="dxa"/>
        <w:tblCellMar>
          <w:top w:w="0" w:type="dxa"/>
          <w:left w:w="0" w:type="dxa"/>
          <w:bottom w:w="28" w:type="dxa"/>
          <w:right w:w="0" w:type="dxa"/>
        </w:tblCellMar>
      </w:tblPr>
      <w:tblGrid>
        <w:gridCol w:w="5541"/>
        <w:gridCol w:w="199"/>
        <w:gridCol w:w="125"/>
        <w:gridCol w:w="1186"/>
        <w:gridCol w:w="205"/>
        <w:gridCol w:w="125"/>
        <w:gridCol w:w="1186"/>
        <w:gridCol w:w="205"/>
        <w:gridCol w:w="125"/>
        <w:gridCol w:w="1186"/>
        <w:gridCol w:w="122"/>
      </w:tblGrid>
      <w:tr>
        <w:trPr/>
        <w:tc>
          <w:tcPr>
            <w:tcW w:w="5541" w:type="dxa"/>
            <w:tcBorders>
              <w:bottom w:val="single" w:sz="4" w:space="0" w:color="FFFFFF"/>
            </w:tcBorders>
            <w:shd w:fill="auto" w:val="clear"/>
            <w:vAlign w:val="bottom"/>
          </w:tcPr>
          <w:p>
            <w:pPr>
              <w:pStyle w:val="TableContents"/>
              <w:spacing w:before="0" w:after="283"/>
              <w:jc w:val="left"/>
              <w:rPr/>
            </w:pPr>
            <w:r>
              <w:rPr/>
              <w:t> </w:t>
            </w:r>
          </w:p>
        </w:tc>
        <w:tc>
          <w:tcPr>
            <w:tcW w:w="199" w:type="dxa"/>
            <w:tcBorders>
              <w:bottom w:val="single" w:sz="2" w:space="0" w:color="FFFFFF"/>
            </w:tcBorders>
            <w:shd w:fill="auto" w:val="clear"/>
            <w:vAlign w:val="center"/>
          </w:tcPr>
          <w:p>
            <w:pPr>
              <w:pStyle w:val="TableContents"/>
              <w:spacing w:before="0" w:after="283"/>
              <w:rPr/>
            </w:pPr>
            <w:r>
              <w:rPr/>
              <w:t> </w:t>
            </w:r>
          </w:p>
        </w:tc>
        <w:tc>
          <w:tcPr>
            <w:tcW w:w="4343" w:type="dxa"/>
            <w:gridSpan w:val="8"/>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Year Ended December 31,</w:t>
            </w:r>
          </w:p>
        </w:tc>
        <w:tc>
          <w:tcPr>
            <w:tcW w:w="122" w:type="dxa"/>
            <w:tcBorders>
              <w:bottom w:val="single" w:sz="2" w:space="0" w:color="FFFFFF"/>
            </w:tcBorders>
            <w:shd w:fill="auto" w:val="clear"/>
            <w:vAlign w:val="bottom"/>
          </w:tcPr>
          <w:p>
            <w:pPr>
              <w:pStyle w:val="TableContents"/>
              <w:spacing w:before="0" w:after="283"/>
              <w:jc w:val="left"/>
              <w:rPr/>
            </w:pPr>
            <w:r>
              <w:rPr/>
              <w:t> </w:t>
            </w:r>
          </w:p>
        </w:tc>
      </w:tr>
      <w:tr>
        <w:trPr/>
        <w:tc>
          <w:tcPr>
            <w:tcW w:w="5541" w:type="dxa"/>
            <w:tcBorders>
              <w:bottom w:val="double" w:sz="2" w:space="0" w:color="000000"/>
            </w:tcBorders>
            <w:shd w:fill="auto" w:val="clear"/>
            <w:vAlign w:val="bottom"/>
          </w:tcPr>
          <w:p>
            <w:pPr>
              <w:pStyle w:val="TableContents"/>
              <w:spacing w:before="0" w:after="283"/>
              <w:jc w:val="left"/>
              <w:rPr/>
            </w:pPr>
            <w:r>
              <w:rPr/>
              <w:t> </w:t>
            </w:r>
          </w:p>
        </w:tc>
        <w:tc>
          <w:tcPr>
            <w:tcW w:w="199" w:type="dxa"/>
            <w:tcBorders>
              <w:bottom w:val="single" w:sz="4" w:space="0" w:color="FFFFFF"/>
            </w:tcBorders>
            <w:shd w:fill="auto" w:val="clear"/>
            <w:vAlign w:val="center"/>
          </w:tcPr>
          <w:p>
            <w:pPr>
              <w:pStyle w:val="TableContents"/>
              <w:spacing w:before="0" w:after="283"/>
              <w:rPr/>
            </w:pPr>
            <w:r>
              <w:rPr/>
              <w:t> </w:t>
            </w:r>
          </w:p>
        </w:tc>
        <w:tc>
          <w:tcPr>
            <w:tcW w:w="1311"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2006</w:t>
            </w:r>
          </w:p>
        </w:tc>
        <w:tc>
          <w:tcPr>
            <w:tcW w:w="205" w:type="dxa"/>
            <w:tcBorders>
              <w:bottom w:val="single" w:sz="4" w:space="0" w:color="FFFFFF"/>
            </w:tcBorders>
            <w:shd w:fill="auto" w:val="clear"/>
            <w:vAlign w:val="bottom"/>
          </w:tcPr>
          <w:p>
            <w:pPr>
              <w:pStyle w:val="TableContents"/>
              <w:spacing w:before="0" w:after="283"/>
              <w:jc w:val="left"/>
              <w:rPr/>
            </w:pPr>
            <w:r>
              <w:rPr/>
              <w:t> </w:t>
            </w:r>
          </w:p>
        </w:tc>
        <w:tc>
          <w:tcPr>
            <w:tcW w:w="1311"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2005</w:t>
            </w:r>
          </w:p>
        </w:tc>
        <w:tc>
          <w:tcPr>
            <w:tcW w:w="205" w:type="dxa"/>
            <w:tcBorders>
              <w:bottom w:val="single" w:sz="4" w:space="0" w:color="FFFFFF"/>
            </w:tcBorders>
            <w:shd w:fill="auto" w:val="clear"/>
            <w:vAlign w:val="bottom"/>
          </w:tcPr>
          <w:p>
            <w:pPr>
              <w:pStyle w:val="TableContents"/>
              <w:spacing w:before="0" w:after="283"/>
              <w:jc w:val="left"/>
              <w:rPr/>
            </w:pPr>
            <w:r>
              <w:rPr/>
              <w:t> </w:t>
            </w:r>
          </w:p>
        </w:tc>
        <w:tc>
          <w:tcPr>
            <w:tcW w:w="1311"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2004</w:t>
            </w:r>
          </w:p>
        </w:tc>
        <w:tc>
          <w:tcPr>
            <w:tcW w:w="122" w:type="dxa"/>
            <w:tcBorders>
              <w:bottom w:val="single" w:sz="4" w:space="0" w:color="FFFFFF"/>
            </w:tcBorders>
            <w:shd w:fill="auto" w:val="clear"/>
            <w:vAlign w:val="bottom"/>
          </w:tcPr>
          <w:p>
            <w:pPr>
              <w:pStyle w:val="TableContents"/>
              <w:spacing w:before="0" w:after="283"/>
              <w:jc w:val="left"/>
              <w:rPr/>
            </w:pPr>
            <w:r>
              <w:rPr/>
              <w:t> </w:t>
            </w:r>
          </w:p>
        </w:tc>
      </w:tr>
      <w:tr>
        <w:trPr/>
        <w:tc>
          <w:tcPr>
            <w:tcW w:w="5541" w:type="dxa"/>
            <w:tcBorders/>
            <w:shd w:fill="auto" w:val="clear"/>
            <w:tcMar>
              <w:bottom w:w="0" w:type="dxa"/>
            </w:tcMar>
            <w:vAlign w:val="bottom"/>
          </w:tcPr>
          <w:p>
            <w:pPr>
              <w:pStyle w:val="TableContents"/>
              <w:spacing w:lineRule="auto" w:line="300" w:before="0" w:after="0"/>
              <w:ind w:left="180" w:right="0" w:hanging="180"/>
              <w:jc w:val="left"/>
              <w:rPr/>
            </w:pPr>
            <w:r>
              <w:rPr>
                <w:rStyle w:val="StrongEmphasis"/>
                <w:rFonts w:ascii="Times New Roman" w:hAnsi="Times New Roman"/>
                <w:sz w:val="20"/>
              </w:rPr>
              <w:t>Operating Activities</w:t>
            </w:r>
          </w:p>
        </w:tc>
        <w:tc>
          <w:tcPr>
            <w:tcW w:w="199" w:type="dxa"/>
            <w:tcBorders/>
            <w:shd w:fill="auto" w:val="clear"/>
            <w:tcMar>
              <w:bottom w:w="0" w:type="dxa"/>
            </w:tcMar>
            <w:vAlign w:val="center"/>
          </w:tcPr>
          <w:p>
            <w:pPr>
              <w:pStyle w:val="TableContents"/>
              <w:spacing w:before="0" w:after="283"/>
              <w:rPr/>
            </w:pPr>
            <w:r>
              <w:rPr/>
              <w:t> </w:t>
            </w:r>
          </w:p>
        </w:tc>
        <w:tc>
          <w:tcPr>
            <w:tcW w:w="1311" w:type="dxa"/>
            <w:gridSpan w:val="2"/>
            <w:tcBorders/>
            <w:shd w:fill="auto" w:val="clear"/>
            <w:tcMar>
              <w:bottom w:w="0" w:type="dxa"/>
            </w:tcMar>
            <w:vAlign w:val="bottom"/>
          </w:tcPr>
          <w:p>
            <w:pPr>
              <w:pStyle w:val="TableContents"/>
              <w:spacing w:before="0" w:after="283"/>
              <w:jc w:val="left"/>
              <w:rPr/>
            </w:pPr>
            <w:r>
              <w:rPr/>
              <w:t> </w:t>
            </w:r>
          </w:p>
        </w:tc>
        <w:tc>
          <w:tcPr>
            <w:tcW w:w="205" w:type="dxa"/>
            <w:tcBorders/>
            <w:shd w:fill="auto" w:val="clear"/>
            <w:tcMar>
              <w:bottom w:w="0" w:type="dxa"/>
            </w:tcMar>
            <w:vAlign w:val="bottom"/>
          </w:tcPr>
          <w:p>
            <w:pPr>
              <w:pStyle w:val="TableContents"/>
              <w:spacing w:before="0" w:after="283"/>
              <w:jc w:val="left"/>
              <w:rPr/>
            </w:pPr>
            <w:r>
              <w:rPr/>
              <w:t> </w:t>
            </w:r>
          </w:p>
        </w:tc>
        <w:tc>
          <w:tcPr>
            <w:tcW w:w="1311" w:type="dxa"/>
            <w:gridSpan w:val="2"/>
            <w:tcBorders/>
            <w:shd w:fill="auto" w:val="clear"/>
            <w:tcMar>
              <w:bottom w:w="0" w:type="dxa"/>
            </w:tcMar>
            <w:vAlign w:val="bottom"/>
          </w:tcPr>
          <w:p>
            <w:pPr>
              <w:pStyle w:val="TableContents"/>
              <w:spacing w:before="0" w:after="283"/>
              <w:jc w:val="left"/>
              <w:rPr/>
            </w:pPr>
            <w:r>
              <w:rPr/>
              <w:t> </w:t>
            </w:r>
          </w:p>
        </w:tc>
        <w:tc>
          <w:tcPr>
            <w:tcW w:w="205" w:type="dxa"/>
            <w:tcBorders/>
            <w:shd w:fill="auto" w:val="clear"/>
            <w:tcMar>
              <w:bottom w:w="0" w:type="dxa"/>
            </w:tcMar>
            <w:vAlign w:val="bottom"/>
          </w:tcPr>
          <w:p>
            <w:pPr>
              <w:pStyle w:val="TableContents"/>
              <w:spacing w:before="0" w:after="283"/>
              <w:jc w:val="left"/>
              <w:rPr/>
            </w:pPr>
            <w:r>
              <w:rPr/>
              <w:t> </w:t>
            </w:r>
          </w:p>
        </w:tc>
        <w:tc>
          <w:tcPr>
            <w:tcW w:w="1311" w:type="dxa"/>
            <w:gridSpan w:val="2"/>
            <w:tcBorders/>
            <w:shd w:fill="auto" w:val="clear"/>
            <w:tcMar>
              <w:bottom w:w="0" w:type="dxa"/>
            </w:tcMar>
            <w:vAlign w:val="bottom"/>
          </w:tcPr>
          <w:p>
            <w:pPr>
              <w:pStyle w:val="TableContents"/>
              <w:spacing w:before="0" w:after="283"/>
              <w:jc w:val="left"/>
              <w:rPr/>
            </w:pPr>
            <w:r>
              <w:rPr/>
              <w:t> </w:t>
            </w:r>
          </w:p>
        </w:tc>
        <w:tc>
          <w:tcPr>
            <w:tcW w:w="122" w:type="dxa"/>
            <w:tcBorders/>
            <w:shd w:fill="auto" w:val="clear"/>
            <w:tcMar>
              <w:bottom w:w="0" w:type="dxa"/>
            </w:tcMar>
            <w:vAlign w:val="bottom"/>
          </w:tcPr>
          <w:p>
            <w:pPr>
              <w:pStyle w:val="TableContents"/>
              <w:spacing w:before="0" w:after="283"/>
              <w:jc w:val="left"/>
              <w:rPr/>
            </w:pPr>
            <w:r>
              <w:rPr/>
              <w:t> </w:t>
            </w:r>
          </w:p>
        </w:tc>
      </w:tr>
      <w:tr>
        <w:trPr/>
        <w:tc>
          <w:tcPr>
            <w:tcW w:w="5541" w:type="dxa"/>
            <w:tcBorders/>
            <w:shd w:fill="CCEEFF" w:val="clear"/>
            <w:tcMar>
              <w:bottom w:w="0" w:type="dxa"/>
            </w:tcMar>
            <w:vAlign w:val="bottom"/>
          </w:tcPr>
          <w:p>
            <w:pPr>
              <w:pStyle w:val="TableContents"/>
              <w:spacing w:lineRule="auto" w:line="300" w:before="0" w:after="0"/>
              <w:ind w:left="180" w:right="0" w:hanging="180"/>
              <w:jc w:val="left"/>
              <w:rPr>
                <w:rFonts w:ascii="Times New Roman" w:hAnsi="Times New Roman"/>
                <w:sz w:val="20"/>
              </w:rPr>
            </w:pPr>
            <w:r>
              <w:rPr>
                <w:rFonts w:ascii="Times New Roman" w:hAnsi="Times New Roman"/>
                <w:sz w:val="20"/>
              </w:rPr>
              <w:t>Net income (loss)</w:t>
            </w:r>
          </w:p>
        </w:tc>
        <w:tc>
          <w:tcPr>
            <w:tcW w:w="199" w:type="dxa"/>
            <w:tcBorders/>
            <w:shd w:fill="CCEEFF" w:val="clear"/>
            <w:tcMar>
              <w:bottom w:w="0" w:type="dxa"/>
            </w:tcMar>
            <w:vAlign w:val="center"/>
          </w:tcPr>
          <w:p>
            <w:pPr>
              <w:pStyle w:val="TableContents"/>
              <w:spacing w:before="0" w:after="283"/>
              <w:rPr/>
            </w:pPr>
            <w:r>
              <w:rPr/>
              <w:t> </w:t>
            </w:r>
          </w:p>
        </w:tc>
        <w:tc>
          <w:tcPr>
            <w:tcW w:w="125"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2651" w:name="TAB11176"/>
            <w:bookmarkEnd w:id="2651"/>
            <w:r>
              <w:rPr>
                <w:rFonts w:ascii="Times New Roman" w:hAnsi="Times New Roman"/>
                <w:sz w:val="20"/>
              </w:rPr>
              <w:t>$</w:t>
            </w:r>
          </w:p>
        </w:tc>
        <w:tc>
          <w:tcPr>
            <w:tcW w:w="1186"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2652" w:name="TAB11177"/>
            <w:bookmarkEnd w:id="2652"/>
            <w:r>
              <w:rPr>
                <w:rFonts w:ascii="Times New Roman" w:hAnsi="Times New Roman"/>
                <w:sz w:val="20"/>
              </w:rPr>
              <w:t>3,856</w:t>
            </w:r>
          </w:p>
        </w:tc>
        <w:tc>
          <w:tcPr>
            <w:tcW w:w="205"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2653" w:name="TAB11178"/>
            <w:bookmarkEnd w:id="2653"/>
            <w:r>
              <w:rPr>
                <w:rFonts w:ascii="Times New Roman" w:hAnsi="Times New Roman"/>
                <w:sz w:val="20"/>
              </w:rPr>
              <w:t>$</w:t>
            </w:r>
          </w:p>
        </w:tc>
        <w:tc>
          <w:tcPr>
            <w:tcW w:w="1186"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2654" w:name="TAB11179"/>
            <w:bookmarkEnd w:id="2654"/>
            <w:r>
              <w:rPr>
                <w:rFonts w:ascii="Times New Roman" w:hAnsi="Times New Roman"/>
                <w:sz w:val="20"/>
              </w:rPr>
              <w:t>989</w:t>
            </w:r>
          </w:p>
        </w:tc>
        <w:tc>
          <w:tcPr>
            <w:tcW w:w="205"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2655" w:name="TAB11180"/>
            <w:bookmarkEnd w:id="2655"/>
            <w:r>
              <w:rPr>
                <w:rFonts w:ascii="Times New Roman" w:hAnsi="Times New Roman"/>
                <w:sz w:val="20"/>
              </w:rPr>
              <w:t>$</w:t>
            </w:r>
          </w:p>
        </w:tc>
        <w:tc>
          <w:tcPr>
            <w:tcW w:w="1186"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2656" w:name="TAB11181"/>
            <w:bookmarkEnd w:id="2656"/>
            <w:r>
              <w:rPr>
                <w:rFonts w:ascii="Times New Roman" w:hAnsi="Times New Roman"/>
                <w:sz w:val="20"/>
              </w:rPr>
              <w:t>(8,463</w:t>
            </w:r>
          </w:p>
        </w:tc>
        <w:tc>
          <w:tcPr>
            <w:tcW w:w="122"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2657" w:name="TAB11182"/>
            <w:bookmarkEnd w:id="2657"/>
            <w:r>
              <w:rPr>
                <w:rFonts w:ascii="Times New Roman" w:hAnsi="Times New Roman"/>
                <w:sz w:val="20"/>
              </w:rPr>
              <w:t>)</w:t>
            </w:r>
          </w:p>
        </w:tc>
      </w:tr>
      <w:tr>
        <w:trPr/>
        <w:tc>
          <w:tcPr>
            <w:tcW w:w="5541" w:type="dxa"/>
            <w:tcBorders/>
            <w:shd w:fill="FFFFFF" w:val="clear"/>
            <w:tcMar>
              <w:bottom w:w="0" w:type="dxa"/>
            </w:tcMar>
            <w:vAlign w:val="bottom"/>
          </w:tcPr>
          <w:p>
            <w:pPr>
              <w:pStyle w:val="TableContents"/>
              <w:spacing w:lineRule="auto" w:line="300" w:before="0" w:after="0"/>
              <w:ind w:left="360" w:right="0" w:hanging="180"/>
              <w:jc w:val="left"/>
              <w:rPr/>
            </w:pPr>
            <w:r>
              <w:rPr>
                <w:rStyle w:val="Emphasis"/>
                <w:rFonts w:ascii="Times New Roman" w:hAnsi="Times New Roman"/>
                <w:sz w:val="20"/>
              </w:rPr>
              <w:t>Adjustments to reconcile net income( loss) to net cash provided by operating activities:</w:t>
            </w:r>
          </w:p>
        </w:tc>
        <w:tc>
          <w:tcPr>
            <w:tcW w:w="199" w:type="dxa"/>
            <w:tcBorders/>
            <w:shd w:fill="FFFFFF" w:val="clear"/>
            <w:tcMar>
              <w:bottom w:w="0" w:type="dxa"/>
            </w:tcMar>
            <w:vAlign w:val="center"/>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86" w:type="dxa"/>
            <w:tcBorders/>
            <w:shd w:fill="FFFFFF" w:val="clear"/>
            <w:tcMar>
              <w:bottom w:w="0" w:type="dxa"/>
            </w:tcMar>
            <w:vAlign w:val="bottom"/>
          </w:tcPr>
          <w:p>
            <w:pPr>
              <w:pStyle w:val="TableContents"/>
              <w:spacing w:before="0" w:after="283"/>
              <w:jc w:val="right"/>
              <w:rPr/>
            </w:pPr>
            <w:r>
              <w:rPr/>
              <w:t> </w:t>
            </w:r>
          </w:p>
        </w:tc>
        <w:tc>
          <w:tcPr>
            <w:tcW w:w="205"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86" w:type="dxa"/>
            <w:tcBorders/>
            <w:shd w:fill="FFFFFF" w:val="clear"/>
            <w:tcMar>
              <w:bottom w:w="0" w:type="dxa"/>
            </w:tcMar>
            <w:vAlign w:val="bottom"/>
          </w:tcPr>
          <w:p>
            <w:pPr>
              <w:pStyle w:val="TableContents"/>
              <w:spacing w:before="0" w:after="283"/>
              <w:jc w:val="right"/>
              <w:rPr/>
            </w:pPr>
            <w:r>
              <w:rPr/>
              <w:t> </w:t>
            </w:r>
          </w:p>
        </w:tc>
        <w:tc>
          <w:tcPr>
            <w:tcW w:w="205"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86" w:type="dxa"/>
            <w:tcBorders/>
            <w:shd w:fill="FFFFFF" w:val="clear"/>
            <w:tcMar>
              <w:bottom w:w="0" w:type="dxa"/>
            </w:tcMar>
            <w:vAlign w:val="bottom"/>
          </w:tcPr>
          <w:p>
            <w:pPr>
              <w:pStyle w:val="TableContents"/>
              <w:spacing w:before="0" w:after="283"/>
              <w:jc w:val="right"/>
              <w:rPr/>
            </w:pPr>
            <w:r>
              <w:rPr/>
              <w:t> </w:t>
            </w:r>
          </w:p>
        </w:tc>
        <w:tc>
          <w:tcPr>
            <w:tcW w:w="122" w:type="dxa"/>
            <w:tcBorders/>
            <w:shd w:fill="FFFFFF" w:val="clear"/>
            <w:tcMar>
              <w:bottom w:w="0" w:type="dxa"/>
            </w:tcMar>
            <w:vAlign w:val="bottom"/>
          </w:tcPr>
          <w:p>
            <w:pPr>
              <w:pStyle w:val="TableContents"/>
              <w:spacing w:before="0" w:after="283"/>
              <w:jc w:val="left"/>
              <w:rPr/>
            </w:pPr>
            <w:r>
              <w:rPr/>
              <w:t> </w:t>
            </w:r>
          </w:p>
        </w:tc>
      </w:tr>
      <w:tr>
        <w:trPr/>
        <w:tc>
          <w:tcPr>
            <w:tcW w:w="5541" w:type="dxa"/>
            <w:tcBorders/>
            <w:shd w:fill="CCEEFF" w:val="clear"/>
            <w:tcMar>
              <w:bottom w:w="0" w:type="dxa"/>
            </w:tcMar>
            <w:vAlign w:val="bottom"/>
          </w:tcPr>
          <w:p>
            <w:pPr>
              <w:pStyle w:val="TableContents"/>
              <w:spacing w:lineRule="auto" w:line="300" w:before="0" w:after="0"/>
              <w:ind w:left="540" w:right="0" w:hanging="180"/>
              <w:jc w:val="left"/>
              <w:rPr>
                <w:rFonts w:ascii="Times New Roman" w:hAnsi="Times New Roman"/>
                <w:sz w:val="20"/>
              </w:rPr>
            </w:pPr>
            <w:r>
              <w:rPr>
                <w:rFonts w:ascii="Times New Roman" w:hAnsi="Times New Roman"/>
                <w:sz w:val="20"/>
              </w:rPr>
              <w:t>Realized (gain) loss on foreign currency translation</w:t>
            </w:r>
          </w:p>
        </w:tc>
        <w:tc>
          <w:tcPr>
            <w:tcW w:w="199" w:type="dxa"/>
            <w:tcBorders/>
            <w:shd w:fill="CCEEFF" w:val="clear"/>
            <w:tcMar>
              <w:bottom w:w="0" w:type="dxa"/>
            </w:tcMar>
            <w:vAlign w:val="center"/>
          </w:tcPr>
          <w:p>
            <w:pPr>
              <w:pStyle w:val="TableContents"/>
              <w:spacing w:before="0" w:after="283"/>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186"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38</w:t>
            </w:r>
          </w:p>
        </w:tc>
        <w:tc>
          <w:tcPr>
            <w:tcW w:w="205"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186"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(417</w:t>
            </w:r>
          </w:p>
        </w:tc>
        <w:tc>
          <w:tcPr>
            <w:tcW w:w="205"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25" w:type="dxa"/>
            <w:tcBorders/>
            <w:shd w:fill="CCEEFF" w:val="clear"/>
            <w:tcMar>
              <w:bottom w:w="0" w:type="dxa"/>
            </w:tcMar>
            <w:vAlign w:val="bottom"/>
          </w:tcPr>
          <w:p>
            <w:pPr>
              <w:pStyle w:val="TableContents"/>
              <w:spacing w:before="0" w:after="283"/>
              <w:jc w:val="left"/>
              <w:rPr/>
            </w:pPr>
            <w:r>
              <w:rPr/>
              <w:t> </w:t>
            </w:r>
          </w:p>
        </w:tc>
        <w:tc>
          <w:tcPr>
            <w:tcW w:w="1186"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(1,686</w:t>
            </w:r>
          </w:p>
        </w:tc>
        <w:tc>
          <w:tcPr>
            <w:tcW w:w="122"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r>
      <w:tr>
        <w:trPr/>
        <w:tc>
          <w:tcPr>
            <w:tcW w:w="5541" w:type="dxa"/>
            <w:tcBorders/>
            <w:shd w:fill="FFFFFF" w:val="clear"/>
            <w:tcMar>
              <w:bottom w:w="0" w:type="dxa"/>
            </w:tcMar>
            <w:vAlign w:val="bottom"/>
          </w:tcPr>
          <w:p>
            <w:pPr>
              <w:pStyle w:val="TableContents"/>
              <w:spacing w:lineRule="auto" w:line="300" w:before="0" w:after="0"/>
              <w:ind w:left="540" w:right="0" w:hanging="180"/>
              <w:jc w:val="left"/>
              <w:rPr>
                <w:rFonts w:ascii="Times New Roman" w:hAnsi="Times New Roman"/>
                <w:sz w:val="20"/>
              </w:rPr>
            </w:pPr>
            <w:r>
              <w:rPr>
                <w:rFonts w:ascii="Times New Roman" w:hAnsi="Times New Roman"/>
                <w:sz w:val="20"/>
              </w:rPr>
              <w:t>Equity earnings of unconsolidated joint ventures and entities</w:t>
            </w:r>
          </w:p>
        </w:tc>
        <w:tc>
          <w:tcPr>
            <w:tcW w:w="199" w:type="dxa"/>
            <w:tcBorders/>
            <w:shd w:fill="FFFFFF" w:val="clear"/>
            <w:tcMar>
              <w:bottom w:w="0" w:type="dxa"/>
            </w:tcMar>
            <w:vAlign w:val="center"/>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86"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(9,547</w:t>
            </w:r>
          </w:p>
        </w:tc>
        <w:tc>
          <w:tcPr>
            <w:tcW w:w="205"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25" w:type="dxa"/>
            <w:tcBorders/>
            <w:shd w:fill="FFFFFF" w:val="clear"/>
            <w:tcMar>
              <w:bottom w:w="0" w:type="dxa"/>
            </w:tcMar>
            <w:vAlign w:val="bottom"/>
          </w:tcPr>
          <w:p>
            <w:pPr>
              <w:pStyle w:val="TableContents"/>
              <w:spacing w:before="0" w:after="283"/>
              <w:jc w:val="left"/>
              <w:rPr/>
            </w:pPr>
            <w:r>
              <w:rPr/>
              <w:t> </w:t>
            </w:r>
          </w:p>
        </w:tc>
        <w:tc>
          <w:tcPr>
            <w:tcW w:w="1186"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(1,372</w:t>
            </w:r>
          </w:p>
        </w:tc>
        <w:tc>
          <w:tcPr>
            <w:tcW w:w="205"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25" w:type="dxa"/>
            <w:tcBorders/>
            <w:shd w:fill="FFFFFF" w:val="clear"/>
            <w:tcMar>
              <w:bottom w:w="0" w:type="dxa"/>
            </w:tcMar>
            <w:vAlign w:val="bottom"/>
          </w:tcPr>
          <w:p>
            <w:pPr>
              <w:pStyle w:val="TableContents"/>
              <w:spacing w:before="0" w:after="283"/>
              <w:jc w:val="left"/>
              <w:rPr/>
            </w:pPr>
            <w:r>
              <w:rPr/>
              <w:t> </w:t>
            </w:r>
          </w:p>
        </w:tc>
        <w:tc>
          <w:tcPr>
            <w:tcW w:w="1186"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(1,680</w:t>
            </w:r>
          </w:p>
        </w:tc>
        <w:tc>
          <w:tcPr>
            <w:tcW w:w="122"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r>
      <w:tr>
        <w:trPr/>
        <w:tc>
          <w:tcPr>
            <w:tcW w:w="5541" w:type="dxa"/>
            <w:tcBorders/>
            <w:shd w:fill="CCEEFF" w:val="clear"/>
            <w:tcMar>
              <w:bottom w:w="0" w:type="dxa"/>
            </w:tcMar>
            <w:vAlign w:val="bottom"/>
          </w:tcPr>
          <w:p>
            <w:pPr>
              <w:pStyle w:val="TableContents"/>
              <w:spacing w:lineRule="auto" w:line="300" w:before="0" w:after="0"/>
              <w:ind w:left="540" w:right="0" w:hanging="180"/>
              <w:jc w:val="left"/>
              <w:rPr>
                <w:rFonts w:ascii="Times New Roman" w:hAnsi="Times New Roman"/>
                <w:sz w:val="20"/>
              </w:rPr>
            </w:pPr>
            <w:r>
              <w:rPr>
                <w:rFonts w:ascii="Times New Roman" w:hAnsi="Times New Roman"/>
                <w:sz w:val="20"/>
              </w:rPr>
              <w:t>Distributions of earnings from unconsolidated joint ventures and entities</w:t>
            </w:r>
          </w:p>
        </w:tc>
        <w:tc>
          <w:tcPr>
            <w:tcW w:w="199" w:type="dxa"/>
            <w:tcBorders/>
            <w:shd w:fill="CCEEFF" w:val="clear"/>
            <w:tcMar>
              <w:bottom w:w="0" w:type="dxa"/>
            </w:tcMar>
            <w:vAlign w:val="center"/>
          </w:tcPr>
          <w:p>
            <w:pPr>
              <w:pStyle w:val="TableContents"/>
              <w:spacing w:before="0" w:after="283"/>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186"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6,647</w:t>
            </w:r>
          </w:p>
        </w:tc>
        <w:tc>
          <w:tcPr>
            <w:tcW w:w="205"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186"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855</w:t>
            </w:r>
          </w:p>
        </w:tc>
        <w:tc>
          <w:tcPr>
            <w:tcW w:w="205"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186"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1,546</w:t>
            </w:r>
          </w:p>
        </w:tc>
        <w:tc>
          <w:tcPr>
            <w:tcW w:w="122" w:type="dxa"/>
            <w:tcBorders/>
            <w:shd w:fill="CCEEFF" w:val="clear"/>
            <w:tcMar>
              <w:bottom w:w="0" w:type="dxa"/>
            </w:tcMar>
            <w:vAlign w:val="bottom"/>
          </w:tcPr>
          <w:p>
            <w:pPr>
              <w:pStyle w:val="TableContents"/>
              <w:spacing w:before="0" w:after="283"/>
              <w:jc w:val="left"/>
              <w:rPr/>
            </w:pPr>
            <w:r>
              <w:rPr/>
              <w:t> </w:t>
            </w:r>
          </w:p>
        </w:tc>
      </w:tr>
      <w:tr>
        <w:trPr/>
        <w:tc>
          <w:tcPr>
            <w:tcW w:w="5541" w:type="dxa"/>
            <w:tcBorders/>
            <w:shd w:fill="FFFFFF" w:val="clear"/>
            <w:tcMar>
              <w:bottom w:w="0" w:type="dxa"/>
            </w:tcMar>
            <w:vAlign w:val="bottom"/>
          </w:tcPr>
          <w:p>
            <w:pPr>
              <w:pStyle w:val="TableContents"/>
              <w:spacing w:lineRule="auto" w:line="300" w:before="0" w:after="0"/>
              <w:ind w:left="540" w:right="0" w:hanging="180"/>
              <w:jc w:val="left"/>
              <w:rPr>
                <w:rFonts w:ascii="Times New Roman" w:hAnsi="Times New Roman"/>
                <w:sz w:val="20"/>
              </w:rPr>
            </w:pPr>
            <w:r>
              <w:rPr>
                <w:rFonts w:ascii="Times New Roman" w:hAnsi="Times New Roman"/>
                <w:sz w:val="20"/>
              </w:rPr>
              <w:t>Gain on the sale of unconsolidated joint venture</w:t>
            </w:r>
          </w:p>
        </w:tc>
        <w:tc>
          <w:tcPr>
            <w:tcW w:w="199" w:type="dxa"/>
            <w:tcBorders/>
            <w:shd w:fill="FFFFFF" w:val="clear"/>
            <w:tcMar>
              <w:bottom w:w="0" w:type="dxa"/>
            </w:tcMar>
            <w:vAlign w:val="center"/>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86"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(3,442</w:t>
            </w:r>
          </w:p>
        </w:tc>
        <w:tc>
          <w:tcPr>
            <w:tcW w:w="205"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25" w:type="dxa"/>
            <w:tcBorders/>
            <w:shd w:fill="FFFFFF" w:val="clear"/>
            <w:tcMar>
              <w:bottom w:w="0" w:type="dxa"/>
            </w:tcMar>
            <w:vAlign w:val="bottom"/>
          </w:tcPr>
          <w:p>
            <w:pPr>
              <w:pStyle w:val="TableContents"/>
              <w:spacing w:before="0" w:after="283"/>
              <w:jc w:val="left"/>
              <w:rPr/>
            </w:pPr>
            <w:r>
              <w:rPr/>
              <w:t> </w:t>
            </w:r>
          </w:p>
        </w:tc>
        <w:tc>
          <w:tcPr>
            <w:tcW w:w="1186"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205"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86"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122" w:type="dxa"/>
            <w:tcBorders/>
            <w:shd w:fill="FFFFFF" w:val="clear"/>
            <w:tcMar>
              <w:bottom w:w="0" w:type="dxa"/>
            </w:tcMar>
            <w:vAlign w:val="bottom"/>
          </w:tcPr>
          <w:p>
            <w:pPr>
              <w:pStyle w:val="TableContents"/>
              <w:spacing w:before="0" w:after="283"/>
              <w:jc w:val="left"/>
              <w:rPr/>
            </w:pPr>
            <w:r>
              <w:rPr/>
              <w:t> </w:t>
            </w:r>
          </w:p>
        </w:tc>
      </w:tr>
      <w:tr>
        <w:trPr/>
        <w:tc>
          <w:tcPr>
            <w:tcW w:w="5541" w:type="dxa"/>
            <w:tcBorders/>
            <w:shd w:fill="CCEEFF" w:val="clear"/>
            <w:tcMar>
              <w:bottom w:w="0" w:type="dxa"/>
            </w:tcMar>
            <w:vAlign w:val="bottom"/>
          </w:tcPr>
          <w:p>
            <w:pPr>
              <w:pStyle w:val="TableContents"/>
              <w:spacing w:lineRule="auto" w:line="300" w:before="0" w:after="0"/>
              <w:ind w:left="540" w:right="0" w:hanging="180"/>
              <w:jc w:val="left"/>
              <w:rPr>
                <w:rFonts w:ascii="Times New Roman" w:hAnsi="Times New Roman"/>
                <w:sz w:val="20"/>
              </w:rPr>
            </w:pPr>
            <w:r>
              <w:rPr>
                <w:rFonts w:ascii="Times New Roman" w:hAnsi="Times New Roman"/>
                <w:sz w:val="20"/>
              </w:rPr>
              <w:t>Gain on sale of Puerto Rico</w:t>
            </w:r>
          </w:p>
        </w:tc>
        <w:tc>
          <w:tcPr>
            <w:tcW w:w="199" w:type="dxa"/>
            <w:tcBorders/>
            <w:shd w:fill="CCEEFF" w:val="clear"/>
            <w:tcMar>
              <w:bottom w:w="0" w:type="dxa"/>
            </w:tcMar>
            <w:vAlign w:val="center"/>
          </w:tcPr>
          <w:p>
            <w:pPr>
              <w:pStyle w:val="TableContents"/>
              <w:spacing w:before="0" w:after="283"/>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186"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205"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186"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(1,597</w:t>
            </w:r>
          </w:p>
        </w:tc>
        <w:tc>
          <w:tcPr>
            <w:tcW w:w="205"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25" w:type="dxa"/>
            <w:tcBorders/>
            <w:shd w:fill="CCEEFF" w:val="clear"/>
            <w:tcMar>
              <w:bottom w:w="0" w:type="dxa"/>
            </w:tcMar>
            <w:vAlign w:val="bottom"/>
          </w:tcPr>
          <w:p>
            <w:pPr>
              <w:pStyle w:val="TableContents"/>
              <w:spacing w:before="0" w:after="283"/>
              <w:jc w:val="left"/>
              <w:rPr/>
            </w:pPr>
            <w:r>
              <w:rPr/>
              <w:t> </w:t>
            </w:r>
          </w:p>
        </w:tc>
        <w:tc>
          <w:tcPr>
            <w:tcW w:w="1186"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122" w:type="dxa"/>
            <w:tcBorders/>
            <w:shd w:fill="CCEEFF" w:val="clear"/>
            <w:tcMar>
              <w:bottom w:w="0" w:type="dxa"/>
            </w:tcMar>
            <w:vAlign w:val="bottom"/>
          </w:tcPr>
          <w:p>
            <w:pPr>
              <w:pStyle w:val="TableContents"/>
              <w:spacing w:before="0" w:after="283"/>
              <w:jc w:val="left"/>
              <w:rPr/>
            </w:pPr>
            <w:r>
              <w:rPr/>
              <w:t> </w:t>
            </w:r>
          </w:p>
        </w:tc>
      </w:tr>
      <w:tr>
        <w:trPr/>
        <w:tc>
          <w:tcPr>
            <w:tcW w:w="5541" w:type="dxa"/>
            <w:tcBorders/>
            <w:shd w:fill="FFFFFF" w:val="clear"/>
            <w:tcMar>
              <w:bottom w:w="0" w:type="dxa"/>
            </w:tcMar>
            <w:vAlign w:val="bottom"/>
          </w:tcPr>
          <w:p>
            <w:pPr>
              <w:pStyle w:val="TableContents"/>
              <w:spacing w:lineRule="auto" w:line="300" w:before="0" w:after="0"/>
              <w:ind w:left="540" w:right="0" w:hanging="180"/>
              <w:jc w:val="left"/>
              <w:rPr>
                <w:rFonts w:ascii="Times New Roman" w:hAnsi="Times New Roman"/>
                <w:sz w:val="20"/>
              </w:rPr>
            </w:pPr>
            <w:r>
              <w:rPr>
                <w:rFonts w:ascii="Times New Roman" w:hAnsi="Times New Roman"/>
                <w:sz w:val="20"/>
              </w:rPr>
              <w:t>Gain on sale of Glendale Building</w:t>
            </w:r>
          </w:p>
        </w:tc>
        <w:tc>
          <w:tcPr>
            <w:tcW w:w="199" w:type="dxa"/>
            <w:tcBorders/>
            <w:shd w:fill="FFFFFF" w:val="clear"/>
            <w:tcMar>
              <w:bottom w:w="0" w:type="dxa"/>
            </w:tcMar>
            <w:vAlign w:val="center"/>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86"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205"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86"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(12,013</w:t>
            </w:r>
          </w:p>
        </w:tc>
        <w:tc>
          <w:tcPr>
            <w:tcW w:w="205"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25" w:type="dxa"/>
            <w:tcBorders/>
            <w:shd w:fill="FFFFFF" w:val="clear"/>
            <w:tcMar>
              <w:bottom w:w="0" w:type="dxa"/>
            </w:tcMar>
            <w:vAlign w:val="bottom"/>
          </w:tcPr>
          <w:p>
            <w:pPr>
              <w:pStyle w:val="TableContents"/>
              <w:spacing w:before="0" w:after="283"/>
              <w:jc w:val="left"/>
              <w:rPr/>
            </w:pPr>
            <w:r>
              <w:rPr/>
              <w:t> </w:t>
            </w:r>
          </w:p>
        </w:tc>
        <w:tc>
          <w:tcPr>
            <w:tcW w:w="1186"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122" w:type="dxa"/>
            <w:tcBorders/>
            <w:shd w:fill="FFFFFF" w:val="clear"/>
            <w:tcMar>
              <w:bottom w:w="0" w:type="dxa"/>
            </w:tcMar>
            <w:vAlign w:val="bottom"/>
          </w:tcPr>
          <w:p>
            <w:pPr>
              <w:pStyle w:val="TableContents"/>
              <w:spacing w:before="0" w:after="283"/>
              <w:jc w:val="left"/>
              <w:rPr/>
            </w:pPr>
            <w:r>
              <w:rPr/>
              <w:t> </w:t>
            </w:r>
          </w:p>
        </w:tc>
      </w:tr>
      <w:tr>
        <w:trPr/>
        <w:tc>
          <w:tcPr>
            <w:tcW w:w="5541" w:type="dxa"/>
            <w:tcBorders/>
            <w:shd w:fill="CCEEFF" w:val="clear"/>
            <w:tcMar>
              <w:bottom w:w="0" w:type="dxa"/>
            </w:tcMar>
            <w:vAlign w:val="bottom"/>
          </w:tcPr>
          <w:p>
            <w:pPr>
              <w:pStyle w:val="TableContents"/>
              <w:spacing w:lineRule="auto" w:line="300" w:before="0" w:after="0"/>
              <w:ind w:left="540" w:right="0" w:hanging="180"/>
              <w:jc w:val="left"/>
              <w:rPr>
                <w:rFonts w:ascii="Times New Roman" w:hAnsi="Times New Roman"/>
                <w:sz w:val="20"/>
              </w:rPr>
            </w:pPr>
            <w:r>
              <w:rPr>
                <w:rFonts w:ascii="Times New Roman" w:hAnsi="Times New Roman"/>
                <w:sz w:val="20"/>
              </w:rPr>
              <w:t>Gain on settlement of litigation</w:t>
            </w:r>
          </w:p>
        </w:tc>
        <w:tc>
          <w:tcPr>
            <w:tcW w:w="199" w:type="dxa"/>
            <w:tcBorders/>
            <w:shd w:fill="CCEEFF" w:val="clear"/>
            <w:tcMar>
              <w:bottom w:w="0" w:type="dxa"/>
            </w:tcMar>
            <w:vAlign w:val="center"/>
          </w:tcPr>
          <w:p>
            <w:pPr>
              <w:pStyle w:val="TableContents"/>
              <w:spacing w:before="0" w:after="283"/>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186"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205"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186"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205"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186"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(1,375</w:t>
            </w:r>
          </w:p>
        </w:tc>
        <w:tc>
          <w:tcPr>
            <w:tcW w:w="122"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r>
      <w:tr>
        <w:trPr/>
        <w:tc>
          <w:tcPr>
            <w:tcW w:w="5541" w:type="dxa"/>
            <w:tcBorders/>
            <w:shd w:fill="FFFFFF" w:val="clear"/>
            <w:tcMar>
              <w:bottom w:w="0" w:type="dxa"/>
            </w:tcMar>
            <w:vAlign w:val="bottom"/>
          </w:tcPr>
          <w:p>
            <w:pPr>
              <w:pStyle w:val="TableContents"/>
              <w:spacing w:lineRule="auto" w:line="300" w:before="0" w:after="0"/>
              <w:ind w:left="540" w:right="0" w:hanging="180"/>
              <w:jc w:val="left"/>
              <w:rPr>
                <w:rFonts w:ascii="Times New Roman" w:hAnsi="Times New Roman"/>
                <w:sz w:val="20"/>
              </w:rPr>
            </w:pPr>
            <w:r>
              <w:rPr>
                <w:rFonts w:ascii="Times New Roman" w:hAnsi="Times New Roman"/>
                <w:sz w:val="20"/>
              </w:rPr>
              <w:t>Loss on extinguishment of debt</w:t>
            </w:r>
          </w:p>
        </w:tc>
        <w:tc>
          <w:tcPr>
            <w:tcW w:w="199" w:type="dxa"/>
            <w:tcBorders/>
            <w:shd w:fill="FFFFFF" w:val="clear"/>
            <w:tcMar>
              <w:bottom w:w="0" w:type="dxa"/>
            </w:tcMar>
            <w:vAlign w:val="center"/>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86"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167</w:t>
            </w:r>
          </w:p>
        </w:tc>
        <w:tc>
          <w:tcPr>
            <w:tcW w:w="205"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86"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205"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86"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122" w:type="dxa"/>
            <w:tcBorders/>
            <w:shd w:fill="FFFFFF" w:val="clear"/>
            <w:tcMar>
              <w:bottom w:w="0" w:type="dxa"/>
            </w:tcMar>
            <w:vAlign w:val="bottom"/>
          </w:tcPr>
          <w:p>
            <w:pPr>
              <w:pStyle w:val="TableContents"/>
              <w:spacing w:before="0" w:after="283"/>
              <w:jc w:val="left"/>
              <w:rPr/>
            </w:pPr>
            <w:r>
              <w:rPr/>
              <w:t> </w:t>
            </w:r>
          </w:p>
        </w:tc>
      </w:tr>
      <w:tr>
        <w:trPr/>
        <w:tc>
          <w:tcPr>
            <w:tcW w:w="5541" w:type="dxa"/>
            <w:tcBorders/>
            <w:shd w:fill="CCEEFF" w:val="clear"/>
            <w:tcMar>
              <w:bottom w:w="0" w:type="dxa"/>
            </w:tcMar>
            <w:vAlign w:val="bottom"/>
          </w:tcPr>
          <w:p>
            <w:pPr>
              <w:pStyle w:val="TableContents"/>
              <w:spacing w:lineRule="auto" w:line="300" w:before="0" w:after="0"/>
              <w:ind w:left="540" w:right="0" w:hanging="180"/>
              <w:jc w:val="left"/>
              <w:rPr>
                <w:rFonts w:ascii="Times New Roman" w:hAnsi="Times New Roman"/>
                <w:sz w:val="20"/>
              </w:rPr>
            </w:pPr>
            <w:r>
              <w:rPr>
                <w:rFonts w:ascii="Times New Roman" w:hAnsi="Times New Roman"/>
                <w:sz w:val="20"/>
              </w:rPr>
              <w:t>Loss on sale of assets, net</w:t>
            </w:r>
          </w:p>
        </w:tc>
        <w:tc>
          <w:tcPr>
            <w:tcW w:w="199" w:type="dxa"/>
            <w:tcBorders/>
            <w:shd w:fill="CCEEFF" w:val="clear"/>
            <w:tcMar>
              <w:bottom w:w="0" w:type="dxa"/>
            </w:tcMar>
            <w:vAlign w:val="center"/>
          </w:tcPr>
          <w:p>
            <w:pPr>
              <w:pStyle w:val="TableContents"/>
              <w:spacing w:before="0" w:after="283"/>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186"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45</w:t>
            </w:r>
          </w:p>
        </w:tc>
        <w:tc>
          <w:tcPr>
            <w:tcW w:w="205"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186"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32</w:t>
            </w:r>
          </w:p>
        </w:tc>
        <w:tc>
          <w:tcPr>
            <w:tcW w:w="205"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186"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114</w:t>
            </w:r>
          </w:p>
        </w:tc>
        <w:tc>
          <w:tcPr>
            <w:tcW w:w="122" w:type="dxa"/>
            <w:tcBorders/>
            <w:shd w:fill="CCEEFF" w:val="clear"/>
            <w:tcMar>
              <w:bottom w:w="0" w:type="dxa"/>
            </w:tcMar>
            <w:vAlign w:val="bottom"/>
          </w:tcPr>
          <w:p>
            <w:pPr>
              <w:pStyle w:val="TableContents"/>
              <w:spacing w:before="0" w:after="283"/>
              <w:jc w:val="left"/>
              <w:rPr/>
            </w:pPr>
            <w:r>
              <w:rPr/>
              <w:t> </w:t>
            </w:r>
          </w:p>
        </w:tc>
      </w:tr>
      <w:tr>
        <w:trPr/>
        <w:tc>
          <w:tcPr>
            <w:tcW w:w="5541" w:type="dxa"/>
            <w:tcBorders/>
            <w:shd w:fill="FFFFFF" w:val="clear"/>
            <w:tcMar>
              <w:bottom w:w="0" w:type="dxa"/>
            </w:tcMar>
            <w:vAlign w:val="bottom"/>
          </w:tcPr>
          <w:p>
            <w:pPr>
              <w:pStyle w:val="TableContents"/>
              <w:spacing w:lineRule="auto" w:line="300" w:before="0" w:after="0"/>
              <w:ind w:left="540" w:right="0" w:hanging="180"/>
              <w:jc w:val="left"/>
              <w:rPr>
                <w:rFonts w:ascii="Times New Roman" w:hAnsi="Times New Roman"/>
                <w:sz w:val="20"/>
              </w:rPr>
            </w:pPr>
            <w:r>
              <w:rPr>
                <w:rFonts w:ascii="Times New Roman" w:hAnsi="Times New Roman"/>
                <w:sz w:val="20"/>
              </w:rPr>
              <w:t>Depreciation and amortization</w:t>
            </w:r>
          </w:p>
        </w:tc>
        <w:tc>
          <w:tcPr>
            <w:tcW w:w="199" w:type="dxa"/>
            <w:tcBorders/>
            <w:shd w:fill="FFFFFF" w:val="clear"/>
            <w:tcMar>
              <w:bottom w:w="0" w:type="dxa"/>
            </w:tcMar>
            <w:vAlign w:val="center"/>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86"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13,212</w:t>
            </w:r>
          </w:p>
        </w:tc>
        <w:tc>
          <w:tcPr>
            <w:tcW w:w="205"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86"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12,384</w:t>
            </w:r>
          </w:p>
        </w:tc>
        <w:tc>
          <w:tcPr>
            <w:tcW w:w="205"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86"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12,899</w:t>
            </w:r>
          </w:p>
        </w:tc>
        <w:tc>
          <w:tcPr>
            <w:tcW w:w="122" w:type="dxa"/>
            <w:tcBorders/>
            <w:shd w:fill="FFFFFF" w:val="clear"/>
            <w:tcMar>
              <w:bottom w:w="0" w:type="dxa"/>
            </w:tcMar>
            <w:vAlign w:val="bottom"/>
          </w:tcPr>
          <w:p>
            <w:pPr>
              <w:pStyle w:val="TableContents"/>
              <w:spacing w:before="0" w:after="283"/>
              <w:jc w:val="left"/>
              <w:rPr/>
            </w:pPr>
            <w:r>
              <w:rPr/>
              <w:t> </w:t>
            </w:r>
          </w:p>
        </w:tc>
      </w:tr>
      <w:tr>
        <w:trPr/>
        <w:tc>
          <w:tcPr>
            <w:tcW w:w="5541" w:type="dxa"/>
            <w:tcBorders/>
            <w:shd w:fill="CCEEFF" w:val="clear"/>
            <w:tcMar>
              <w:bottom w:w="0" w:type="dxa"/>
            </w:tcMar>
            <w:vAlign w:val="bottom"/>
          </w:tcPr>
          <w:p>
            <w:pPr>
              <w:pStyle w:val="TableContents"/>
              <w:spacing w:lineRule="auto" w:line="300" w:before="0" w:after="0"/>
              <w:ind w:left="540" w:right="0" w:hanging="180"/>
              <w:jc w:val="left"/>
              <w:rPr>
                <w:rFonts w:ascii="Times New Roman" w:hAnsi="Times New Roman"/>
                <w:sz w:val="20"/>
              </w:rPr>
            </w:pPr>
            <w:r>
              <w:rPr>
                <w:rFonts w:ascii="Times New Roman" w:hAnsi="Times New Roman"/>
                <w:sz w:val="20"/>
              </w:rPr>
              <w:t>Stock based compensation expense</w:t>
            </w:r>
          </w:p>
        </w:tc>
        <w:tc>
          <w:tcPr>
            <w:tcW w:w="199" w:type="dxa"/>
            <w:tcBorders/>
            <w:shd w:fill="CCEEFF" w:val="clear"/>
            <w:tcMar>
              <w:bottom w:w="0" w:type="dxa"/>
            </w:tcMar>
            <w:vAlign w:val="center"/>
          </w:tcPr>
          <w:p>
            <w:pPr>
              <w:pStyle w:val="TableContents"/>
              <w:spacing w:before="0" w:after="283"/>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186"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284</w:t>
            </w:r>
          </w:p>
        </w:tc>
        <w:tc>
          <w:tcPr>
            <w:tcW w:w="205"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186"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205"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186"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122" w:type="dxa"/>
            <w:tcBorders/>
            <w:shd w:fill="CCEEFF" w:val="clear"/>
            <w:tcMar>
              <w:bottom w:w="0" w:type="dxa"/>
            </w:tcMar>
            <w:vAlign w:val="bottom"/>
          </w:tcPr>
          <w:p>
            <w:pPr>
              <w:pStyle w:val="TableContents"/>
              <w:spacing w:before="0" w:after="283"/>
              <w:jc w:val="left"/>
              <w:rPr/>
            </w:pPr>
            <w:r>
              <w:rPr/>
              <w:t> </w:t>
            </w:r>
          </w:p>
        </w:tc>
      </w:tr>
      <w:tr>
        <w:trPr/>
        <w:tc>
          <w:tcPr>
            <w:tcW w:w="5541" w:type="dxa"/>
            <w:tcBorders/>
            <w:shd w:fill="FFFFFF" w:val="clear"/>
            <w:tcMar>
              <w:bottom w:w="0" w:type="dxa"/>
            </w:tcMar>
            <w:vAlign w:val="bottom"/>
          </w:tcPr>
          <w:p>
            <w:pPr>
              <w:pStyle w:val="TableContents"/>
              <w:spacing w:lineRule="auto" w:line="300" w:before="0" w:after="0"/>
              <w:ind w:left="540" w:right="0" w:hanging="180"/>
              <w:jc w:val="left"/>
              <w:rPr>
                <w:rFonts w:ascii="Times New Roman" w:hAnsi="Times New Roman"/>
                <w:sz w:val="20"/>
              </w:rPr>
            </w:pPr>
            <w:r>
              <w:rPr>
                <w:rFonts w:ascii="Times New Roman" w:hAnsi="Times New Roman"/>
                <w:sz w:val="20"/>
              </w:rPr>
              <w:t>Minority interest</w:t>
            </w:r>
          </w:p>
        </w:tc>
        <w:tc>
          <w:tcPr>
            <w:tcW w:w="199" w:type="dxa"/>
            <w:tcBorders/>
            <w:shd w:fill="FFFFFF" w:val="clear"/>
            <w:tcMar>
              <w:bottom w:w="0" w:type="dxa"/>
            </w:tcMar>
            <w:vAlign w:val="center"/>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86"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672</w:t>
            </w:r>
          </w:p>
        </w:tc>
        <w:tc>
          <w:tcPr>
            <w:tcW w:w="205"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86"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579</w:t>
            </w:r>
          </w:p>
        </w:tc>
        <w:tc>
          <w:tcPr>
            <w:tcW w:w="205"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86"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112</w:t>
            </w:r>
          </w:p>
        </w:tc>
        <w:tc>
          <w:tcPr>
            <w:tcW w:w="122" w:type="dxa"/>
            <w:tcBorders/>
            <w:shd w:fill="FFFFFF" w:val="clear"/>
            <w:tcMar>
              <w:bottom w:w="0" w:type="dxa"/>
            </w:tcMar>
            <w:vAlign w:val="bottom"/>
          </w:tcPr>
          <w:p>
            <w:pPr>
              <w:pStyle w:val="TableContents"/>
              <w:spacing w:before="0" w:after="283"/>
              <w:jc w:val="left"/>
              <w:rPr/>
            </w:pPr>
            <w:r>
              <w:rPr/>
              <w:t> </w:t>
            </w:r>
          </w:p>
        </w:tc>
      </w:tr>
      <w:tr>
        <w:trPr/>
        <w:tc>
          <w:tcPr>
            <w:tcW w:w="5541" w:type="dxa"/>
            <w:tcBorders/>
            <w:shd w:fill="CCEEFF" w:val="clear"/>
            <w:tcMar>
              <w:bottom w:w="0" w:type="dxa"/>
            </w:tcMar>
            <w:vAlign w:val="bottom"/>
          </w:tcPr>
          <w:p>
            <w:pPr>
              <w:pStyle w:val="TableContents"/>
              <w:spacing w:lineRule="auto" w:line="300" w:before="0" w:after="0"/>
              <w:ind w:left="540" w:right="0" w:hanging="180"/>
              <w:jc w:val="left"/>
              <w:rPr/>
            </w:pPr>
            <w:r>
              <w:rPr>
                <w:rStyle w:val="Emphasis"/>
                <w:rFonts w:ascii="Times New Roman" w:hAnsi="Times New Roman"/>
                <w:sz w:val="20"/>
              </w:rPr>
              <w:t>Changes in assets and liabilities:</w:t>
            </w:r>
          </w:p>
        </w:tc>
        <w:tc>
          <w:tcPr>
            <w:tcW w:w="199" w:type="dxa"/>
            <w:tcBorders/>
            <w:shd w:fill="CCEEFF" w:val="clear"/>
            <w:tcMar>
              <w:bottom w:w="0" w:type="dxa"/>
            </w:tcMar>
            <w:vAlign w:val="center"/>
          </w:tcPr>
          <w:p>
            <w:pPr>
              <w:pStyle w:val="TableContents"/>
              <w:spacing w:before="0" w:after="283"/>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186" w:type="dxa"/>
            <w:tcBorders/>
            <w:shd w:fill="CCEEFF" w:val="clear"/>
            <w:tcMar>
              <w:bottom w:w="0" w:type="dxa"/>
            </w:tcMar>
            <w:vAlign w:val="bottom"/>
          </w:tcPr>
          <w:p>
            <w:pPr>
              <w:pStyle w:val="TableContents"/>
              <w:spacing w:before="0" w:after="283"/>
              <w:jc w:val="right"/>
              <w:rPr/>
            </w:pPr>
            <w:r>
              <w:rPr/>
              <w:t> </w:t>
            </w:r>
          </w:p>
        </w:tc>
        <w:tc>
          <w:tcPr>
            <w:tcW w:w="205"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186" w:type="dxa"/>
            <w:tcBorders/>
            <w:shd w:fill="CCEEFF" w:val="clear"/>
            <w:tcMar>
              <w:bottom w:w="0" w:type="dxa"/>
            </w:tcMar>
            <w:vAlign w:val="bottom"/>
          </w:tcPr>
          <w:p>
            <w:pPr>
              <w:pStyle w:val="TableContents"/>
              <w:spacing w:before="0" w:after="283"/>
              <w:jc w:val="right"/>
              <w:rPr/>
            </w:pPr>
            <w:r>
              <w:rPr/>
              <w:t> </w:t>
            </w:r>
          </w:p>
        </w:tc>
        <w:tc>
          <w:tcPr>
            <w:tcW w:w="205"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186" w:type="dxa"/>
            <w:tcBorders/>
            <w:shd w:fill="CCEEFF" w:val="clear"/>
            <w:tcMar>
              <w:bottom w:w="0" w:type="dxa"/>
            </w:tcMar>
            <w:vAlign w:val="bottom"/>
          </w:tcPr>
          <w:p>
            <w:pPr>
              <w:pStyle w:val="TableContents"/>
              <w:spacing w:before="0" w:after="283"/>
              <w:jc w:val="right"/>
              <w:rPr/>
            </w:pPr>
            <w:r>
              <w:rPr/>
              <w:t> </w:t>
            </w:r>
          </w:p>
        </w:tc>
        <w:tc>
          <w:tcPr>
            <w:tcW w:w="122" w:type="dxa"/>
            <w:tcBorders/>
            <w:shd w:fill="CCEEFF" w:val="clear"/>
            <w:tcMar>
              <w:bottom w:w="0" w:type="dxa"/>
            </w:tcMar>
            <w:vAlign w:val="bottom"/>
          </w:tcPr>
          <w:p>
            <w:pPr>
              <w:pStyle w:val="TableContents"/>
              <w:spacing w:before="0" w:after="283"/>
              <w:jc w:val="left"/>
              <w:rPr/>
            </w:pPr>
            <w:r>
              <w:rPr/>
              <w:t> </w:t>
            </w:r>
          </w:p>
        </w:tc>
      </w:tr>
      <w:tr>
        <w:trPr/>
        <w:tc>
          <w:tcPr>
            <w:tcW w:w="5541" w:type="dxa"/>
            <w:tcBorders/>
            <w:shd w:fill="FFFFFF" w:val="clear"/>
            <w:tcMar>
              <w:bottom w:w="0" w:type="dxa"/>
            </w:tcMar>
            <w:vAlign w:val="bottom"/>
          </w:tcPr>
          <w:p>
            <w:pPr>
              <w:pStyle w:val="TableContents"/>
              <w:spacing w:lineRule="auto" w:line="300" w:before="0" w:after="0"/>
              <w:ind w:left="720" w:right="0" w:hanging="180"/>
              <w:jc w:val="left"/>
              <w:rPr>
                <w:rFonts w:ascii="Times New Roman" w:hAnsi="Times New Roman"/>
                <w:sz w:val="20"/>
              </w:rPr>
            </w:pPr>
            <w:bookmarkStart w:id="2658" w:name="TAB11183"/>
            <w:bookmarkEnd w:id="2658"/>
            <w:r>
              <w:rPr>
                <w:rFonts w:ascii="Times New Roman" w:hAnsi="Times New Roman"/>
                <w:sz w:val="20"/>
              </w:rPr>
              <w:t>(Increase) decrease in receivables</w:t>
            </w:r>
          </w:p>
        </w:tc>
        <w:tc>
          <w:tcPr>
            <w:tcW w:w="199" w:type="dxa"/>
            <w:tcBorders/>
            <w:shd w:fill="FFFFFF" w:val="clear"/>
            <w:tcMar>
              <w:bottom w:w="0" w:type="dxa"/>
            </w:tcMar>
            <w:vAlign w:val="center"/>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86"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(556</w:t>
            </w:r>
          </w:p>
        </w:tc>
        <w:tc>
          <w:tcPr>
            <w:tcW w:w="205"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25" w:type="dxa"/>
            <w:tcBorders/>
            <w:shd w:fill="FFFFFF" w:val="clear"/>
            <w:tcMar>
              <w:bottom w:w="0" w:type="dxa"/>
            </w:tcMar>
            <w:vAlign w:val="bottom"/>
          </w:tcPr>
          <w:p>
            <w:pPr>
              <w:pStyle w:val="TableContents"/>
              <w:spacing w:before="0" w:after="283"/>
              <w:jc w:val="left"/>
              <w:rPr/>
            </w:pPr>
            <w:r>
              <w:rPr/>
              <w:t> </w:t>
            </w:r>
          </w:p>
        </w:tc>
        <w:tc>
          <w:tcPr>
            <w:tcW w:w="1186"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1,559</w:t>
            </w:r>
          </w:p>
        </w:tc>
        <w:tc>
          <w:tcPr>
            <w:tcW w:w="205"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86"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(889</w:t>
            </w:r>
          </w:p>
        </w:tc>
        <w:tc>
          <w:tcPr>
            <w:tcW w:w="122"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r>
      <w:tr>
        <w:trPr/>
        <w:tc>
          <w:tcPr>
            <w:tcW w:w="5541" w:type="dxa"/>
            <w:tcBorders/>
            <w:shd w:fill="CCEEFF" w:val="clear"/>
            <w:tcMar>
              <w:bottom w:w="0" w:type="dxa"/>
            </w:tcMar>
            <w:vAlign w:val="bottom"/>
          </w:tcPr>
          <w:p>
            <w:pPr>
              <w:pStyle w:val="TableContents"/>
              <w:spacing w:lineRule="auto" w:line="300" w:before="0" w:after="0"/>
              <w:ind w:left="720" w:right="0" w:hanging="180"/>
              <w:jc w:val="left"/>
              <w:rPr>
                <w:rFonts w:ascii="Times New Roman" w:hAnsi="Times New Roman"/>
                <w:sz w:val="20"/>
              </w:rPr>
            </w:pPr>
            <w:bookmarkStart w:id="2659" w:name="TAB11184"/>
            <w:bookmarkEnd w:id="2659"/>
            <w:r>
              <w:rPr>
                <w:rFonts w:ascii="Times New Roman" w:hAnsi="Times New Roman"/>
                <w:sz w:val="20"/>
              </w:rPr>
              <w:t>(Increase) decrease in prepaid and other assets</w:t>
            </w:r>
          </w:p>
        </w:tc>
        <w:tc>
          <w:tcPr>
            <w:tcW w:w="199" w:type="dxa"/>
            <w:tcBorders/>
            <w:shd w:fill="CCEEFF" w:val="clear"/>
            <w:tcMar>
              <w:bottom w:w="0" w:type="dxa"/>
            </w:tcMar>
            <w:vAlign w:val="center"/>
          </w:tcPr>
          <w:p>
            <w:pPr>
              <w:pStyle w:val="TableContents"/>
              <w:spacing w:before="0" w:after="283"/>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186"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(1,914</w:t>
            </w:r>
          </w:p>
        </w:tc>
        <w:tc>
          <w:tcPr>
            <w:tcW w:w="205"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25" w:type="dxa"/>
            <w:tcBorders/>
            <w:shd w:fill="CCEEFF" w:val="clear"/>
            <w:tcMar>
              <w:bottom w:w="0" w:type="dxa"/>
            </w:tcMar>
            <w:vAlign w:val="bottom"/>
          </w:tcPr>
          <w:p>
            <w:pPr>
              <w:pStyle w:val="TableContents"/>
              <w:spacing w:before="0" w:after="283"/>
              <w:jc w:val="left"/>
              <w:rPr/>
            </w:pPr>
            <w:r>
              <w:rPr/>
              <w:t> </w:t>
            </w:r>
          </w:p>
        </w:tc>
        <w:tc>
          <w:tcPr>
            <w:tcW w:w="1186"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797</w:t>
            </w:r>
          </w:p>
        </w:tc>
        <w:tc>
          <w:tcPr>
            <w:tcW w:w="205"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186"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(619</w:t>
            </w:r>
          </w:p>
        </w:tc>
        <w:tc>
          <w:tcPr>
            <w:tcW w:w="122"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r>
      <w:tr>
        <w:trPr/>
        <w:tc>
          <w:tcPr>
            <w:tcW w:w="5541" w:type="dxa"/>
            <w:tcBorders/>
            <w:shd w:fill="FFFFFF" w:val="clear"/>
            <w:tcMar>
              <w:bottom w:w="0" w:type="dxa"/>
            </w:tcMar>
            <w:vAlign w:val="bottom"/>
          </w:tcPr>
          <w:p>
            <w:pPr>
              <w:pStyle w:val="TableContents"/>
              <w:spacing w:lineRule="auto" w:line="300" w:before="0" w:after="0"/>
              <w:ind w:left="720" w:right="0" w:hanging="180"/>
              <w:jc w:val="left"/>
              <w:rPr>
                <w:rFonts w:ascii="Times New Roman" w:hAnsi="Times New Roman"/>
                <w:sz w:val="20"/>
              </w:rPr>
            </w:pPr>
            <w:bookmarkStart w:id="2660" w:name="TAB11185"/>
            <w:bookmarkEnd w:id="2660"/>
            <w:r>
              <w:rPr>
                <w:rFonts w:ascii="Times New Roman" w:hAnsi="Times New Roman"/>
                <w:sz w:val="20"/>
              </w:rPr>
              <w:t>Increase in payable and accrued liabilities</w:t>
            </w:r>
          </w:p>
        </w:tc>
        <w:tc>
          <w:tcPr>
            <w:tcW w:w="199" w:type="dxa"/>
            <w:tcBorders/>
            <w:shd w:fill="FFFFFF" w:val="clear"/>
            <w:tcMar>
              <w:bottom w:w="0" w:type="dxa"/>
            </w:tcMar>
            <w:vAlign w:val="center"/>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86"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1,108</w:t>
            </w:r>
          </w:p>
        </w:tc>
        <w:tc>
          <w:tcPr>
            <w:tcW w:w="205"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86"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748</w:t>
            </w:r>
          </w:p>
        </w:tc>
        <w:tc>
          <w:tcPr>
            <w:tcW w:w="205"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86"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448</w:t>
            </w:r>
          </w:p>
        </w:tc>
        <w:tc>
          <w:tcPr>
            <w:tcW w:w="122" w:type="dxa"/>
            <w:tcBorders/>
            <w:shd w:fill="FFFFFF" w:val="clear"/>
            <w:tcMar>
              <w:bottom w:w="0" w:type="dxa"/>
            </w:tcMar>
            <w:vAlign w:val="bottom"/>
          </w:tcPr>
          <w:p>
            <w:pPr>
              <w:pStyle w:val="TableContents"/>
              <w:spacing w:before="0" w:after="283"/>
              <w:jc w:val="left"/>
              <w:rPr/>
            </w:pPr>
            <w:r>
              <w:rPr/>
              <w:t> </w:t>
            </w:r>
          </w:p>
        </w:tc>
      </w:tr>
      <w:tr>
        <w:trPr/>
        <w:tc>
          <w:tcPr>
            <w:tcW w:w="5541" w:type="dxa"/>
            <w:tcBorders/>
            <w:shd w:fill="CCEEFF" w:val="clear"/>
            <w:tcMar>
              <w:bottom w:w="0" w:type="dxa"/>
            </w:tcMar>
            <w:vAlign w:val="bottom"/>
          </w:tcPr>
          <w:p>
            <w:pPr>
              <w:pStyle w:val="TableContents"/>
              <w:spacing w:lineRule="auto" w:line="300" w:before="0" w:after="0"/>
              <w:ind w:left="720" w:right="0" w:hanging="180"/>
              <w:jc w:val="left"/>
              <w:rPr>
                <w:rFonts w:ascii="Times New Roman" w:hAnsi="Times New Roman"/>
                <w:sz w:val="20"/>
              </w:rPr>
            </w:pPr>
            <w:bookmarkStart w:id="2661" w:name="TAB11186"/>
            <w:bookmarkEnd w:id="2661"/>
            <w:r>
              <w:rPr>
                <w:rFonts w:ascii="Times New Roman" w:hAnsi="Times New Roman"/>
                <w:sz w:val="20"/>
              </w:rPr>
              <w:t>Increase (decrease) in film rent payable</w:t>
            </w:r>
          </w:p>
        </w:tc>
        <w:tc>
          <w:tcPr>
            <w:tcW w:w="199" w:type="dxa"/>
            <w:tcBorders/>
            <w:shd w:fill="CCEEFF" w:val="clear"/>
            <w:tcMar>
              <w:bottom w:w="0" w:type="dxa"/>
            </w:tcMar>
            <w:vAlign w:val="center"/>
          </w:tcPr>
          <w:p>
            <w:pPr>
              <w:pStyle w:val="TableContents"/>
              <w:spacing w:before="0" w:after="283"/>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186"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(103</w:t>
            </w:r>
          </w:p>
        </w:tc>
        <w:tc>
          <w:tcPr>
            <w:tcW w:w="205"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25" w:type="dxa"/>
            <w:tcBorders/>
            <w:shd w:fill="CCEEFF" w:val="clear"/>
            <w:tcMar>
              <w:bottom w:w="0" w:type="dxa"/>
            </w:tcMar>
            <w:vAlign w:val="bottom"/>
          </w:tcPr>
          <w:p>
            <w:pPr>
              <w:pStyle w:val="TableContents"/>
              <w:spacing w:before="0" w:after="283"/>
              <w:jc w:val="left"/>
              <w:rPr/>
            </w:pPr>
            <w:r>
              <w:rPr/>
              <w:t> </w:t>
            </w:r>
          </w:p>
        </w:tc>
        <w:tc>
          <w:tcPr>
            <w:tcW w:w="1186"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549</w:t>
            </w:r>
          </w:p>
        </w:tc>
        <w:tc>
          <w:tcPr>
            <w:tcW w:w="205"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186"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(402</w:t>
            </w:r>
          </w:p>
        </w:tc>
        <w:tc>
          <w:tcPr>
            <w:tcW w:w="122"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r>
      <w:tr>
        <w:trPr/>
        <w:tc>
          <w:tcPr>
            <w:tcW w:w="5541" w:type="dxa"/>
            <w:tcBorders>
              <w:bottom w:val="single" w:sz="2" w:space="0" w:color="000000"/>
            </w:tcBorders>
            <w:shd w:fill="FFFFFF" w:val="clear"/>
            <w:vAlign w:val="bottom"/>
          </w:tcPr>
          <w:p>
            <w:pPr>
              <w:pStyle w:val="TableContents"/>
              <w:spacing w:lineRule="auto" w:line="300" w:before="0" w:after="0"/>
              <w:ind w:left="720" w:right="0" w:hanging="180"/>
              <w:jc w:val="left"/>
              <w:rPr>
                <w:rFonts w:ascii="Times New Roman" w:hAnsi="Times New Roman"/>
                <w:sz w:val="20"/>
              </w:rPr>
            </w:pPr>
            <w:bookmarkStart w:id="2662" w:name="TAB11187"/>
            <w:bookmarkEnd w:id="2662"/>
            <w:r>
              <w:rPr>
                <w:rFonts w:ascii="Times New Roman" w:hAnsi="Times New Roman"/>
                <w:sz w:val="20"/>
              </w:rPr>
              <w:t>Increase (decrease) in deferred revenues and other liabilities</w:t>
            </w:r>
          </w:p>
        </w:tc>
        <w:tc>
          <w:tcPr>
            <w:tcW w:w="199" w:type="dxa"/>
            <w:tcBorders>
              <w:bottom w:val="single" w:sz="4" w:space="0" w:color="FFFFFF"/>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vAlign w:val="bottom"/>
          </w:tcPr>
          <w:p>
            <w:pPr>
              <w:pStyle w:val="TableContents"/>
              <w:spacing w:before="0" w:after="283"/>
              <w:jc w:val="left"/>
              <w:rPr/>
            </w:pPr>
            <w:r>
              <w:rPr/>
              <w:t> </w:t>
            </w:r>
          </w:p>
        </w:tc>
        <w:tc>
          <w:tcPr>
            <w:tcW w:w="1186"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1,442</w:t>
            </w:r>
          </w:p>
        </w:tc>
        <w:tc>
          <w:tcPr>
            <w:tcW w:w="205" w:type="dxa"/>
            <w:tcBorders>
              <w:bottom w:val="single" w:sz="4" w:space="0" w:color="FFFFFF"/>
            </w:tcBorders>
            <w:shd w:fill="FFFFFF" w:val="clear"/>
            <w:vAlign w:val="bottom"/>
          </w:tcPr>
          <w:p>
            <w:pPr>
              <w:pStyle w:val="TableContents"/>
              <w:spacing w:before="0" w:after="283"/>
              <w:jc w:val="left"/>
              <w:rPr/>
            </w:pPr>
            <w:r>
              <w:rPr/>
              <w:t> </w:t>
            </w:r>
          </w:p>
        </w:tc>
        <w:tc>
          <w:tcPr>
            <w:tcW w:w="125" w:type="dxa"/>
            <w:tcBorders>
              <w:bottom w:val="single" w:sz="2" w:space="0" w:color="000000"/>
            </w:tcBorders>
            <w:shd w:fill="FFFFFF" w:val="clear"/>
            <w:vAlign w:val="bottom"/>
          </w:tcPr>
          <w:p>
            <w:pPr>
              <w:pStyle w:val="TableContents"/>
              <w:spacing w:before="0" w:after="283"/>
              <w:jc w:val="left"/>
              <w:rPr/>
            </w:pPr>
            <w:r>
              <w:rPr/>
              <w:t> </w:t>
            </w:r>
          </w:p>
        </w:tc>
        <w:tc>
          <w:tcPr>
            <w:tcW w:w="1186"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(506</w:t>
            </w:r>
          </w:p>
        </w:tc>
        <w:tc>
          <w:tcPr>
            <w:tcW w:w="205" w:type="dxa"/>
            <w:tcBorders>
              <w:bottom w:val="single" w:sz="4" w:space="0" w:color="FFFFFF"/>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25" w:type="dxa"/>
            <w:tcBorders>
              <w:bottom w:val="single" w:sz="2" w:space="0" w:color="000000"/>
            </w:tcBorders>
            <w:shd w:fill="FFFFFF" w:val="clear"/>
            <w:vAlign w:val="bottom"/>
          </w:tcPr>
          <w:p>
            <w:pPr>
              <w:pStyle w:val="TableContents"/>
              <w:spacing w:before="0" w:after="283"/>
              <w:jc w:val="left"/>
              <w:rPr/>
            </w:pPr>
            <w:r>
              <w:rPr/>
              <w:t> </w:t>
            </w:r>
          </w:p>
        </w:tc>
        <w:tc>
          <w:tcPr>
            <w:tcW w:w="1186"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778</w:t>
            </w:r>
          </w:p>
        </w:tc>
        <w:tc>
          <w:tcPr>
            <w:tcW w:w="122" w:type="dxa"/>
            <w:tcBorders>
              <w:bottom w:val="single" w:sz="4" w:space="0" w:color="FFFFFF"/>
            </w:tcBorders>
            <w:shd w:fill="FFFFFF" w:val="clear"/>
            <w:vAlign w:val="bottom"/>
          </w:tcPr>
          <w:p>
            <w:pPr>
              <w:pStyle w:val="TableContents"/>
              <w:spacing w:before="0" w:after="283"/>
              <w:jc w:val="left"/>
              <w:rPr/>
            </w:pPr>
            <w:r>
              <w:rPr/>
              <w:t> </w:t>
            </w:r>
          </w:p>
        </w:tc>
      </w:tr>
      <w:tr>
        <w:trPr/>
        <w:tc>
          <w:tcPr>
            <w:tcW w:w="5541" w:type="dxa"/>
            <w:tcBorders>
              <w:bottom w:val="single" w:sz="2" w:space="0" w:color="000000"/>
            </w:tcBorders>
            <w:shd w:fill="CCEEFF" w:val="clear"/>
            <w:vAlign w:val="bottom"/>
          </w:tcPr>
          <w:p>
            <w:pPr>
              <w:pStyle w:val="TableContents"/>
              <w:spacing w:lineRule="auto" w:line="300" w:before="0" w:after="0"/>
              <w:ind w:left="180" w:right="0" w:hanging="180"/>
              <w:jc w:val="left"/>
              <w:rPr>
                <w:rFonts w:ascii="Times New Roman" w:hAnsi="Times New Roman"/>
                <w:sz w:val="20"/>
              </w:rPr>
            </w:pPr>
            <w:r>
              <w:rPr>
                <w:rFonts w:ascii="Times New Roman" w:hAnsi="Times New Roman"/>
                <w:sz w:val="20"/>
              </w:rPr>
              <w:t>Net cash provided by operating activities</w:t>
            </w:r>
          </w:p>
        </w:tc>
        <w:tc>
          <w:tcPr>
            <w:tcW w:w="199" w:type="dxa"/>
            <w:tcBorders>
              <w:bottom w:val="single" w:sz="2" w:space="0" w:color="CCEEFF"/>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vAlign w:val="bottom"/>
          </w:tcPr>
          <w:p>
            <w:pPr>
              <w:pStyle w:val="TableContents"/>
              <w:spacing w:before="0" w:after="283"/>
              <w:jc w:val="left"/>
              <w:rPr/>
            </w:pPr>
            <w:r>
              <w:rPr/>
              <w:t> </w:t>
            </w:r>
          </w:p>
        </w:tc>
        <w:tc>
          <w:tcPr>
            <w:tcW w:w="1186"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11,909</w:t>
            </w:r>
          </w:p>
        </w:tc>
        <w:tc>
          <w:tcPr>
            <w:tcW w:w="205" w:type="dxa"/>
            <w:tcBorders>
              <w:bottom w:val="single" w:sz="2" w:space="0" w:color="CCEEFF"/>
            </w:tcBorders>
            <w:shd w:fill="CCEEFF" w:val="clear"/>
            <w:vAlign w:val="bottom"/>
          </w:tcPr>
          <w:p>
            <w:pPr>
              <w:pStyle w:val="TableContents"/>
              <w:spacing w:before="0" w:after="283"/>
              <w:jc w:val="left"/>
              <w:rPr/>
            </w:pPr>
            <w:r>
              <w:rPr/>
              <w:t> </w:t>
            </w:r>
          </w:p>
        </w:tc>
        <w:tc>
          <w:tcPr>
            <w:tcW w:w="125" w:type="dxa"/>
            <w:tcBorders>
              <w:bottom w:val="single" w:sz="2" w:space="0" w:color="000000"/>
            </w:tcBorders>
            <w:shd w:fill="CCEEFF" w:val="clear"/>
            <w:vAlign w:val="bottom"/>
          </w:tcPr>
          <w:p>
            <w:pPr>
              <w:pStyle w:val="TableContents"/>
              <w:spacing w:before="0" w:after="283"/>
              <w:jc w:val="left"/>
              <w:rPr/>
            </w:pPr>
            <w:r>
              <w:rPr/>
              <w:t> </w:t>
            </w:r>
          </w:p>
        </w:tc>
        <w:tc>
          <w:tcPr>
            <w:tcW w:w="1186"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2,587</w:t>
            </w:r>
          </w:p>
        </w:tc>
        <w:tc>
          <w:tcPr>
            <w:tcW w:w="205" w:type="dxa"/>
            <w:tcBorders>
              <w:bottom w:val="single" w:sz="2" w:space="0" w:color="CCEEFF"/>
            </w:tcBorders>
            <w:shd w:fill="CCEEFF" w:val="clear"/>
            <w:vAlign w:val="bottom"/>
          </w:tcPr>
          <w:p>
            <w:pPr>
              <w:pStyle w:val="TableContents"/>
              <w:spacing w:before="0" w:after="283"/>
              <w:jc w:val="left"/>
              <w:rPr/>
            </w:pPr>
            <w:r>
              <w:rPr/>
              <w:t> </w:t>
            </w:r>
          </w:p>
        </w:tc>
        <w:tc>
          <w:tcPr>
            <w:tcW w:w="125" w:type="dxa"/>
            <w:tcBorders>
              <w:bottom w:val="single" w:sz="2" w:space="0" w:color="000000"/>
            </w:tcBorders>
            <w:shd w:fill="CCEEFF" w:val="clear"/>
            <w:vAlign w:val="bottom"/>
          </w:tcPr>
          <w:p>
            <w:pPr>
              <w:pStyle w:val="TableContents"/>
              <w:spacing w:before="0" w:after="283"/>
              <w:jc w:val="left"/>
              <w:rPr/>
            </w:pPr>
            <w:r>
              <w:rPr/>
              <w:t> </w:t>
            </w:r>
          </w:p>
        </w:tc>
        <w:tc>
          <w:tcPr>
            <w:tcW w:w="1186"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783</w:t>
            </w:r>
          </w:p>
        </w:tc>
        <w:tc>
          <w:tcPr>
            <w:tcW w:w="122" w:type="dxa"/>
            <w:tcBorders>
              <w:bottom w:val="single" w:sz="2" w:space="0" w:color="CCEEFF"/>
            </w:tcBorders>
            <w:shd w:fill="CCEEFF" w:val="clear"/>
            <w:vAlign w:val="bottom"/>
          </w:tcPr>
          <w:p>
            <w:pPr>
              <w:pStyle w:val="TableContents"/>
              <w:spacing w:before="0" w:after="283"/>
              <w:jc w:val="left"/>
              <w:rPr/>
            </w:pPr>
            <w:r>
              <w:rPr/>
              <w:t> </w:t>
            </w:r>
          </w:p>
        </w:tc>
      </w:tr>
      <w:tr>
        <w:trPr/>
        <w:tc>
          <w:tcPr>
            <w:tcW w:w="5541" w:type="dxa"/>
            <w:tcBorders/>
            <w:shd w:fill="FFFFFF" w:val="clear"/>
            <w:tcMar>
              <w:bottom w:w="0" w:type="dxa"/>
            </w:tcMar>
            <w:vAlign w:val="bottom"/>
          </w:tcPr>
          <w:p>
            <w:pPr>
              <w:pStyle w:val="TableContents"/>
              <w:spacing w:lineRule="auto" w:line="300" w:before="0" w:after="0"/>
              <w:ind w:left="180" w:right="0" w:hanging="180"/>
              <w:jc w:val="left"/>
              <w:rPr/>
            </w:pPr>
            <w:r>
              <w:rPr>
                <w:rStyle w:val="StrongEmphasis"/>
                <w:rFonts w:ascii="Times New Roman" w:hAnsi="Times New Roman"/>
                <w:sz w:val="20"/>
              </w:rPr>
              <w:t>Investing Activities</w:t>
            </w:r>
          </w:p>
        </w:tc>
        <w:tc>
          <w:tcPr>
            <w:tcW w:w="199" w:type="dxa"/>
            <w:tcBorders/>
            <w:shd w:fill="FFFFFF" w:val="clear"/>
            <w:tcMar>
              <w:bottom w:w="0" w:type="dxa"/>
            </w:tcMar>
            <w:vAlign w:val="center"/>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86" w:type="dxa"/>
            <w:tcBorders/>
            <w:shd w:fill="FFFFFF" w:val="clear"/>
            <w:tcMar>
              <w:bottom w:w="0" w:type="dxa"/>
            </w:tcMar>
            <w:vAlign w:val="bottom"/>
          </w:tcPr>
          <w:p>
            <w:pPr>
              <w:pStyle w:val="TableContents"/>
              <w:spacing w:before="0" w:after="283"/>
              <w:jc w:val="right"/>
              <w:rPr/>
            </w:pPr>
            <w:r>
              <w:rPr/>
              <w:t> </w:t>
            </w:r>
          </w:p>
        </w:tc>
        <w:tc>
          <w:tcPr>
            <w:tcW w:w="205"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86" w:type="dxa"/>
            <w:tcBorders/>
            <w:shd w:fill="FFFFFF" w:val="clear"/>
            <w:tcMar>
              <w:bottom w:w="0" w:type="dxa"/>
            </w:tcMar>
            <w:vAlign w:val="bottom"/>
          </w:tcPr>
          <w:p>
            <w:pPr>
              <w:pStyle w:val="TableContents"/>
              <w:spacing w:before="0" w:after="283"/>
              <w:jc w:val="right"/>
              <w:rPr/>
            </w:pPr>
            <w:r>
              <w:rPr/>
              <w:t> </w:t>
            </w:r>
          </w:p>
        </w:tc>
        <w:tc>
          <w:tcPr>
            <w:tcW w:w="205"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86" w:type="dxa"/>
            <w:tcBorders/>
            <w:shd w:fill="FFFFFF" w:val="clear"/>
            <w:tcMar>
              <w:bottom w:w="0" w:type="dxa"/>
            </w:tcMar>
            <w:vAlign w:val="bottom"/>
          </w:tcPr>
          <w:p>
            <w:pPr>
              <w:pStyle w:val="TableContents"/>
              <w:spacing w:before="0" w:after="283"/>
              <w:jc w:val="right"/>
              <w:rPr/>
            </w:pPr>
            <w:r>
              <w:rPr/>
              <w:t> </w:t>
            </w:r>
          </w:p>
        </w:tc>
        <w:tc>
          <w:tcPr>
            <w:tcW w:w="122" w:type="dxa"/>
            <w:tcBorders/>
            <w:shd w:fill="FFFFFF" w:val="clear"/>
            <w:tcMar>
              <w:bottom w:w="0" w:type="dxa"/>
            </w:tcMar>
            <w:vAlign w:val="bottom"/>
          </w:tcPr>
          <w:p>
            <w:pPr>
              <w:pStyle w:val="TableContents"/>
              <w:spacing w:before="0" w:after="283"/>
              <w:jc w:val="left"/>
              <w:rPr/>
            </w:pPr>
            <w:r>
              <w:rPr/>
              <w:t> </w:t>
            </w:r>
          </w:p>
        </w:tc>
      </w:tr>
      <w:tr>
        <w:trPr/>
        <w:tc>
          <w:tcPr>
            <w:tcW w:w="5541" w:type="dxa"/>
            <w:tcBorders/>
            <w:shd w:fill="CCEEFF" w:val="clear"/>
            <w:tcMar>
              <w:bottom w:w="0" w:type="dxa"/>
            </w:tcMar>
            <w:vAlign w:val="bottom"/>
          </w:tcPr>
          <w:p>
            <w:pPr>
              <w:pStyle w:val="TableContents"/>
              <w:spacing w:lineRule="auto" w:line="300" w:before="0" w:after="0"/>
              <w:ind w:left="360" w:right="0" w:hanging="180"/>
              <w:jc w:val="left"/>
              <w:rPr>
                <w:rFonts w:ascii="Times New Roman" w:hAnsi="Times New Roman"/>
                <w:sz w:val="20"/>
              </w:rPr>
            </w:pPr>
            <w:bookmarkStart w:id="2663" w:name="TAB11188"/>
            <w:bookmarkEnd w:id="2663"/>
            <w:r>
              <w:rPr>
                <w:rFonts w:ascii="Times New Roman" w:hAnsi="Times New Roman"/>
                <w:sz w:val="20"/>
              </w:rPr>
              <w:t>Proceeds from sale of unconsolidated joint venture</w:t>
            </w:r>
          </w:p>
        </w:tc>
        <w:tc>
          <w:tcPr>
            <w:tcW w:w="199" w:type="dxa"/>
            <w:tcBorders/>
            <w:shd w:fill="CCEEFF" w:val="clear"/>
            <w:tcMar>
              <w:bottom w:w="0" w:type="dxa"/>
            </w:tcMar>
            <w:vAlign w:val="center"/>
          </w:tcPr>
          <w:p>
            <w:pPr>
              <w:pStyle w:val="TableContents"/>
              <w:spacing w:before="0" w:after="283"/>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186"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4,573</w:t>
            </w:r>
          </w:p>
        </w:tc>
        <w:tc>
          <w:tcPr>
            <w:tcW w:w="205"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186"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205"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186"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122" w:type="dxa"/>
            <w:tcBorders/>
            <w:shd w:fill="CCEEFF" w:val="clear"/>
            <w:tcMar>
              <w:bottom w:w="0" w:type="dxa"/>
            </w:tcMar>
            <w:vAlign w:val="bottom"/>
          </w:tcPr>
          <w:p>
            <w:pPr>
              <w:pStyle w:val="TableContents"/>
              <w:spacing w:before="0" w:after="283"/>
              <w:jc w:val="left"/>
              <w:rPr/>
            </w:pPr>
            <w:r>
              <w:rPr/>
              <w:t> </w:t>
            </w:r>
          </w:p>
        </w:tc>
      </w:tr>
      <w:tr>
        <w:trPr/>
        <w:tc>
          <w:tcPr>
            <w:tcW w:w="5541" w:type="dxa"/>
            <w:tcBorders/>
            <w:shd w:fill="FFFFFF" w:val="clear"/>
            <w:tcMar>
              <w:bottom w:w="0" w:type="dxa"/>
            </w:tcMar>
            <w:vAlign w:val="bottom"/>
          </w:tcPr>
          <w:p>
            <w:pPr>
              <w:pStyle w:val="TableContents"/>
              <w:spacing w:lineRule="auto" w:line="300" w:before="0" w:after="0"/>
              <w:ind w:left="360" w:right="0" w:hanging="180"/>
              <w:jc w:val="left"/>
              <w:rPr>
                <w:rFonts w:ascii="Times New Roman" w:hAnsi="Times New Roman"/>
                <w:sz w:val="20"/>
              </w:rPr>
            </w:pPr>
            <w:bookmarkStart w:id="2664" w:name="TAB11189"/>
            <w:bookmarkEnd w:id="2664"/>
            <w:r>
              <w:rPr>
                <w:rFonts w:ascii="Times New Roman" w:hAnsi="Times New Roman"/>
                <w:sz w:val="20"/>
              </w:rPr>
              <w:t>Proceeds from sale of Puerto Rico</w:t>
            </w:r>
          </w:p>
        </w:tc>
        <w:tc>
          <w:tcPr>
            <w:tcW w:w="199" w:type="dxa"/>
            <w:tcBorders/>
            <w:shd w:fill="FFFFFF" w:val="clear"/>
            <w:tcMar>
              <w:bottom w:w="0" w:type="dxa"/>
            </w:tcMar>
            <w:vAlign w:val="center"/>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86"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205"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86"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2,335</w:t>
            </w:r>
          </w:p>
        </w:tc>
        <w:tc>
          <w:tcPr>
            <w:tcW w:w="205"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86"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122" w:type="dxa"/>
            <w:tcBorders/>
            <w:shd w:fill="FFFFFF" w:val="clear"/>
            <w:tcMar>
              <w:bottom w:w="0" w:type="dxa"/>
            </w:tcMar>
            <w:vAlign w:val="bottom"/>
          </w:tcPr>
          <w:p>
            <w:pPr>
              <w:pStyle w:val="TableContents"/>
              <w:spacing w:before="0" w:after="283"/>
              <w:jc w:val="left"/>
              <w:rPr/>
            </w:pPr>
            <w:r>
              <w:rPr/>
              <w:t> </w:t>
            </w:r>
          </w:p>
        </w:tc>
      </w:tr>
      <w:tr>
        <w:trPr/>
        <w:tc>
          <w:tcPr>
            <w:tcW w:w="5541" w:type="dxa"/>
            <w:tcBorders/>
            <w:shd w:fill="CCEEFF" w:val="clear"/>
            <w:tcMar>
              <w:bottom w:w="0" w:type="dxa"/>
            </w:tcMar>
            <w:vAlign w:val="bottom"/>
          </w:tcPr>
          <w:p>
            <w:pPr>
              <w:pStyle w:val="TableContents"/>
              <w:spacing w:lineRule="auto" w:line="300" w:before="0" w:after="0"/>
              <w:ind w:left="360" w:right="0" w:hanging="180"/>
              <w:jc w:val="left"/>
              <w:rPr>
                <w:rFonts w:ascii="Times New Roman" w:hAnsi="Times New Roman"/>
                <w:sz w:val="20"/>
              </w:rPr>
            </w:pPr>
            <w:bookmarkStart w:id="2665" w:name="TAB11190"/>
            <w:bookmarkEnd w:id="2665"/>
            <w:r>
              <w:rPr>
                <w:rFonts w:ascii="Times New Roman" w:hAnsi="Times New Roman"/>
                <w:sz w:val="20"/>
              </w:rPr>
              <w:t>Proceeds from sale of Glendale Building</w:t>
            </w:r>
          </w:p>
        </w:tc>
        <w:tc>
          <w:tcPr>
            <w:tcW w:w="199" w:type="dxa"/>
            <w:tcBorders/>
            <w:shd w:fill="CCEEFF" w:val="clear"/>
            <w:tcMar>
              <w:bottom w:w="0" w:type="dxa"/>
            </w:tcMar>
            <w:vAlign w:val="center"/>
          </w:tcPr>
          <w:p>
            <w:pPr>
              <w:pStyle w:val="TableContents"/>
              <w:spacing w:before="0" w:after="283"/>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186"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205"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186"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10,300</w:t>
            </w:r>
          </w:p>
        </w:tc>
        <w:tc>
          <w:tcPr>
            <w:tcW w:w="205"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186"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122" w:type="dxa"/>
            <w:tcBorders/>
            <w:shd w:fill="CCEEFF" w:val="clear"/>
            <w:tcMar>
              <w:bottom w:w="0" w:type="dxa"/>
            </w:tcMar>
            <w:vAlign w:val="bottom"/>
          </w:tcPr>
          <w:p>
            <w:pPr>
              <w:pStyle w:val="TableContents"/>
              <w:spacing w:before="0" w:after="283"/>
              <w:jc w:val="left"/>
              <w:rPr/>
            </w:pPr>
            <w:r>
              <w:rPr/>
              <w:t> </w:t>
            </w:r>
          </w:p>
        </w:tc>
      </w:tr>
      <w:tr>
        <w:trPr/>
        <w:tc>
          <w:tcPr>
            <w:tcW w:w="5541" w:type="dxa"/>
            <w:tcBorders/>
            <w:shd w:fill="FFFFFF" w:val="clear"/>
            <w:tcMar>
              <w:bottom w:w="0" w:type="dxa"/>
            </w:tcMar>
            <w:vAlign w:val="bottom"/>
          </w:tcPr>
          <w:p>
            <w:pPr>
              <w:pStyle w:val="TableContents"/>
              <w:spacing w:lineRule="auto" w:line="300" w:before="0" w:after="0"/>
              <w:ind w:left="360" w:right="0" w:hanging="180"/>
              <w:jc w:val="left"/>
              <w:rPr>
                <w:rFonts w:ascii="Times New Roman" w:hAnsi="Times New Roman"/>
                <w:sz w:val="20"/>
              </w:rPr>
            </w:pPr>
            <w:bookmarkStart w:id="2666" w:name="TAB11191"/>
            <w:bookmarkEnd w:id="2666"/>
            <w:r>
              <w:rPr>
                <w:rFonts w:ascii="Times New Roman" w:hAnsi="Times New Roman"/>
                <w:sz w:val="20"/>
              </w:rPr>
              <w:t>Acquisitions of real estate and leasehold interests</w:t>
            </w:r>
          </w:p>
        </w:tc>
        <w:tc>
          <w:tcPr>
            <w:tcW w:w="199" w:type="dxa"/>
            <w:tcBorders/>
            <w:shd w:fill="FFFFFF" w:val="clear"/>
            <w:tcMar>
              <w:bottom w:w="0" w:type="dxa"/>
            </w:tcMar>
            <w:vAlign w:val="center"/>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86"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(8,087</w:t>
            </w:r>
          </w:p>
        </w:tc>
        <w:tc>
          <w:tcPr>
            <w:tcW w:w="205"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25" w:type="dxa"/>
            <w:tcBorders/>
            <w:shd w:fill="FFFFFF" w:val="clear"/>
            <w:tcMar>
              <w:bottom w:w="0" w:type="dxa"/>
            </w:tcMar>
            <w:vAlign w:val="bottom"/>
          </w:tcPr>
          <w:p>
            <w:pPr>
              <w:pStyle w:val="TableContents"/>
              <w:spacing w:before="0" w:after="283"/>
              <w:jc w:val="left"/>
              <w:rPr/>
            </w:pPr>
            <w:r>
              <w:rPr/>
              <w:t> </w:t>
            </w:r>
          </w:p>
        </w:tc>
        <w:tc>
          <w:tcPr>
            <w:tcW w:w="1186"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(13,693</w:t>
            </w:r>
          </w:p>
        </w:tc>
        <w:tc>
          <w:tcPr>
            <w:tcW w:w="205"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25" w:type="dxa"/>
            <w:tcBorders/>
            <w:shd w:fill="FFFFFF" w:val="clear"/>
            <w:tcMar>
              <w:bottom w:w="0" w:type="dxa"/>
            </w:tcMar>
            <w:vAlign w:val="bottom"/>
          </w:tcPr>
          <w:p>
            <w:pPr>
              <w:pStyle w:val="TableContents"/>
              <w:spacing w:before="0" w:after="283"/>
              <w:jc w:val="left"/>
              <w:rPr/>
            </w:pPr>
            <w:r>
              <w:rPr/>
              <w:t> </w:t>
            </w:r>
          </w:p>
        </w:tc>
        <w:tc>
          <w:tcPr>
            <w:tcW w:w="1186"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(20,031</w:t>
            </w:r>
          </w:p>
        </w:tc>
        <w:tc>
          <w:tcPr>
            <w:tcW w:w="122"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r>
      <w:tr>
        <w:trPr/>
        <w:tc>
          <w:tcPr>
            <w:tcW w:w="5541" w:type="dxa"/>
            <w:tcBorders/>
            <w:shd w:fill="CCEEFF" w:val="clear"/>
            <w:tcMar>
              <w:bottom w:w="0" w:type="dxa"/>
            </w:tcMar>
            <w:vAlign w:val="bottom"/>
          </w:tcPr>
          <w:p>
            <w:pPr>
              <w:pStyle w:val="TableContents"/>
              <w:spacing w:lineRule="auto" w:line="300" w:before="0" w:after="0"/>
              <w:ind w:left="360" w:right="0" w:hanging="180"/>
              <w:jc w:val="left"/>
              <w:rPr>
                <w:rFonts w:ascii="Times New Roman" w:hAnsi="Times New Roman"/>
                <w:sz w:val="20"/>
              </w:rPr>
            </w:pPr>
            <w:bookmarkStart w:id="2667" w:name="TAB11192"/>
            <w:bookmarkEnd w:id="2667"/>
            <w:r>
              <w:rPr>
                <w:rFonts w:ascii="Times New Roman" w:hAnsi="Times New Roman"/>
                <w:sz w:val="20"/>
              </w:rPr>
              <w:t>Purchases of and additions to property and equipment, net</w:t>
            </w:r>
          </w:p>
        </w:tc>
        <w:tc>
          <w:tcPr>
            <w:tcW w:w="199" w:type="dxa"/>
            <w:tcBorders/>
            <w:shd w:fill="CCEEFF" w:val="clear"/>
            <w:tcMar>
              <w:bottom w:w="0" w:type="dxa"/>
            </w:tcMar>
            <w:vAlign w:val="center"/>
          </w:tcPr>
          <w:p>
            <w:pPr>
              <w:pStyle w:val="TableContents"/>
              <w:spacing w:before="0" w:after="283"/>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186"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(8,302</w:t>
            </w:r>
          </w:p>
        </w:tc>
        <w:tc>
          <w:tcPr>
            <w:tcW w:w="205"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25" w:type="dxa"/>
            <w:tcBorders/>
            <w:shd w:fill="CCEEFF" w:val="clear"/>
            <w:tcMar>
              <w:bottom w:w="0" w:type="dxa"/>
            </w:tcMar>
            <w:vAlign w:val="bottom"/>
          </w:tcPr>
          <w:p>
            <w:pPr>
              <w:pStyle w:val="TableContents"/>
              <w:spacing w:before="0" w:after="283"/>
              <w:jc w:val="left"/>
              <w:rPr/>
            </w:pPr>
            <w:r>
              <w:rPr/>
              <w:t> </w:t>
            </w:r>
          </w:p>
        </w:tc>
        <w:tc>
          <w:tcPr>
            <w:tcW w:w="1186"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(30,461</w:t>
            </w:r>
          </w:p>
        </w:tc>
        <w:tc>
          <w:tcPr>
            <w:tcW w:w="205"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25" w:type="dxa"/>
            <w:tcBorders/>
            <w:shd w:fill="CCEEFF" w:val="clear"/>
            <w:tcMar>
              <w:bottom w:w="0" w:type="dxa"/>
            </w:tcMar>
            <w:vAlign w:val="bottom"/>
          </w:tcPr>
          <w:p>
            <w:pPr>
              <w:pStyle w:val="TableContents"/>
              <w:spacing w:before="0" w:after="283"/>
              <w:jc w:val="left"/>
              <w:rPr/>
            </w:pPr>
            <w:r>
              <w:rPr/>
              <w:t> </w:t>
            </w:r>
          </w:p>
        </w:tc>
        <w:tc>
          <w:tcPr>
            <w:tcW w:w="1186"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(7,794</w:t>
            </w:r>
          </w:p>
        </w:tc>
        <w:tc>
          <w:tcPr>
            <w:tcW w:w="122"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r>
      <w:tr>
        <w:trPr/>
        <w:tc>
          <w:tcPr>
            <w:tcW w:w="5541" w:type="dxa"/>
            <w:tcBorders/>
            <w:shd w:fill="FFFFFF" w:val="clear"/>
            <w:tcMar>
              <w:bottom w:w="0" w:type="dxa"/>
            </w:tcMar>
            <w:vAlign w:val="bottom"/>
          </w:tcPr>
          <w:p>
            <w:pPr>
              <w:pStyle w:val="TableContents"/>
              <w:spacing w:lineRule="auto" w:line="300" w:before="0" w:after="0"/>
              <w:ind w:left="360" w:right="0" w:hanging="180"/>
              <w:jc w:val="left"/>
              <w:rPr>
                <w:rFonts w:ascii="Times New Roman" w:hAnsi="Times New Roman"/>
                <w:sz w:val="20"/>
              </w:rPr>
            </w:pPr>
            <w:bookmarkStart w:id="2668" w:name="TAB11193"/>
            <w:bookmarkEnd w:id="2668"/>
            <w:r>
              <w:rPr>
                <w:rFonts w:ascii="Times New Roman" w:hAnsi="Times New Roman"/>
                <w:sz w:val="20"/>
              </w:rPr>
              <w:t>Investment in unconsolidated joint ventures and entities</w:t>
            </w:r>
          </w:p>
        </w:tc>
        <w:tc>
          <w:tcPr>
            <w:tcW w:w="199" w:type="dxa"/>
            <w:tcBorders/>
            <w:shd w:fill="FFFFFF" w:val="clear"/>
            <w:tcMar>
              <w:bottom w:w="0" w:type="dxa"/>
            </w:tcMar>
            <w:vAlign w:val="center"/>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86"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(2,676</w:t>
            </w:r>
          </w:p>
        </w:tc>
        <w:tc>
          <w:tcPr>
            <w:tcW w:w="205"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25" w:type="dxa"/>
            <w:tcBorders/>
            <w:shd w:fill="FFFFFF" w:val="clear"/>
            <w:tcMar>
              <w:bottom w:w="0" w:type="dxa"/>
            </w:tcMar>
            <w:vAlign w:val="bottom"/>
          </w:tcPr>
          <w:p>
            <w:pPr>
              <w:pStyle w:val="TableContents"/>
              <w:spacing w:before="0" w:after="283"/>
              <w:jc w:val="left"/>
              <w:rPr/>
            </w:pPr>
            <w:r>
              <w:rPr/>
              <w:t> </w:t>
            </w:r>
          </w:p>
        </w:tc>
        <w:tc>
          <w:tcPr>
            <w:tcW w:w="1186"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(6,468</w:t>
            </w:r>
          </w:p>
        </w:tc>
        <w:tc>
          <w:tcPr>
            <w:tcW w:w="205"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25" w:type="dxa"/>
            <w:tcBorders/>
            <w:shd w:fill="FFFFFF" w:val="clear"/>
            <w:tcMar>
              <w:bottom w:w="0" w:type="dxa"/>
            </w:tcMar>
            <w:vAlign w:val="bottom"/>
          </w:tcPr>
          <w:p>
            <w:pPr>
              <w:pStyle w:val="TableContents"/>
              <w:spacing w:before="0" w:after="283"/>
              <w:jc w:val="left"/>
              <w:rPr/>
            </w:pPr>
            <w:r>
              <w:rPr/>
              <w:t> </w:t>
            </w:r>
          </w:p>
        </w:tc>
        <w:tc>
          <w:tcPr>
            <w:tcW w:w="1186"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(2,290</w:t>
            </w:r>
          </w:p>
        </w:tc>
        <w:tc>
          <w:tcPr>
            <w:tcW w:w="122"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r>
      <w:tr>
        <w:trPr/>
        <w:tc>
          <w:tcPr>
            <w:tcW w:w="5541" w:type="dxa"/>
            <w:tcBorders/>
            <w:shd w:fill="CCEEFF" w:val="clear"/>
            <w:tcMar>
              <w:bottom w:w="0" w:type="dxa"/>
            </w:tcMar>
            <w:vAlign w:val="bottom"/>
          </w:tcPr>
          <w:p>
            <w:pPr>
              <w:pStyle w:val="TableContents"/>
              <w:spacing w:lineRule="auto" w:line="300" w:before="0" w:after="0"/>
              <w:ind w:left="360" w:right="0" w:hanging="180"/>
              <w:jc w:val="left"/>
              <w:rPr>
                <w:rFonts w:ascii="Times New Roman" w:hAnsi="Times New Roman"/>
                <w:sz w:val="20"/>
              </w:rPr>
            </w:pPr>
            <w:bookmarkStart w:id="2669" w:name="TAB11194"/>
            <w:bookmarkEnd w:id="2669"/>
            <w:r>
              <w:rPr>
                <w:rFonts w:ascii="Times New Roman" w:hAnsi="Times New Roman"/>
                <w:sz w:val="20"/>
              </w:rPr>
              <w:t>(Increase) decrease in restricted cash</w:t>
            </w:r>
          </w:p>
        </w:tc>
        <w:tc>
          <w:tcPr>
            <w:tcW w:w="199" w:type="dxa"/>
            <w:tcBorders/>
            <w:shd w:fill="CCEEFF" w:val="clear"/>
            <w:tcMar>
              <w:bottom w:w="0" w:type="dxa"/>
            </w:tcMar>
            <w:vAlign w:val="center"/>
          </w:tcPr>
          <w:p>
            <w:pPr>
              <w:pStyle w:val="TableContents"/>
              <w:spacing w:before="0" w:after="283"/>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186"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(844</w:t>
            </w:r>
          </w:p>
        </w:tc>
        <w:tc>
          <w:tcPr>
            <w:tcW w:w="205"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25" w:type="dxa"/>
            <w:tcBorders/>
            <w:shd w:fill="CCEEFF" w:val="clear"/>
            <w:tcMar>
              <w:bottom w:w="0" w:type="dxa"/>
            </w:tcMar>
            <w:vAlign w:val="bottom"/>
          </w:tcPr>
          <w:p>
            <w:pPr>
              <w:pStyle w:val="TableContents"/>
              <w:spacing w:before="0" w:after="283"/>
              <w:jc w:val="left"/>
              <w:rPr/>
            </w:pPr>
            <w:r>
              <w:rPr/>
              <w:t> </w:t>
            </w:r>
          </w:p>
        </w:tc>
        <w:tc>
          <w:tcPr>
            <w:tcW w:w="1186"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1,011</w:t>
            </w:r>
          </w:p>
        </w:tc>
        <w:tc>
          <w:tcPr>
            <w:tcW w:w="205"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186"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(359</w:t>
            </w:r>
          </w:p>
        </w:tc>
        <w:tc>
          <w:tcPr>
            <w:tcW w:w="122"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r>
      <w:tr>
        <w:trPr/>
        <w:tc>
          <w:tcPr>
            <w:tcW w:w="5541" w:type="dxa"/>
            <w:tcBorders/>
            <w:shd w:fill="FFFFFF" w:val="clear"/>
            <w:tcMar>
              <w:bottom w:w="0" w:type="dxa"/>
            </w:tcMar>
            <w:vAlign w:val="bottom"/>
          </w:tcPr>
          <w:p>
            <w:pPr>
              <w:pStyle w:val="TableContents"/>
              <w:spacing w:lineRule="auto" w:line="300" w:before="0" w:after="0"/>
              <w:ind w:left="360" w:right="0" w:hanging="180"/>
              <w:jc w:val="left"/>
              <w:rPr>
                <w:rFonts w:ascii="Times New Roman" w:hAnsi="Times New Roman"/>
                <w:sz w:val="20"/>
              </w:rPr>
            </w:pPr>
            <w:bookmarkStart w:id="2670" w:name="TAB11195"/>
            <w:bookmarkEnd w:id="2670"/>
            <w:r>
              <w:rPr>
                <w:rFonts w:ascii="Times New Roman" w:hAnsi="Times New Roman"/>
                <w:sz w:val="20"/>
              </w:rPr>
              <w:t>Repayment of loan receivable</w:t>
            </w:r>
          </w:p>
        </w:tc>
        <w:tc>
          <w:tcPr>
            <w:tcW w:w="199" w:type="dxa"/>
            <w:tcBorders/>
            <w:shd w:fill="FFFFFF" w:val="clear"/>
            <w:tcMar>
              <w:bottom w:w="0" w:type="dxa"/>
            </w:tcMar>
            <w:vAlign w:val="center"/>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86"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205"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86"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205"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86"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13,000</w:t>
            </w:r>
          </w:p>
        </w:tc>
        <w:tc>
          <w:tcPr>
            <w:tcW w:w="122" w:type="dxa"/>
            <w:tcBorders/>
            <w:shd w:fill="FFFFFF" w:val="clear"/>
            <w:tcMar>
              <w:bottom w:w="0" w:type="dxa"/>
            </w:tcMar>
            <w:vAlign w:val="bottom"/>
          </w:tcPr>
          <w:p>
            <w:pPr>
              <w:pStyle w:val="TableContents"/>
              <w:spacing w:before="0" w:after="283"/>
              <w:jc w:val="left"/>
              <w:rPr/>
            </w:pPr>
            <w:r>
              <w:rPr/>
              <w:t> </w:t>
            </w:r>
          </w:p>
        </w:tc>
      </w:tr>
      <w:tr>
        <w:trPr/>
        <w:tc>
          <w:tcPr>
            <w:tcW w:w="5541" w:type="dxa"/>
            <w:tcBorders/>
            <w:shd w:fill="CCEEFF" w:val="clear"/>
            <w:tcMar>
              <w:bottom w:w="0" w:type="dxa"/>
            </w:tcMar>
            <w:vAlign w:val="bottom"/>
          </w:tcPr>
          <w:p>
            <w:pPr>
              <w:pStyle w:val="TableContents"/>
              <w:spacing w:lineRule="auto" w:line="300" w:before="0" w:after="0"/>
              <w:ind w:left="360" w:right="0" w:hanging="180"/>
              <w:jc w:val="left"/>
              <w:rPr>
                <w:rFonts w:ascii="Times New Roman" w:hAnsi="Times New Roman"/>
                <w:sz w:val="20"/>
              </w:rPr>
            </w:pPr>
            <w:bookmarkStart w:id="2671" w:name="TAB11196"/>
            <w:bookmarkEnd w:id="2671"/>
            <w:r>
              <w:rPr>
                <w:rFonts w:ascii="Times New Roman" w:hAnsi="Times New Roman"/>
                <w:sz w:val="20"/>
              </w:rPr>
              <w:t>Purchases of marketable securities</w:t>
            </w:r>
          </w:p>
        </w:tc>
        <w:tc>
          <w:tcPr>
            <w:tcW w:w="199" w:type="dxa"/>
            <w:tcBorders/>
            <w:shd w:fill="CCEEFF" w:val="clear"/>
            <w:tcMar>
              <w:bottom w:w="0" w:type="dxa"/>
            </w:tcMar>
            <w:vAlign w:val="center"/>
          </w:tcPr>
          <w:p>
            <w:pPr>
              <w:pStyle w:val="TableContents"/>
              <w:spacing w:before="0" w:after="283"/>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186"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(8,109</w:t>
            </w:r>
          </w:p>
        </w:tc>
        <w:tc>
          <w:tcPr>
            <w:tcW w:w="205"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25" w:type="dxa"/>
            <w:tcBorders/>
            <w:shd w:fill="CCEEFF" w:val="clear"/>
            <w:tcMar>
              <w:bottom w:w="0" w:type="dxa"/>
            </w:tcMar>
            <w:vAlign w:val="bottom"/>
          </w:tcPr>
          <w:p>
            <w:pPr>
              <w:pStyle w:val="TableContents"/>
              <w:spacing w:before="0" w:after="283"/>
              <w:jc w:val="left"/>
              <w:rPr/>
            </w:pPr>
            <w:r>
              <w:rPr/>
              <w:t> </w:t>
            </w:r>
          </w:p>
        </w:tc>
        <w:tc>
          <w:tcPr>
            <w:tcW w:w="1186"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(376</w:t>
            </w:r>
          </w:p>
        </w:tc>
        <w:tc>
          <w:tcPr>
            <w:tcW w:w="205"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25" w:type="dxa"/>
            <w:tcBorders/>
            <w:shd w:fill="CCEEFF" w:val="clear"/>
            <w:tcMar>
              <w:bottom w:w="0" w:type="dxa"/>
            </w:tcMar>
            <w:vAlign w:val="bottom"/>
          </w:tcPr>
          <w:p>
            <w:pPr>
              <w:pStyle w:val="TableContents"/>
              <w:spacing w:before="0" w:after="283"/>
              <w:jc w:val="left"/>
              <w:rPr/>
            </w:pPr>
            <w:r>
              <w:rPr/>
              <w:t> </w:t>
            </w:r>
          </w:p>
        </w:tc>
        <w:tc>
          <w:tcPr>
            <w:tcW w:w="1186"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122" w:type="dxa"/>
            <w:tcBorders/>
            <w:shd w:fill="CCEEFF" w:val="clear"/>
            <w:tcMar>
              <w:bottom w:w="0" w:type="dxa"/>
            </w:tcMar>
            <w:vAlign w:val="bottom"/>
          </w:tcPr>
          <w:p>
            <w:pPr>
              <w:pStyle w:val="TableContents"/>
              <w:spacing w:before="0" w:after="283"/>
              <w:jc w:val="left"/>
              <w:rPr/>
            </w:pPr>
            <w:r>
              <w:rPr/>
              <w:t> </w:t>
            </w:r>
          </w:p>
        </w:tc>
      </w:tr>
      <w:tr>
        <w:trPr/>
        <w:tc>
          <w:tcPr>
            <w:tcW w:w="5541" w:type="dxa"/>
            <w:tcBorders>
              <w:bottom w:val="single" w:sz="2" w:space="0" w:color="000000"/>
            </w:tcBorders>
            <w:shd w:fill="FFFFFF" w:val="clear"/>
            <w:vAlign w:val="bottom"/>
          </w:tcPr>
          <w:p>
            <w:pPr>
              <w:pStyle w:val="TableContents"/>
              <w:spacing w:lineRule="auto" w:line="300" w:before="0" w:after="0"/>
              <w:ind w:left="360" w:right="0" w:hanging="180"/>
              <w:jc w:val="left"/>
              <w:rPr>
                <w:rFonts w:ascii="Times New Roman" w:hAnsi="Times New Roman"/>
                <w:sz w:val="20"/>
              </w:rPr>
            </w:pPr>
            <w:bookmarkStart w:id="2672" w:name="TAB11197"/>
            <w:bookmarkEnd w:id="2672"/>
            <w:r>
              <w:rPr>
                <w:rFonts w:ascii="Times New Roman" w:hAnsi="Times New Roman"/>
                <w:sz w:val="20"/>
              </w:rPr>
              <w:t>Proceeds from disposal of assets, net</w:t>
            </w:r>
          </w:p>
        </w:tc>
        <w:tc>
          <w:tcPr>
            <w:tcW w:w="199" w:type="dxa"/>
            <w:tcBorders>
              <w:bottom w:val="single" w:sz="4" w:space="0" w:color="FFFFFF"/>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vAlign w:val="bottom"/>
          </w:tcPr>
          <w:p>
            <w:pPr>
              <w:pStyle w:val="TableContents"/>
              <w:spacing w:before="0" w:after="283"/>
              <w:jc w:val="left"/>
              <w:rPr/>
            </w:pPr>
            <w:r>
              <w:rPr/>
              <w:t> </w:t>
            </w:r>
          </w:p>
        </w:tc>
        <w:tc>
          <w:tcPr>
            <w:tcW w:w="1186"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205" w:type="dxa"/>
            <w:tcBorders>
              <w:bottom w:val="single" w:sz="4" w:space="0" w:color="FFFFFF"/>
            </w:tcBorders>
            <w:shd w:fill="FFFFFF" w:val="clear"/>
            <w:vAlign w:val="bottom"/>
          </w:tcPr>
          <w:p>
            <w:pPr>
              <w:pStyle w:val="TableContents"/>
              <w:spacing w:before="0" w:after="283"/>
              <w:jc w:val="left"/>
              <w:rPr/>
            </w:pPr>
            <w:r>
              <w:rPr/>
              <w:t> </w:t>
            </w:r>
          </w:p>
        </w:tc>
        <w:tc>
          <w:tcPr>
            <w:tcW w:w="125" w:type="dxa"/>
            <w:tcBorders>
              <w:bottom w:val="single" w:sz="2" w:space="0" w:color="000000"/>
            </w:tcBorders>
            <w:shd w:fill="FFFFFF" w:val="clear"/>
            <w:vAlign w:val="bottom"/>
          </w:tcPr>
          <w:p>
            <w:pPr>
              <w:pStyle w:val="TableContents"/>
              <w:spacing w:before="0" w:after="283"/>
              <w:jc w:val="left"/>
              <w:rPr/>
            </w:pPr>
            <w:r>
              <w:rPr/>
              <w:t> </w:t>
            </w:r>
          </w:p>
        </w:tc>
        <w:tc>
          <w:tcPr>
            <w:tcW w:w="1186"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515</w:t>
            </w:r>
          </w:p>
        </w:tc>
        <w:tc>
          <w:tcPr>
            <w:tcW w:w="205" w:type="dxa"/>
            <w:tcBorders>
              <w:bottom w:val="single" w:sz="4" w:space="0" w:color="FFFFFF"/>
            </w:tcBorders>
            <w:shd w:fill="FFFFFF" w:val="clear"/>
            <w:vAlign w:val="bottom"/>
          </w:tcPr>
          <w:p>
            <w:pPr>
              <w:pStyle w:val="TableContents"/>
              <w:spacing w:before="0" w:after="283"/>
              <w:jc w:val="left"/>
              <w:rPr/>
            </w:pPr>
            <w:r>
              <w:rPr/>
              <w:t> </w:t>
            </w:r>
          </w:p>
        </w:tc>
        <w:tc>
          <w:tcPr>
            <w:tcW w:w="125" w:type="dxa"/>
            <w:tcBorders>
              <w:bottom w:val="single" w:sz="2" w:space="0" w:color="000000"/>
            </w:tcBorders>
            <w:shd w:fill="FFFFFF" w:val="clear"/>
            <w:vAlign w:val="bottom"/>
          </w:tcPr>
          <w:p>
            <w:pPr>
              <w:pStyle w:val="TableContents"/>
              <w:spacing w:before="0" w:after="283"/>
              <w:jc w:val="left"/>
              <w:rPr/>
            </w:pPr>
            <w:r>
              <w:rPr/>
              <w:t> </w:t>
            </w:r>
          </w:p>
        </w:tc>
        <w:tc>
          <w:tcPr>
            <w:tcW w:w="1186"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157</w:t>
            </w:r>
          </w:p>
        </w:tc>
        <w:tc>
          <w:tcPr>
            <w:tcW w:w="122" w:type="dxa"/>
            <w:tcBorders>
              <w:bottom w:val="single" w:sz="4" w:space="0" w:color="FFFFFF"/>
            </w:tcBorders>
            <w:shd w:fill="FFFFFF" w:val="clear"/>
            <w:vAlign w:val="bottom"/>
          </w:tcPr>
          <w:p>
            <w:pPr>
              <w:pStyle w:val="TableContents"/>
              <w:spacing w:before="0" w:after="283"/>
              <w:jc w:val="left"/>
              <w:rPr/>
            </w:pPr>
            <w:r>
              <w:rPr/>
              <w:t> </w:t>
            </w:r>
          </w:p>
        </w:tc>
      </w:tr>
      <w:tr>
        <w:trPr/>
        <w:tc>
          <w:tcPr>
            <w:tcW w:w="5541" w:type="dxa"/>
            <w:tcBorders>
              <w:bottom w:val="single" w:sz="2" w:space="0" w:color="000000"/>
            </w:tcBorders>
            <w:shd w:fill="CCEEFF" w:val="clear"/>
            <w:vAlign w:val="bottom"/>
          </w:tcPr>
          <w:p>
            <w:pPr>
              <w:pStyle w:val="TableContents"/>
              <w:spacing w:lineRule="auto" w:line="300" w:before="0" w:after="0"/>
              <w:ind w:left="180" w:right="0" w:hanging="180"/>
              <w:jc w:val="left"/>
              <w:rPr>
                <w:rFonts w:ascii="Times New Roman" w:hAnsi="Times New Roman"/>
                <w:sz w:val="20"/>
              </w:rPr>
            </w:pPr>
            <w:r>
              <w:rPr>
                <w:rFonts w:ascii="Times New Roman" w:hAnsi="Times New Roman"/>
                <w:sz w:val="20"/>
              </w:rPr>
              <w:t>Net cash used in investing activities</w:t>
            </w:r>
          </w:p>
        </w:tc>
        <w:tc>
          <w:tcPr>
            <w:tcW w:w="199" w:type="dxa"/>
            <w:tcBorders>
              <w:bottom w:val="single" w:sz="2" w:space="0" w:color="CCEEFF"/>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vAlign w:val="bottom"/>
          </w:tcPr>
          <w:p>
            <w:pPr>
              <w:pStyle w:val="TableContents"/>
              <w:spacing w:before="0" w:after="283"/>
              <w:jc w:val="left"/>
              <w:rPr/>
            </w:pPr>
            <w:r>
              <w:rPr/>
              <w:t> </w:t>
            </w:r>
          </w:p>
        </w:tc>
        <w:tc>
          <w:tcPr>
            <w:tcW w:w="1186"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(23,445</w:t>
            </w:r>
          </w:p>
        </w:tc>
        <w:tc>
          <w:tcPr>
            <w:tcW w:w="205" w:type="dxa"/>
            <w:tcBorders>
              <w:bottom w:val="single" w:sz="2" w:space="0" w:color="CCEEFF"/>
            </w:tcBorders>
            <w:shd w:fill="CCEE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25" w:type="dxa"/>
            <w:tcBorders>
              <w:bottom w:val="single" w:sz="2" w:space="0" w:color="000000"/>
            </w:tcBorders>
            <w:shd w:fill="CCEEFF" w:val="clear"/>
            <w:vAlign w:val="bottom"/>
          </w:tcPr>
          <w:p>
            <w:pPr>
              <w:pStyle w:val="TableContents"/>
              <w:spacing w:before="0" w:after="283"/>
              <w:jc w:val="left"/>
              <w:rPr/>
            </w:pPr>
            <w:r>
              <w:rPr/>
              <w:t> </w:t>
            </w:r>
          </w:p>
        </w:tc>
        <w:tc>
          <w:tcPr>
            <w:tcW w:w="1186"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(36,837</w:t>
            </w:r>
          </w:p>
        </w:tc>
        <w:tc>
          <w:tcPr>
            <w:tcW w:w="205" w:type="dxa"/>
            <w:tcBorders>
              <w:bottom w:val="single" w:sz="2" w:space="0" w:color="CCEEFF"/>
            </w:tcBorders>
            <w:shd w:fill="CCEE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25" w:type="dxa"/>
            <w:tcBorders>
              <w:bottom w:val="single" w:sz="2" w:space="0" w:color="000000"/>
            </w:tcBorders>
            <w:shd w:fill="CCEEFF" w:val="clear"/>
            <w:vAlign w:val="bottom"/>
          </w:tcPr>
          <w:p>
            <w:pPr>
              <w:pStyle w:val="TableContents"/>
              <w:spacing w:before="0" w:after="283"/>
              <w:jc w:val="left"/>
              <w:rPr/>
            </w:pPr>
            <w:r>
              <w:rPr/>
              <w:t> </w:t>
            </w:r>
          </w:p>
        </w:tc>
        <w:tc>
          <w:tcPr>
            <w:tcW w:w="1186"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(17,317</w:t>
            </w:r>
          </w:p>
        </w:tc>
        <w:tc>
          <w:tcPr>
            <w:tcW w:w="122" w:type="dxa"/>
            <w:tcBorders>
              <w:bottom w:val="single" w:sz="2" w:space="0" w:color="CCEEFF"/>
            </w:tcBorders>
            <w:shd w:fill="CCEE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r>
      <w:tr>
        <w:trPr/>
        <w:tc>
          <w:tcPr>
            <w:tcW w:w="5541" w:type="dxa"/>
            <w:tcBorders/>
            <w:shd w:fill="FFFFFF" w:val="clear"/>
            <w:tcMar>
              <w:bottom w:w="0" w:type="dxa"/>
            </w:tcMar>
            <w:vAlign w:val="bottom"/>
          </w:tcPr>
          <w:p>
            <w:pPr>
              <w:pStyle w:val="TableContents"/>
              <w:spacing w:lineRule="auto" w:line="300" w:before="0" w:after="0"/>
              <w:ind w:left="180" w:right="0" w:hanging="180"/>
              <w:jc w:val="left"/>
              <w:rPr/>
            </w:pPr>
            <w:r>
              <w:rPr>
                <w:rStyle w:val="StrongEmphasis"/>
                <w:rFonts w:ascii="Times New Roman" w:hAnsi="Times New Roman"/>
                <w:sz w:val="20"/>
              </w:rPr>
              <w:t>Financing Activities</w:t>
            </w:r>
          </w:p>
        </w:tc>
        <w:tc>
          <w:tcPr>
            <w:tcW w:w="199" w:type="dxa"/>
            <w:tcBorders/>
            <w:shd w:fill="FFFFFF" w:val="clear"/>
            <w:tcMar>
              <w:bottom w:w="0" w:type="dxa"/>
            </w:tcMar>
            <w:vAlign w:val="center"/>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86" w:type="dxa"/>
            <w:tcBorders/>
            <w:shd w:fill="FFFFFF" w:val="clear"/>
            <w:tcMar>
              <w:bottom w:w="0" w:type="dxa"/>
            </w:tcMar>
            <w:vAlign w:val="bottom"/>
          </w:tcPr>
          <w:p>
            <w:pPr>
              <w:pStyle w:val="TableContents"/>
              <w:spacing w:before="0" w:after="283"/>
              <w:jc w:val="right"/>
              <w:rPr/>
            </w:pPr>
            <w:r>
              <w:rPr/>
              <w:t> </w:t>
            </w:r>
          </w:p>
        </w:tc>
        <w:tc>
          <w:tcPr>
            <w:tcW w:w="205"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86" w:type="dxa"/>
            <w:tcBorders/>
            <w:shd w:fill="FFFFFF" w:val="clear"/>
            <w:tcMar>
              <w:bottom w:w="0" w:type="dxa"/>
            </w:tcMar>
            <w:vAlign w:val="bottom"/>
          </w:tcPr>
          <w:p>
            <w:pPr>
              <w:pStyle w:val="TableContents"/>
              <w:spacing w:before="0" w:after="283"/>
              <w:jc w:val="right"/>
              <w:rPr/>
            </w:pPr>
            <w:r>
              <w:rPr/>
              <w:t> </w:t>
            </w:r>
          </w:p>
        </w:tc>
        <w:tc>
          <w:tcPr>
            <w:tcW w:w="205"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86" w:type="dxa"/>
            <w:tcBorders/>
            <w:shd w:fill="FFFFFF" w:val="clear"/>
            <w:tcMar>
              <w:bottom w:w="0" w:type="dxa"/>
            </w:tcMar>
            <w:vAlign w:val="bottom"/>
          </w:tcPr>
          <w:p>
            <w:pPr>
              <w:pStyle w:val="TableContents"/>
              <w:spacing w:before="0" w:after="283"/>
              <w:jc w:val="right"/>
              <w:rPr/>
            </w:pPr>
            <w:r>
              <w:rPr/>
              <w:t> </w:t>
            </w:r>
          </w:p>
        </w:tc>
        <w:tc>
          <w:tcPr>
            <w:tcW w:w="122" w:type="dxa"/>
            <w:tcBorders/>
            <w:shd w:fill="FFFFFF" w:val="clear"/>
            <w:tcMar>
              <w:bottom w:w="0" w:type="dxa"/>
            </w:tcMar>
            <w:vAlign w:val="bottom"/>
          </w:tcPr>
          <w:p>
            <w:pPr>
              <w:pStyle w:val="TableContents"/>
              <w:spacing w:before="0" w:after="283"/>
              <w:jc w:val="left"/>
              <w:rPr/>
            </w:pPr>
            <w:r>
              <w:rPr/>
              <w:t> </w:t>
            </w:r>
          </w:p>
        </w:tc>
      </w:tr>
      <w:tr>
        <w:trPr/>
        <w:tc>
          <w:tcPr>
            <w:tcW w:w="5541" w:type="dxa"/>
            <w:tcBorders/>
            <w:shd w:fill="CCEEFF" w:val="clear"/>
            <w:tcMar>
              <w:bottom w:w="0" w:type="dxa"/>
            </w:tcMar>
            <w:vAlign w:val="bottom"/>
          </w:tcPr>
          <w:p>
            <w:pPr>
              <w:pStyle w:val="TableContents"/>
              <w:spacing w:lineRule="auto" w:line="300" w:before="0" w:after="0"/>
              <w:ind w:left="360" w:right="0" w:hanging="180"/>
              <w:jc w:val="left"/>
              <w:rPr>
                <w:rFonts w:ascii="Times New Roman" w:hAnsi="Times New Roman"/>
                <w:sz w:val="20"/>
              </w:rPr>
            </w:pPr>
            <w:bookmarkStart w:id="2673" w:name="TAB11198"/>
            <w:bookmarkEnd w:id="2673"/>
            <w:r>
              <w:rPr>
                <w:rFonts w:ascii="Times New Roman" w:hAnsi="Times New Roman"/>
                <w:sz w:val="20"/>
              </w:rPr>
              <w:t>Repayment of long-term borrowings</w:t>
            </w:r>
          </w:p>
        </w:tc>
        <w:tc>
          <w:tcPr>
            <w:tcW w:w="199" w:type="dxa"/>
            <w:tcBorders/>
            <w:shd w:fill="CCEEFF" w:val="clear"/>
            <w:tcMar>
              <w:bottom w:w="0" w:type="dxa"/>
            </w:tcMar>
            <w:vAlign w:val="center"/>
          </w:tcPr>
          <w:p>
            <w:pPr>
              <w:pStyle w:val="TableContents"/>
              <w:spacing w:before="0" w:after="283"/>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186"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(6,242</w:t>
            </w:r>
          </w:p>
        </w:tc>
        <w:tc>
          <w:tcPr>
            <w:tcW w:w="205"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25" w:type="dxa"/>
            <w:tcBorders/>
            <w:shd w:fill="CCEEFF" w:val="clear"/>
            <w:tcMar>
              <w:bottom w:w="0" w:type="dxa"/>
            </w:tcMar>
            <w:vAlign w:val="bottom"/>
          </w:tcPr>
          <w:p>
            <w:pPr>
              <w:pStyle w:val="TableContents"/>
              <w:spacing w:before="0" w:after="283"/>
              <w:jc w:val="left"/>
              <w:rPr/>
            </w:pPr>
            <w:r>
              <w:rPr/>
              <w:t> </w:t>
            </w:r>
          </w:p>
        </w:tc>
        <w:tc>
          <w:tcPr>
            <w:tcW w:w="1186"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(513</w:t>
            </w:r>
          </w:p>
        </w:tc>
        <w:tc>
          <w:tcPr>
            <w:tcW w:w="205"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25" w:type="dxa"/>
            <w:tcBorders/>
            <w:shd w:fill="CCEEFF" w:val="clear"/>
            <w:tcMar>
              <w:bottom w:w="0" w:type="dxa"/>
            </w:tcMar>
            <w:vAlign w:val="bottom"/>
          </w:tcPr>
          <w:p>
            <w:pPr>
              <w:pStyle w:val="TableContents"/>
              <w:spacing w:before="0" w:after="283"/>
              <w:jc w:val="left"/>
              <w:rPr/>
            </w:pPr>
            <w:r>
              <w:rPr/>
              <w:t> </w:t>
            </w:r>
          </w:p>
        </w:tc>
        <w:tc>
          <w:tcPr>
            <w:tcW w:w="1186"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(52,439</w:t>
            </w:r>
          </w:p>
        </w:tc>
        <w:tc>
          <w:tcPr>
            <w:tcW w:w="122"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r>
      <w:tr>
        <w:trPr/>
        <w:tc>
          <w:tcPr>
            <w:tcW w:w="5541" w:type="dxa"/>
            <w:tcBorders/>
            <w:shd w:fill="FFFFFF" w:val="clear"/>
            <w:tcMar>
              <w:bottom w:w="0" w:type="dxa"/>
            </w:tcMar>
            <w:vAlign w:val="bottom"/>
          </w:tcPr>
          <w:p>
            <w:pPr>
              <w:pStyle w:val="TableContents"/>
              <w:spacing w:lineRule="auto" w:line="300" w:before="0" w:after="0"/>
              <w:ind w:left="360" w:right="0" w:hanging="180"/>
              <w:jc w:val="left"/>
              <w:rPr>
                <w:rFonts w:ascii="Times New Roman" w:hAnsi="Times New Roman"/>
                <w:sz w:val="20"/>
              </w:rPr>
            </w:pPr>
            <w:bookmarkStart w:id="2674" w:name="TAB11199"/>
            <w:bookmarkEnd w:id="2674"/>
            <w:r>
              <w:rPr>
                <w:rFonts w:ascii="Times New Roman" w:hAnsi="Times New Roman"/>
                <w:sz w:val="20"/>
              </w:rPr>
              <w:t>Proceeds from borrowings</w:t>
            </w:r>
          </w:p>
        </w:tc>
        <w:tc>
          <w:tcPr>
            <w:tcW w:w="199" w:type="dxa"/>
            <w:tcBorders/>
            <w:shd w:fill="FFFFFF" w:val="clear"/>
            <w:tcMar>
              <w:bottom w:w="0" w:type="dxa"/>
            </w:tcMar>
            <w:vAlign w:val="center"/>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86"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19,274</w:t>
            </w:r>
          </w:p>
        </w:tc>
        <w:tc>
          <w:tcPr>
            <w:tcW w:w="205"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86"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31,666</w:t>
            </w:r>
          </w:p>
        </w:tc>
        <w:tc>
          <w:tcPr>
            <w:tcW w:w="205"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86"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60,681</w:t>
            </w:r>
          </w:p>
        </w:tc>
        <w:tc>
          <w:tcPr>
            <w:tcW w:w="122" w:type="dxa"/>
            <w:tcBorders/>
            <w:shd w:fill="FFFFFF" w:val="clear"/>
            <w:tcMar>
              <w:bottom w:w="0" w:type="dxa"/>
            </w:tcMar>
            <w:vAlign w:val="bottom"/>
          </w:tcPr>
          <w:p>
            <w:pPr>
              <w:pStyle w:val="TableContents"/>
              <w:spacing w:before="0" w:after="283"/>
              <w:jc w:val="left"/>
              <w:rPr/>
            </w:pPr>
            <w:r>
              <w:rPr/>
              <w:t> </w:t>
            </w:r>
          </w:p>
        </w:tc>
      </w:tr>
      <w:tr>
        <w:trPr/>
        <w:tc>
          <w:tcPr>
            <w:tcW w:w="5541" w:type="dxa"/>
            <w:tcBorders/>
            <w:shd w:fill="CCEEFF" w:val="clear"/>
            <w:tcMar>
              <w:bottom w:w="0" w:type="dxa"/>
            </w:tcMar>
            <w:vAlign w:val="bottom"/>
          </w:tcPr>
          <w:p>
            <w:pPr>
              <w:pStyle w:val="TableContents"/>
              <w:spacing w:lineRule="auto" w:line="300" w:before="0" w:after="0"/>
              <w:ind w:left="360" w:right="0" w:hanging="180"/>
              <w:jc w:val="left"/>
              <w:rPr>
                <w:rFonts w:ascii="Times New Roman" w:hAnsi="Times New Roman"/>
                <w:sz w:val="20"/>
              </w:rPr>
            </w:pPr>
            <w:bookmarkStart w:id="2675" w:name="TAB11200"/>
            <w:bookmarkEnd w:id="2675"/>
            <w:r>
              <w:rPr>
                <w:rFonts w:ascii="Times New Roman" w:hAnsi="Times New Roman"/>
                <w:sz w:val="20"/>
              </w:rPr>
              <w:t>Capitalized borrowing costs</w:t>
            </w:r>
          </w:p>
        </w:tc>
        <w:tc>
          <w:tcPr>
            <w:tcW w:w="199" w:type="dxa"/>
            <w:tcBorders/>
            <w:shd w:fill="CCEEFF" w:val="clear"/>
            <w:tcMar>
              <w:bottom w:w="0" w:type="dxa"/>
            </w:tcMar>
            <w:vAlign w:val="center"/>
          </w:tcPr>
          <w:p>
            <w:pPr>
              <w:pStyle w:val="TableContents"/>
              <w:spacing w:before="0" w:after="283"/>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186"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(223</w:t>
            </w:r>
          </w:p>
        </w:tc>
        <w:tc>
          <w:tcPr>
            <w:tcW w:w="205"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25" w:type="dxa"/>
            <w:tcBorders/>
            <w:shd w:fill="CCEEFF" w:val="clear"/>
            <w:tcMar>
              <w:bottom w:w="0" w:type="dxa"/>
            </w:tcMar>
            <w:vAlign w:val="bottom"/>
          </w:tcPr>
          <w:p>
            <w:pPr>
              <w:pStyle w:val="TableContents"/>
              <w:spacing w:before="0" w:after="283"/>
              <w:jc w:val="left"/>
              <w:rPr/>
            </w:pPr>
            <w:r>
              <w:rPr/>
              <w:t> </w:t>
            </w:r>
          </w:p>
        </w:tc>
        <w:tc>
          <w:tcPr>
            <w:tcW w:w="1186"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205"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186"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(266</w:t>
            </w:r>
          </w:p>
        </w:tc>
        <w:tc>
          <w:tcPr>
            <w:tcW w:w="122"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r>
      <w:tr>
        <w:trPr/>
        <w:tc>
          <w:tcPr>
            <w:tcW w:w="5541" w:type="dxa"/>
            <w:tcBorders/>
            <w:shd w:fill="FFFFFF" w:val="clear"/>
            <w:tcMar>
              <w:bottom w:w="0" w:type="dxa"/>
            </w:tcMar>
            <w:vAlign w:val="bottom"/>
          </w:tcPr>
          <w:p>
            <w:pPr>
              <w:pStyle w:val="TableContents"/>
              <w:spacing w:lineRule="auto" w:line="300" w:before="0" w:after="0"/>
              <w:ind w:left="360" w:right="0" w:hanging="180"/>
              <w:jc w:val="left"/>
              <w:rPr>
                <w:rFonts w:ascii="Times New Roman" w:hAnsi="Times New Roman"/>
                <w:sz w:val="20"/>
              </w:rPr>
            </w:pPr>
            <w:bookmarkStart w:id="2676" w:name="TAB11201"/>
            <w:bookmarkEnd w:id="2676"/>
            <w:r>
              <w:rPr>
                <w:rFonts w:ascii="Times New Roman" w:hAnsi="Times New Roman"/>
                <w:sz w:val="20"/>
              </w:rPr>
              <w:t>Option deposit received</w:t>
            </w:r>
          </w:p>
        </w:tc>
        <w:tc>
          <w:tcPr>
            <w:tcW w:w="199" w:type="dxa"/>
            <w:tcBorders/>
            <w:shd w:fill="FFFFFF" w:val="clear"/>
            <w:tcMar>
              <w:bottom w:w="0" w:type="dxa"/>
            </w:tcMar>
            <w:vAlign w:val="center"/>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86"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3,000</w:t>
            </w:r>
          </w:p>
        </w:tc>
        <w:tc>
          <w:tcPr>
            <w:tcW w:w="205"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86"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205"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86"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122" w:type="dxa"/>
            <w:tcBorders/>
            <w:shd w:fill="FFFFFF" w:val="clear"/>
            <w:tcMar>
              <w:bottom w:w="0" w:type="dxa"/>
            </w:tcMar>
            <w:vAlign w:val="bottom"/>
          </w:tcPr>
          <w:p>
            <w:pPr>
              <w:pStyle w:val="TableContents"/>
              <w:spacing w:before="0" w:after="283"/>
              <w:jc w:val="left"/>
              <w:rPr/>
            </w:pPr>
            <w:r>
              <w:rPr/>
              <w:t> </w:t>
            </w:r>
          </w:p>
        </w:tc>
      </w:tr>
      <w:tr>
        <w:trPr/>
        <w:tc>
          <w:tcPr>
            <w:tcW w:w="5541" w:type="dxa"/>
            <w:tcBorders/>
            <w:shd w:fill="CCEEFF" w:val="clear"/>
            <w:tcMar>
              <w:bottom w:w="0" w:type="dxa"/>
            </w:tcMar>
            <w:vAlign w:val="bottom"/>
          </w:tcPr>
          <w:p>
            <w:pPr>
              <w:pStyle w:val="TableContents"/>
              <w:spacing w:lineRule="auto" w:line="300" w:before="0" w:after="0"/>
              <w:ind w:left="360" w:right="0" w:hanging="180"/>
              <w:jc w:val="left"/>
              <w:rPr>
                <w:rFonts w:ascii="Times New Roman" w:hAnsi="Times New Roman"/>
                <w:sz w:val="20"/>
              </w:rPr>
            </w:pPr>
            <w:bookmarkStart w:id="2677" w:name="TAB11202"/>
            <w:bookmarkEnd w:id="2677"/>
            <w:r>
              <w:rPr>
                <w:rFonts w:ascii="Times New Roman" w:hAnsi="Times New Roman"/>
                <w:sz w:val="20"/>
              </w:rPr>
              <w:t>Proceeds from exercise of stock options</w:t>
            </w:r>
          </w:p>
        </w:tc>
        <w:tc>
          <w:tcPr>
            <w:tcW w:w="199" w:type="dxa"/>
            <w:tcBorders/>
            <w:shd w:fill="CCEEFF" w:val="clear"/>
            <w:tcMar>
              <w:bottom w:w="0" w:type="dxa"/>
            </w:tcMar>
            <w:vAlign w:val="center"/>
          </w:tcPr>
          <w:p>
            <w:pPr>
              <w:pStyle w:val="TableContents"/>
              <w:spacing w:before="0" w:after="283"/>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186"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88</w:t>
            </w:r>
          </w:p>
        </w:tc>
        <w:tc>
          <w:tcPr>
            <w:tcW w:w="205"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186"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161</w:t>
            </w:r>
          </w:p>
        </w:tc>
        <w:tc>
          <w:tcPr>
            <w:tcW w:w="205"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186"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122" w:type="dxa"/>
            <w:tcBorders/>
            <w:shd w:fill="CCEEFF" w:val="clear"/>
            <w:tcMar>
              <w:bottom w:w="0" w:type="dxa"/>
            </w:tcMar>
            <w:vAlign w:val="bottom"/>
          </w:tcPr>
          <w:p>
            <w:pPr>
              <w:pStyle w:val="TableContents"/>
              <w:spacing w:before="0" w:after="283"/>
              <w:jc w:val="left"/>
              <w:rPr/>
            </w:pPr>
            <w:r>
              <w:rPr/>
              <w:t> </w:t>
            </w:r>
          </w:p>
        </w:tc>
      </w:tr>
      <w:tr>
        <w:trPr/>
        <w:tc>
          <w:tcPr>
            <w:tcW w:w="5541" w:type="dxa"/>
            <w:tcBorders/>
            <w:shd w:fill="FFFFFF" w:val="clear"/>
            <w:tcMar>
              <w:bottom w:w="0" w:type="dxa"/>
            </w:tcMar>
            <w:vAlign w:val="bottom"/>
          </w:tcPr>
          <w:p>
            <w:pPr>
              <w:pStyle w:val="TableContents"/>
              <w:spacing w:lineRule="auto" w:line="300" w:before="0" w:after="0"/>
              <w:ind w:left="360" w:right="0" w:hanging="180"/>
              <w:jc w:val="left"/>
              <w:rPr>
                <w:rFonts w:ascii="Times New Roman" w:hAnsi="Times New Roman"/>
                <w:sz w:val="20"/>
              </w:rPr>
            </w:pPr>
            <w:bookmarkStart w:id="2678" w:name="TAB11203"/>
            <w:bookmarkEnd w:id="2678"/>
            <w:r>
              <w:rPr>
                <w:rFonts w:ascii="Times New Roman" w:hAnsi="Times New Roman"/>
                <w:sz w:val="20"/>
              </w:rPr>
              <w:t>Repurchase of Class A Nonvoting Common Stock</w:t>
            </w:r>
          </w:p>
        </w:tc>
        <w:tc>
          <w:tcPr>
            <w:tcW w:w="199" w:type="dxa"/>
            <w:tcBorders/>
            <w:shd w:fill="FFFFFF" w:val="clear"/>
            <w:tcMar>
              <w:bottom w:w="0" w:type="dxa"/>
            </w:tcMar>
            <w:vAlign w:val="center"/>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86"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(791</w:t>
            </w:r>
          </w:p>
        </w:tc>
        <w:tc>
          <w:tcPr>
            <w:tcW w:w="205"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25" w:type="dxa"/>
            <w:tcBorders/>
            <w:shd w:fill="FFFFFF" w:val="clear"/>
            <w:tcMar>
              <w:bottom w:w="0" w:type="dxa"/>
            </w:tcMar>
            <w:vAlign w:val="bottom"/>
          </w:tcPr>
          <w:p>
            <w:pPr>
              <w:pStyle w:val="TableContents"/>
              <w:spacing w:before="0" w:after="283"/>
              <w:jc w:val="left"/>
              <w:rPr/>
            </w:pPr>
            <w:r>
              <w:rPr/>
              <w:t> </w:t>
            </w:r>
          </w:p>
        </w:tc>
        <w:tc>
          <w:tcPr>
            <w:tcW w:w="1186"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205"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86"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122" w:type="dxa"/>
            <w:tcBorders/>
            <w:shd w:fill="FFFFFF" w:val="clear"/>
            <w:tcMar>
              <w:bottom w:w="0" w:type="dxa"/>
            </w:tcMar>
            <w:vAlign w:val="bottom"/>
          </w:tcPr>
          <w:p>
            <w:pPr>
              <w:pStyle w:val="TableContents"/>
              <w:spacing w:before="0" w:after="283"/>
              <w:jc w:val="left"/>
              <w:rPr/>
            </w:pPr>
            <w:r>
              <w:rPr/>
              <w:t> </w:t>
            </w:r>
          </w:p>
        </w:tc>
      </w:tr>
      <w:tr>
        <w:trPr/>
        <w:tc>
          <w:tcPr>
            <w:tcW w:w="5541" w:type="dxa"/>
            <w:tcBorders>
              <w:bottom w:val="single" w:sz="2" w:space="0" w:color="000000"/>
            </w:tcBorders>
            <w:shd w:fill="CCEEFF" w:val="clear"/>
            <w:vAlign w:val="bottom"/>
          </w:tcPr>
          <w:p>
            <w:pPr>
              <w:pStyle w:val="TableContents"/>
              <w:spacing w:lineRule="auto" w:line="300" w:before="0" w:after="0"/>
              <w:ind w:left="360" w:right="0" w:hanging="180"/>
              <w:jc w:val="left"/>
              <w:rPr>
                <w:rFonts w:ascii="Times New Roman" w:hAnsi="Times New Roman"/>
                <w:sz w:val="20"/>
              </w:rPr>
            </w:pPr>
            <w:bookmarkStart w:id="2679" w:name="TAB11204"/>
            <w:bookmarkEnd w:id="2679"/>
            <w:r>
              <w:rPr>
                <w:rFonts w:ascii="Times New Roman" w:hAnsi="Times New Roman"/>
                <w:sz w:val="20"/>
              </w:rPr>
              <w:t>Minority interest distributions</w:t>
            </w:r>
          </w:p>
        </w:tc>
        <w:tc>
          <w:tcPr>
            <w:tcW w:w="199" w:type="dxa"/>
            <w:tcBorders>
              <w:bottom w:val="single" w:sz="4" w:space="0" w:color="CCEEFF"/>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vAlign w:val="bottom"/>
          </w:tcPr>
          <w:p>
            <w:pPr>
              <w:pStyle w:val="TableContents"/>
              <w:spacing w:before="0" w:after="283"/>
              <w:jc w:val="left"/>
              <w:rPr/>
            </w:pPr>
            <w:r>
              <w:rPr/>
              <w:t> </w:t>
            </w:r>
          </w:p>
        </w:tc>
        <w:tc>
          <w:tcPr>
            <w:tcW w:w="1186"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(1,167</w:t>
            </w:r>
          </w:p>
        </w:tc>
        <w:tc>
          <w:tcPr>
            <w:tcW w:w="205" w:type="dxa"/>
            <w:tcBorders>
              <w:bottom w:val="single" w:sz="4" w:space="0" w:color="CCEEFF"/>
            </w:tcBorders>
            <w:shd w:fill="CCEE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25" w:type="dxa"/>
            <w:tcBorders>
              <w:bottom w:val="single" w:sz="2" w:space="0" w:color="000000"/>
            </w:tcBorders>
            <w:shd w:fill="CCEEFF" w:val="clear"/>
            <w:vAlign w:val="bottom"/>
          </w:tcPr>
          <w:p>
            <w:pPr>
              <w:pStyle w:val="TableContents"/>
              <w:spacing w:before="0" w:after="283"/>
              <w:jc w:val="left"/>
              <w:rPr/>
            </w:pPr>
            <w:r>
              <w:rPr/>
              <w:t> </w:t>
            </w:r>
          </w:p>
        </w:tc>
        <w:tc>
          <w:tcPr>
            <w:tcW w:w="1186"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(944</w:t>
            </w:r>
          </w:p>
        </w:tc>
        <w:tc>
          <w:tcPr>
            <w:tcW w:w="205" w:type="dxa"/>
            <w:tcBorders>
              <w:bottom w:val="single" w:sz="4" w:space="0" w:color="CCEEFF"/>
            </w:tcBorders>
            <w:shd w:fill="CCEE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25" w:type="dxa"/>
            <w:tcBorders>
              <w:bottom w:val="single" w:sz="2" w:space="0" w:color="000000"/>
            </w:tcBorders>
            <w:shd w:fill="CCEEFF" w:val="clear"/>
            <w:vAlign w:val="bottom"/>
          </w:tcPr>
          <w:p>
            <w:pPr>
              <w:pStyle w:val="TableContents"/>
              <w:spacing w:before="0" w:after="283"/>
              <w:jc w:val="left"/>
              <w:rPr/>
            </w:pPr>
            <w:r>
              <w:rPr/>
              <w:t> </w:t>
            </w:r>
          </w:p>
        </w:tc>
        <w:tc>
          <w:tcPr>
            <w:tcW w:w="1186"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(1,137</w:t>
            </w:r>
          </w:p>
        </w:tc>
        <w:tc>
          <w:tcPr>
            <w:tcW w:w="122" w:type="dxa"/>
            <w:tcBorders>
              <w:bottom w:val="single" w:sz="4" w:space="0" w:color="CCEEFF"/>
            </w:tcBorders>
            <w:shd w:fill="CCEE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r>
      <w:tr>
        <w:trPr/>
        <w:tc>
          <w:tcPr>
            <w:tcW w:w="5541" w:type="dxa"/>
            <w:tcBorders>
              <w:bottom w:val="single" w:sz="2" w:space="0" w:color="000000"/>
            </w:tcBorders>
            <w:shd w:fill="FFFFFF" w:val="clear"/>
            <w:vAlign w:val="bottom"/>
          </w:tcPr>
          <w:p>
            <w:pPr>
              <w:pStyle w:val="TableContents"/>
              <w:spacing w:lineRule="auto" w:line="300" w:before="0" w:after="0"/>
              <w:ind w:left="180" w:right="0" w:hanging="180"/>
              <w:jc w:val="left"/>
              <w:rPr>
                <w:rFonts w:ascii="Times New Roman" w:hAnsi="Times New Roman"/>
                <w:sz w:val="20"/>
              </w:rPr>
            </w:pPr>
            <w:r>
              <w:rPr>
                <w:rFonts w:ascii="Times New Roman" w:hAnsi="Times New Roman"/>
                <w:sz w:val="20"/>
              </w:rPr>
              <w:t>Net cash provided by financing activities</w:t>
            </w:r>
          </w:p>
        </w:tc>
        <w:tc>
          <w:tcPr>
            <w:tcW w:w="199" w:type="dxa"/>
            <w:tcBorders>
              <w:bottom w:val="single" w:sz="2" w:space="0" w:color="FFFFFF"/>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vAlign w:val="bottom"/>
          </w:tcPr>
          <w:p>
            <w:pPr>
              <w:pStyle w:val="TableContents"/>
              <w:spacing w:before="0" w:after="283"/>
              <w:jc w:val="left"/>
              <w:rPr/>
            </w:pPr>
            <w:r>
              <w:rPr/>
              <w:t> </w:t>
            </w:r>
          </w:p>
        </w:tc>
        <w:tc>
          <w:tcPr>
            <w:tcW w:w="1186"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13,939</w:t>
            </w:r>
          </w:p>
        </w:tc>
        <w:tc>
          <w:tcPr>
            <w:tcW w:w="205" w:type="dxa"/>
            <w:tcBorders>
              <w:bottom w:val="single" w:sz="2" w:space="0" w:color="FFFFFF"/>
            </w:tcBorders>
            <w:shd w:fill="FFFFFF" w:val="clear"/>
            <w:vAlign w:val="bottom"/>
          </w:tcPr>
          <w:p>
            <w:pPr>
              <w:pStyle w:val="TableContents"/>
              <w:spacing w:before="0" w:after="283"/>
              <w:jc w:val="left"/>
              <w:rPr/>
            </w:pPr>
            <w:r>
              <w:rPr/>
              <w:t> </w:t>
            </w:r>
          </w:p>
        </w:tc>
        <w:tc>
          <w:tcPr>
            <w:tcW w:w="125" w:type="dxa"/>
            <w:tcBorders>
              <w:bottom w:val="single" w:sz="2" w:space="0" w:color="000000"/>
            </w:tcBorders>
            <w:shd w:fill="FFFFFF" w:val="clear"/>
            <w:vAlign w:val="bottom"/>
          </w:tcPr>
          <w:p>
            <w:pPr>
              <w:pStyle w:val="TableContents"/>
              <w:spacing w:before="0" w:after="283"/>
              <w:jc w:val="left"/>
              <w:rPr/>
            </w:pPr>
            <w:r>
              <w:rPr/>
              <w:t> </w:t>
            </w:r>
          </w:p>
        </w:tc>
        <w:tc>
          <w:tcPr>
            <w:tcW w:w="1186"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30,370</w:t>
            </w:r>
          </w:p>
        </w:tc>
        <w:tc>
          <w:tcPr>
            <w:tcW w:w="205" w:type="dxa"/>
            <w:tcBorders>
              <w:bottom w:val="single" w:sz="2" w:space="0" w:color="FFFFFF"/>
            </w:tcBorders>
            <w:shd w:fill="FFFFFF" w:val="clear"/>
            <w:vAlign w:val="bottom"/>
          </w:tcPr>
          <w:p>
            <w:pPr>
              <w:pStyle w:val="TableContents"/>
              <w:spacing w:before="0" w:after="283"/>
              <w:jc w:val="left"/>
              <w:rPr/>
            </w:pPr>
            <w:r>
              <w:rPr/>
              <w:t> </w:t>
            </w:r>
          </w:p>
        </w:tc>
        <w:tc>
          <w:tcPr>
            <w:tcW w:w="125" w:type="dxa"/>
            <w:tcBorders>
              <w:bottom w:val="single" w:sz="2" w:space="0" w:color="000000"/>
            </w:tcBorders>
            <w:shd w:fill="FFFFFF" w:val="clear"/>
            <w:vAlign w:val="bottom"/>
          </w:tcPr>
          <w:p>
            <w:pPr>
              <w:pStyle w:val="TableContents"/>
              <w:spacing w:before="0" w:after="283"/>
              <w:jc w:val="left"/>
              <w:rPr/>
            </w:pPr>
            <w:r>
              <w:rPr/>
              <w:t> </w:t>
            </w:r>
          </w:p>
        </w:tc>
        <w:tc>
          <w:tcPr>
            <w:tcW w:w="1186"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6,839</w:t>
            </w:r>
          </w:p>
        </w:tc>
        <w:tc>
          <w:tcPr>
            <w:tcW w:w="122" w:type="dxa"/>
            <w:tcBorders>
              <w:bottom w:val="single" w:sz="2" w:space="0" w:color="FFFFFF"/>
            </w:tcBorders>
            <w:shd w:fill="FFFFFF" w:val="clear"/>
            <w:vAlign w:val="bottom"/>
          </w:tcPr>
          <w:p>
            <w:pPr>
              <w:pStyle w:val="TableContents"/>
              <w:spacing w:before="0" w:after="283"/>
              <w:jc w:val="left"/>
              <w:rPr/>
            </w:pPr>
            <w:r>
              <w:rPr/>
              <w:t> </w:t>
            </w:r>
          </w:p>
        </w:tc>
      </w:tr>
      <w:tr>
        <w:trPr/>
        <w:tc>
          <w:tcPr>
            <w:tcW w:w="5541" w:type="dxa"/>
            <w:tcBorders/>
            <w:shd w:fill="CCEEFF" w:val="clear"/>
            <w:tcMar>
              <w:bottom w:w="0" w:type="dxa"/>
            </w:tcMar>
            <w:vAlign w:val="bottom"/>
          </w:tcPr>
          <w:p>
            <w:pPr>
              <w:pStyle w:val="TableContents"/>
              <w:spacing w:lineRule="auto" w:line="300" w:before="0" w:after="0"/>
              <w:ind w:left="180" w:right="0" w:hanging="180"/>
              <w:jc w:val="left"/>
              <w:rPr/>
            </w:pPr>
            <w:r>
              <w:rPr>
                <w:rStyle w:val="StrongEmphasis"/>
                <w:rFonts w:ascii="Times New Roman" w:hAnsi="Times New Roman"/>
                <w:sz w:val="20"/>
              </w:rPr>
              <w:t>Increase (decrease) in cash and cash equivalents</w:t>
            </w:r>
          </w:p>
        </w:tc>
        <w:tc>
          <w:tcPr>
            <w:tcW w:w="199" w:type="dxa"/>
            <w:tcBorders/>
            <w:shd w:fill="CCEEFF" w:val="clear"/>
            <w:tcMar>
              <w:bottom w:w="0" w:type="dxa"/>
            </w:tcMar>
            <w:vAlign w:val="center"/>
          </w:tcPr>
          <w:p>
            <w:pPr>
              <w:pStyle w:val="TableContents"/>
              <w:spacing w:before="0" w:after="283"/>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186"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2,403</w:t>
            </w:r>
          </w:p>
        </w:tc>
        <w:tc>
          <w:tcPr>
            <w:tcW w:w="205"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186"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(3,880</w:t>
            </w:r>
          </w:p>
        </w:tc>
        <w:tc>
          <w:tcPr>
            <w:tcW w:w="205"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25" w:type="dxa"/>
            <w:tcBorders/>
            <w:shd w:fill="CCEEFF" w:val="clear"/>
            <w:tcMar>
              <w:bottom w:w="0" w:type="dxa"/>
            </w:tcMar>
            <w:vAlign w:val="bottom"/>
          </w:tcPr>
          <w:p>
            <w:pPr>
              <w:pStyle w:val="TableContents"/>
              <w:spacing w:before="0" w:after="283"/>
              <w:jc w:val="left"/>
              <w:rPr/>
            </w:pPr>
            <w:r>
              <w:rPr/>
              <w:t> </w:t>
            </w:r>
          </w:p>
        </w:tc>
        <w:tc>
          <w:tcPr>
            <w:tcW w:w="1186"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(9,695</w:t>
            </w:r>
          </w:p>
        </w:tc>
        <w:tc>
          <w:tcPr>
            <w:tcW w:w="122"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r>
      <w:tr>
        <w:trPr/>
        <w:tc>
          <w:tcPr>
            <w:tcW w:w="5541" w:type="dxa"/>
            <w:tcBorders/>
            <w:shd w:fill="FFFFFF" w:val="clear"/>
            <w:tcMar>
              <w:bottom w:w="0" w:type="dxa"/>
            </w:tcMar>
            <w:vAlign w:val="bottom"/>
          </w:tcPr>
          <w:p>
            <w:pPr>
              <w:pStyle w:val="TableContents"/>
              <w:spacing w:lineRule="auto" w:line="300" w:before="0" w:after="0"/>
              <w:ind w:left="180" w:right="0" w:hanging="180"/>
              <w:jc w:val="left"/>
              <w:rPr/>
            </w:pPr>
            <w:r>
              <w:rPr>
                <w:rStyle w:val="StrongEmphasis"/>
                <w:rFonts w:ascii="Times New Roman" w:hAnsi="Times New Roman"/>
                <w:sz w:val="20"/>
              </w:rPr>
              <w:t>Effect of exchange rate on cash</w:t>
            </w:r>
          </w:p>
        </w:tc>
        <w:tc>
          <w:tcPr>
            <w:tcW w:w="199" w:type="dxa"/>
            <w:tcBorders/>
            <w:shd w:fill="FFFFFF" w:val="clear"/>
            <w:tcMar>
              <w:bottom w:w="0" w:type="dxa"/>
            </w:tcMar>
            <w:vAlign w:val="center"/>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86"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57</w:t>
            </w:r>
          </w:p>
        </w:tc>
        <w:tc>
          <w:tcPr>
            <w:tcW w:w="205"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86"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136</w:t>
            </w:r>
          </w:p>
        </w:tc>
        <w:tc>
          <w:tcPr>
            <w:tcW w:w="205"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86"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252</w:t>
            </w:r>
          </w:p>
        </w:tc>
        <w:tc>
          <w:tcPr>
            <w:tcW w:w="122" w:type="dxa"/>
            <w:tcBorders/>
            <w:shd w:fill="FFFFFF" w:val="clear"/>
            <w:tcMar>
              <w:bottom w:w="0" w:type="dxa"/>
            </w:tcMar>
            <w:vAlign w:val="bottom"/>
          </w:tcPr>
          <w:p>
            <w:pPr>
              <w:pStyle w:val="TableContents"/>
              <w:spacing w:before="0" w:after="283"/>
              <w:jc w:val="left"/>
              <w:rPr/>
            </w:pPr>
            <w:r>
              <w:rPr/>
              <w:t> </w:t>
            </w:r>
          </w:p>
        </w:tc>
      </w:tr>
      <w:tr>
        <w:trPr/>
        <w:tc>
          <w:tcPr>
            <w:tcW w:w="5541" w:type="dxa"/>
            <w:tcBorders>
              <w:bottom w:val="single" w:sz="2" w:space="0" w:color="000000"/>
            </w:tcBorders>
            <w:shd w:fill="CCEEFF" w:val="clear"/>
            <w:vAlign w:val="bottom"/>
          </w:tcPr>
          <w:p>
            <w:pPr>
              <w:pStyle w:val="TableContents"/>
              <w:spacing w:lineRule="auto" w:line="300" w:before="0" w:after="0"/>
              <w:ind w:left="180" w:right="0" w:hanging="180"/>
              <w:jc w:val="left"/>
              <w:rPr/>
            </w:pPr>
            <w:r>
              <w:rPr>
                <w:rStyle w:val="StrongEmphasis"/>
                <w:rFonts w:ascii="Times New Roman" w:hAnsi="Times New Roman"/>
                <w:sz w:val="20"/>
              </w:rPr>
              <w:t>Cash and cash equivalents at beginning of year</w:t>
            </w:r>
          </w:p>
        </w:tc>
        <w:tc>
          <w:tcPr>
            <w:tcW w:w="199" w:type="dxa"/>
            <w:tcBorders>
              <w:bottom w:val="single" w:sz="2" w:space="0" w:color="CCEEFF"/>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vAlign w:val="bottom"/>
          </w:tcPr>
          <w:p>
            <w:pPr>
              <w:pStyle w:val="TableContents"/>
              <w:spacing w:before="0" w:after="283"/>
              <w:jc w:val="left"/>
              <w:rPr/>
            </w:pPr>
            <w:r>
              <w:rPr/>
              <w:t> </w:t>
            </w:r>
          </w:p>
        </w:tc>
        <w:tc>
          <w:tcPr>
            <w:tcW w:w="1186"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8,548</w:t>
            </w:r>
          </w:p>
        </w:tc>
        <w:tc>
          <w:tcPr>
            <w:tcW w:w="205" w:type="dxa"/>
            <w:tcBorders>
              <w:bottom w:val="single" w:sz="2" w:space="0" w:color="CCEEFF"/>
            </w:tcBorders>
            <w:shd w:fill="CCEEFF" w:val="clear"/>
            <w:vAlign w:val="bottom"/>
          </w:tcPr>
          <w:p>
            <w:pPr>
              <w:pStyle w:val="TableContents"/>
              <w:spacing w:before="0" w:after="283"/>
              <w:jc w:val="left"/>
              <w:rPr/>
            </w:pPr>
            <w:r>
              <w:rPr/>
              <w:t> </w:t>
            </w:r>
          </w:p>
        </w:tc>
        <w:tc>
          <w:tcPr>
            <w:tcW w:w="125" w:type="dxa"/>
            <w:tcBorders>
              <w:bottom w:val="single" w:sz="2" w:space="0" w:color="000000"/>
            </w:tcBorders>
            <w:shd w:fill="CCEEFF" w:val="clear"/>
            <w:vAlign w:val="bottom"/>
          </w:tcPr>
          <w:p>
            <w:pPr>
              <w:pStyle w:val="TableContents"/>
              <w:spacing w:before="0" w:after="283"/>
              <w:jc w:val="left"/>
              <w:rPr/>
            </w:pPr>
            <w:r>
              <w:rPr/>
              <w:t> </w:t>
            </w:r>
          </w:p>
        </w:tc>
        <w:tc>
          <w:tcPr>
            <w:tcW w:w="1186"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12,292</w:t>
            </w:r>
          </w:p>
        </w:tc>
        <w:tc>
          <w:tcPr>
            <w:tcW w:w="205" w:type="dxa"/>
            <w:tcBorders>
              <w:bottom w:val="single" w:sz="2" w:space="0" w:color="CCEEFF"/>
            </w:tcBorders>
            <w:shd w:fill="CCEEFF" w:val="clear"/>
            <w:vAlign w:val="bottom"/>
          </w:tcPr>
          <w:p>
            <w:pPr>
              <w:pStyle w:val="TableContents"/>
              <w:spacing w:before="0" w:after="283"/>
              <w:jc w:val="left"/>
              <w:rPr/>
            </w:pPr>
            <w:r>
              <w:rPr/>
              <w:t> </w:t>
            </w:r>
          </w:p>
        </w:tc>
        <w:tc>
          <w:tcPr>
            <w:tcW w:w="125" w:type="dxa"/>
            <w:tcBorders>
              <w:bottom w:val="single" w:sz="2" w:space="0" w:color="000000"/>
            </w:tcBorders>
            <w:shd w:fill="CCEEFF" w:val="clear"/>
            <w:vAlign w:val="bottom"/>
          </w:tcPr>
          <w:p>
            <w:pPr>
              <w:pStyle w:val="TableContents"/>
              <w:spacing w:before="0" w:after="283"/>
              <w:jc w:val="left"/>
              <w:rPr/>
            </w:pPr>
            <w:r>
              <w:rPr/>
              <w:t> </w:t>
            </w:r>
          </w:p>
        </w:tc>
        <w:tc>
          <w:tcPr>
            <w:tcW w:w="1186"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21,735</w:t>
            </w:r>
          </w:p>
        </w:tc>
        <w:tc>
          <w:tcPr>
            <w:tcW w:w="122" w:type="dxa"/>
            <w:tcBorders>
              <w:bottom w:val="single" w:sz="2" w:space="0" w:color="CCEEFF"/>
            </w:tcBorders>
            <w:shd w:fill="CCEEFF" w:val="clear"/>
            <w:vAlign w:val="bottom"/>
          </w:tcPr>
          <w:p>
            <w:pPr>
              <w:pStyle w:val="TableContents"/>
              <w:spacing w:before="0" w:after="283"/>
              <w:jc w:val="left"/>
              <w:rPr/>
            </w:pPr>
            <w:r>
              <w:rPr/>
              <w:t> </w:t>
            </w:r>
          </w:p>
        </w:tc>
      </w:tr>
      <w:tr>
        <w:trPr/>
        <w:tc>
          <w:tcPr>
            <w:tcW w:w="5541" w:type="dxa"/>
            <w:tcBorders>
              <w:bottom w:val="double" w:sz="2" w:space="0" w:color="000000"/>
            </w:tcBorders>
            <w:shd w:fill="FFFFFF" w:val="clear"/>
            <w:vAlign w:val="bottom"/>
          </w:tcPr>
          <w:p>
            <w:pPr>
              <w:pStyle w:val="TableContents"/>
              <w:spacing w:lineRule="auto" w:line="300" w:before="0" w:after="0"/>
              <w:ind w:left="180" w:right="0" w:hanging="180"/>
              <w:jc w:val="left"/>
              <w:rPr/>
            </w:pPr>
            <w:r>
              <w:rPr>
                <w:rStyle w:val="StrongEmphasis"/>
                <w:rFonts w:ascii="Times New Roman" w:hAnsi="Times New Roman"/>
                <w:sz w:val="20"/>
              </w:rPr>
              <w:t>Cash and cash equivalents at end of year</w:t>
            </w:r>
          </w:p>
        </w:tc>
        <w:tc>
          <w:tcPr>
            <w:tcW w:w="199" w:type="dxa"/>
            <w:tcBorders>
              <w:bottom w:val="single" w:sz="4" w:space="0" w:color="FFFFFF"/>
            </w:tcBorders>
            <w:shd w:fill="FFFFFF" w:val="clear"/>
            <w:vAlign w:val="center"/>
          </w:tcPr>
          <w:p>
            <w:pPr>
              <w:pStyle w:val="TableContents"/>
              <w:spacing w:before="0" w:after="283"/>
              <w:rPr/>
            </w:pPr>
            <w:r>
              <w:rPr/>
              <w:t> </w:t>
            </w:r>
          </w:p>
        </w:tc>
        <w:tc>
          <w:tcPr>
            <w:tcW w:w="125" w:type="dxa"/>
            <w:tcBorders>
              <w:bottom w:val="doub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bookmarkStart w:id="2680" w:name="TAB11205"/>
            <w:bookmarkEnd w:id="2680"/>
            <w:r>
              <w:rPr>
                <w:rFonts w:ascii="Times New Roman" w:hAnsi="Times New Roman"/>
                <w:sz w:val="20"/>
              </w:rPr>
              <w:t>$</w:t>
            </w:r>
          </w:p>
        </w:tc>
        <w:tc>
          <w:tcPr>
            <w:tcW w:w="1186"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2681" w:name="TAB11206"/>
            <w:bookmarkEnd w:id="2681"/>
            <w:r>
              <w:rPr>
                <w:rFonts w:ascii="Times New Roman" w:hAnsi="Times New Roman"/>
                <w:sz w:val="20"/>
              </w:rPr>
              <w:t>11,008</w:t>
            </w:r>
          </w:p>
        </w:tc>
        <w:tc>
          <w:tcPr>
            <w:tcW w:w="205" w:type="dxa"/>
            <w:tcBorders>
              <w:bottom w:val="single" w:sz="4" w:space="0" w:color="FFFFFF"/>
            </w:tcBorders>
            <w:shd w:fill="FFFFFF" w:val="clear"/>
            <w:vAlign w:val="bottom"/>
          </w:tcPr>
          <w:p>
            <w:pPr>
              <w:pStyle w:val="TableContents"/>
              <w:spacing w:before="0" w:after="283"/>
              <w:jc w:val="left"/>
              <w:rPr/>
            </w:pPr>
            <w:r>
              <w:rPr/>
              <w:t> </w:t>
            </w:r>
          </w:p>
        </w:tc>
        <w:tc>
          <w:tcPr>
            <w:tcW w:w="125" w:type="dxa"/>
            <w:tcBorders>
              <w:bottom w:val="doub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bookmarkStart w:id="2682" w:name="TAB11207"/>
            <w:bookmarkEnd w:id="2682"/>
            <w:r>
              <w:rPr>
                <w:rFonts w:ascii="Times New Roman" w:hAnsi="Times New Roman"/>
                <w:sz w:val="20"/>
              </w:rPr>
              <w:t>$</w:t>
            </w:r>
          </w:p>
        </w:tc>
        <w:tc>
          <w:tcPr>
            <w:tcW w:w="1186"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2683" w:name="TAB11208"/>
            <w:bookmarkEnd w:id="2683"/>
            <w:r>
              <w:rPr>
                <w:rFonts w:ascii="Times New Roman" w:hAnsi="Times New Roman"/>
                <w:sz w:val="20"/>
              </w:rPr>
              <w:t>8,548</w:t>
            </w:r>
          </w:p>
        </w:tc>
        <w:tc>
          <w:tcPr>
            <w:tcW w:w="205" w:type="dxa"/>
            <w:tcBorders>
              <w:bottom w:val="single" w:sz="4" w:space="0" w:color="FFFFFF"/>
            </w:tcBorders>
            <w:shd w:fill="FFFFFF" w:val="clear"/>
            <w:vAlign w:val="bottom"/>
          </w:tcPr>
          <w:p>
            <w:pPr>
              <w:pStyle w:val="TableContents"/>
              <w:spacing w:before="0" w:after="283"/>
              <w:jc w:val="left"/>
              <w:rPr/>
            </w:pPr>
            <w:r>
              <w:rPr/>
              <w:t> </w:t>
            </w:r>
          </w:p>
        </w:tc>
        <w:tc>
          <w:tcPr>
            <w:tcW w:w="125" w:type="dxa"/>
            <w:tcBorders>
              <w:bottom w:val="doub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bookmarkStart w:id="2684" w:name="TAB11209"/>
            <w:bookmarkEnd w:id="2684"/>
            <w:r>
              <w:rPr>
                <w:rFonts w:ascii="Times New Roman" w:hAnsi="Times New Roman"/>
                <w:sz w:val="20"/>
              </w:rPr>
              <w:t>$</w:t>
            </w:r>
          </w:p>
        </w:tc>
        <w:tc>
          <w:tcPr>
            <w:tcW w:w="1186"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2685" w:name="TAB11210"/>
            <w:bookmarkEnd w:id="2685"/>
            <w:r>
              <w:rPr>
                <w:rFonts w:ascii="Times New Roman" w:hAnsi="Times New Roman"/>
                <w:sz w:val="20"/>
              </w:rPr>
              <w:t>12,292</w:t>
            </w:r>
          </w:p>
        </w:tc>
        <w:tc>
          <w:tcPr>
            <w:tcW w:w="122" w:type="dxa"/>
            <w:tcBorders>
              <w:bottom w:val="single" w:sz="4" w:space="0" w:color="FFFFFF"/>
            </w:tcBorders>
            <w:shd w:fill="FFFFFF" w:val="clear"/>
            <w:vAlign w:val="bottom"/>
          </w:tcPr>
          <w:p>
            <w:pPr>
              <w:pStyle w:val="TableContents"/>
              <w:spacing w:before="0" w:after="283"/>
              <w:jc w:val="left"/>
              <w:rPr/>
            </w:pPr>
            <w:r>
              <w:rPr/>
              <w:t> </w:t>
            </w:r>
          </w:p>
        </w:tc>
      </w:tr>
      <w:tr>
        <w:trPr/>
        <w:tc>
          <w:tcPr>
            <w:tcW w:w="5541" w:type="dxa"/>
            <w:tcBorders/>
            <w:shd w:fill="CCEEFF" w:val="clear"/>
            <w:tcMar>
              <w:bottom w:w="0" w:type="dxa"/>
            </w:tcMar>
            <w:vAlign w:val="bottom"/>
          </w:tcPr>
          <w:p>
            <w:pPr>
              <w:pStyle w:val="TableContents"/>
              <w:spacing w:lineRule="auto" w:line="300" w:before="0" w:after="0"/>
              <w:ind w:left="180" w:right="0" w:hanging="180"/>
              <w:jc w:val="left"/>
              <w:rPr/>
            </w:pPr>
            <w:r>
              <w:rPr>
                <w:rStyle w:val="StrongEmphasis"/>
                <w:rFonts w:ascii="Times New Roman" w:hAnsi="Times New Roman"/>
                <w:sz w:val="20"/>
              </w:rPr>
              <w:t>Supplemental Disclosures</w:t>
            </w:r>
          </w:p>
        </w:tc>
        <w:tc>
          <w:tcPr>
            <w:tcW w:w="199" w:type="dxa"/>
            <w:tcBorders/>
            <w:shd w:fill="CCEEFF" w:val="clear"/>
            <w:tcMar>
              <w:bottom w:w="0" w:type="dxa"/>
            </w:tcMar>
            <w:vAlign w:val="center"/>
          </w:tcPr>
          <w:p>
            <w:pPr>
              <w:pStyle w:val="TableContents"/>
              <w:spacing w:before="0" w:after="283"/>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186" w:type="dxa"/>
            <w:tcBorders/>
            <w:shd w:fill="CCEEFF" w:val="clear"/>
            <w:tcMar>
              <w:bottom w:w="0" w:type="dxa"/>
            </w:tcMar>
            <w:vAlign w:val="bottom"/>
          </w:tcPr>
          <w:p>
            <w:pPr>
              <w:pStyle w:val="TableContents"/>
              <w:spacing w:before="0" w:after="283"/>
              <w:jc w:val="right"/>
              <w:rPr/>
            </w:pPr>
            <w:r>
              <w:rPr/>
              <w:t> </w:t>
            </w:r>
          </w:p>
        </w:tc>
        <w:tc>
          <w:tcPr>
            <w:tcW w:w="205"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186" w:type="dxa"/>
            <w:tcBorders/>
            <w:shd w:fill="CCEEFF" w:val="clear"/>
            <w:tcMar>
              <w:bottom w:w="0" w:type="dxa"/>
            </w:tcMar>
            <w:vAlign w:val="bottom"/>
          </w:tcPr>
          <w:p>
            <w:pPr>
              <w:pStyle w:val="TableContents"/>
              <w:spacing w:before="0" w:after="283"/>
              <w:jc w:val="right"/>
              <w:rPr/>
            </w:pPr>
            <w:r>
              <w:rPr/>
              <w:t> </w:t>
            </w:r>
          </w:p>
        </w:tc>
        <w:tc>
          <w:tcPr>
            <w:tcW w:w="205"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186" w:type="dxa"/>
            <w:tcBorders/>
            <w:shd w:fill="CCEEFF" w:val="clear"/>
            <w:tcMar>
              <w:bottom w:w="0" w:type="dxa"/>
            </w:tcMar>
            <w:vAlign w:val="bottom"/>
          </w:tcPr>
          <w:p>
            <w:pPr>
              <w:pStyle w:val="TableContents"/>
              <w:spacing w:before="0" w:after="283"/>
              <w:jc w:val="right"/>
              <w:rPr/>
            </w:pPr>
            <w:r>
              <w:rPr/>
              <w:t> </w:t>
            </w:r>
          </w:p>
        </w:tc>
        <w:tc>
          <w:tcPr>
            <w:tcW w:w="122" w:type="dxa"/>
            <w:tcBorders/>
            <w:shd w:fill="CCEEFF" w:val="clear"/>
            <w:tcMar>
              <w:bottom w:w="0" w:type="dxa"/>
            </w:tcMar>
            <w:vAlign w:val="bottom"/>
          </w:tcPr>
          <w:p>
            <w:pPr>
              <w:pStyle w:val="TableContents"/>
              <w:spacing w:before="0" w:after="283"/>
              <w:jc w:val="left"/>
              <w:rPr/>
            </w:pPr>
            <w:r>
              <w:rPr/>
              <w:t> </w:t>
            </w:r>
          </w:p>
        </w:tc>
      </w:tr>
      <w:tr>
        <w:trPr/>
        <w:tc>
          <w:tcPr>
            <w:tcW w:w="5541" w:type="dxa"/>
            <w:tcBorders/>
            <w:shd w:fill="FFFFFF" w:val="clear"/>
            <w:tcMar>
              <w:bottom w:w="0" w:type="dxa"/>
            </w:tcMar>
            <w:vAlign w:val="bottom"/>
          </w:tcPr>
          <w:p>
            <w:pPr>
              <w:pStyle w:val="TableContents"/>
              <w:spacing w:lineRule="auto" w:line="300" w:before="0" w:after="0"/>
              <w:ind w:left="360" w:right="0" w:hanging="180"/>
              <w:jc w:val="left"/>
              <w:rPr>
                <w:rFonts w:ascii="Times New Roman" w:hAnsi="Times New Roman"/>
                <w:sz w:val="20"/>
              </w:rPr>
            </w:pPr>
            <w:r>
              <w:rPr>
                <w:rFonts w:ascii="Times New Roman" w:hAnsi="Times New Roman"/>
                <w:sz w:val="20"/>
              </w:rPr>
              <w:t>Cash paid during the period for:</w:t>
            </w:r>
          </w:p>
        </w:tc>
        <w:tc>
          <w:tcPr>
            <w:tcW w:w="199" w:type="dxa"/>
            <w:tcBorders/>
            <w:shd w:fill="FFFFFF" w:val="clear"/>
            <w:tcMar>
              <w:bottom w:w="0" w:type="dxa"/>
            </w:tcMar>
            <w:vAlign w:val="center"/>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86" w:type="dxa"/>
            <w:tcBorders/>
            <w:shd w:fill="FFFFFF" w:val="clear"/>
            <w:tcMar>
              <w:bottom w:w="0" w:type="dxa"/>
            </w:tcMar>
            <w:vAlign w:val="bottom"/>
          </w:tcPr>
          <w:p>
            <w:pPr>
              <w:pStyle w:val="TableContents"/>
              <w:spacing w:before="0" w:after="283"/>
              <w:jc w:val="right"/>
              <w:rPr/>
            </w:pPr>
            <w:r>
              <w:rPr/>
              <w:t> </w:t>
            </w:r>
          </w:p>
        </w:tc>
        <w:tc>
          <w:tcPr>
            <w:tcW w:w="205"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86" w:type="dxa"/>
            <w:tcBorders/>
            <w:shd w:fill="FFFFFF" w:val="clear"/>
            <w:tcMar>
              <w:bottom w:w="0" w:type="dxa"/>
            </w:tcMar>
            <w:vAlign w:val="bottom"/>
          </w:tcPr>
          <w:p>
            <w:pPr>
              <w:pStyle w:val="TableContents"/>
              <w:spacing w:before="0" w:after="283"/>
              <w:jc w:val="right"/>
              <w:rPr/>
            </w:pPr>
            <w:r>
              <w:rPr/>
              <w:t> </w:t>
            </w:r>
          </w:p>
        </w:tc>
        <w:tc>
          <w:tcPr>
            <w:tcW w:w="205"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86" w:type="dxa"/>
            <w:tcBorders/>
            <w:shd w:fill="FFFFFF" w:val="clear"/>
            <w:tcMar>
              <w:bottom w:w="0" w:type="dxa"/>
            </w:tcMar>
            <w:vAlign w:val="bottom"/>
          </w:tcPr>
          <w:p>
            <w:pPr>
              <w:pStyle w:val="TableContents"/>
              <w:spacing w:before="0" w:after="283"/>
              <w:jc w:val="right"/>
              <w:rPr/>
            </w:pPr>
            <w:r>
              <w:rPr/>
              <w:t> </w:t>
            </w:r>
          </w:p>
        </w:tc>
        <w:tc>
          <w:tcPr>
            <w:tcW w:w="122" w:type="dxa"/>
            <w:tcBorders/>
            <w:shd w:fill="FFFFFF" w:val="clear"/>
            <w:tcMar>
              <w:bottom w:w="0" w:type="dxa"/>
            </w:tcMar>
            <w:vAlign w:val="bottom"/>
          </w:tcPr>
          <w:p>
            <w:pPr>
              <w:pStyle w:val="TableContents"/>
              <w:spacing w:before="0" w:after="283"/>
              <w:jc w:val="left"/>
              <w:rPr/>
            </w:pPr>
            <w:r>
              <w:rPr/>
              <w:t> </w:t>
            </w:r>
          </w:p>
        </w:tc>
      </w:tr>
      <w:tr>
        <w:trPr/>
        <w:tc>
          <w:tcPr>
            <w:tcW w:w="5541" w:type="dxa"/>
            <w:tcBorders/>
            <w:shd w:fill="CCEEFF" w:val="clear"/>
            <w:tcMar>
              <w:bottom w:w="0" w:type="dxa"/>
            </w:tcMar>
            <w:vAlign w:val="bottom"/>
          </w:tcPr>
          <w:p>
            <w:pPr>
              <w:pStyle w:val="TableContents"/>
              <w:spacing w:lineRule="auto" w:line="300" w:before="0" w:after="0"/>
              <w:ind w:left="540" w:right="0" w:hanging="180"/>
              <w:jc w:val="left"/>
              <w:rPr>
                <w:rFonts w:ascii="Times New Roman" w:hAnsi="Times New Roman"/>
                <w:sz w:val="20"/>
              </w:rPr>
            </w:pPr>
            <w:r>
              <w:rPr>
                <w:rFonts w:ascii="Times New Roman" w:hAnsi="Times New Roman"/>
                <w:sz w:val="20"/>
              </w:rPr>
              <w:t xml:space="preserve">Interest on borrowings </w:t>
            </w:r>
          </w:p>
        </w:tc>
        <w:tc>
          <w:tcPr>
            <w:tcW w:w="199" w:type="dxa"/>
            <w:tcBorders/>
            <w:shd w:fill="CCEEFF" w:val="clear"/>
            <w:tcMar>
              <w:bottom w:w="0" w:type="dxa"/>
            </w:tcMar>
            <w:vAlign w:val="center"/>
          </w:tcPr>
          <w:p>
            <w:pPr>
              <w:pStyle w:val="TableContents"/>
              <w:spacing w:before="0" w:after="283"/>
              <w:rPr/>
            </w:pPr>
            <w:r>
              <w:rPr/>
              <w:t> </w:t>
            </w:r>
          </w:p>
        </w:tc>
        <w:tc>
          <w:tcPr>
            <w:tcW w:w="125"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2686" w:name="TAB11211"/>
            <w:bookmarkEnd w:id="2686"/>
            <w:r>
              <w:rPr>
                <w:rFonts w:ascii="Times New Roman" w:hAnsi="Times New Roman"/>
                <w:sz w:val="20"/>
              </w:rPr>
              <w:t>$</w:t>
            </w:r>
          </w:p>
        </w:tc>
        <w:tc>
          <w:tcPr>
            <w:tcW w:w="1186"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2687" w:name="TAB11212"/>
            <w:bookmarkEnd w:id="2687"/>
            <w:r>
              <w:rPr>
                <w:rFonts w:ascii="Times New Roman" w:hAnsi="Times New Roman"/>
                <w:sz w:val="20"/>
              </w:rPr>
              <w:t>8,731</w:t>
            </w:r>
          </w:p>
        </w:tc>
        <w:tc>
          <w:tcPr>
            <w:tcW w:w="205"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2688" w:name="TAB11213"/>
            <w:bookmarkEnd w:id="2688"/>
            <w:r>
              <w:rPr>
                <w:rFonts w:ascii="Times New Roman" w:hAnsi="Times New Roman"/>
                <w:sz w:val="20"/>
              </w:rPr>
              <w:t>$</w:t>
            </w:r>
          </w:p>
        </w:tc>
        <w:tc>
          <w:tcPr>
            <w:tcW w:w="1186"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2689" w:name="TAB11214"/>
            <w:bookmarkEnd w:id="2689"/>
            <w:r>
              <w:rPr>
                <w:rFonts w:ascii="Times New Roman" w:hAnsi="Times New Roman"/>
                <w:sz w:val="20"/>
              </w:rPr>
              <w:t>6,188</w:t>
            </w:r>
          </w:p>
        </w:tc>
        <w:tc>
          <w:tcPr>
            <w:tcW w:w="205"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2690" w:name="TAB11215"/>
            <w:bookmarkEnd w:id="2690"/>
            <w:r>
              <w:rPr>
                <w:rFonts w:ascii="Times New Roman" w:hAnsi="Times New Roman"/>
                <w:sz w:val="20"/>
              </w:rPr>
              <w:t>$</w:t>
            </w:r>
          </w:p>
        </w:tc>
        <w:tc>
          <w:tcPr>
            <w:tcW w:w="1186"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2691" w:name="TAB11216"/>
            <w:bookmarkEnd w:id="2691"/>
            <w:r>
              <w:rPr>
                <w:rFonts w:ascii="Times New Roman" w:hAnsi="Times New Roman"/>
                <w:sz w:val="20"/>
              </w:rPr>
              <w:t>4,634</w:t>
            </w:r>
          </w:p>
        </w:tc>
        <w:tc>
          <w:tcPr>
            <w:tcW w:w="122" w:type="dxa"/>
            <w:tcBorders/>
            <w:shd w:fill="CCEEFF" w:val="clear"/>
            <w:tcMar>
              <w:bottom w:w="0" w:type="dxa"/>
            </w:tcMar>
            <w:vAlign w:val="bottom"/>
          </w:tcPr>
          <w:p>
            <w:pPr>
              <w:pStyle w:val="TableContents"/>
              <w:spacing w:before="0" w:after="283"/>
              <w:jc w:val="left"/>
              <w:rPr/>
            </w:pPr>
            <w:r>
              <w:rPr/>
              <w:t> </w:t>
            </w:r>
          </w:p>
        </w:tc>
      </w:tr>
      <w:tr>
        <w:trPr/>
        <w:tc>
          <w:tcPr>
            <w:tcW w:w="5541" w:type="dxa"/>
            <w:tcBorders/>
            <w:shd w:fill="FFFFFF" w:val="clear"/>
            <w:tcMar>
              <w:bottom w:w="0" w:type="dxa"/>
            </w:tcMar>
            <w:vAlign w:val="bottom"/>
          </w:tcPr>
          <w:p>
            <w:pPr>
              <w:pStyle w:val="TableContents"/>
              <w:spacing w:lineRule="auto" w:line="300" w:before="0" w:after="0"/>
              <w:ind w:left="540" w:right="0" w:hanging="180"/>
              <w:jc w:val="left"/>
              <w:rPr>
                <w:rFonts w:ascii="Times New Roman" w:hAnsi="Times New Roman"/>
                <w:sz w:val="20"/>
              </w:rPr>
            </w:pPr>
            <w:r>
              <w:rPr>
                <w:rFonts w:ascii="Times New Roman" w:hAnsi="Times New Roman"/>
                <w:sz w:val="20"/>
              </w:rPr>
              <w:t>Income taxes</w:t>
            </w:r>
          </w:p>
        </w:tc>
        <w:tc>
          <w:tcPr>
            <w:tcW w:w="199" w:type="dxa"/>
            <w:tcBorders/>
            <w:shd w:fill="FFFFFF" w:val="clear"/>
            <w:tcMar>
              <w:bottom w:w="0" w:type="dxa"/>
            </w:tcMar>
            <w:vAlign w:val="center"/>
          </w:tcPr>
          <w:p>
            <w:pPr>
              <w:pStyle w:val="TableContents"/>
              <w:spacing w:before="0" w:after="283"/>
              <w:rPr/>
            </w:pPr>
            <w:r>
              <w:rPr/>
              <w:t> </w:t>
            </w:r>
          </w:p>
        </w:tc>
        <w:tc>
          <w:tcPr>
            <w:tcW w:w="125"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2692" w:name="TAB11217"/>
            <w:bookmarkEnd w:id="2692"/>
            <w:r>
              <w:rPr>
                <w:rFonts w:ascii="Times New Roman" w:hAnsi="Times New Roman"/>
                <w:sz w:val="20"/>
              </w:rPr>
              <w:t>$</w:t>
            </w:r>
          </w:p>
        </w:tc>
        <w:tc>
          <w:tcPr>
            <w:tcW w:w="1186"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2693" w:name="TAB11218"/>
            <w:bookmarkEnd w:id="2693"/>
            <w:r>
              <w:rPr>
                <w:rFonts w:ascii="Times New Roman" w:hAnsi="Times New Roman"/>
                <w:sz w:val="20"/>
              </w:rPr>
              <w:t>585</w:t>
            </w:r>
          </w:p>
        </w:tc>
        <w:tc>
          <w:tcPr>
            <w:tcW w:w="205"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2694" w:name="TAB11219"/>
            <w:bookmarkEnd w:id="2694"/>
            <w:r>
              <w:rPr>
                <w:rFonts w:ascii="Times New Roman" w:hAnsi="Times New Roman"/>
                <w:sz w:val="20"/>
              </w:rPr>
              <w:t>$</w:t>
            </w:r>
          </w:p>
        </w:tc>
        <w:tc>
          <w:tcPr>
            <w:tcW w:w="1186"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2695" w:name="TAB11220"/>
            <w:bookmarkEnd w:id="2695"/>
            <w:r>
              <w:rPr>
                <w:rFonts w:ascii="Times New Roman" w:hAnsi="Times New Roman"/>
                <w:sz w:val="20"/>
              </w:rPr>
              <w:t>328</w:t>
            </w:r>
          </w:p>
        </w:tc>
        <w:tc>
          <w:tcPr>
            <w:tcW w:w="205"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2696" w:name="TAB11221"/>
            <w:bookmarkEnd w:id="2696"/>
            <w:r>
              <w:rPr>
                <w:rFonts w:ascii="Times New Roman" w:hAnsi="Times New Roman"/>
                <w:sz w:val="20"/>
              </w:rPr>
              <w:t>$</w:t>
            </w:r>
          </w:p>
        </w:tc>
        <w:tc>
          <w:tcPr>
            <w:tcW w:w="1186"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2697" w:name="TAB11222"/>
            <w:bookmarkEnd w:id="2697"/>
            <w:r>
              <w:rPr>
                <w:rFonts w:ascii="Times New Roman" w:hAnsi="Times New Roman"/>
                <w:sz w:val="20"/>
              </w:rPr>
              <w:t>312</w:t>
            </w:r>
          </w:p>
        </w:tc>
        <w:tc>
          <w:tcPr>
            <w:tcW w:w="122" w:type="dxa"/>
            <w:tcBorders/>
            <w:shd w:fill="FFFFFF" w:val="clear"/>
            <w:tcMar>
              <w:bottom w:w="0" w:type="dxa"/>
            </w:tcMar>
            <w:vAlign w:val="bottom"/>
          </w:tcPr>
          <w:p>
            <w:pPr>
              <w:pStyle w:val="TableContents"/>
              <w:spacing w:before="0" w:after="283"/>
              <w:jc w:val="left"/>
              <w:rPr/>
            </w:pPr>
            <w:r>
              <w:rPr/>
              <w:t> </w:t>
            </w:r>
          </w:p>
        </w:tc>
      </w:tr>
      <w:tr>
        <w:trPr/>
        <w:tc>
          <w:tcPr>
            <w:tcW w:w="5541" w:type="dxa"/>
            <w:tcBorders/>
            <w:shd w:fill="CCEEFF" w:val="clear"/>
            <w:tcMar>
              <w:bottom w:w="0" w:type="dxa"/>
            </w:tcMar>
            <w:vAlign w:val="bottom"/>
          </w:tcPr>
          <w:p>
            <w:pPr>
              <w:pStyle w:val="TableContents"/>
              <w:spacing w:lineRule="auto" w:line="300" w:before="0" w:after="0"/>
              <w:ind w:left="0" w:right="0" w:hanging="0"/>
              <w:jc w:val="left"/>
              <w:rPr/>
            </w:pPr>
            <w:r>
              <w:rPr>
                <w:rStyle w:val="StrongEmphasis"/>
                <w:rFonts w:ascii="Times New Roman" w:hAnsi="Times New Roman"/>
                <w:sz w:val="20"/>
              </w:rPr>
              <w:t xml:space="preserve">Non-Cash Transactions </w:t>
            </w:r>
          </w:p>
        </w:tc>
        <w:tc>
          <w:tcPr>
            <w:tcW w:w="199" w:type="dxa"/>
            <w:tcBorders/>
            <w:shd w:fill="CCEEFF" w:val="clear"/>
            <w:tcMar>
              <w:bottom w:w="0" w:type="dxa"/>
            </w:tcMar>
            <w:vAlign w:val="center"/>
          </w:tcPr>
          <w:p>
            <w:pPr>
              <w:pStyle w:val="TableContents"/>
              <w:spacing w:before="0" w:after="283"/>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186" w:type="dxa"/>
            <w:tcBorders/>
            <w:shd w:fill="CCEEFF" w:val="clear"/>
            <w:tcMar>
              <w:bottom w:w="0" w:type="dxa"/>
            </w:tcMar>
            <w:vAlign w:val="bottom"/>
          </w:tcPr>
          <w:p>
            <w:pPr>
              <w:pStyle w:val="TableContents"/>
              <w:spacing w:before="0" w:after="283"/>
              <w:jc w:val="right"/>
              <w:rPr/>
            </w:pPr>
            <w:r>
              <w:rPr/>
              <w:t> </w:t>
            </w:r>
          </w:p>
        </w:tc>
        <w:tc>
          <w:tcPr>
            <w:tcW w:w="205"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186" w:type="dxa"/>
            <w:tcBorders/>
            <w:shd w:fill="CCEEFF" w:val="clear"/>
            <w:tcMar>
              <w:bottom w:w="0" w:type="dxa"/>
            </w:tcMar>
            <w:vAlign w:val="bottom"/>
          </w:tcPr>
          <w:p>
            <w:pPr>
              <w:pStyle w:val="TableContents"/>
              <w:spacing w:before="0" w:after="283"/>
              <w:jc w:val="right"/>
              <w:rPr/>
            </w:pPr>
            <w:r>
              <w:rPr/>
              <w:t> </w:t>
            </w:r>
          </w:p>
        </w:tc>
        <w:tc>
          <w:tcPr>
            <w:tcW w:w="205"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186" w:type="dxa"/>
            <w:tcBorders/>
            <w:shd w:fill="CCEEFF" w:val="clear"/>
            <w:tcMar>
              <w:bottom w:w="0" w:type="dxa"/>
            </w:tcMar>
            <w:vAlign w:val="bottom"/>
          </w:tcPr>
          <w:p>
            <w:pPr>
              <w:pStyle w:val="TableContents"/>
              <w:spacing w:before="0" w:after="283"/>
              <w:jc w:val="right"/>
              <w:rPr/>
            </w:pPr>
            <w:r>
              <w:rPr/>
              <w:t> </w:t>
            </w:r>
          </w:p>
        </w:tc>
        <w:tc>
          <w:tcPr>
            <w:tcW w:w="122" w:type="dxa"/>
            <w:tcBorders/>
            <w:shd w:fill="CCEEFF" w:val="clear"/>
            <w:tcMar>
              <w:bottom w:w="0" w:type="dxa"/>
            </w:tcMar>
            <w:vAlign w:val="bottom"/>
          </w:tcPr>
          <w:p>
            <w:pPr>
              <w:pStyle w:val="TableContents"/>
              <w:spacing w:before="0" w:after="283"/>
              <w:jc w:val="left"/>
              <w:rPr/>
            </w:pPr>
            <w:r>
              <w:rPr/>
              <w:t> </w:t>
            </w:r>
          </w:p>
        </w:tc>
      </w:tr>
      <w:tr>
        <w:trPr/>
        <w:tc>
          <w:tcPr>
            <w:tcW w:w="5541" w:type="dxa"/>
            <w:tcBorders/>
            <w:shd w:fill="FFFFFF" w:val="clear"/>
            <w:tcMar>
              <w:bottom w:w="0" w:type="dxa"/>
            </w:tcMar>
            <w:vAlign w:val="bottom"/>
          </w:tcPr>
          <w:p>
            <w:pPr>
              <w:pStyle w:val="TableContents"/>
              <w:spacing w:lineRule="auto" w:line="300" w:before="0" w:after="0"/>
              <w:ind w:left="360" w:right="0" w:hanging="180"/>
              <w:jc w:val="left"/>
              <w:rPr>
                <w:rFonts w:ascii="Times New Roman" w:hAnsi="Times New Roman"/>
                <w:sz w:val="20"/>
              </w:rPr>
            </w:pPr>
            <w:r>
              <w:rPr>
                <w:rFonts w:ascii="Times New Roman" w:hAnsi="Times New Roman"/>
                <w:sz w:val="20"/>
              </w:rPr>
              <w:t>Increase in cost basis of Cinemas 1, 2, &amp; 3 related to the purchase price adjustment of the call option liability to a related party</w:t>
            </w:r>
          </w:p>
        </w:tc>
        <w:tc>
          <w:tcPr>
            <w:tcW w:w="199" w:type="dxa"/>
            <w:tcBorders/>
            <w:shd w:fill="FFFFFF" w:val="clear"/>
            <w:tcMar>
              <w:bottom w:w="0" w:type="dxa"/>
            </w:tcMar>
            <w:vAlign w:val="center"/>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86"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1,087</w:t>
            </w:r>
          </w:p>
        </w:tc>
        <w:tc>
          <w:tcPr>
            <w:tcW w:w="205"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86"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205"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86"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122" w:type="dxa"/>
            <w:tcBorders/>
            <w:shd w:fill="FFFFFF" w:val="clear"/>
            <w:tcMar>
              <w:bottom w:w="0" w:type="dxa"/>
            </w:tcMar>
            <w:vAlign w:val="bottom"/>
          </w:tcPr>
          <w:p>
            <w:pPr>
              <w:pStyle w:val="TableContents"/>
              <w:spacing w:before="0" w:after="283"/>
              <w:jc w:val="left"/>
              <w:rPr/>
            </w:pPr>
            <w:r>
              <w:rPr/>
              <w:t> </w:t>
            </w:r>
          </w:p>
        </w:tc>
      </w:tr>
      <w:tr>
        <w:trPr/>
        <w:tc>
          <w:tcPr>
            <w:tcW w:w="5541" w:type="dxa"/>
            <w:tcBorders/>
            <w:shd w:fill="CCEEFF" w:val="clear"/>
            <w:tcMar>
              <w:bottom w:w="0" w:type="dxa"/>
            </w:tcMar>
            <w:vAlign w:val="bottom"/>
          </w:tcPr>
          <w:p>
            <w:pPr>
              <w:pStyle w:val="TableContents"/>
              <w:spacing w:lineRule="auto" w:line="300" w:before="0" w:after="0"/>
              <w:ind w:left="360" w:right="0" w:hanging="180"/>
              <w:jc w:val="left"/>
              <w:rPr>
                <w:rFonts w:ascii="Times New Roman" w:hAnsi="Times New Roman"/>
                <w:sz w:val="20"/>
              </w:rPr>
            </w:pPr>
            <w:r>
              <w:rPr>
                <w:rFonts w:ascii="Times New Roman" w:hAnsi="Times New Roman"/>
                <w:sz w:val="20"/>
              </w:rPr>
              <w:t>Debt issued to purchase Cinemas 1, 2, 3 (Note 8)</w:t>
            </w:r>
          </w:p>
        </w:tc>
        <w:tc>
          <w:tcPr>
            <w:tcW w:w="199" w:type="dxa"/>
            <w:tcBorders/>
            <w:shd w:fill="CCEEFF" w:val="clear"/>
            <w:tcMar>
              <w:bottom w:w="0" w:type="dxa"/>
            </w:tcMar>
            <w:vAlign w:val="center"/>
          </w:tcPr>
          <w:p>
            <w:pPr>
              <w:pStyle w:val="TableContents"/>
              <w:spacing w:before="0" w:after="283"/>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186"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205"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186"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9,000</w:t>
            </w:r>
          </w:p>
        </w:tc>
        <w:tc>
          <w:tcPr>
            <w:tcW w:w="205"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186"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122" w:type="dxa"/>
            <w:tcBorders/>
            <w:shd w:fill="CCEEFF" w:val="clear"/>
            <w:tcMar>
              <w:bottom w:w="0" w:type="dxa"/>
            </w:tcMar>
            <w:vAlign w:val="bottom"/>
          </w:tcPr>
          <w:p>
            <w:pPr>
              <w:pStyle w:val="TableContents"/>
              <w:spacing w:before="0" w:after="283"/>
              <w:jc w:val="left"/>
              <w:rPr/>
            </w:pPr>
            <w:r>
              <w:rPr/>
              <w:t> </w:t>
            </w:r>
          </w:p>
        </w:tc>
      </w:tr>
      <w:tr>
        <w:trPr/>
        <w:tc>
          <w:tcPr>
            <w:tcW w:w="5541" w:type="dxa"/>
            <w:tcBorders/>
            <w:shd w:fill="FFFFFF" w:val="clear"/>
            <w:tcMar>
              <w:bottom w:w="0" w:type="dxa"/>
            </w:tcMar>
            <w:vAlign w:val="bottom"/>
          </w:tcPr>
          <w:p>
            <w:pPr>
              <w:pStyle w:val="TableContents"/>
              <w:spacing w:lineRule="auto" w:line="300" w:before="0" w:after="0"/>
              <w:ind w:left="360" w:right="0" w:hanging="180"/>
              <w:jc w:val="left"/>
              <w:rPr>
                <w:rFonts w:ascii="Times New Roman" w:hAnsi="Times New Roman"/>
                <w:sz w:val="20"/>
              </w:rPr>
            </w:pPr>
            <w:r>
              <w:rPr>
                <w:rFonts w:ascii="Times New Roman" w:hAnsi="Times New Roman"/>
                <w:sz w:val="20"/>
              </w:rPr>
              <w:t>Deposit applied to Cinemas 1, 2, 3 (Note 8)</w:t>
            </w:r>
          </w:p>
        </w:tc>
        <w:tc>
          <w:tcPr>
            <w:tcW w:w="199" w:type="dxa"/>
            <w:tcBorders/>
            <w:shd w:fill="FFFFFF" w:val="clear"/>
            <w:tcMar>
              <w:bottom w:w="0" w:type="dxa"/>
            </w:tcMar>
            <w:vAlign w:val="center"/>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86"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205"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86"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800</w:t>
            </w:r>
          </w:p>
        </w:tc>
        <w:tc>
          <w:tcPr>
            <w:tcW w:w="205"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86"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122" w:type="dxa"/>
            <w:tcBorders/>
            <w:shd w:fill="FFFFFF" w:val="clear"/>
            <w:tcMar>
              <w:bottom w:w="0" w:type="dxa"/>
            </w:tcMar>
            <w:vAlign w:val="bottom"/>
          </w:tcPr>
          <w:p>
            <w:pPr>
              <w:pStyle w:val="TableContents"/>
              <w:spacing w:before="0" w:after="283"/>
              <w:jc w:val="left"/>
              <w:rPr/>
            </w:pPr>
            <w:r>
              <w:rPr/>
              <w:t> </w:t>
            </w:r>
          </w:p>
        </w:tc>
      </w:tr>
      <w:tr>
        <w:trPr/>
        <w:tc>
          <w:tcPr>
            <w:tcW w:w="5541" w:type="dxa"/>
            <w:tcBorders/>
            <w:shd w:fill="CCEEFF" w:val="clear"/>
            <w:tcMar>
              <w:bottom w:w="0" w:type="dxa"/>
            </w:tcMar>
            <w:vAlign w:val="bottom"/>
          </w:tcPr>
          <w:p>
            <w:pPr>
              <w:pStyle w:val="TableContents"/>
              <w:spacing w:lineRule="auto" w:line="300" w:before="0" w:after="0"/>
              <w:ind w:left="360" w:right="0" w:hanging="180"/>
              <w:jc w:val="left"/>
              <w:rPr>
                <w:rFonts w:ascii="Times New Roman" w:hAnsi="Times New Roman"/>
                <w:sz w:val="20"/>
              </w:rPr>
            </w:pPr>
            <w:r>
              <w:rPr>
                <w:rFonts w:ascii="Times New Roman" w:hAnsi="Times New Roman"/>
                <w:sz w:val="20"/>
              </w:rPr>
              <w:t>Property addition from purchase option asset (Note 8)</w:t>
            </w:r>
          </w:p>
        </w:tc>
        <w:tc>
          <w:tcPr>
            <w:tcW w:w="199" w:type="dxa"/>
            <w:tcBorders/>
            <w:shd w:fill="CCEEFF" w:val="clear"/>
            <w:tcMar>
              <w:bottom w:w="0" w:type="dxa"/>
            </w:tcMar>
            <w:vAlign w:val="center"/>
          </w:tcPr>
          <w:p>
            <w:pPr>
              <w:pStyle w:val="TableContents"/>
              <w:spacing w:before="0" w:after="283"/>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186"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205"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186"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1,337</w:t>
            </w:r>
          </w:p>
        </w:tc>
        <w:tc>
          <w:tcPr>
            <w:tcW w:w="205"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186"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122" w:type="dxa"/>
            <w:tcBorders/>
            <w:shd w:fill="CCEEFF" w:val="clear"/>
            <w:tcMar>
              <w:bottom w:w="0" w:type="dxa"/>
            </w:tcMar>
            <w:vAlign w:val="bottom"/>
          </w:tcPr>
          <w:p>
            <w:pPr>
              <w:pStyle w:val="TableContents"/>
              <w:spacing w:before="0" w:after="283"/>
              <w:jc w:val="left"/>
              <w:rPr/>
            </w:pPr>
            <w:r>
              <w:rPr/>
              <w:t> </w:t>
            </w:r>
          </w:p>
        </w:tc>
      </w:tr>
      <w:tr>
        <w:trPr/>
        <w:tc>
          <w:tcPr>
            <w:tcW w:w="5541" w:type="dxa"/>
            <w:tcBorders/>
            <w:shd w:fill="FFFFFF" w:val="clear"/>
            <w:tcMar>
              <w:bottom w:w="0" w:type="dxa"/>
            </w:tcMar>
            <w:vAlign w:val="bottom"/>
          </w:tcPr>
          <w:p>
            <w:pPr>
              <w:pStyle w:val="TableContents"/>
              <w:spacing w:lineRule="auto" w:line="300" w:before="0" w:after="0"/>
              <w:ind w:left="360" w:right="0" w:hanging="180"/>
              <w:jc w:val="left"/>
              <w:rPr>
                <w:rFonts w:ascii="Times New Roman" w:hAnsi="Times New Roman"/>
                <w:sz w:val="20"/>
              </w:rPr>
            </w:pPr>
            <w:r>
              <w:rPr>
                <w:rFonts w:ascii="Times New Roman" w:hAnsi="Times New Roman"/>
                <w:sz w:val="20"/>
              </w:rPr>
              <w:t>Buyer assumption of note payable on Glendale Building (Note 9)</w:t>
            </w:r>
          </w:p>
        </w:tc>
        <w:tc>
          <w:tcPr>
            <w:tcW w:w="199" w:type="dxa"/>
            <w:tcBorders/>
            <w:shd w:fill="FFFFFF" w:val="clear"/>
            <w:tcMar>
              <w:bottom w:w="0" w:type="dxa"/>
            </w:tcMar>
            <w:vAlign w:val="center"/>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86"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205"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86"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(10,103</w:t>
            </w:r>
          </w:p>
        </w:tc>
        <w:tc>
          <w:tcPr>
            <w:tcW w:w="205"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25" w:type="dxa"/>
            <w:tcBorders/>
            <w:shd w:fill="FFFFFF" w:val="clear"/>
            <w:tcMar>
              <w:bottom w:w="0" w:type="dxa"/>
            </w:tcMar>
            <w:vAlign w:val="bottom"/>
          </w:tcPr>
          <w:p>
            <w:pPr>
              <w:pStyle w:val="TableContents"/>
              <w:spacing w:before="0" w:after="283"/>
              <w:jc w:val="left"/>
              <w:rPr/>
            </w:pPr>
            <w:r>
              <w:rPr/>
              <w:t> </w:t>
            </w:r>
          </w:p>
        </w:tc>
        <w:tc>
          <w:tcPr>
            <w:tcW w:w="1186"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122" w:type="dxa"/>
            <w:tcBorders/>
            <w:shd w:fill="FFFFFF" w:val="clear"/>
            <w:tcMar>
              <w:bottom w:w="0" w:type="dxa"/>
            </w:tcMar>
            <w:vAlign w:val="bottom"/>
          </w:tcPr>
          <w:p>
            <w:pPr>
              <w:pStyle w:val="TableContents"/>
              <w:spacing w:before="0" w:after="283"/>
              <w:jc w:val="left"/>
              <w:rPr/>
            </w:pPr>
            <w:r>
              <w:rPr/>
              <w:t> </w:t>
            </w:r>
          </w:p>
        </w:tc>
      </w:tr>
      <w:tr>
        <w:trPr/>
        <w:tc>
          <w:tcPr>
            <w:tcW w:w="5541" w:type="dxa"/>
            <w:tcBorders/>
            <w:shd w:fill="CCEEFF" w:val="clear"/>
            <w:tcMar>
              <w:bottom w:w="0" w:type="dxa"/>
            </w:tcMar>
            <w:vAlign w:val="bottom"/>
          </w:tcPr>
          <w:p>
            <w:pPr>
              <w:pStyle w:val="TableContents"/>
              <w:spacing w:lineRule="auto" w:line="300" w:before="0" w:after="0"/>
              <w:ind w:left="360" w:right="0" w:hanging="180"/>
              <w:jc w:val="left"/>
              <w:rPr>
                <w:rFonts w:ascii="Times New Roman" w:hAnsi="Times New Roman"/>
                <w:sz w:val="20"/>
              </w:rPr>
            </w:pPr>
            <w:r>
              <w:rPr>
                <w:rFonts w:ascii="Times New Roman" w:hAnsi="Times New Roman"/>
                <w:sz w:val="20"/>
              </w:rPr>
              <w:t>Common stock issued for acquisition (Note 20)</w:t>
            </w:r>
          </w:p>
        </w:tc>
        <w:tc>
          <w:tcPr>
            <w:tcW w:w="199" w:type="dxa"/>
            <w:tcBorders/>
            <w:shd w:fill="CCEEFF" w:val="clear"/>
            <w:tcMar>
              <w:bottom w:w="0" w:type="dxa"/>
            </w:tcMar>
            <w:vAlign w:val="center"/>
          </w:tcPr>
          <w:p>
            <w:pPr>
              <w:pStyle w:val="TableContents"/>
              <w:spacing w:before="0" w:after="283"/>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186"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205"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186"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205"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186"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792</w:t>
            </w:r>
          </w:p>
        </w:tc>
        <w:tc>
          <w:tcPr>
            <w:tcW w:w="122" w:type="dxa"/>
            <w:tcBorders/>
            <w:shd w:fill="CCEEFF" w:val="clear"/>
            <w:tcMar>
              <w:bottom w:w="0" w:type="dxa"/>
            </w:tcMar>
            <w:vAlign w:val="bottom"/>
          </w:tcPr>
          <w:p>
            <w:pPr>
              <w:pStyle w:val="TableContents"/>
              <w:spacing w:before="0" w:after="283"/>
              <w:jc w:val="left"/>
              <w:rPr/>
            </w:pPr>
            <w:r>
              <w:rPr/>
              <w:t> </w:t>
            </w:r>
          </w:p>
        </w:tc>
      </w:tr>
      <w:tr>
        <w:trPr/>
        <w:tc>
          <w:tcPr>
            <w:tcW w:w="5541" w:type="dxa"/>
            <w:tcBorders/>
            <w:shd w:fill="FFFFFF" w:val="clear"/>
            <w:tcMar>
              <w:bottom w:w="0" w:type="dxa"/>
            </w:tcMar>
            <w:vAlign w:val="bottom"/>
          </w:tcPr>
          <w:p>
            <w:pPr>
              <w:pStyle w:val="TableContents"/>
              <w:spacing w:lineRule="auto" w:line="300" w:before="0" w:after="0"/>
              <w:ind w:left="360" w:right="0" w:hanging="180"/>
              <w:jc w:val="left"/>
              <w:rPr>
                <w:rFonts w:ascii="Times New Roman" w:hAnsi="Times New Roman"/>
                <w:sz w:val="20"/>
              </w:rPr>
            </w:pPr>
            <w:r>
              <w:rPr>
                <w:rFonts w:ascii="Times New Roman" w:hAnsi="Times New Roman"/>
                <w:sz w:val="20"/>
              </w:rPr>
              <w:t>Common stock issued for note receivable (Note 20)</w:t>
            </w:r>
          </w:p>
        </w:tc>
        <w:tc>
          <w:tcPr>
            <w:tcW w:w="199" w:type="dxa"/>
            <w:tcBorders/>
            <w:shd w:fill="FFFFFF" w:val="clear"/>
            <w:tcMar>
              <w:bottom w:w="0" w:type="dxa"/>
            </w:tcMar>
            <w:vAlign w:val="center"/>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86"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205"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86"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55</w:t>
            </w:r>
          </w:p>
        </w:tc>
        <w:tc>
          <w:tcPr>
            <w:tcW w:w="205"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86"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122" w:type="dxa"/>
            <w:tcBorders/>
            <w:shd w:fill="FFFFFF" w:val="clear"/>
            <w:tcMar>
              <w:bottom w:w="0" w:type="dxa"/>
            </w:tcMar>
            <w:vAlign w:val="bottom"/>
          </w:tcPr>
          <w:p>
            <w:pPr>
              <w:pStyle w:val="TableContents"/>
              <w:spacing w:before="0" w:after="283"/>
              <w:jc w:val="left"/>
              <w:rPr/>
            </w:pPr>
            <w:r>
              <w:rPr/>
              <w:t> </w:t>
            </w:r>
          </w:p>
        </w:tc>
      </w:tr>
      <w:tr>
        <w:trPr/>
        <w:tc>
          <w:tcPr>
            <w:tcW w:w="5541" w:type="dxa"/>
            <w:tcBorders/>
            <w:shd w:fill="CCEEFF" w:val="clear"/>
            <w:tcMar>
              <w:bottom w:w="0" w:type="dxa"/>
            </w:tcMar>
            <w:vAlign w:val="bottom"/>
          </w:tcPr>
          <w:p>
            <w:pPr>
              <w:pStyle w:val="TableContents"/>
              <w:spacing w:lineRule="auto" w:line="300" w:before="0" w:after="0"/>
              <w:ind w:left="360" w:right="0" w:hanging="180"/>
              <w:jc w:val="left"/>
              <w:rPr>
                <w:rFonts w:ascii="Times New Roman" w:hAnsi="Times New Roman"/>
                <w:sz w:val="20"/>
              </w:rPr>
            </w:pPr>
            <w:r>
              <w:rPr>
                <w:rFonts w:ascii="Times New Roman" w:hAnsi="Times New Roman"/>
                <w:sz w:val="20"/>
              </w:rPr>
              <w:t>Treasury shares received (Note 20)</w:t>
            </w:r>
          </w:p>
        </w:tc>
        <w:tc>
          <w:tcPr>
            <w:tcW w:w="199" w:type="dxa"/>
            <w:tcBorders/>
            <w:shd w:fill="CCEEFF" w:val="clear"/>
            <w:tcMar>
              <w:bottom w:w="0" w:type="dxa"/>
            </w:tcMar>
            <w:vAlign w:val="center"/>
          </w:tcPr>
          <w:p>
            <w:pPr>
              <w:pStyle w:val="TableContents"/>
              <w:spacing w:before="0" w:after="283"/>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186"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205"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186"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(3,515</w:t>
            </w:r>
          </w:p>
        </w:tc>
        <w:tc>
          <w:tcPr>
            <w:tcW w:w="205"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25" w:type="dxa"/>
            <w:tcBorders/>
            <w:shd w:fill="CCEEFF" w:val="clear"/>
            <w:tcMar>
              <w:bottom w:w="0" w:type="dxa"/>
            </w:tcMar>
            <w:vAlign w:val="bottom"/>
          </w:tcPr>
          <w:p>
            <w:pPr>
              <w:pStyle w:val="TableContents"/>
              <w:spacing w:before="0" w:after="283"/>
              <w:jc w:val="left"/>
              <w:rPr/>
            </w:pPr>
            <w:r>
              <w:rPr/>
              <w:t> </w:t>
            </w:r>
          </w:p>
        </w:tc>
        <w:tc>
          <w:tcPr>
            <w:tcW w:w="1186"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122" w:type="dxa"/>
            <w:tcBorders/>
            <w:shd w:fill="CCEEFF" w:val="clear"/>
            <w:tcMar>
              <w:bottom w:w="0" w:type="dxa"/>
            </w:tcMar>
            <w:vAlign w:val="bottom"/>
          </w:tcPr>
          <w:p>
            <w:pPr>
              <w:pStyle w:val="TableContents"/>
              <w:spacing w:before="0" w:after="283"/>
              <w:jc w:val="left"/>
              <w:rPr/>
            </w:pPr>
            <w:r>
              <w:rPr/>
              <w:t> </w:t>
            </w:r>
          </w:p>
        </w:tc>
      </w:tr>
      <w:tr>
        <w:trPr/>
        <w:tc>
          <w:tcPr>
            <w:tcW w:w="5541" w:type="dxa"/>
            <w:tcBorders/>
            <w:shd w:fill="FFFFFF" w:val="clear"/>
            <w:tcMar>
              <w:bottom w:w="0" w:type="dxa"/>
            </w:tcMar>
            <w:vAlign w:val="bottom"/>
          </w:tcPr>
          <w:p>
            <w:pPr>
              <w:pStyle w:val="TableContents"/>
              <w:spacing w:lineRule="auto" w:line="300" w:before="0" w:after="0"/>
              <w:ind w:left="360" w:right="0" w:hanging="180"/>
              <w:jc w:val="left"/>
              <w:rPr>
                <w:rFonts w:ascii="Times New Roman" w:hAnsi="Times New Roman"/>
                <w:sz w:val="20"/>
              </w:rPr>
            </w:pPr>
            <w:r>
              <w:rPr>
                <w:rFonts w:ascii="Times New Roman" w:hAnsi="Times New Roman"/>
                <w:sz w:val="20"/>
              </w:rPr>
              <w:t>Stock options exercised in exchange for treasury shares received (Note 20)</w:t>
            </w:r>
          </w:p>
        </w:tc>
        <w:tc>
          <w:tcPr>
            <w:tcW w:w="199" w:type="dxa"/>
            <w:tcBorders/>
            <w:shd w:fill="FFFFFF" w:val="clear"/>
            <w:tcMar>
              <w:bottom w:w="0" w:type="dxa"/>
            </w:tcMar>
            <w:vAlign w:val="center"/>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86"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205"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86"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3,515</w:t>
            </w:r>
          </w:p>
        </w:tc>
        <w:tc>
          <w:tcPr>
            <w:tcW w:w="205"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86"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122" w:type="dxa"/>
            <w:tcBorders/>
            <w:shd w:fill="FFFFFF" w:val="clear"/>
            <w:tcMar>
              <w:bottom w:w="0" w:type="dxa"/>
            </w:tcMar>
            <w:vAlign w:val="bottom"/>
          </w:tcPr>
          <w:p>
            <w:pPr>
              <w:pStyle w:val="TableContents"/>
              <w:spacing w:before="0" w:after="283"/>
              <w:jc w:val="left"/>
              <w:rPr/>
            </w:pPr>
            <w:r>
              <w:rPr/>
              <w:t> </w:t>
            </w:r>
          </w:p>
        </w:tc>
      </w:tr>
    </w:tbl>
    <w:p>
      <w:pPr>
        <w:pStyle w:val="TextBody"/>
        <w:spacing w:lineRule="auto" w:line="300" w:before="0" w:after="0"/>
        <w:ind w:left="0" w:right="0" w:hanging="0"/>
        <w:jc w:val="left"/>
        <w:rPr/>
      </w:pPr>
      <w:r>
        <w:rPr/>
        <w:t> </w:t>
      </w:r>
    </w:p>
    <w:p>
      <w:pPr>
        <w:pStyle w:val="TextBody"/>
        <w:spacing w:lineRule="auto" w:line="300" w:before="0" w:after="0"/>
        <w:ind w:left="0" w:right="0" w:hanging="0"/>
        <w:jc w:val="center"/>
        <w:rPr>
          <w:rFonts w:ascii="Times New Roman" w:hAnsi="Times New Roman"/>
          <w:sz w:val="20"/>
        </w:rPr>
      </w:pPr>
      <w:r>
        <w:rPr>
          <w:rFonts w:ascii="Times New Roman" w:hAnsi="Times New Roman"/>
          <w:sz w:val="20"/>
        </w:rPr>
        <w:t>See accompanying notes to consolidated financial statements.</w:t>
      </w:r>
    </w:p>
    <w:p>
      <w:pPr>
        <w:pStyle w:val="TextBody"/>
        <w:spacing w:lineRule="auto" w:line="300"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698" w:name="PGBRK75"/>
      <w:bookmarkStart w:id="2699" w:name="PGBRK75"/>
      <w:bookmarkEnd w:id="269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0"/>
        <w:ind w:left="0" w:right="0" w:hanging="0"/>
        <w:jc w:val="center"/>
        <w:rPr>
          <w:rFonts w:ascii="Times New Roman" w:hAnsi="Times New Roman"/>
          <w:sz w:val="20"/>
        </w:rPr>
      </w:pPr>
      <w:bookmarkStart w:id="2700" w:name="FTR75"/>
      <w:bookmarkEnd w:id="2700"/>
      <w:r>
        <w:rPr>
          <w:rFonts w:ascii="Times New Roman" w:hAnsi="Times New Roman"/>
          <w:sz w:val="20"/>
        </w:rPr>
        <w:t>--</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701" w:name="GLFTR75"/>
      <w:bookmarkStart w:id="2702" w:name="GLFTR75"/>
      <w:bookmarkEnd w:id="270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2703" w:name="PN75"/>
      <w:bookmarkEnd w:id="2703"/>
      <w:r>
        <w:rPr>
          <w:rFonts w:ascii="Times New Roman" w:hAnsi="Times New Roman"/>
          <w:sz w:val="16"/>
        </w:rPr>
        <w:t>-75-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704" w:name="HDR75"/>
      <w:bookmarkStart w:id="2705" w:name="HDR75"/>
      <w:bookmarkEnd w:id="270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2706" w:name="GLHDR75"/>
        <w:bookmarkEnd w:id="2706"/>
        <w:r>
          <w:rPr>
            <w:rStyle w:val="Emphasis"/>
            <w:rFonts w:ascii="Times New Roman" w:hAnsi="Times New Roman"/>
            <w:color w:val="000000"/>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pStyle w:val="TextBody"/>
        <w:spacing w:lineRule="auto" w:line="300" w:before="0" w:after="0"/>
        <w:ind w:left="0" w:right="0" w:hanging="0"/>
        <w:jc w:val="left"/>
        <w:rPr/>
      </w:pPr>
      <w:bookmarkStart w:id="2707" w:name="notes"/>
      <w:bookmarkEnd w:id="2707"/>
      <w:r>
        <w:rPr>
          <w:rStyle w:val="StrongEmphasis"/>
          <w:rFonts w:ascii="Times New Roman" w:hAnsi="Times New Roman"/>
          <w:sz w:val="20"/>
        </w:rPr>
        <w:t>Reading International, Inc. and Subsidiaries</w:t>
      </w:r>
    </w:p>
    <w:p>
      <w:pPr>
        <w:pStyle w:val="TextBody"/>
        <w:spacing w:lineRule="auto" w:line="300" w:before="0" w:after="0"/>
        <w:ind w:left="0" w:right="0" w:hanging="0"/>
        <w:jc w:val="left"/>
        <w:rPr/>
      </w:pPr>
      <w:r>
        <w:rPr>
          <w:rStyle w:val="StrongEmphasis"/>
          <w:rFonts w:ascii="Times New Roman" w:hAnsi="Times New Roman"/>
          <w:sz w:val="20"/>
        </w:rPr>
        <w:t>Notes to Consolidated Financial Statements</w:t>
      </w:r>
    </w:p>
    <w:p>
      <w:pPr>
        <w:pStyle w:val="TextBody"/>
        <w:spacing w:lineRule="auto" w:line="300" w:before="0" w:after="0"/>
        <w:ind w:left="0" w:right="0" w:hanging="0"/>
        <w:jc w:val="left"/>
        <w:rPr/>
      </w:pPr>
      <w:r>
        <w:rPr>
          <w:rStyle w:val="StrongEmphasis"/>
          <w:rFonts w:ascii="Times New Roman" w:hAnsi="Times New Roman"/>
          <w:sz w:val="20"/>
        </w:rPr>
        <w:t>December 31, 2006</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pPr>
      <w:r>
        <w:rPr>
          <w:rStyle w:val="StrongEmphasis"/>
          <w:rFonts w:ascii="Times New Roman" w:hAnsi="Times New Roman"/>
          <w:sz w:val="20"/>
          <w:u w:val="single"/>
        </w:rPr>
        <w:t>Note 1 - Nature of Business</w:t>
      </w:r>
    </w:p>
    <w:p>
      <w:pPr>
        <w:pStyle w:val="TextBody"/>
        <w:spacing w:lineRule="auto" w:line="300" w:before="0" w:after="0"/>
        <w:ind w:left="0" w:right="0" w:hanging="0"/>
        <w:jc w:val="left"/>
        <w:rPr/>
      </w:pPr>
      <w:r>
        <w:rPr/>
      </w:r>
    </w:p>
    <w:p>
      <w:pPr>
        <w:pStyle w:val="TextBody"/>
        <w:spacing w:lineRule="auto" w:line="300" w:before="0" w:after="0"/>
        <w:ind w:left="720" w:right="0" w:hanging="0"/>
        <w:jc w:val="both"/>
        <w:rPr>
          <w:rFonts w:ascii="Times New Roman" w:hAnsi="Times New Roman"/>
          <w:sz w:val="20"/>
        </w:rPr>
      </w:pPr>
      <w:bookmarkStart w:id="2708" w:name="TAB11223"/>
      <w:bookmarkEnd w:id="2708"/>
      <w:r>
        <w:rPr>
          <w:rFonts w:ascii="Times New Roman" w:hAnsi="Times New Roman"/>
          <w:sz w:val="20"/>
        </w:rPr>
        <w:t>Reading International, Inc., a Nevada corporation (“RDI” and collectively with our consolidated subsidiaries and corporate predecessors, the “Company,” “Reading” and “we,” “us,” or “our”), was incorporated in 1999 and, following the consummation of a consolidation transaction on December 31, 2001 (the “Consolidation”), is now the owner of the consolidated businesses and assets of Reading Entertainment, Inc. (“RDGE”), Craig Corporation (“CRG”), and Citadel Holding Corporation (“CDL”). Our businesses consist primarily of:</w:t>
      </w:r>
    </w:p>
    <w:p>
      <w:pPr>
        <w:pStyle w:val="TextBody"/>
        <w:spacing w:lineRule="auto" w:line="300" w:before="0" w:after="0"/>
        <w:ind w:left="0" w:right="0" w:hanging="0"/>
        <w:jc w:val="both"/>
        <w:rPr/>
      </w:pPr>
      <w:r>
        <w:rPr/>
        <w:t> </w:t>
      </w:r>
    </w:p>
    <w:p>
      <w:pPr>
        <w:pStyle w:val="Normal"/>
        <w:spacing w:before="0" w:after="0"/>
        <w:ind w:left="0" w:right="0" w:hanging="0"/>
        <w:rPr>
          <w:sz w:val="4"/>
          <w:szCs w:val="4"/>
        </w:rPr>
      </w:pPr>
      <w:r>
        <w:rPr>
          <w:sz w:val="4"/>
          <w:szCs w:val="4"/>
        </w:rPr>
      </w:r>
      <w:bookmarkStart w:id="2709" w:name="hangingindent293"/>
      <w:bookmarkStart w:id="2710" w:name="hangingindent293"/>
      <w:bookmarkEnd w:id="2710"/>
    </w:p>
    <w:tbl>
      <w:tblPr>
        <w:tblW w:w="5000" w:type="pct"/>
        <w:jc w:val="center"/>
        <w:tblInd w:w="0" w:type="dxa"/>
        <w:tblCellMar>
          <w:top w:w="0" w:type="dxa"/>
          <w:left w:w="0" w:type="dxa"/>
          <w:bottom w:w="0" w:type="dxa"/>
          <w:right w:w="0" w:type="dxa"/>
        </w:tblCellMar>
      </w:tblPr>
      <w:tblGrid>
        <w:gridCol w:w="62"/>
        <w:gridCol w:w="99"/>
        <w:gridCol w:w="10044"/>
      </w:tblGrid>
      <w:tr>
        <w:trPr/>
        <w:tc>
          <w:tcPr>
            <w:tcW w:w="62" w:type="dxa"/>
            <w:tcBorders/>
            <w:shd w:fill="auto" w:val="clear"/>
          </w:tcPr>
          <w:p>
            <w:pPr>
              <w:pStyle w:val="TableContents"/>
              <w:spacing w:before="0" w:after="283"/>
              <w:rPr/>
            </w:pPr>
            <w:r>
              <w:rPr/>
              <w:t> </w:t>
            </w:r>
          </w:p>
        </w:tc>
        <w:tc>
          <w:tcPr>
            <w:tcW w:w="99"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4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development, ownership and operation of multiplex cinemas in the United States, Australia, and New Zealand; and</w:t>
            </w:r>
          </w:p>
        </w:tc>
      </w:tr>
    </w:tbl>
    <w:p>
      <w:pPr>
        <w:pStyle w:val="TextBody"/>
        <w:spacing w:lineRule="auto" w:line="300" w:before="0" w:after="0"/>
        <w:ind w:left="0" w:right="0" w:hanging="0"/>
        <w:jc w:val="both"/>
        <w:rPr/>
      </w:pPr>
      <w:r>
        <w:rPr/>
        <w:t> </w:t>
      </w:r>
    </w:p>
    <w:p>
      <w:pPr>
        <w:pStyle w:val="Normal"/>
        <w:spacing w:lineRule="auto" w:line="300" w:before="0" w:after="0"/>
        <w:jc w:val="both"/>
        <w:rPr>
          <w:sz w:val="4"/>
          <w:szCs w:val="4"/>
        </w:rPr>
      </w:pPr>
      <w:r>
        <w:rPr>
          <w:sz w:val="4"/>
          <w:szCs w:val="4"/>
        </w:rPr>
      </w:r>
      <w:bookmarkStart w:id="2711" w:name="hangingindent294"/>
      <w:bookmarkStart w:id="2712" w:name="hangingindent294"/>
      <w:bookmarkEnd w:id="2712"/>
    </w:p>
    <w:tbl>
      <w:tblPr>
        <w:tblW w:w="5000" w:type="pct"/>
        <w:jc w:val="center"/>
        <w:tblInd w:w="0" w:type="dxa"/>
        <w:tblCellMar>
          <w:top w:w="0" w:type="dxa"/>
          <w:left w:w="0" w:type="dxa"/>
          <w:bottom w:w="0" w:type="dxa"/>
          <w:right w:w="0" w:type="dxa"/>
        </w:tblCellMar>
      </w:tblPr>
      <w:tblGrid>
        <w:gridCol w:w="59"/>
        <w:gridCol w:w="95"/>
        <w:gridCol w:w="10051"/>
      </w:tblGrid>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5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the development, ownership and operation of retail and commercial real estate in Australia, New Zealand and the United States, including entertainment-themed retail centers (“ETRC”) in Australia and New Zealand and live theater assets in Manhattan and Chicago in the United States. </w:t>
            </w:r>
          </w:p>
        </w:tc>
      </w:tr>
    </w:tbl>
    <w:p>
      <w:pPr>
        <w:pStyle w:val="TextBody"/>
        <w:spacing w:lineRule="auto" w:line="300" w:before="0" w:after="0"/>
        <w:ind w:left="0" w:right="0" w:hanging="0"/>
        <w:jc w:val="both"/>
        <w:rPr/>
      </w:pPr>
      <w:r>
        <w:rPr/>
        <w:t> </w:t>
      </w:r>
    </w:p>
    <w:p>
      <w:pPr>
        <w:pStyle w:val="TextBody"/>
        <w:spacing w:lineRule="auto" w:line="300" w:before="0" w:after="0"/>
        <w:ind w:left="0" w:right="0" w:firstLine="720"/>
        <w:jc w:val="both"/>
        <w:rPr/>
      </w:pPr>
      <w:r>
        <w:rPr/>
      </w:r>
    </w:p>
    <w:p>
      <w:pPr>
        <w:pStyle w:val="TextBody"/>
        <w:spacing w:lineRule="auto" w:line="300" w:before="0" w:after="0"/>
        <w:ind w:left="0" w:right="0" w:hanging="0"/>
        <w:jc w:val="left"/>
        <w:rPr/>
      </w:pPr>
      <w:r>
        <w:rPr>
          <w:rStyle w:val="StrongEmphasis"/>
          <w:rFonts w:ascii="Times New Roman" w:hAnsi="Times New Roman"/>
          <w:sz w:val="20"/>
          <w:u w:val="single"/>
        </w:rPr>
        <w:t>Note 2 - Summary of Significant Accounting Policies</w:t>
      </w:r>
    </w:p>
    <w:p>
      <w:pPr>
        <w:pStyle w:val="TextBody"/>
        <w:spacing w:lineRule="auto" w:line="300" w:before="0" w:after="0"/>
        <w:ind w:left="0" w:right="0" w:hanging="0"/>
        <w:jc w:val="left"/>
        <w:rPr/>
      </w:pPr>
      <w:r>
        <w:rPr/>
      </w:r>
    </w:p>
    <w:p>
      <w:pPr>
        <w:pStyle w:val="TextBody"/>
        <w:spacing w:lineRule="auto" w:line="300" w:before="0" w:after="0"/>
        <w:ind w:left="0" w:right="0" w:hanging="0"/>
        <w:jc w:val="both"/>
        <w:rPr>
          <w:rFonts w:ascii="Times New Roman" w:hAnsi="Times New Roman"/>
          <w:sz w:val="20"/>
          <w:u w:val="single"/>
        </w:rPr>
      </w:pPr>
      <w:r>
        <w:rPr>
          <w:rFonts w:ascii="Times New Roman" w:hAnsi="Times New Roman"/>
          <w:sz w:val="20"/>
          <w:u w:val="single"/>
        </w:rPr>
        <w:t>Basis of Consolidation</w:t>
      </w:r>
    </w:p>
    <w:p>
      <w:pPr>
        <w:pStyle w:val="TextBody"/>
        <w:spacing w:lineRule="auto" w:line="300" w:before="0" w:after="0"/>
        <w:ind w:left="0" w:right="0" w:hanging="0"/>
        <w:jc w:val="both"/>
        <w:rPr/>
      </w:pPr>
      <w:r>
        <w:rPr/>
      </w:r>
    </w:p>
    <w:p>
      <w:pPr>
        <w:pStyle w:val="TextBody"/>
        <w:spacing w:lineRule="auto" w:line="300" w:before="0" w:after="0"/>
        <w:ind w:left="720" w:right="0" w:hanging="0"/>
        <w:jc w:val="both"/>
        <w:rPr>
          <w:rFonts w:ascii="Times New Roman" w:hAnsi="Times New Roman"/>
          <w:sz w:val="20"/>
        </w:rPr>
      </w:pPr>
      <w:bookmarkStart w:id="2713" w:name="TAB11224"/>
      <w:bookmarkEnd w:id="2713"/>
      <w:r>
        <w:rPr>
          <w:rFonts w:ascii="Times New Roman" w:hAnsi="Times New Roman"/>
          <w:sz w:val="20"/>
        </w:rPr>
        <w:t>The consolidated financial statements of RDI and its subsidiaries include the accounts of CDL, RDGE and CRG. Also consolidated are Angelika Film Center LLC (“AFC”), in which we own a 50% controlling membership interest and whose only asset is the Angelika Film Center in Manhattan; Australia Country Cinemas Pty, Limited (“ACC”), a company in which we own a 75% interest, and whose only assets are our leasehold cinemas in Townsville and Dubbo, Australia; and the Elsternwick Classic, an unincorporated joint venture in which we own a 66.6% interest and whose only asset is the Elsternwick Classic cinema in Melbourne, Australia.</w:t>
      </w:r>
    </w:p>
    <w:p>
      <w:pPr>
        <w:pStyle w:val="TextBody"/>
        <w:spacing w:lineRule="auto" w:line="300" w:before="0" w:after="0"/>
        <w:ind w:left="0" w:right="0" w:hanging="0"/>
        <w:jc w:val="both"/>
        <w:rPr/>
      </w:pPr>
      <w:r>
        <w:rPr/>
      </w:r>
    </w:p>
    <w:p>
      <w:pPr>
        <w:pStyle w:val="TextBody"/>
        <w:spacing w:lineRule="auto" w:line="300" w:before="0" w:after="0"/>
        <w:ind w:left="0" w:right="0" w:firstLine="720"/>
        <w:jc w:val="both"/>
        <w:rPr/>
      </w:pPr>
      <w:r>
        <w:rPr>
          <w:rFonts w:ascii="Times New Roman" w:hAnsi="Times New Roman"/>
          <w:sz w:val="20"/>
        </w:rPr>
        <w:t>With the exception of one other investment, we have concluded that all other investment interests are appropriately accounted for unconsolidated joint ventures and entities, and accordingly, our unconsolidated joint ventures and entities in 20% to 50% owned</w:t>
      </w:r>
      <w:r>
        <w:rPr>
          <w:rStyle w:val="Emphasis"/>
        </w:rPr>
        <w:t> </w:t>
      </w:r>
      <w:r>
        <w:rPr>
          <w:rFonts w:ascii="Times New Roman" w:hAnsi="Times New Roman"/>
          <w:sz w:val="20"/>
        </w:rPr>
        <w:t>companies are accounted for on the equity method. These investment interests include our 33.3% undivided interest in the unincorporated joint venture that owns the Mt. Gravatt cinema in a suburb of Brisbane, Australia; our 50% undivided interest in the unincorporated joint venture that owns a cinema in the greater Auckland area of New Zealand; our 25% undivided interest in the unincorporated joint venture that owns 205-209 East 57</w:t>
      </w:r>
      <w:r>
        <w:rPr>
          <w:rFonts w:ascii="Times New Roman" w:hAnsi="Times New Roman"/>
          <w:position w:val="7"/>
          <w:sz w:val="16"/>
          <w:sz w:val="20"/>
        </w:rPr>
        <w:t>th</w:t>
      </w:r>
      <w:r>
        <w:rPr/>
        <w:t xml:space="preserve"> </w:t>
      </w:r>
      <w:r>
        <w:rPr>
          <w:rFonts w:ascii="Times New Roman" w:hAnsi="Times New Roman"/>
          <w:sz w:val="20"/>
        </w:rPr>
        <w:t>Street Associates, LLC (</w:t>
      </w:r>
      <w:r>
        <w:rPr>
          <w:rStyle w:val="Emphasis"/>
          <w:rFonts w:ascii="Times New Roman" w:hAnsi="Times New Roman"/>
          <w:sz w:val="20"/>
        </w:rPr>
        <w:t>Place 57</w:t>
      </w:r>
      <w:r>
        <w:rPr>
          <w:rFonts w:ascii="Times New Roman" w:hAnsi="Times New Roman"/>
          <w:sz w:val="20"/>
        </w:rPr>
        <w:t>) a limited liability company formed to redevelop our former cinema site at 205 East 57</w:t>
      </w:r>
      <w:r>
        <w:rPr>
          <w:rFonts w:ascii="Times New Roman" w:hAnsi="Times New Roman"/>
          <w:position w:val="7"/>
          <w:sz w:val="16"/>
          <w:sz w:val="20"/>
        </w:rPr>
        <w:t>th</w:t>
      </w:r>
      <w:r>
        <w:rPr/>
        <w:t xml:space="preserve"> </w:t>
      </w:r>
      <w:r>
        <w:rPr>
          <w:rFonts w:ascii="Times New Roman" w:hAnsi="Times New Roman"/>
          <w:sz w:val="20"/>
        </w:rPr>
        <w:t>Street in Manhattan; our 33.3% undivided interest in Rialto Distribution, an unincorporated joint venture engaged in the business of distributing art film in New Zealand and Australia; and our 25% undivided interest in the unincorporated joint venture that owns Rialto Entertainment Village Roadshow Ltd (“Village”) and SkyCity Leisure Ltd (“Sky”) in Rialto Cinemas.</w:t>
      </w:r>
    </w:p>
    <w:p>
      <w:pPr>
        <w:pStyle w:val="TextBody"/>
        <w:spacing w:lineRule="auto" w:line="300" w:before="0" w:after="0"/>
        <w:ind w:left="0" w:right="0" w:firstLine="720"/>
        <w:jc w:val="both"/>
        <w:rPr/>
      </w:pPr>
      <w:r>
        <w:rPr/>
      </w:r>
    </w:p>
    <w:p>
      <w:pPr>
        <w:pStyle w:val="TextBody"/>
        <w:spacing w:lineRule="auto" w:line="300" w:before="0" w:after="0"/>
        <w:ind w:left="0" w:right="0" w:firstLine="720"/>
        <w:jc w:val="both"/>
        <w:rPr/>
      </w:pPr>
      <w:r>
        <w:rPr>
          <w:rFonts w:ascii="Times New Roman" w:hAnsi="Times New Roman"/>
          <w:sz w:val="20"/>
        </w:rPr>
        <w:t xml:space="preserve">We also have an 18.4% undivided interest in a private real estate company with holdings principally in California, Texas and Hawaii, including the Guenoc Winery and other land located in Northern California. We have been in contact with the controlling shareholder of Malulani Investments, Ltd. and requested quarterly or annual operating financials. To date, he has not responded to our request for relevant financial information. Based on this situation, we do not believe that we can assert significant influence over the dealings of this entity. As such and in accordance with Financial Accounting Standards Board (FASB) Interpretation No. 35 - </w:t>
      </w:r>
      <w:r>
        <w:rPr>
          <w:rStyle w:val="Emphasis"/>
          <w:rFonts w:ascii="Times New Roman" w:hAnsi="Times New Roman"/>
          <w:sz w:val="20"/>
        </w:rPr>
        <w:t>Criteria for Applying the Equity Method of Accounting for Investments in Common Stock - an Interpretation of APB Opinion No. 18</w:t>
      </w:r>
      <w:r>
        <w:rPr>
          <w:rFonts w:ascii="Times New Roman" w:hAnsi="Times New Roman"/>
          <w:sz w:val="20"/>
        </w:rPr>
        <w:t xml:space="preserve">, we are treating this investment on a cost basis by recognizing earnings as they are distributed to us. </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u w:val="single"/>
        </w:rPr>
      </w:pPr>
      <w:r>
        <w:rPr>
          <w:rFonts w:ascii="Times New Roman" w:hAnsi="Times New Roman"/>
          <w:sz w:val="20"/>
          <w:u w:val="single"/>
        </w:rPr>
        <w:t>Accounting Principles</w:t>
      </w:r>
    </w:p>
    <w:p>
      <w:pPr>
        <w:pStyle w:val="TextBody"/>
        <w:spacing w:lineRule="auto" w:line="300" w:before="0" w:after="0"/>
        <w:ind w:left="0" w:right="0" w:hanging="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Our consolidated financial statements have been prepared in accordance with accounting principles generally accepted in the United States of America (“US GAAP”).</w:t>
      </w:r>
    </w:p>
    <w:p>
      <w:pPr>
        <w:pStyle w:val="TextBody"/>
        <w:spacing w:lineRule="auto" w:line="300"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714" w:name="PGBRK76"/>
      <w:bookmarkStart w:id="2715" w:name="PGBRK76"/>
      <w:bookmarkEnd w:id="27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716" w:name="FTR76"/>
      <w:bookmarkStart w:id="2717" w:name="FTR76"/>
      <w:bookmarkEnd w:id="271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718" w:name="GLFTR76"/>
      <w:bookmarkStart w:id="2719" w:name="GLFTR76"/>
      <w:bookmarkEnd w:id="27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2720" w:name="PN76"/>
      <w:bookmarkEnd w:id="2720"/>
      <w:r>
        <w:rPr>
          <w:rFonts w:ascii="Times New Roman" w:hAnsi="Times New Roman"/>
          <w:sz w:val="16"/>
        </w:rPr>
        <w:t>-76-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721" w:name="HDR76"/>
      <w:bookmarkStart w:id="2722" w:name="HDR76"/>
      <w:bookmarkEnd w:id="272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2723" w:name="GLHDR76"/>
        <w:bookmarkEnd w:id="2723"/>
        <w:r>
          <w:rPr>
            <w:rStyle w:val="Emphasis"/>
            <w:rFonts w:ascii="Times New Roman" w:hAnsi="Times New Roman"/>
            <w:color w:val="000000"/>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300" w:before="0" w:after="0"/>
        <w:ind w:left="0" w:right="0" w:hanging="0"/>
        <w:jc w:val="both"/>
        <w:rPr>
          <w:rFonts w:ascii="Times New Roman" w:hAnsi="Times New Roman"/>
          <w:sz w:val="20"/>
          <w:u w:val="single"/>
        </w:rPr>
      </w:pPr>
      <w:r>
        <w:rPr>
          <w:rFonts w:ascii="Times New Roman" w:hAnsi="Times New Roman"/>
          <w:sz w:val="20"/>
          <w:u w:val="single"/>
        </w:rPr>
        <w:t>Cash and Cash Equivalents</w:t>
      </w:r>
    </w:p>
    <w:p>
      <w:pPr>
        <w:pStyle w:val="TextBody"/>
        <w:spacing w:lineRule="auto" w:line="300" w:before="0" w:after="0"/>
        <w:ind w:left="0" w:right="0" w:hanging="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 xml:space="preserve">We consider all highly liquid investments with original maturities of three months or less to be cash equivalents. </w:t>
      </w:r>
    </w:p>
    <w:p>
      <w:pPr>
        <w:pStyle w:val="TextBody"/>
        <w:spacing w:lineRule="auto" w:line="300" w:before="0" w:after="0"/>
        <w:ind w:left="0" w:right="0" w:firstLine="720"/>
        <w:jc w:val="both"/>
        <w:rPr/>
      </w:pPr>
      <w:r>
        <w:rPr/>
      </w:r>
    </w:p>
    <w:p>
      <w:pPr>
        <w:pStyle w:val="TextBody"/>
        <w:spacing w:lineRule="auto" w:line="300" w:before="0" w:after="0"/>
        <w:ind w:left="0" w:right="0" w:hanging="0"/>
        <w:jc w:val="both"/>
        <w:rPr>
          <w:rFonts w:ascii="Times New Roman" w:hAnsi="Times New Roman"/>
          <w:sz w:val="20"/>
          <w:u w:val="single"/>
        </w:rPr>
      </w:pPr>
      <w:r>
        <w:rPr>
          <w:rFonts w:ascii="Times New Roman" w:hAnsi="Times New Roman"/>
          <w:sz w:val="20"/>
          <w:u w:val="single"/>
        </w:rPr>
        <w:t>Receivables</w:t>
      </w:r>
    </w:p>
    <w:p>
      <w:pPr>
        <w:pStyle w:val="TextBody"/>
        <w:spacing w:lineRule="auto" w:line="300" w:before="0" w:after="0"/>
        <w:ind w:left="0" w:right="0" w:hanging="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Our receivables balance is composed primarily of credit card receivables, representing the purchase price of tickets or coupon books sold at our various businesses. Sales charged on customer credit cards are collected when the credit card transactions are processed. The remaining receivables balance is primarily made up of the goods and services tax (“GST”) refund receivable from our Australian taxing authorities and the management fee receivable from the managed cinemas. We have no history of significant bad debt losses and we establish an allowance for accounts that we deem uncollectible.</w:t>
      </w:r>
    </w:p>
    <w:p>
      <w:pPr>
        <w:pStyle w:val="TextBody"/>
        <w:spacing w:lineRule="auto" w:line="300" w:before="0" w:after="0"/>
        <w:ind w:left="0" w:right="0" w:firstLine="720"/>
        <w:jc w:val="both"/>
        <w:rPr/>
      </w:pPr>
      <w:r>
        <w:rPr/>
      </w:r>
    </w:p>
    <w:p>
      <w:pPr>
        <w:pStyle w:val="TextBody"/>
        <w:spacing w:lineRule="auto" w:line="300" w:before="0" w:after="0"/>
        <w:ind w:left="0" w:right="0" w:hanging="0"/>
        <w:jc w:val="both"/>
        <w:rPr>
          <w:rFonts w:ascii="Times New Roman" w:hAnsi="Times New Roman"/>
          <w:sz w:val="20"/>
          <w:u w:val="single"/>
        </w:rPr>
      </w:pPr>
      <w:r>
        <w:rPr>
          <w:rFonts w:ascii="Times New Roman" w:hAnsi="Times New Roman"/>
          <w:sz w:val="20"/>
          <w:u w:val="single"/>
        </w:rPr>
        <w:t>Inventory</w:t>
      </w:r>
    </w:p>
    <w:p>
      <w:pPr>
        <w:pStyle w:val="TextBody"/>
        <w:spacing w:lineRule="auto" w:line="300" w:before="0" w:after="0"/>
        <w:ind w:left="0" w:right="0" w:hanging="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Inventory is composed of concession goods used in theater operations and is stated at the lower of cost (first-in, first-out method) or net realizable value.</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u w:val="single"/>
        </w:rPr>
      </w:pPr>
      <w:r>
        <w:rPr>
          <w:rFonts w:ascii="Times New Roman" w:hAnsi="Times New Roman"/>
          <w:sz w:val="20"/>
          <w:u w:val="single"/>
        </w:rPr>
        <w:t>Investment in Marketable Securities</w:t>
      </w:r>
    </w:p>
    <w:p>
      <w:pPr>
        <w:pStyle w:val="TextBody"/>
        <w:spacing w:lineRule="auto" w:line="300" w:before="0" w:after="0"/>
        <w:ind w:left="0" w:right="0" w:firstLine="720"/>
        <w:jc w:val="both"/>
        <w:rPr/>
      </w:pPr>
      <w:r>
        <w:rPr/>
      </w:r>
    </w:p>
    <w:p>
      <w:pPr>
        <w:pStyle w:val="TextBody"/>
        <w:spacing w:lineRule="auto" w:line="300" w:before="0" w:after="0"/>
        <w:ind w:left="0" w:right="0" w:firstLine="720"/>
        <w:jc w:val="both"/>
        <w:rPr/>
      </w:pPr>
      <w:r>
        <w:rPr>
          <w:rFonts w:ascii="Times New Roman" w:hAnsi="Times New Roman"/>
          <w:sz w:val="20"/>
        </w:rPr>
        <w:t>We account for investments in marketable debt and equity securities in accordance with SFAS No. 115, “</w:t>
      </w:r>
      <w:r>
        <w:rPr>
          <w:rStyle w:val="Emphasis"/>
          <w:rFonts w:ascii="Times New Roman" w:hAnsi="Times New Roman"/>
          <w:sz w:val="20"/>
        </w:rPr>
        <w:t>Accounting for Certain Investments in Debt and Equity Securities</w:t>
      </w:r>
      <w:r>
        <w:rPr/>
        <w:t xml:space="preserve">” </w:t>
      </w:r>
      <w:r>
        <w:rPr>
          <w:rFonts w:ascii="Times New Roman" w:hAnsi="Times New Roman"/>
          <w:sz w:val="20"/>
        </w:rPr>
        <w:t>(SFAS No. 115). Our investment in Marketable Securities includes equity instruments which are classified as available for sale and are recorded at market using the specific identification method. In accordance with SFAS No. 115, available for sale securities are carried at their fair market value and any difference between cost and market value is recorded as unrealized gain or loss, net of income taxes, and is reported as accumulated other comprehensive income in the consolidated statement of stockholders’ equity. Premiums and discounts of debt instruments are recognized in interest income using the effective interest method. Realized gains and losses and declines in value expected to be other-than-temporary on available for sale securities are included in other income. The cost of securities sold is based on the specific identification method. Interest and dividends on securities classified as available for sale are included in interest income.</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u w:val="single"/>
        </w:rPr>
      </w:pPr>
      <w:r>
        <w:rPr>
          <w:rFonts w:ascii="Times New Roman" w:hAnsi="Times New Roman"/>
          <w:sz w:val="20"/>
          <w:u w:val="single"/>
        </w:rPr>
        <w:t>Restricted Cash</w:t>
      </w:r>
    </w:p>
    <w:p>
      <w:pPr>
        <w:pStyle w:val="TextBody"/>
        <w:spacing w:lineRule="auto" w:line="300" w:before="0" w:after="0"/>
        <w:ind w:left="0" w:right="0" w:hanging="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We classify restricted cash as those cash accounts for which the use of funds is restricted by contract or bank covenant. At December 31, 2006, our restricted cash balance was $1.0 million made up of deposits transferred to restricted cash accounts under our name by, and in accordance with, our agreement with our domestic credit card processing bank. The deposits were transferred to cover any potential loss suffered by the bank in relation to the use by third parties of counterfeit credit cards and related credit card company fines.</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u w:val="single"/>
        </w:rPr>
      </w:pPr>
      <w:r>
        <w:rPr>
          <w:rFonts w:ascii="Times New Roman" w:hAnsi="Times New Roman"/>
          <w:sz w:val="20"/>
          <w:u w:val="single"/>
        </w:rPr>
        <w:t>Fair Value of Financial Instruments</w:t>
      </w:r>
    </w:p>
    <w:p>
      <w:pPr>
        <w:pStyle w:val="TextBody"/>
        <w:spacing w:lineRule="auto" w:line="300" w:before="0" w:after="0"/>
        <w:ind w:left="0" w:right="0" w:hanging="0"/>
        <w:jc w:val="both"/>
        <w:rPr/>
      </w:pPr>
      <w:r>
        <w:rPr/>
      </w:r>
    </w:p>
    <w:p>
      <w:pPr>
        <w:pStyle w:val="TextBody"/>
        <w:spacing w:lineRule="auto" w:line="300" w:before="0" w:after="0"/>
        <w:ind w:left="0" w:right="0" w:firstLine="720"/>
        <w:jc w:val="both"/>
        <w:rPr/>
      </w:pPr>
      <w:r>
        <w:rPr>
          <w:rFonts w:ascii="Times New Roman" w:hAnsi="Times New Roman"/>
          <w:sz w:val="20"/>
        </w:rPr>
        <w:t xml:space="preserve">The carrying amounts of our cash and cash equivalents, restricted cash and accounts payable approximate fair value due to their short-term maturities. The carrying amounts of our variable-rate secured debt approximate fair value since the interest rates on these instruments are equivalent to rates currently offered to us. See Note 16 - </w:t>
      </w:r>
      <w:r>
        <w:rPr>
          <w:rStyle w:val="Emphasis"/>
          <w:rFonts w:ascii="Times New Roman" w:hAnsi="Times New Roman"/>
          <w:sz w:val="20"/>
        </w:rPr>
        <w:t>Fair Value of Financial Instruments</w:t>
      </w:r>
      <w:r>
        <w:rPr>
          <w:rFonts w:ascii="Times New Roman" w:hAnsi="Times New Roman"/>
          <w:sz w:val="20"/>
        </w:rPr>
        <w:t>.</w:t>
      </w:r>
    </w:p>
    <w:p>
      <w:pPr>
        <w:pStyle w:val="TextBody"/>
        <w:spacing w:lineRule="auto" w:line="300" w:before="0" w:after="0"/>
        <w:ind w:left="0" w:right="0" w:firstLine="720"/>
        <w:jc w:val="both"/>
        <w:rPr/>
      </w:pPr>
      <w:r>
        <w:rPr/>
      </w:r>
    </w:p>
    <w:p>
      <w:pPr>
        <w:pStyle w:val="TextBody"/>
        <w:spacing w:lineRule="auto" w:line="300" w:before="0" w:after="0"/>
        <w:ind w:left="0" w:right="0" w:hanging="0"/>
        <w:jc w:val="left"/>
        <w:rPr>
          <w:rFonts w:ascii="Times New Roman" w:hAnsi="Times New Roman"/>
          <w:sz w:val="20"/>
          <w:u w:val="single"/>
        </w:rPr>
      </w:pPr>
      <w:r>
        <w:rPr>
          <w:rFonts w:ascii="Times New Roman" w:hAnsi="Times New Roman"/>
          <w:sz w:val="20"/>
          <w:u w:val="single"/>
        </w:rPr>
        <w:t>Derivative Financial Instruments</w:t>
      </w:r>
    </w:p>
    <w:p>
      <w:pPr>
        <w:pStyle w:val="TextBody"/>
        <w:spacing w:lineRule="auto" w:line="300" w:before="0" w:after="0"/>
        <w:ind w:left="0" w:right="0" w:hanging="0"/>
        <w:jc w:val="left"/>
        <w:rPr/>
      </w:pPr>
      <w:r>
        <w:rPr/>
      </w:r>
    </w:p>
    <w:p>
      <w:pPr>
        <w:pStyle w:val="TextBody"/>
        <w:spacing w:lineRule="auto" w:line="300" w:before="0" w:after="0"/>
        <w:ind w:left="0" w:right="0" w:firstLine="720"/>
        <w:jc w:val="left"/>
        <w:rPr/>
      </w:pPr>
      <w:r>
        <w:rPr>
          <w:rFonts w:ascii="Times New Roman" w:hAnsi="Times New Roman"/>
          <w:sz w:val="20"/>
        </w:rPr>
        <w:t xml:space="preserve">In accordance with Statement of Financial Accounting Standards (SFAS) No. 133, </w:t>
      </w:r>
      <w:r>
        <w:rPr>
          <w:rStyle w:val="Emphasis"/>
          <w:rFonts w:ascii="Times New Roman" w:hAnsi="Times New Roman"/>
          <w:sz w:val="20"/>
        </w:rPr>
        <w:t>Accounting for Derivative Instruments and Hedging Activities</w:t>
      </w:r>
      <w:r>
        <w:rPr>
          <w:rFonts w:ascii="Times New Roman" w:hAnsi="Times New Roman"/>
          <w:sz w:val="20"/>
        </w:rPr>
        <w:t xml:space="preserve">, as subsequently amended by SFAS No. 138, </w:t>
      </w:r>
      <w:r>
        <w:rPr>
          <w:rStyle w:val="Emphasis"/>
          <w:rFonts w:ascii="Times New Roman" w:hAnsi="Times New Roman"/>
          <w:sz w:val="20"/>
        </w:rPr>
        <w:t>Accounting for Certain Derivative Instruments and Certain Hedging Activities an Amendment of SFAS No. 133</w:t>
      </w:r>
      <w:r>
        <w:rPr>
          <w:rFonts w:ascii="Times New Roman" w:hAnsi="Times New Roman"/>
          <w:sz w:val="20"/>
        </w:rPr>
        <w:t>, we carry all derivative financial instruments on our Consolidated Balance Sheets at fair value. Derivatives are generally executed for interest rate management purposes but are not designated as hedges in accordance with SFAS No. 133 and SFAS No. 138. Therefore, changes in market values are recognized in current earnings.</w:t>
      </w:r>
    </w:p>
    <w:p>
      <w:pPr>
        <w:pStyle w:val="TextBody"/>
        <w:spacing w:lineRule="auto" w:line="300"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724" w:name="PGBRK77"/>
      <w:bookmarkStart w:id="2725" w:name="PGBRK77"/>
      <w:bookmarkEnd w:id="27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726" w:name="FTR77"/>
      <w:bookmarkStart w:id="2727" w:name="FTR77"/>
      <w:bookmarkEnd w:id="272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728" w:name="GLFTR77"/>
      <w:bookmarkStart w:id="2729" w:name="GLFTR77"/>
      <w:bookmarkEnd w:id="272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2730" w:name="PN77"/>
      <w:bookmarkEnd w:id="2730"/>
      <w:r>
        <w:rPr>
          <w:rFonts w:ascii="Times New Roman" w:hAnsi="Times New Roman"/>
          <w:sz w:val="16"/>
        </w:rPr>
        <w:t>-77-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731" w:name="HDR77"/>
      <w:bookmarkStart w:id="2732" w:name="HDR77"/>
      <w:bookmarkEnd w:id="27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2733" w:name="GLHDR77"/>
        <w:bookmarkEnd w:id="2733"/>
        <w:r>
          <w:rPr>
            <w:rStyle w:val="Emphasis"/>
            <w:rFonts w:ascii="Times New Roman" w:hAnsi="Times New Roman"/>
            <w:color w:val="000000"/>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300" w:before="0" w:after="0"/>
        <w:ind w:left="0" w:right="0" w:hanging="0"/>
        <w:jc w:val="both"/>
        <w:rPr>
          <w:rFonts w:ascii="Times New Roman" w:hAnsi="Times New Roman"/>
          <w:sz w:val="20"/>
          <w:u w:val="single"/>
        </w:rPr>
      </w:pPr>
      <w:r>
        <w:rPr>
          <w:rFonts w:ascii="Times New Roman" w:hAnsi="Times New Roman"/>
          <w:sz w:val="20"/>
          <w:u w:val="single"/>
        </w:rPr>
        <w:t>Property Held for Development</w:t>
      </w:r>
    </w:p>
    <w:p>
      <w:pPr>
        <w:pStyle w:val="TextBody"/>
        <w:spacing w:lineRule="auto" w:line="300" w:before="0" w:after="0"/>
        <w:ind w:left="0" w:right="0" w:hanging="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Property held for development consists of land (including land acquisition costs) initially acquired for the potential development of multiplex cinemas and/or ETRC’s. Property held for development is carried at cost. At the time construction of the related multiplex cinema, ETRC, or other development commences, the property is transferred to “property under development.”</w:t>
      </w:r>
    </w:p>
    <w:p>
      <w:pPr>
        <w:pStyle w:val="TextBody"/>
        <w:spacing w:lineRule="auto" w:line="300" w:before="0" w:after="0"/>
        <w:ind w:left="0" w:right="0" w:firstLine="720"/>
        <w:jc w:val="both"/>
        <w:rPr/>
      </w:pPr>
      <w:r>
        <w:rPr/>
      </w:r>
    </w:p>
    <w:p>
      <w:pPr>
        <w:pStyle w:val="TextBody"/>
        <w:spacing w:lineRule="auto" w:line="300" w:before="0" w:after="0"/>
        <w:ind w:left="0" w:right="0" w:hanging="0"/>
        <w:jc w:val="both"/>
        <w:rPr>
          <w:rFonts w:ascii="Times New Roman" w:hAnsi="Times New Roman"/>
          <w:sz w:val="20"/>
          <w:u w:val="single"/>
        </w:rPr>
      </w:pPr>
      <w:r>
        <w:rPr>
          <w:rFonts w:ascii="Times New Roman" w:hAnsi="Times New Roman"/>
          <w:sz w:val="20"/>
          <w:u w:val="single"/>
        </w:rPr>
        <w:t>Property Under Development</w:t>
      </w:r>
    </w:p>
    <w:p>
      <w:pPr>
        <w:pStyle w:val="TextBody"/>
        <w:spacing w:lineRule="auto" w:line="300" w:before="0" w:after="0"/>
        <w:ind w:left="0" w:right="0" w:hanging="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 xml:space="preserve">Property under development consists of land, new buildings and improvements under development, and their associated capitalized interest and other development costs. These building and improvement costs are directly associated with the development of potential cinemas (whether for sale or lease), the development of ETRC locations, or other improvements to real property. Start-up costs (such as pre-opening cinema advertising and training expense) and other costs not directly related to the acquisition of long-term assets are expensed as incurred. </w:t>
      </w:r>
    </w:p>
    <w:p>
      <w:pPr>
        <w:pStyle w:val="TextBody"/>
        <w:spacing w:lineRule="auto" w:line="300" w:before="0" w:after="0"/>
        <w:ind w:left="0" w:right="0" w:firstLine="720"/>
        <w:jc w:val="both"/>
        <w:rPr/>
      </w:pPr>
      <w:r>
        <w:rPr/>
        <w:t> </w:t>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Incident to the development of our Burwood property, in late 2006, we began various fill and earth moving operations. In late February 2007, it became apparent that our cost estimates with respect to site preparation were low, as the extent of the contaminated soil present at the site - a former brickworks - was greater than we had originally believed. Our previous estimated cost of $500 million included the approximately $1.4 million (AUS$1.8 million) of estimated cost to remove the contaminated soil. As we were not the source of this contamination, we are not currently under any legal obligation to remove this contaminated soil from the site. However, as a practical matter we intend to address these issues in connection with our planned redevelopment of the site as a mixed-use retail, entertainment, commercial and residential complex. We are currently evaluating the additional site preparation costs likely to be associated with the removal of this contaminated soil.</w:t>
      </w:r>
    </w:p>
    <w:p>
      <w:pPr>
        <w:pStyle w:val="TextBody"/>
        <w:spacing w:lineRule="auto" w:line="300" w:before="0" w:after="0"/>
        <w:ind w:left="0" w:right="0" w:firstLine="720"/>
        <w:jc w:val="both"/>
        <w:rPr/>
      </w:pPr>
      <w:r>
        <w:rPr/>
        <w:t> </w:t>
      </w:r>
    </w:p>
    <w:p>
      <w:pPr>
        <w:pStyle w:val="TextBody"/>
        <w:spacing w:lineRule="auto" w:line="300" w:before="0" w:after="0"/>
        <w:ind w:left="0" w:right="0" w:hanging="0"/>
        <w:jc w:val="both"/>
        <w:rPr>
          <w:rFonts w:ascii="Times New Roman" w:hAnsi="Times New Roman"/>
          <w:sz w:val="20"/>
          <w:u w:val="single"/>
        </w:rPr>
      </w:pPr>
      <w:r>
        <w:rPr>
          <w:rFonts w:ascii="Times New Roman" w:hAnsi="Times New Roman"/>
          <w:sz w:val="20"/>
          <w:u w:val="single"/>
        </w:rPr>
        <w:t>Property and Equipment</w:t>
      </w:r>
    </w:p>
    <w:p>
      <w:pPr>
        <w:pStyle w:val="TextBody"/>
        <w:spacing w:lineRule="auto" w:line="300" w:before="0" w:after="0"/>
        <w:ind w:left="0" w:right="0" w:hanging="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Property and equipment consists of land, buildings, leasehold improvements, fixtures and equipment. With the exception of land, property and equipment is carried at cost and depreciated over the useful lives of the related assets. In accordance with US GAAP, land is not depreciated.</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u w:val="single"/>
        </w:rPr>
      </w:pPr>
      <w:r>
        <w:rPr>
          <w:rFonts w:ascii="Times New Roman" w:hAnsi="Times New Roman"/>
          <w:sz w:val="20"/>
          <w:u w:val="single"/>
        </w:rPr>
        <w:t>Construction-in-Progress Costs</w:t>
      </w:r>
    </w:p>
    <w:p>
      <w:pPr>
        <w:pStyle w:val="TextBody"/>
        <w:spacing w:lineRule="auto" w:line="300" w:before="0" w:after="0"/>
        <w:ind w:left="0" w:right="0" w:hanging="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 xml:space="preserve">Construction-in-progress includes costs associated with already existing buildings, property, furniture and fixtures for which we are in the process of improving the site or its associated business assets. </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u w:val="single"/>
        </w:rPr>
      </w:pPr>
      <w:r>
        <w:rPr>
          <w:rFonts w:ascii="Times New Roman" w:hAnsi="Times New Roman"/>
          <w:sz w:val="20"/>
          <w:u w:val="single"/>
        </w:rPr>
        <w:t>Accounting for the Impairment of Long Lived Assets</w:t>
      </w:r>
    </w:p>
    <w:p>
      <w:pPr>
        <w:pStyle w:val="TextBody"/>
        <w:spacing w:lineRule="auto" w:line="300" w:before="0" w:after="0"/>
        <w:ind w:left="0" w:right="0" w:hanging="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 xml:space="preserve">We assess whether there has been an impairment in the value of our long-lived assets whenever events or changes in circumstances indicate the carrying amount of an asset may not be recoverable. Recoverability of assets to be held and used is measured by a comparison of the carrying amount to the future net cash flows, undiscounted and without interest, expected to be generated by the asset. If such assets are considered to be impaired, the impairment to be recognized is measured by the amount by which the carrying amount of the assets exceeds the fair value of the assets. Assets to be disposed of are reported at the lower of the carrying amount or fair value, less costs to sell. At December 31, 2006, no impairment in the net carrying values of our investments in real estate and cinema leasehold interests or in unconsolidated real estate entities had occurred for the periods presented. </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u w:val="single"/>
        </w:rPr>
      </w:pPr>
      <w:r>
        <w:rPr>
          <w:rFonts w:ascii="Times New Roman" w:hAnsi="Times New Roman"/>
          <w:sz w:val="20"/>
          <w:u w:val="single"/>
        </w:rPr>
        <w:t>Goodwill and Intangible Assets</w:t>
      </w:r>
    </w:p>
    <w:p>
      <w:pPr>
        <w:pStyle w:val="TextBody"/>
        <w:spacing w:lineRule="auto" w:line="300" w:before="0" w:after="0"/>
        <w:ind w:left="0" w:right="0" w:hanging="0"/>
        <w:jc w:val="both"/>
        <w:rPr/>
      </w:pPr>
      <w:r>
        <w:rPr/>
      </w:r>
    </w:p>
    <w:p>
      <w:pPr>
        <w:pStyle w:val="TextBody"/>
        <w:spacing w:lineRule="auto" w:line="300" w:before="0" w:after="0"/>
        <w:ind w:left="0" w:right="0" w:firstLine="720"/>
        <w:jc w:val="both"/>
        <w:rPr/>
      </w:pPr>
      <w:r>
        <w:rPr>
          <w:rFonts w:ascii="Times New Roman" w:hAnsi="Times New Roman"/>
          <w:sz w:val="20"/>
        </w:rPr>
        <w:t xml:space="preserve">In June 2001, the FASB issued SFAS No. 141, </w:t>
      </w:r>
      <w:r>
        <w:rPr>
          <w:rStyle w:val="Emphasis"/>
          <w:rFonts w:ascii="Times New Roman" w:hAnsi="Times New Roman"/>
          <w:sz w:val="20"/>
        </w:rPr>
        <w:t>Business Combinations</w:t>
      </w:r>
      <w:r>
        <w:rPr/>
        <w:t xml:space="preserve"> </w:t>
      </w:r>
      <w:r>
        <w:rPr>
          <w:rFonts w:ascii="Times New Roman" w:hAnsi="Times New Roman"/>
          <w:sz w:val="20"/>
        </w:rPr>
        <w:t xml:space="preserve">(SFAS 141), and SFAS No. 142, </w:t>
      </w:r>
      <w:r>
        <w:rPr>
          <w:rStyle w:val="Emphasis"/>
          <w:rFonts w:ascii="Times New Roman" w:hAnsi="Times New Roman"/>
          <w:sz w:val="20"/>
        </w:rPr>
        <w:t>Goodwill and Other Intangible</w:t>
      </w:r>
      <w:r>
        <w:rPr/>
        <w:t> </w:t>
      </w:r>
      <w:r>
        <w:rPr>
          <w:rStyle w:val="Emphasis"/>
          <w:rFonts w:ascii="Times New Roman" w:hAnsi="Times New Roman"/>
          <w:sz w:val="20"/>
        </w:rPr>
        <w:t>Assets</w:t>
      </w:r>
      <w:r>
        <w:rPr/>
        <w:t xml:space="preserve"> </w:t>
      </w:r>
      <w:r>
        <w:rPr>
          <w:rFonts w:ascii="Times New Roman" w:hAnsi="Times New Roman"/>
          <w:sz w:val="20"/>
        </w:rPr>
        <w:t xml:space="preserve">(SFAS 142), which are effective for fiscal years beginning after December 15, 2001. SFAS 141 requires that the purchase method of accounting be used for all business combinations initiated or completed after June 30, 2001. SFAS 142 requires that goodwill and intangible assets with indefinite useful lives no longer be amortized, but instead, tested for impairment at least annually in accordance with the provisions of SFAS 142. As required by SFAS 142, prior to conducting our goodwill impairment analysis, we assess long-lived assets for impairment in accordance with SFAS 144, </w:t>
      </w:r>
      <w:r>
        <w:rPr>
          <w:rStyle w:val="Emphasis"/>
          <w:rFonts w:ascii="Times New Roman" w:hAnsi="Times New Roman"/>
          <w:sz w:val="20"/>
        </w:rPr>
        <w:t>Accounting for the Impairment or Disposal of Long-lived Assets</w:t>
      </w:r>
      <w:r>
        <w:rPr>
          <w:rFonts w:ascii="Times New Roman" w:hAnsi="Times New Roman"/>
          <w:sz w:val="20"/>
        </w:rPr>
        <w:t xml:space="preserve">. We then perform the impairment analysis at one level below the operating segment level (see Note 10 - </w:t>
      </w:r>
      <w:r>
        <w:rPr>
          <w:rStyle w:val="Emphasis"/>
          <w:rFonts w:ascii="Times New Roman" w:hAnsi="Times New Roman"/>
          <w:sz w:val="20"/>
        </w:rPr>
        <w:t>Goodwill and Intangibles</w:t>
      </w:r>
      <w:r>
        <w:rPr>
          <w:rFonts w:ascii="Times New Roman" w:hAnsi="Times New Roman"/>
          <w:sz w:val="20"/>
        </w:rPr>
        <w:t>) as defined by SFAS 142. This analysis requires management to make a series of critical assumptions to: (1) evaluate whether any impairment exists; and (2) measure the amount of impairment. SFAS 142 requires that we estimate the fair value of our reporting units as compared with their estimated book value. If the estimated fair value of a reporting unit is less than the estimated book value, then an impairment is deemed to have occurred. In estimating the fair value of our reporting units, we primarily use the income approach (which uses forecasted, discounted cash flows to estimate the fair value of the reporting unit).</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u w:val="single"/>
        </w:rPr>
      </w:pPr>
      <w:r>
        <w:rPr>
          <w:rFonts w:ascii="Times New Roman" w:hAnsi="Times New Roman"/>
          <w:sz w:val="20"/>
          <w:u w:val="single"/>
        </w:rPr>
        <w:t>Revenue Recognition</w:t>
      </w:r>
    </w:p>
    <w:p>
      <w:pPr>
        <w:pStyle w:val="TextBody"/>
        <w:spacing w:lineRule="auto" w:line="300" w:before="0" w:after="0"/>
        <w:ind w:left="0" w:right="0" w:hanging="0"/>
        <w:jc w:val="both"/>
        <w:rPr/>
      </w:pPr>
      <w:r>
        <w:rPr/>
      </w:r>
    </w:p>
    <w:p>
      <w:pPr>
        <w:pStyle w:val="TextBody"/>
        <w:spacing w:lineRule="auto" w:line="300" w:before="0" w:after="0"/>
        <w:ind w:left="0" w:right="0" w:firstLine="720"/>
        <w:jc w:val="both"/>
        <w:rPr/>
      </w:pPr>
      <w:r>
        <w:rPr>
          <w:rFonts w:ascii="Times New Roman" w:hAnsi="Times New Roman"/>
          <w:sz w:val="20"/>
        </w:rPr>
        <w:t xml:space="preserve">Revenue from cinema ticket sales and concession sales are recognized when sold. Revenue from gift certificate sales is deferred and recognized when the certificates are redeemed. Rental revenue is recognized on a straight-line basis in accordance with SFAS No. 13 - </w:t>
      </w:r>
      <w:r>
        <w:rPr>
          <w:rStyle w:val="Emphasis"/>
          <w:rFonts w:ascii="Times New Roman" w:hAnsi="Times New Roman"/>
          <w:sz w:val="20"/>
        </w:rPr>
        <w:t>Accounting for Leases</w:t>
      </w:r>
      <w:r>
        <w:rPr>
          <w:rFonts w:ascii="Times New Roman" w:hAnsi="Times New Roman"/>
          <w:sz w:val="20"/>
        </w:rPr>
        <w:t xml:space="preserve">.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734" w:name="PGBRK78"/>
      <w:bookmarkStart w:id="2735" w:name="PGBRK78"/>
      <w:bookmarkEnd w:id="273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736" w:name="FTR78"/>
      <w:bookmarkStart w:id="2737" w:name="FTR78"/>
      <w:bookmarkEnd w:id="273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738" w:name="GLFTR78"/>
      <w:bookmarkStart w:id="2739" w:name="GLFTR78"/>
      <w:bookmarkEnd w:id="273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2740" w:name="PN78"/>
      <w:bookmarkEnd w:id="2740"/>
      <w:r>
        <w:rPr>
          <w:rFonts w:ascii="Times New Roman" w:hAnsi="Times New Roman"/>
          <w:sz w:val="16"/>
        </w:rPr>
        <w:t>-78-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741" w:name="HDR78"/>
      <w:bookmarkStart w:id="2742" w:name="HDR78"/>
      <w:bookmarkEnd w:id="274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2743" w:name="GLHDR78"/>
        <w:bookmarkEnd w:id="2743"/>
        <w:r>
          <w:rPr>
            <w:rStyle w:val="Emphasis"/>
            <w:rFonts w:ascii="Times New Roman" w:hAnsi="Times New Roman"/>
            <w:color w:val="000000"/>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pStyle w:val="TextBody"/>
        <w:spacing w:lineRule="auto" w:line="300" w:before="0" w:after="0"/>
        <w:ind w:left="0" w:right="0" w:hanging="0"/>
        <w:jc w:val="both"/>
        <w:rPr>
          <w:rFonts w:ascii="Times New Roman" w:hAnsi="Times New Roman"/>
          <w:sz w:val="20"/>
          <w:u w:val="single"/>
        </w:rPr>
      </w:pPr>
      <w:r>
        <w:rPr>
          <w:rFonts w:ascii="Times New Roman" w:hAnsi="Times New Roman"/>
          <w:sz w:val="20"/>
          <w:u w:val="single"/>
        </w:rPr>
        <w:t>Deferred Leasing/Financing Costs</w:t>
      </w:r>
    </w:p>
    <w:p>
      <w:pPr>
        <w:pStyle w:val="TextBody"/>
        <w:spacing w:lineRule="auto" w:line="300" w:before="0" w:after="0"/>
        <w:ind w:left="0" w:right="0" w:hanging="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 xml:space="preserve">Direct costs incurred in connection with obtaining tenants and/or financing are amortized over the respective term of the lease or loan on a straight-line basis. </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u w:val="single"/>
        </w:rPr>
      </w:pPr>
      <w:r>
        <w:rPr>
          <w:rFonts w:ascii="Times New Roman" w:hAnsi="Times New Roman"/>
          <w:sz w:val="20"/>
          <w:u w:val="single"/>
        </w:rPr>
        <w:t>Advertising Costs</w:t>
      </w:r>
    </w:p>
    <w:p>
      <w:pPr>
        <w:pStyle w:val="TextBody"/>
        <w:spacing w:lineRule="auto" w:line="300" w:before="0" w:after="0"/>
        <w:ind w:left="0" w:right="0" w:hanging="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Costs of advertising are expensed as incurred. Advertising expense for the years ended December 31, 2006, 2005 and 2004 are approximately $2.5 million, $2.6 million, and $2.8 million, respectively.</w:t>
      </w:r>
    </w:p>
    <w:p>
      <w:pPr>
        <w:pStyle w:val="TextBody"/>
        <w:spacing w:lineRule="auto" w:line="300" w:before="0" w:after="0"/>
        <w:ind w:left="0" w:right="0" w:hanging="0"/>
        <w:jc w:val="both"/>
        <w:rPr/>
      </w:pPr>
      <w:r>
        <w:rPr/>
        <w:t> </w:t>
      </w:r>
    </w:p>
    <w:p>
      <w:pPr>
        <w:pStyle w:val="TextBody"/>
        <w:spacing w:lineRule="auto" w:line="300" w:before="0" w:after="0"/>
        <w:ind w:left="0" w:right="0" w:hanging="0"/>
        <w:jc w:val="both"/>
        <w:rPr>
          <w:rFonts w:ascii="Times New Roman" w:hAnsi="Times New Roman"/>
          <w:sz w:val="20"/>
          <w:u w:val="single"/>
        </w:rPr>
      </w:pPr>
      <w:r>
        <w:rPr>
          <w:rFonts w:ascii="Times New Roman" w:hAnsi="Times New Roman"/>
          <w:sz w:val="20"/>
          <w:u w:val="single"/>
        </w:rPr>
        <w:t>General and Administrative Expenses</w:t>
      </w:r>
    </w:p>
    <w:p>
      <w:pPr>
        <w:pStyle w:val="TextBody"/>
        <w:spacing w:before="0" w:after="0"/>
        <w:rPr/>
      </w:pPr>
      <w:r>
        <w:rPr/>
        <w:t> </w:t>
      </w:r>
    </w:p>
    <w:p>
      <w:pPr>
        <w:pStyle w:val="TextBody"/>
        <w:spacing w:lineRule="auto" w:line="300" w:before="0" w:after="0"/>
        <w:ind w:left="720" w:right="0" w:hanging="0"/>
        <w:jc w:val="both"/>
        <w:rPr>
          <w:rFonts w:ascii="Times New Roman" w:hAnsi="Times New Roman"/>
          <w:sz w:val="20"/>
        </w:rPr>
      </w:pPr>
      <w:bookmarkStart w:id="2744" w:name="TAB11225"/>
      <w:bookmarkEnd w:id="2744"/>
      <w:r>
        <w:rPr>
          <w:rFonts w:ascii="Times New Roman" w:hAnsi="Times New Roman"/>
          <w:sz w:val="20"/>
        </w:rPr>
        <w:t>For years ended December 31, 2006, 2005 and 2004, we booked gains on the settlement of litigation of $900,000, $494,000, and $1.4 million, respectively, as a recovery of legal expenses included in general and administrative expenses.</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u w:val="single"/>
        </w:rPr>
      </w:pPr>
      <w:r>
        <w:rPr>
          <w:rFonts w:ascii="Times New Roman" w:hAnsi="Times New Roman"/>
          <w:sz w:val="20"/>
          <w:u w:val="single"/>
        </w:rPr>
        <w:t>Depreciation and Amortization</w:t>
      </w:r>
    </w:p>
    <w:p>
      <w:pPr>
        <w:pStyle w:val="TextBody"/>
        <w:spacing w:lineRule="auto" w:line="300" w:before="0" w:after="0"/>
        <w:ind w:left="0" w:right="0" w:hanging="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Depreciation and amortization are provided using the straight-line method over the estimated useful lives of the assets. The estimated useful lives are generally as follows:</w:t>
      </w:r>
    </w:p>
    <w:p>
      <w:pPr>
        <w:pStyle w:val="TextBody"/>
        <w:spacing w:lineRule="auto" w:line="300" w:before="0" w:after="0"/>
        <w:ind w:left="0" w:right="0" w:hanging="0"/>
        <w:jc w:val="left"/>
        <w:rPr/>
      </w:pPr>
      <w:r>
        <w:rPr/>
      </w:r>
    </w:p>
    <w:tbl>
      <w:tblPr>
        <w:tblW w:w="5000" w:type="pct"/>
        <w:jc w:val="left"/>
        <w:tblInd w:w="0" w:type="dxa"/>
        <w:tblCellMar>
          <w:top w:w="0" w:type="dxa"/>
          <w:left w:w="0" w:type="dxa"/>
          <w:bottom w:w="0" w:type="dxa"/>
          <w:right w:w="0" w:type="dxa"/>
        </w:tblCellMar>
      </w:tblPr>
      <w:tblGrid>
        <w:gridCol w:w="3843"/>
        <w:gridCol w:w="6362"/>
      </w:tblGrid>
      <w:tr>
        <w:trPr/>
        <w:tc>
          <w:tcPr>
            <w:tcW w:w="3843" w:type="dxa"/>
            <w:tcBorders/>
            <w:shd w:fill="CCEEFF" w:val="cle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Building and building improvements</w:t>
            </w:r>
          </w:p>
        </w:tc>
        <w:tc>
          <w:tcPr>
            <w:tcW w:w="6362" w:type="dxa"/>
            <w:tcBorders/>
            <w:shd w:fill="CCEEFF" w:val="cle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40 years</w:t>
            </w:r>
          </w:p>
        </w:tc>
      </w:tr>
      <w:tr>
        <w:trPr/>
        <w:tc>
          <w:tcPr>
            <w:tcW w:w="3843" w:type="dxa"/>
            <w:tcBorders/>
            <w:shd w:fill="FFFFFF" w:val="cle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Leasehold improvement</w:t>
            </w:r>
          </w:p>
        </w:tc>
        <w:tc>
          <w:tcPr>
            <w:tcW w:w="6362" w:type="dxa"/>
            <w:tcBorders/>
            <w:shd w:fill="FFFFFF" w:val="cle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Shorter of the life of the lease or useful life of the improvement</w:t>
            </w:r>
          </w:p>
        </w:tc>
      </w:tr>
      <w:tr>
        <w:trPr/>
        <w:tc>
          <w:tcPr>
            <w:tcW w:w="3843" w:type="dxa"/>
            <w:tcBorders/>
            <w:shd w:fill="CCEEFF" w:val="cle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Theater equipment</w:t>
            </w:r>
          </w:p>
        </w:tc>
        <w:tc>
          <w:tcPr>
            <w:tcW w:w="6362" w:type="dxa"/>
            <w:tcBorders/>
            <w:shd w:fill="CCEEFF" w:val="cle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7 years</w:t>
            </w:r>
          </w:p>
        </w:tc>
      </w:tr>
      <w:tr>
        <w:trPr/>
        <w:tc>
          <w:tcPr>
            <w:tcW w:w="3843" w:type="dxa"/>
            <w:tcBorders/>
            <w:shd w:fill="FFFFFF" w:val="clear"/>
          </w:tcPr>
          <w:p>
            <w:pPr>
              <w:pStyle w:val="TableContents"/>
              <w:spacing w:lineRule="auto" w:line="300" w:before="0" w:after="0"/>
              <w:ind w:left="0" w:right="0" w:hanging="0"/>
              <w:jc w:val="left"/>
              <w:rPr/>
            </w:pPr>
            <w:r>
              <w:rPr>
                <w:rFonts w:ascii="Times New Roman" w:hAnsi="Times New Roman"/>
                <w:sz w:val="20"/>
              </w:rPr>
              <w:t>Furniture and fixtures</w:t>
            </w:r>
            <w:bookmarkStart w:id="2745" w:name="TAB285"/>
            <w:bookmarkEnd w:id="2745"/>
            <w:r>
              <w:rPr>
                <w:color w:val="000000"/>
                <w:spacing w:val="540"/>
              </w:rPr>
              <w:t> </w:t>
            </w:r>
          </w:p>
        </w:tc>
        <w:tc>
          <w:tcPr>
            <w:tcW w:w="6362" w:type="dxa"/>
            <w:tcBorders/>
            <w:shd w:fill="FFFFFF" w:val="cle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5 - 10 years</w:t>
            </w:r>
          </w:p>
        </w:tc>
      </w:tr>
    </w:tbl>
    <w:p>
      <w:pPr>
        <w:pStyle w:val="TextBody"/>
        <w:spacing w:lineRule="auto" w:line="300" w:before="0" w:after="0"/>
        <w:ind w:left="0" w:right="0" w:firstLine="1080"/>
        <w:jc w:val="left"/>
        <w:rPr/>
      </w:pPr>
      <w:r>
        <w:rPr/>
        <w:t> </w:t>
      </w:r>
    </w:p>
    <w:p>
      <w:pPr>
        <w:pStyle w:val="TextBody"/>
        <w:spacing w:lineRule="auto" w:line="300" w:before="0" w:after="0"/>
        <w:ind w:left="0" w:right="0" w:hanging="0"/>
        <w:jc w:val="both"/>
        <w:rPr>
          <w:rFonts w:ascii="Times New Roman" w:hAnsi="Times New Roman"/>
          <w:sz w:val="20"/>
          <w:u w:val="single"/>
        </w:rPr>
      </w:pPr>
      <w:r>
        <w:rPr>
          <w:rFonts w:ascii="Times New Roman" w:hAnsi="Times New Roman"/>
          <w:sz w:val="20"/>
          <w:u w:val="single"/>
        </w:rPr>
        <w:t>Translation of Non-U.S. Currency Amounts</w:t>
      </w:r>
    </w:p>
    <w:p>
      <w:pPr>
        <w:pStyle w:val="TextBody"/>
        <w:spacing w:lineRule="auto" w:line="300" w:before="0" w:after="0"/>
        <w:ind w:left="0" w:right="0" w:hanging="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 xml:space="preserve">The financial statements and transactions of our Australian and New Zealand cinema and real estate operations are reported in their functional currencies, namely Australian and New Zealand dollars, respectively, and are then translated into U.S. dollars. Assets and liabilities of these operations are denominated in their functional currencies and are then translated at exchange rates in effect at the balance sheet date. Revenues and expenses are translated at the average exchange rate for the reporting period. Translation adjustments are reported in “Accumulated Other Comprehensive Income,” a component of Stockholders’ Equity. </w:t>
      </w:r>
    </w:p>
    <w:p>
      <w:pPr>
        <w:pStyle w:val="TextBody"/>
        <w:spacing w:lineRule="auto" w:line="300" w:before="0" w:after="0"/>
        <w:ind w:left="0" w:right="0" w:hanging="0"/>
        <w:jc w:val="both"/>
        <w:rPr/>
      </w:pPr>
      <w:r>
        <w:rPr/>
      </w:r>
    </w:p>
    <w:p>
      <w:pPr>
        <w:pStyle w:val="TextBody"/>
        <w:spacing w:lineRule="auto" w:line="300" w:before="0" w:after="0"/>
        <w:ind w:left="720" w:right="0" w:hanging="0"/>
        <w:jc w:val="both"/>
        <w:rPr>
          <w:rFonts w:ascii="Times New Roman" w:hAnsi="Times New Roman"/>
          <w:sz w:val="20"/>
        </w:rPr>
      </w:pPr>
      <w:bookmarkStart w:id="2746" w:name="TAB11226"/>
      <w:bookmarkEnd w:id="2746"/>
      <w:r>
        <w:rPr>
          <w:rFonts w:ascii="Times New Roman" w:hAnsi="Times New Roman"/>
          <w:sz w:val="20"/>
        </w:rPr>
        <w:t>The carrying value of our Australian and New Zealand assets fluctuates due to changes in the exchange rate between the U.S. dollar and the Australian and New Zealand dollars. The exchange rates of the U.S. dollar to the Australian dollar were $0.7884 and $0.7342 as of December 31, 2006 and 2005, respectively. The exchange rates of the U.S. dollar to the New Zealand dollar were $0.7046 and $0.6845 as of December 31, 2006 and 2005, respectively.</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u w:val="single"/>
        </w:rPr>
      </w:pPr>
      <w:r>
        <w:rPr>
          <w:rFonts w:ascii="Times New Roman" w:hAnsi="Times New Roman"/>
          <w:sz w:val="20"/>
          <w:u w:val="single"/>
        </w:rPr>
        <w:t>Earnings Per Share</w:t>
      </w:r>
    </w:p>
    <w:p>
      <w:pPr>
        <w:pStyle w:val="TextBody"/>
        <w:spacing w:lineRule="auto" w:line="300" w:before="0" w:after="0"/>
        <w:ind w:left="0" w:right="0" w:hanging="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Basic earnings per share is calculated using the weighted average number of shares of Class A and Class B Stock outstanding during the years ended December 31, 2006, 2005, and 2004, respectively. Diluted earnings per share is calculated by dividing net earnings available to common stockholders by the weighted average common shares outstanding plus the dilutive effect of stock options. Stock options to purchase 514,100, 521,100, and 1,488,200 shares of Class A Common Stock were outstanding at December 31, 2006, 2005, and 2004, respectively, at a weighted average exercise price of $5.21, $5.00, and $4.19 per share, respectively. Stock options to purchase 185,100 shares of Class B Common Stock were outstanding at each of the years ended December 31, 2006, 2005, and 2004 at a weighted average exercise price of $9.90 per share. In accordance with SFAS 128 - Earnings Per Share, as we had recorded an operating loss before discontinued operations for the years ended December 31, 2005 and 2004, the effect of the stock options was anti-dilutive and accordingly excluded from the earnings per share computation.</w:t>
      </w:r>
    </w:p>
    <w:p>
      <w:pPr>
        <w:pStyle w:val="TextBody"/>
        <w:spacing w:lineRule="auto" w:line="300"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747" w:name="PGBRK79"/>
      <w:bookmarkStart w:id="2748" w:name="PGBRK79"/>
      <w:bookmarkEnd w:id="274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749" w:name="FTR79"/>
      <w:bookmarkStart w:id="2750" w:name="FTR79"/>
      <w:bookmarkEnd w:id="275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751" w:name="GLFTR79"/>
      <w:bookmarkStart w:id="2752" w:name="GLFTR79"/>
      <w:bookmarkEnd w:id="275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2753" w:name="PN79"/>
      <w:bookmarkEnd w:id="2753"/>
      <w:r>
        <w:rPr>
          <w:rFonts w:ascii="Times New Roman" w:hAnsi="Times New Roman"/>
          <w:sz w:val="16"/>
        </w:rPr>
        <w:t>-79-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754" w:name="HDR79"/>
      <w:bookmarkStart w:id="2755" w:name="HDR79"/>
      <w:bookmarkEnd w:id="275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2756" w:name="GLHDR79"/>
        <w:bookmarkEnd w:id="2756"/>
        <w:r>
          <w:rPr>
            <w:rStyle w:val="Emphasis"/>
            <w:rFonts w:ascii="Times New Roman" w:hAnsi="Times New Roman"/>
            <w:color w:val="000000"/>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300" w:before="0" w:after="0"/>
        <w:ind w:left="0" w:right="0" w:hanging="0"/>
        <w:jc w:val="both"/>
        <w:rPr>
          <w:rFonts w:ascii="Times New Roman" w:hAnsi="Times New Roman"/>
          <w:sz w:val="20"/>
          <w:u w:val="single"/>
        </w:rPr>
      </w:pPr>
      <w:r>
        <w:rPr>
          <w:rFonts w:ascii="Times New Roman" w:hAnsi="Times New Roman"/>
          <w:sz w:val="20"/>
          <w:u w:val="single"/>
        </w:rPr>
        <w:t xml:space="preserve">Real Estate Purchase Price Allocation </w:t>
      </w:r>
    </w:p>
    <w:p>
      <w:pPr>
        <w:pStyle w:val="TextBody"/>
        <w:spacing w:lineRule="auto" w:line="300" w:before="0" w:after="0"/>
        <w:ind w:left="0" w:right="0" w:hanging="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 xml:space="preserve">We allocate the purchase price to tangible assets of an acquired property (which includes land, building and tenant improvements) based on the estimated fair values of those tangible assets assuming the building was vacant. Estimates of fair value for land are based on factors such as comparisons to other properties sold in the same geographic area adjusted for unique characteristics. Estimates of fair values of buildings and tenant improvements are based on present values determined based upon the application of hypothetical leases with market rates and terms. </w:t>
      </w:r>
    </w:p>
    <w:p>
      <w:pPr>
        <w:pStyle w:val="TextBody"/>
        <w:spacing w:lineRule="auto" w:line="300" w:before="0" w:after="0"/>
        <w:ind w:left="0" w:right="0" w:hanging="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 xml:space="preserve">We record above-market and below-market in-place lease values for acquired properties based on the present value (using an interest rate which reflects the risks associated with the leases acquired) of the difference between (i) the contractual amounts to be paid pursuant to the in-place leases and (ii) management’s estimate of fair market lease rates for the corresponding in-place leases, measured over a period equal to the remaining non-cancelable term of the lease. We amortize any capitalized above-market lease values as a reduction of rental income over the remaining non-cancelable terms of the respective leases. We amortize any capitalized below-market lease values as an increase to rental income over the initial term and any fixed-rate renewal periods in the respective leases. </w:t>
      </w:r>
    </w:p>
    <w:p>
      <w:pPr>
        <w:pStyle w:val="TextBody"/>
        <w:spacing w:lineRule="auto" w:line="300" w:before="0" w:after="0"/>
        <w:ind w:left="0" w:right="0" w:hanging="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 xml:space="preserve">We measure the aggregate value of other intangible assets acquired based on the difference between (i) the property valued with existing in-place leases adjusted to market rental rates and (ii) the property valued as if vacant. Management’s estimates of value are made using methods similar to those used by independent appraisers (e.g., discounted cash flow analysis). Factors considered by management in its analysis include an estimate of carrying costs during hypothetical expected lease-up periods considering current market conditions, and costs to execute similar leases. We also consider information obtained about each property as a result of our pre-acquisition due diligence, marketing and leasing activities in estimating the fair value of the tangible and intangible assets acquired. In estimating carrying costs, management includes real estate taxes, insurance and other operating expenses and estimates of lost rentals at market rates during the expected lease-up periods. Management also estimates costs to execute similar leases including leasing commissions, legal and other related expenses to the extent that such costs are not already incurred in connection with a new lease origination as part of the transaction. </w:t>
      </w:r>
    </w:p>
    <w:p>
      <w:pPr>
        <w:pStyle w:val="TextBody"/>
        <w:spacing w:lineRule="auto" w:line="300" w:before="0" w:after="0"/>
        <w:ind w:left="0" w:right="0" w:hanging="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 xml:space="preserve">The total amount of other intangible assets acquired is further allocated to in-place lease values and customer relationship intangible values based on management’s evaluation of the specific characteristics of each tenant’s lease and our overall relationship with that respective tenant. Characteristics considered by management in allocating these values include the nature and extent of our existing business relationships with the tenant, growth prospects for developing new business with the tenant, the tenant’s credit quality and expectations of lease renewals (including those existing under the terms of the lease agreement), among other factors. </w:t>
      </w:r>
    </w:p>
    <w:p>
      <w:pPr>
        <w:pStyle w:val="TextBody"/>
        <w:spacing w:lineRule="auto" w:line="300" w:before="0" w:after="0"/>
        <w:ind w:left="0" w:right="0" w:hanging="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 xml:space="preserve">We amortize the value of in-place leases to expense over the initial term of the respective leases. The value of customer relationship intangibles is amortized to expense over the initial term and any renewal periods in the respective leases, but in no event may the amortization period for intangible assets exceed the remaining depreciable life of the building. Should a tenant terminate its lease, the unamortized portion of the in-place lease value and customer relationship intangibles would be charged to expense. </w:t>
      </w:r>
    </w:p>
    <w:p>
      <w:pPr>
        <w:pStyle w:val="TextBody"/>
        <w:spacing w:lineRule="auto" w:line="300" w:before="0" w:after="0"/>
        <w:ind w:left="0" w:right="0" w:hanging="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 xml:space="preserve">These assessments have a direct impact on net income and revenues. If we assign more fair value to the in-place leases versus buildings and tenant improvements, assigned costs would generally be depreciated over a shorter period, resulting in more depreciation expense and a lower net income on an annual basis. Likewise, if we estimate that more of our leases in-place at acquisition are on terms believed to be above the current market rates for similar properties, the calculated present value of the amount above market would be amortized monthly as a direct reduction to rental revenues and ultimately reduce the amount of net income. </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u w:val="single"/>
        </w:rPr>
      </w:pPr>
      <w:r>
        <w:rPr>
          <w:rFonts w:ascii="Times New Roman" w:hAnsi="Times New Roman"/>
          <w:sz w:val="20"/>
          <w:u w:val="single"/>
        </w:rPr>
        <w:t>Business Acquisition Valuations Under FAS 141</w:t>
      </w:r>
    </w:p>
    <w:p>
      <w:pPr>
        <w:pStyle w:val="TextBody"/>
        <w:spacing w:lineRule="auto" w:line="300" w:before="0" w:after="0"/>
        <w:ind w:left="0" w:right="0" w:hanging="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The assets and liabilities of businesses acquired are recorded at their respective preliminary fair values as of the acquisition date in accordance with SFAS 141 “Business Combinations.” We obtain third-party valuations of material property, plant and equipment, intangible assets, debt and certain other assets and liabilities acquired. We also perform valuations and physical counts of property, plant and equipment, valuations of investments and the involuntary termination of employees, as necessary. Costs in excess of the net fair values of assets and liabilities acquired is recorded as goodwill.</w:t>
      </w:r>
    </w:p>
    <w:p>
      <w:pPr>
        <w:pStyle w:val="TextBody"/>
        <w:spacing w:lineRule="auto" w:line="300"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757" w:name="PGBRK80"/>
      <w:bookmarkStart w:id="2758" w:name="PGBRK80"/>
      <w:bookmarkEnd w:id="275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759" w:name="FTR80"/>
      <w:bookmarkStart w:id="2760" w:name="FTR80"/>
      <w:bookmarkEnd w:id="276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761" w:name="GLFTR80"/>
      <w:bookmarkStart w:id="2762" w:name="GLFTR80"/>
      <w:bookmarkEnd w:id="276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2763" w:name="PN80"/>
      <w:bookmarkEnd w:id="2763"/>
      <w:r>
        <w:rPr>
          <w:rFonts w:ascii="Times New Roman" w:hAnsi="Times New Roman"/>
          <w:sz w:val="16"/>
        </w:rPr>
        <w:t>-80-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764" w:name="HDR80"/>
      <w:bookmarkStart w:id="2765" w:name="HDR80"/>
      <w:bookmarkEnd w:id="276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2766" w:name="GLHDR80"/>
        <w:bookmarkEnd w:id="2766"/>
        <w:r>
          <w:rPr>
            <w:rStyle w:val="Emphasis"/>
            <w:rFonts w:ascii="Times New Roman" w:hAnsi="Times New Roman"/>
            <w:color w:val="000000"/>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 xml:space="preserve">We record above-market and below-market operating leases assumed in the acquisition of a business where we are the tenant/lessee based on the present value (using an interest rate which reflects the risks associated with the leases assumed of the difference between (i) the contractual amounts to be paid pursuant to the lease agreement and (ii) management’s estimate of fair market lease rates for the corresponding leases, measured over a period equal to the remaining non-cancelable term of the lease. We amortize any capitalized below-market lease asset as an increase of rental expense over the remaining non-cancelable term of the respective lease. We amortize any capitalized above-market lease liability as a decrease to rental expense over the initial term and any fixed-rate renewal periods in the respective leases. </w:t>
      </w:r>
    </w:p>
    <w:p>
      <w:pPr>
        <w:pStyle w:val="TextBody"/>
        <w:spacing w:lineRule="auto" w:line="300" w:before="0" w:after="0"/>
        <w:ind w:left="0" w:right="0" w:hanging="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The fair values of any other intangible assets acquired are based on the expected discounted cash flows of the identified intangible assets. Finite-lived intangible assets are amortized using the straight-line method of amortization over the expected period in which those assets are expected to contribute to our future cash flows. We do not amortize indefinite lived intangibles and goodwill.</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u w:val="single"/>
        </w:rPr>
      </w:pPr>
      <w:r>
        <w:rPr>
          <w:rFonts w:ascii="Times New Roman" w:hAnsi="Times New Roman"/>
          <w:sz w:val="20"/>
          <w:u w:val="single"/>
        </w:rPr>
        <w:t>Recent Accounting Pronouncements</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pPr>
      <w:r>
        <w:rPr>
          <w:rStyle w:val="Emphasis"/>
          <w:rFonts w:ascii="Times New Roman" w:hAnsi="Times New Roman"/>
          <w:sz w:val="20"/>
          <w:u w:val="single"/>
        </w:rPr>
        <w:t>Statement of Financial Accounting Standards No. 157</w:t>
      </w:r>
    </w:p>
    <w:p>
      <w:pPr>
        <w:pStyle w:val="TextBody"/>
        <w:spacing w:lineRule="auto" w:line="300" w:before="0" w:after="0"/>
        <w:ind w:left="0" w:right="0" w:firstLine="720"/>
        <w:jc w:val="both"/>
        <w:rPr/>
      </w:pPr>
      <w:r>
        <w:rPr/>
      </w:r>
    </w:p>
    <w:p>
      <w:pPr>
        <w:pStyle w:val="TextBody"/>
        <w:spacing w:lineRule="auto" w:line="300" w:before="0" w:after="0"/>
        <w:ind w:left="0" w:right="0" w:firstLine="720"/>
        <w:jc w:val="both"/>
        <w:rPr/>
      </w:pPr>
      <w:r>
        <w:rPr>
          <w:rFonts w:ascii="Times New Roman" w:hAnsi="Times New Roman"/>
          <w:sz w:val="20"/>
        </w:rPr>
        <w:t xml:space="preserve">In September 2006, the FASB issued Statement of Financial Accounting Standards No. 157, </w:t>
      </w:r>
      <w:r>
        <w:rPr>
          <w:rStyle w:val="Emphasis"/>
          <w:rFonts w:ascii="Times New Roman" w:hAnsi="Times New Roman"/>
          <w:sz w:val="20"/>
        </w:rPr>
        <w:t>Fair Value Measurement</w:t>
      </w:r>
      <w:r>
        <w:rPr/>
        <w:t xml:space="preserve"> </w:t>
      </w:r>
      <w:r>
        <w:rPr>
          <w:rFonts w:ascii="Times New Roman" w:hAnsi="Times New Roman"/>
          <w:sz w:val="20"/>
        </w:rPr>
        <w:t>(SFAS 157). SFAS 157 defines fair value, establishes a framework for measuring fair value in accordance with Generally Accepted Accounting Principles (GAAP), and expands disclosures about fair value measurements. The provisions of SFAS 157 are effective for fiscal years beginning after November 15, 2007. We do not anticipate the application of this pronouncement will have a material impact on our results of operations or financial condition.</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pPr>
      <w:r>
        <w:rPr>
          <w:rStyle w:val="Emphasis"/>
          <w:rFonts w:ascii="Times New Roman" w:hAnsi="Times New Roman"/>
          <w:sz w:val="20"/>
          <w:u w:val="single"/>
        </w:rPr>
        <w:t>Financial Interpretation No. 48</w:t>
      </w:r>
    </w:p>
    <w:p>
      <w:pPr>
        <w:pStyle w:val="TextBody"/>
        <w:spacing w:lineRule="auto" w:line="300" w:before="0" w:after="0"/>
        <w:ind w:left="0" w:right="0" w:hanging="0"/>
        <w:jc w:val="both"/>
        <w:rPr/>
      </w:pPr>
      <w:r>
        <w:rPr/>
      </w:r>
    </w:p>
    <w:p>
      <w:pPr>
        <w:pStyle w:val="TextBody"/>
        <w:spacing w:lineRule="auto" w:line="300" w:before="0" w:after="0"/>
        <w:ind w:left="720" w:right="0" w:hanging="0"/>
        <w:jc w:val="both"/>
        <w:rPr/>
      </w:pPr>
      <w:bookmarkStart w:id="2767" w:name="TAB11227"/>
      <w:bookmarkEnd w:id="2767"/>
      <w:r>
        <w:rPr>
          <w:rFonts w:ascii="Times New Roman" w:hAnsi="Times New Roman"/>
          <w:sz w:val="20"/>
        </w:rPr>
        <w:t xml:space="preserve">In June 2006, the FASB issued Financial Interpretation No. 48 </w:t>
      </w:r>
      <w:r>
        <w:rPr>
          <w:rStyle w:val="Emphasis"/>
          <w:rFonts w:ascii="Times New Roman" w:hAnsi="Times New Roman"/>
          <w:sz w:val="20"/>
        </w:rPr>
        <w:t>Accounting for Uncertainty in Income Taxes—an Interpretation of FASB Statement No. 109</w:t>
      </w:r>
      <w:r>
        <w:rPr>
          <w:rFonts w:ascii="Times New Roman" w:hAnsi="Times New Roman"/>
          <w:sz w:val="20"/>
        </w:rPr>
        <w:t>. This Interpretation clarifies the accounting for uncertainty in income taxes recognized in an enterprise’s financial statements in accordance with FASB Statement No. 109, Accounting for Income Taxes. This Interpretation prescribes a recognition threshold and measurement attribute for the financial statement recognition and measurement of a tax position taken or expected to be taken in a tax return. The benefit of a tax position may be recognized if there is a more likely than not probability that the position will be sustained on its merits when examined by the taxing authorities. If a benefit is thus recognized, the amount of benefit is measured as the largest tax benefit that is more than 50 percent probable of being secured upon ultimate settlement.</w:t>
      </w:r>
    </w:p>
    <w:p>
      <w:pPr>
        <w:pStyle w:val="TextBody"/>
        <w:spacing w:lineRule="auto" w:line="300" w:before="0" w:after="0"/>
        <w:ind w:left="0" w:right="0" w:hanging="0"/>
        <w:jc w:val="both"/>
        <w:rPr/>
      </w:pPr>
      <w:r>
        <w:rPr/>
      </w:r>
    </w:p>
    <w:p>
      <w:pPr>
        <w:pStyle w:val="TextBody"/>
        <w:spacing w:lineRule="auto" w:line="300" w:before="0" w:after="0"/>
        <w:ind w:left="720" w:right="0" w:hanging="0"/>
        <w:jc w:val="both"/>
        <w:rPr>
          <w:rFonts w:ascii="Times New Roman" w:hAnsi="Times New Roman"/>
          <w:sz w:val="20"/>
        </w:rPr>
      </w:pPr>
      <w:bookmarkStart w:id="2768" w:name="TAB11228"/>
      <w:bookmarkEnd w:id="2768"/>
      <w:r>
        <w:rPr>
          <w:rFonts w:ascii="Times New Roman" w:hAnsi="Times New Roman"/>
          <w:sz w:val="20"/>
        </w:rPr>
        <w:t>The provisions of FIN 48 are effective for years beginning after December 15, 2006. We estimate the application of FIN 48 will result in a cumulative charge to retained earnings as of January 1, 2007 between $400,000 and $900,000.</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pPr>
      <w:r>
        <w:rPr>
          <w:rStyle w:val="Emphasis"/>
          <w:rFonts w:ascii="Times New Roman" w:hAnsi="Times New Roman"/>
          <w:sz w:val="20"/>
          <w:u w:val="single"/>
        </w:rPr>
        <w:t>Staff Accounting Bulletin (SAB) 108</w:t>
      </w:r>
    </w:p>
    <w:p>
      <w:pPr>
        <w:pStyle w:val="TextBody"/>
        <w:spacing w:lineRule="auto" w:line="300" w:before="0" w:after="0"/>
        <w:ind w:left="0" w:right="0" w:firstLine="72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In September 2006, the SEC released Staff Accounting Bulletin No. 108 (“SAB 108”) to address diversity in practice regarding consideration of the effects of prior year errors when quantifying misstatements in current year financial statements. The SEC staff concluded that registrants should quantify financial statement errors using both a balance sheet approach and an income statement approach and evaluate whether either approach results in quantifying a misstatement that, when all relevant quantitative and qualitative factors are considered, is material. SAB 108 states that if correcting an error in the current year materially affects the current year’s income statement, the prior period financial statements must be restated. SAB 108 is effective for fiscal years ending after November 15, 2006. The adoption of SAB 108 did not have a material impact on our consolidated financial statements.</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pPr>
      <w:r>
        <w:rPr>
          <w:rStyle w:val="Emphasis"/>
          <w:rFonts w:ascii="Times New Roman" w:hAnsi="Times New Roman"/>
          <w:sz w:val="20"/>
          <w:u w:val="single"/>
        </w:rPr>
        <w:t>Statement of Financial Accounting Standards No. 123(R)</w:t>
      </w:r>
    </w:p>
    <w:p>
      <w:pPr>
        <w:pStyle w:val="TextBody"/>
        <w:spacing w:lineRule="auto" w:line="300" w:before="0" w:after="0"/>
        <w:ind w:left="0" w:right="0" w:hanging="0"/>
        <w:jc w:val="both"/>
        <w:rPr/>
      </w:pPr>
      <w:r>
        <w:rPr/>
      </w:r>
    </w:p>
    <w:p>
      <w:pPr>
        <w:pStyle w:val="TextBody"/>
        <w:spacing w:lineRule="auto" w:line="300" w:before="0" w:after="0"/>
        <w:ind w:left="720" w:right="0" w:hanging="0"/>
        <w:jc w:val="both"/>
        <w:rPr/>
      </w:pPr>
      <w:bookmarkStart w:id="2769" w:name="TAB11229"/>
      <w:bookmarkEnd w:id="2769"/>
      <w:r>
        <w:rPr>
          <w:rFonts w:ascii="Times New Roman" w:hAnsi="Times New Roman"/>
          <w:sz w:val="20"/>
        </w:rPr>
        <w:t xml:space="preserve">In December 2004, the FASB issued SFAS No. 123 - Revised, </w:t>
      </w:r>
      <w:r>
        <w:rPr>
          <w:rStyle w:val="Emphasis"/>
          <w:rFonts w:ascii="Times New Roman" w:hAnsi="Times New Roman"/>
          <w:sz w:val="20"/>
        </w:rPr>
        <w:t>Share Based Payment</w:t>
      </w:r>
      <w:r>
        <w:rPr>
          <w:rFonts w:ascii="Times New Roman" w:hAnsi="Times New Roman"/>
          <w:sz w:val="20"/>
        </w:rPr>
        <w:t>. The statement establishes the standards for the accounting for transactions in which an entity exchanges its equity instruments for goods and services. The statement focuses primarily on accounting for transactions in which an entity obtains employee services in share-based payment transactions. Public companies may apply the standard on a modified prospective method. Under this method, a company records compensation expense for all awards it grants after the date it adopts the standard. In addition, public companies are required to record compensation expense for the unvested</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770" w:name="PGBRK81"/>
      <w:bookmarkStart w:id="2771" w:name="PGBRK81"/>
      <w:bookmarkEnd w:id="277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772" w:name="FTR81"/>
      <w:bookmarkStart w:id="2773" w:name="FTR81"/>
      <w:bookmarkEnd w:id="277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774" w:name="GLFTR81"/>
      <w:bookmarkStart w:id="2775" w:name="GLFTR81"/>
      <w:bookmarkEnd w:id="277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2776" w:name="PN81"/>
      <w:bookmarkEnd w:id="2776"/>
      <w:r>
        <w:rPr>
          <w:rFonts w:ascii="Times New Roman" w:hAnsi="Times New Roman"/>
          <w:sz w:val="16"/>
        </w:rPr>
        <w:t>-81-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777" w:name="HDR81"/>
      <w:bookmarkStart w:id="2778" w:name="HDR81"/>
      <w:bookmarkEnd w:id="277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2779" w:name="GLHDR81"/>
        <w:bookmarkEnd w:id="2779"/>
        <w:r>
          <w:rPr>
            <w:rStyle w:val="Emphasis"/>
            <w:rFonts w:ascii="Times New Roman" w:hAnsi="Times New Roman"/>
            <w:color w:val="000000"/>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portion of previously granted awards that remain outstanding at the date of adoption. During 2005, the Securities and Exchange Commission deferred the effective date of this statement until the first annual period beginning after June 15, 2005. The adoption of this statement in 2006 did not have a material impact on our financial position or results of operations.</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u w:val="single"/>
        </w:rPr>
      </w:pPr>
      <w:r>
        <w:rPr>
          <w:rFonts w:ascii="Times New Roman" w:hAnsi="Times New Roman"/>
          <w:sz w:val="20"/>
          <w:u w:val="single"/>
        </w:rPr>
        <w:t>Use of Estimates</w:t>
      </w:r>
    </w:p>
    <w:p>
      <w:pPr>
        <w:pStyle w:val="TextBody"/>
        <w:spacing w:lineRule="auto" w:line="300" w:before="0" w:after="0"/>
        <w:ind w:left="0" w:right="0" w:hanging="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The preparation of financial statements in conformity with US GAAP requires us to make estimates and assumptions that affect the reported amounts of assets and liabilities and disclosure of contingent assets and liabilities at the date of the financial statements and the reported amounts of revenues and expenses during the reported period. Actual results could differ from those estimates.</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u w:val="single"/>
        </w:rPr>
      </w:pPr>
      <w:r>
        <w:rPr>
          <w:rFonts w:ascii="Times New Roman" w:hAnsi="Times New Roman"/>
          <w:sz w:val="20"/>
          <w:u w:val="single"/>
        </w:rPr>
        <w:t>Reclassifications and Adjustments</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pPr>
      <w:r>
        <w:rPr>
          <w:rStyle w:val="Emphasis"/>
          <w:rFonts w:ascii="Times New Roman" w:hAnsi="Times New Roman"/>
          <w:sz w:val="20"/>
          <w:u w:val="single"/>
        </w:rPr>
        <w:t>Reclassifications</w:t>
      </w:r>
    </w:p>
    <w:p>
      <w:pPr>
        <w:pStyle w:val="TextBody"/>
        <w:spacing w:lineRule="auto" w:line="300" w:before="0" w:after="0"/>
        <w:ind w:left="0" w:right="0" w:hanging="0"/>
        <w:jc w:val="both"/>
        <w:rPr/>
      </w:pPr>
      <w:r>
        <w:rPr/>
      </w:r>
    </w:p>
    <w:p>
      <w:pPr>
        <w:pStyle w:val="TextBody"/>
        <w:spacing w:lineRule="auto" w:line="300" w:before="0" w:after="0"/>
        <w:ind w:left="0" w:right="0" w:firstLine="720"/>
        <w:jc w:val="both"/>
        <w:rPr/>
      </w:pPr>
      <w:r>
        <w:rPr>
          <w:rFonts w:ascii="Times New Roman" w:hAnsi="Times New Roman"/>
          <w:sz w:val="20"/>
        </w:rPr>
        <w:t xml:space="preserve">We have reclassified Distributions of earnings from unconsolidated joint ventures and entities of $1.5 million in the consolidated statements of cash flows from investing activities to operating activities for the year ended December 31, 2004 to conform to the 2006 and 2005 consolidated statement of cash flows presentation. These reclassifications do not affect the total net change in cash and cash equivalents. In addition, certain reclassifications have been made to prior year amounts in order to conform to the discontinued operations presentation in the year ended December 31, 2005 (See Note 9 - </w:t>
      </w:r>
      <w:r>
        <w:rPr>
          <w:rStyle w:val="Emphasis"/>
          <w:rFonts w:ascii="Times New Roman" w:hAnsi="Times New Roman"/>
          <w:sz w:val="20"/>
        </w:rPr>
        <w:t>Discontinued Operations</w:t>
      </w:r>
      <w:r>
        <w:rPr>
          <w:rFonts w:ascii="Times New Roman" w:hAnsi="Times New Roman"/>
          <w:sz w:val="20"/>
        </w:rPr>
        <w:t>).</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pPr>
      <w:r>
        <w:rPr>
          <w:rStyle w:val="Emphasis"/>
          <w:rFonts w:ascii="Times New Roman" w:hAnsi="Times New Roman"/>
          <w:sz w:val="20"/>
          <w:u w:val="single"/>
        </w:rPr>
        <w:t>Adjustments</w:t>
      </w:r>
    </w:p>
    <w:p>
      <w:pPr>
        <w:pStyle w:val="TextBody"/>
        <w:spacing w:lineRule="auto" w:line="300" w:before="0" w:after="0"/>
        <w:ind w:left="0" w:right="0" w:hanging="0"/>
        <w:jc w:val="both"/>
        <w:rPr/>
      </w:pPr>
      <w:r>
        <w:rPr/>
      </w:r>
    </w:p>
    <w:p>
      <w:pPr>
        <w:pStyle w:val="TextBody"/>
        <w:spacing w:lineRule="auto" w:line="300" w:before="0" w:after="0"/>
        <w:ind w:left="0" w:right="0" w:firstLine="720"/>
        <w:jc w:val="both"/>
        <w:rPr/>
      </w:pPr>
      <w:r>
        <w:rPr>
          <w:rFonts w:ascii="Times New Roman" w:hAnsi="Times New Roman"/>
          <w:sz w:val="20"/>
        </w:rPr>
        <w:t>Subsequent to the issuance of the 2005 and 2004 consolidated financial statements, we discovered that we had overstated our real estate revenue and cinema operating expense by $3.0 million and $3.3 million, respectively, due to an error in the elimination of intercompany rental charges among our Australian subsidiaries. We have adjusted our consolidated statements of operations for years ending December 31, 2005 and 2004 to correctly present consolidated real estate revenue and cinema operating expenses. The effects of the adjustment on our originally reported statements of operations are summarized below (dollars in thousands):</w:t>
      </w:r>
      <w:bookmarkStart w:id="2780" w:name="TAB286"/>
      <w:bookmarkEnd w:id="2780"/>
      <w:r>
        <w:rPr>
          <w:color w:val="000000"/>
          <w:spacing w:val="540"/>
        </w:rPr>
        <w:t> </w:t>
      </w:r>
    </w:p>
    <w:p>
      <w:pPr>
        <w:pStyle w:val="TextBody"/>
        <w:spacing w:lineRule="auto" w:line="300" w:before="0" w:after="0"/>
        <w:ind w:left="0" w:right="0" w:hanging="0"/>
        <w:jc w:val="both"/>
        <w:rPr/>
      </w:pPr>
      <w:r>
        <w:rPr/>
        <w:t> </w:t>
      </w:r>
    </w:p>
    <w:p>
      <w:pPr>
        <w:pStyle w:val="Normal"/>
        <w:spacing w:before="0" w:after="0"/>
        <w:ind w:left="0" w:right="0" w:hanging="0"/>
        <w:rPr>
          <w:sz w:val="4"/>
          <w:szCs w:val="4"/>
        </w:rPr>
      </w:pPr>
      <w:r>
        <w:rPr>
          <w:sz w:val="4"/>
          <w:szCs w:val="4"/>
        </w:rPr>
      </w:r>
      <w:bookmarkStart w:id="2781" w:name="ftable17"/>
      <w:bookmarkStart w:id="2782" w:name="ftable17"/>
      <w:bookmarkEnd w:id="2782"/>
    </w:p>
    <w:tbl>
      <w:tblPr>
        <w:tblW w:w="5000" w:type="pct"/>
        <w:jc w:val="left"/>
        <w:tblInd w:w="0" w:type="dxa"/>
        <w:tblCellMar>
          <w:top w:w="0" w:type="dxa"/>
          <w:left w:w="0" w:type="dxa"/>
          <w:bottom w:w="28" w:type="dxa"/>
          <w:right w:w="0" w:type="dxa"/>
        </w:tblCellMar>
      </w:tblPr>
      <w:tblGrid>
        <w:gridCol w:w="4126"/>
        <w:gridCol w:w="193"/>
        <w:gridCol w:w="130"/>
        <w:gridCol w:w="1163"/>
        <w:gridCol w:w="200"/>
        <w:gridCol w:w="129"/>
        <w:gridCol w:w="1159"/>
        <w:gridCol w:w="200"/>
        <w:gridCol w:w="130"/>
        <w:gridCol w:w="1163"/>
        <w:gridCol w:w="199"/>
        <w:gridCol w:w="129"/>
        <w:gridCol w:w="1159"/>
        <w:gridCol w:w="125"/>
      </w:tblGrid>
      <w:tr>
        <w:trPr/>
        <w:tc>
          <w:tcPr>
            <w:tcW w:w="4126" w:type="dxa"/>
            <w:tcBorders>
              <w:bottom w:val="single" w:sz="4" w:space="0" w:color="FFFFFF"/>
            </w:tcBorders>
            <w:shd w:fill="auto" w:val="clear"/>
            <w:vAlign w:val="bottom"/>
          </w:tcPr>
          <w:p>
            <w:pPr>
              <w:pStyle w:val="TableContents"/>
              <w:spacing w:before="0" w:after="283"/>
              <w:jc w:val="left"/>
              <w:rPr/>
            </w:pPr>
            <w:r>
              <w:rPr/>
              <w:t> </w:t>
            </w:r>
          </w:p>
        </w:tc>
        <w:tc>
          <w:tcPr>
            <w:tcW w:w="193" w:type="dxa"/>
            <w:tcBorders>
              <w:bottom w:val="single" w:sz="2" w:space="0" w:color="FFFFFF"/>
            </w:tcBorders>
            <w:shd w:fill="auto" w:val="clear"/>
            <w:vAlign w:val="center"/>
          </w:tcPr>
          <w:p>
            <w:pPr>
              <w:pStyle w:val="TableContents"/>
              <w:spacing w:before="0" w:after="283"/>
              <w:rPr/>
            </w:pPr>
            <w:r>
              <w:rPr/>
              <w:t> </w:t>
            </w:r>
          </w:p>
        </w:tc>
        <w:tc>
          <w:tcPr>
            <w:tcW w:w="2781" w:type="dxa"/>
            <w:gridSpan w:val="5"/>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2005</w:t>
            </w:r>
          </w:p>
        </w:tc>
        <w:tc>
          <w:tcPr>
            <w:tcW w:w="200" w:type="dxa"/>
            <w:tcBorders>
              <w:bottom w:val="single" w:sz="2" w:space="0" w:color="FFFFFF"/>
            </w:tcBorders>
            <w:shd w:fill="auto" w:val="clear"/>
            <w:vAlign w:val="bottom"/>
          </w:tcPr>
          <w:p>
            <w:pPr>
              <w:pStyle w:val="TableContents"/>
              <w:spacing w:before="0" w:after="283"/>
              <w:jc w:val="left"/>
              <w:rPr/>
            </w:pPr>
            <w:r>
              <w:rPr/>
              <w:t> </w:t>
            </w:r>
          </w:p>
        </w:tc>
        <w:tc>
          <w:tcPr>
            <w:tcW w:w="2780" w:type="dxa"/>
            <w:gridSpan w:val="5"/>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2004</w:t>
            </w:r>
          </w:p>
        </w:tc>
        <w:tc>
          <w:tcPr>
            <w:tcW w:w="125" w:type="dxa"/>
            <w:tcBorders>
              <w:bottom w:val="single" w:sz="2" w:space="0" w:color="FFFFFF"/>
            </w:tcBorders>
            <w:shd w:fill="auto" w:val="clear"/>
            <w:vAlign w:val="bottom"/>
          </w:tcPr>
          <w:p>
            <w:pPr>
              <w:pStyle w:val="TableContents"/>
              <w:spacing w:before="0" w:after="283"/>
              <w:jc w:val="left"/>
              <w:rPr/>
            </w:pPr>
            <w:r>
              <w:rPr/>
              <w:t> </w:t>
            </w:r>
          </w:p>
        </w:tc>
      </w:tr>
      <w:tr>
        <w:trPr/>
        <w:tc>
          <w:tcPr>
            <w:tcW w:w="4126" w:type="dxa"/>
            <w:tcBorders>
              <w:bottom w:val="double" w:sz="2" w:space="0" w:color="000000"/>
            </w:tcBorders>
            <w:shd w:fill="auto" w:val="clear"/>
            <w:vAlign w:val="bottom"/>
          </w:tcPr>
          <w:p>
            <w:pPr>
              <w:pStyle w:val="TableContents"/>
              <w:spacing w:before="0" w:after="283"/>
              <w:jc w:val="left"/>
              <w:rPr/>
            </w:pPr>
            <w:r>
              <w:rPr/>
              <w:t> </w:t>
            </w:r>
          </w:p>
        </w:tc>
        <w:tc>
          <w:tcPr>
            <w:tcW w:w="193" w:type="dxa"/>
            <w:tcBorders>
              <w:bottom w:val="single" w:sz="4" w:space="0" w:color="FFFFFF"/>
            </w:tcBorders>
            <w:shd w:fill="auto" w:val="clear"/>
            <w:vAlign w:val="center"/>
          </w:tcPr>
          <w:p>
            <w:pPr>
              <w:pStyle w:val="TableContents"/>
              <w:spacing w:before="0" w:after="283"/>
              <w:rPr/>
            </w:pPr>
            <w:r>
              <w:rPr/>
              <w:t> </w:t>
            </w:r>
          </w:p>
        </w:tc>
        <w:tc>
          <w:tcPr>
            <w:tcW w:w="1293"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Real Estate Revenue</w:t>
            </w:r>
          </w:p>
        </w:tc>
        <w:tc>
          <w:tcPr>
            <w:tcW w:w="200" w:type="dxa"/>
            <w:tcBorders>
              <w:bottom w:val="single" w:sz="4" w:space="0" w:color="FFFFFF"/>
            </w:tcBorders>
            <w:shd w:fill="auto" w:val="clear"/>
            <w:vAlign w:val="bottom"/>
          </w:tcPr>
          <w:p>
            <w:pPr>
              <w:pStyle w:val="TableContents"/>
              <w:spacing w:before="0" w:after="283"/>
              <w:jc w:val="left"/>
              <w:rPr/>
            </w:pPr>
            <w:r>
              <w:rPr/>
              <w:t> </w:t>
            </w:r>
          </w:p>
        </w:tc>
        <w:tc>
          <w:tcPr>
            <w:tcW w:w="1288"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Cinema Expense</w:t>
            </w:r>
          </w:p>
        </w:tc>
        <w:tc>
          <w:tcPr>
            <w:tcW w:w="200" w:type="dxa"/>
            <w:tcBorders>
              <w:bottom w:val="single" w:sz="4" w:space="0" w:color="FFFFFF"/>
            </w:tcBorders>
            <w:shd w:fill="auto" w:val="clear"/>
            <w:vAlign w:val="bottom"/>
          </w:tcPr>
          <w:p>
            <w:pPr>
              <w:pStyle w:val="TableContents"/>
              <w:spacing w:before="0" w:after="283"/>
              <w:jc w:val="left"/>
              <w:rPr/>
            </w:pPr>
            <w:r>
              <w:rPr/>
              <w:t> </w:t>
            </w:r>
          </w:p>
        </w:tc>
        <w:tc>
          <w:tcPr>
            <w:tcW w:w="1293"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Real Estate Revenue</w:t>
            </w:r>
          </w:p>
        </w:tc>
        <w:tc>
          <w:tcPr>
            <w:tcW w:w="199" w:type="dxa"/>
            <w:tcBorders>
              <w:bottom w:val="single" w:sz="4" w:space="0" w:color="FFFFFF"/>
            </w:tcBorders>
            <w:shd w:fill="auto" w:val="clear"/>
            <w:vAlign w:val="bottom"/>
          </w:tcPr>
          <w:p>
            <w:pPr>
              <w:pStyle w:val="TableContents"/>
              <w:spacing w:before="0" w:after="283"/>
              <w:jc w:val="left"/>
              <w:rPr/>
            </w:pPr>
            <w:r>
              <w:rPr/>
              <w:t> </w:t>
            </w:r>
          </w:p>
        </w:tc>
        <w:tc>
          <w:tcPr>
            <w:tcW w:w="1288"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Cinema Expense</w:t>
            </w:r>
          </w:p>
        </w:tc>
        <w:tc>
          <w:tcPr>
            <w:tcW w:w="125" w:type="dxa"/>
            <w:tcBorders>
              <w:bottom w:val="single" w:sz="4" w:space="0" w:color="FFFFFF"/>
            </w:tcBorders>
            <w:shd w:fill="auto" w:val="clear"/>
            <w:vAlign w:val="bottom"/>
          </w:tcPr>
          <w:p>
            <w:pPr>
              <w:pStyle w:val="TableContents"/>
              <w:spacing w:before="0" w:after="283"/>
              <w:jc w:val="left"/>
              <w:rPr/>
            </w:pPr>
            <w:r>
              <w:rPr/>
              <w:t> </w:t>
            </w:r>
          </w:p>
        </w:tc>
      </w:tr>
      <w:tr>
        <w:trPr/>
        <w:tc>
          <w:tcPr>
            <w:tcW w:w="4126"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As originally reported</w:t>
            </w:r>
          </w:p>
        </w:tc>
        <w:tc>
          <w:tcPr>
            <w:tcW w:w="193" w:type="dxa"/>
            <w:tcBorders/>
            <w:shd w:fill="CCEEFF" w:val="clear"/>
            <w:tcMar>
              <w:bottom w:w="0" w:type="dxa"/>
            </w:tcMar>
            <w:vAlign w:val="center"/>
          </w:tcPr>
          <w:p>
            <w:pPr>
              <w:pStyle w:val="TableContents"/>
              <w:spacing w:before="0" w:after="283"/>
              <w:rPr/>
            </w:pPr>
            <w:r>
              <w:rPr/>
              <w:t> </w:t>
            </w:r>
          </w:p>
        </w:tc>
        <w:tc>
          <w:tcPr>
            <w:tcW w:w="130"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2783" w:name="TAB11230"/>
            <w:bookmarkEnd w:id="2783"/>
            <w:r>
              <w:rPr>
                <w:rFonts w:ascii="Times New Roman" w:hAnsi="Times New Roman"/>
                <w:sz w:val="20"/>
              </w:rPr>
              <w:t>$</w:t>
            </w:r>
          </w:p>
        </w:tc>
        <w:tc>
          <w:tcPr>
            <w:tcW w:w="1163"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2784" w:name="TAB11231"/>
            <w:bookmarkEnd w:id="2784"/>
            <w:r>
              <w:rPr>
                <w:rFonts w:ascii="Times New Roman" w:hAnsi="Times New Roman"/>
                <w:sz w:val="20"/>
              </w:rPr>
              <w:t>14,310</w:t>
            </w:r>
          </w:p>
        </w:tc>
        <w:tc>
          <w:tcPr>
            <w:tcW w:w="200" w:type="dxa"/>
            <w:tcBorders/>
            <w:shd w:fill="CCEEFF" w:val="clear"/>
            <w:tcMar>
              <w:bottom w:w="0" w:type="dxa"/>
            </w:tcMar>
            <w:vAlign w:val="bottom"/>
          </w:tcPr>
          <w:p>
            <w:pPr>
              <w:pStyle w:val="TableContents"/>
              <w:spacing w:before="0" w:after="283"/>
              <w:jc w:val="left"/>
              <w:rPr/>
            </w:pPr>
            <w:r>
              <w:rPr/>
              <w:t> </w:t>
            </w:r>
          </w:p>
        </w:tc>
        <w:tc>
          <w:tcPr>
            <w:tcW w:w="129"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2785" w:name="TAB11232"/>
            <w:bookmarkEnd w:id="2785"/>
            <w:r>
              <w:rPr>
                <w:rFonts w:ascii="Times New Roman" w:hAnsi="Times New Roman"/>
                <w:sz w:val="20"/>
              </w:rPr>
              <w:t>$</w:t>
            </w:r>
          </w:p>
        </w:tc>
        <w:tc>
          <w:tcPr>
            <w:tcW w:w="1159"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2786" w:name="TAB11233"/>
            <w:bookmarkEnd w:id="2786"/>
            <w:r>
              <w:rPr>
                <w:rFonts w:ascii="Times New Roman" w:hAnsi="Times New Roman"/>
                <w:sz w:val="20"/>
              </w:rPr>
              <w:t>70,452</w:t>
            </w:r>
          </w:p>
        </w:tc>
        <w:tc>
          <w:tcPr>
            <w:tcW w:w="200" w:type="dxa"/>
            <w:tcBorders/>
            <w:shd w:fill="CCEEFF" w:val="clear"/>
            <w:tcMar>
              <w:bottom w:w="0" w:type="dxa"/>
            </w:tcMar>
            <w:vAlign w:val="bottom"/>
          </w:tcPr>
          <w:p>
            <w:pPr>
              <w:pStyle w:val="TableContents"/>
              <w:spacing w:before="0" w:after="283"/>
              <w:jc w:val="left"/>
              <w:rPr/>
            </w:pPr>
            <w:r>
              <w:rPr/>
              <w:t> </w:t>
            </w:r>
          </w:p>
        </w:tc>
        <w:tc>
          <w:tcPr>
            <w:tcW w:w="130"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2787" w:name="TAB11234"/>
            <w:bookmarkEnd w:id="2787"/>
            <w:r>
              <w:rPr>
                <w:rFonts w:ascii="Times New Roman" w:hAnsi="Times New Roman"/>
                <w:sz w:val="20"/>
              </w:rPr>
              <w:t>$</w:t>
            </w:r>
          </w:p>
        </w:tc>
        <w:tc>
          <w:tcPr>
            <w:tcW w:w="1163"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2788" w:name="TAB11235"/>
            <w:bookmarkEnd w:id="2788"/>
            <w:r>
              <w:rPr>
                <w:rFonts w:ascii="Times New Roman" w:hAnsi="Times New Roman"/>
                <w:sz w:val="20"/>
              </w:rPr>
              <w:t>13,078</w:t>
            </w:r>
          </w:p>
        </w:tc>
        <w:tc>
          <w:tcPr>
            <w:tcW w:w="199" w:type="dxa"/>
            <w:tcBorders/>
            <w:shd w:fill="CCEEFF" w:val="clear"/>
            <w:tcMar>
              <w:bottom w:w="0" w:type="dxa"/>
            </w:tcMar>
            <w:vAlign w:val="bottom"/>
          </w:tcPr>
          <w:p>
            <w:pPr>
              <w:pStyle w:val="TableContents"/>
              <w:spacing w:before="0" w:after="283"/>
              <w:jc w:val="left"/>
              <w:rPr/>
            </w:pPr>
            <w:r>
              <w:rPr/>
              <w:t> </w:t>
            </w:r>
          </w:p>
        </w:tc>
        <w:tc>
          <w:tcPr>
            <w:tcW w:w="129"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2789" w:name="TAB11236"/>
            <w:bookmarkEnd w:id="2789"/>
            <w:r>
              <w:rPr>
                <w:rFonts w:ascii="Times New Roman" w:hAnsi="Times New Roman"/>
                <w:sz w:val="20"/>
              </w:rPr>
              <w:t>$</w:t>
            </w:r>
          </w:p>
        </w:tc>
        <w:tc>
          <w:tcPr>
            <w:tcW w:w="1159"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2790" w:name="TAB11237"/>
            <w:bookmarkEnd w:id="2790"/>
            <w:r>
              <w:rPr>
                <w:rFonts w:ascii="Times New Roman" w:hAnsi="Times New Roman"/>
                <w:sz w:val="20"/>
              </w:rPr>
              <w:t>60,129</w:t>
            </w:r>
          </w:p>
        </w:tc>
        <w:tc>
          <w:tcPr>
            <w:tcW w:w="125" w:type="dxa"/>
            <w:tcBorders/>
            <w:shd w:fill="CCEEFF" w:val="clear"/>
            <w:tcMar>
              <w:bottom w:w="0" w:type="dxa"/>
            </w:tcMar>
            <w:vAlign w:val="bottom"/>
          </w:tcPr>
          <w:p>
            <w:pPr>
              <w:pStyle w:val="TableContents"/>
              <w:spacing w:before="0" w:after="283"/>
              <w:jc w:val="left"/>
              <w:rPr/>
            </w:pPr>
            <w:r>
              <w:rPr/>
              <w:t> </w:t>
            </w:r>
          </w:p>
        </w:tc>
      </w:tr>
      <w:tr>
        <w:trPr/>
        <w:tc>
          <w:tcPr>
            <w:tcW w:w="4126" w:type="dxa"/>
            <w:tcBorders>
              <w:bottom w:val="sing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Australia intercompany eliminations</w:t>
            </w:r>
          </w:p>
        </w:tc>
        <w:tc>
          <w:tcPr>
            <w:tcW w:w="193" w:type="dxa"/>
            <w:tcBorders>
              <w:bottom w:val="single" w:sz="2" w:space="0" w:color="FFFFFF"/>
            </w:tcBorders>
            <w:shd w:fill="FFFFFF" w:val="clear"/>
            <w:vAlign w:val="center"/>
          </w:tcPr>
          <w:p>
            <w:pPr>
              <w:pStyle w:val="TableContents"/>
              <w:spacing w:before="0" w:after="283"/>
              <w:rPr/>
            </w:pPr>
            <w:r>
              <w:rPr/>
              <w:t> </w:t>
            </w:r>
          </w:p>
        </w:tc>
        <w:tc>
          <w:tcPr>
            <w:tcW w:w="130" w:type="dxa"/>
            <w:tcBorders>
              <w:bottom w:val="single" w:sz="2" w:space="0" w:color="000000"/>
            </w:tcBorders>
            <w:shd w:fill="FFFFFF" w:val="clear"/>
            <w:vAlign w:val="bottom"/>
          </w:tcPr>
          <w:p>
            <w:pPr>
              <w:pStyle w:val="TableContents"/>
              <w:spacing w:before="0" w:after="283"/>
              <w:jc w:val="left"/>
              <w:rPr/>
            </w:pPr>
            <w:r>
              <w:rPr/>
              <w:t> </w:t>
            </w:r>
          </w:p>
        </w:tc>
        <w:tc>
          <w:tcPr>
            <w:tcW w:w="1163"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(2,965</w:t>
            </w:r>
          </w:p>
        </w:tc>
        <w:tc>
          <w:tcPr>
            <w:tcW w:w="200" w:type="dxa"/>
            <w:tcBorders>
              <w:bottom w:val="single" w:sz="2" w:space="0" w:color="FFFFFF"/>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29" w:type="dxa"/>
            <w:tcBorders>
              <w:bottom w:val="single" w:sz="2" w:space="0" w:color="000000"/>
            </w:tcBorders>
            <w:shd w:fill="FFFFFF" w:val="clear"/>
            <w:vAlign w:val="bottom"/>
          </w:tcPr>
          <w:p>
            <w:pPr>
              <w:pStyle w:val="TableContents"/>
              <w:spacing w:before="0" w:after="283"/>
              <w:jc w:val="left"/>
              <w:rPr/>
            </w:pPr>
            <w:r>
              <w:rPr/>
              <w:t> </w:t>
            </w:r>
          </w:p>
        </w:tc>
        <w:tc>
          <w:tcPr>
            <w:tcW w:w="1159"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(2,965</w:t>
            </w:r>
          </w:p>
        </w:tc>
        <w:tc>
          <w:tcPr>
            <w:tcW w:w="200" w:type="dxa"/>
            <w:tcBorders>
              <w:bottom w:val="single" w:sz="2" w:space="0" w:color="FFFFFF"/>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30" w:type="dxa"/>
            <w:tcBorders>
              <w:bottom w:val="single" w:sz="2" w:space="0" w:color="000000"/>
            </w:tcBorders>
            <w:shd w:fill="FFFFFF" w:val="clear"/>
            <w:vAlign w:val="bottom"/>
          </w:tcPr>
          <w:p>
            <w:pPr>
              <w:pStyle w:val="TableContents"/>
              <w:spacing w:before="0" w:after="283"/>
              <w:jc w:val="left"/>
              <w:rPr/>
            </w:pPr>
            <w:r>
              <w:rPr/>
              <w:t> </w:t>
            </w:r>
          </w:p>
        </w:tc>
        <w:tc>
          <w:tcPr>
            <w:tcW w:w="1163"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(3,313</w:t>
            </w:r>
          </w:p>
        </w:tc>
        <w:tc>
          <w:tcPr>
            <w:tcW w:w="199" w:type="dxa"/>
            <w:tcBorders>
              <w:bottom w:val="single" w:sz="2" w:space="0" w:color="FFFFFF"/>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29" w:type="dxa"/>
            <w:tcBorders>
              <w:bottom w:val="single" w:sz="2" w:space="0" w:color="000000"/>
            </w:tcBorders>
            <w:shd w:fill="FFFFFF" w:val="clear"/>
            <w:vAlign w:val="bottom"/>
          </w:tcPr>
          <w:p>
            <w:pPr>
              <w:pStyle w:val="TableContents"/>
              <w:spacing w:before="0" w:after="283"/>
              <w:jc w:val="left"/>
              <w:rPr/>
            </w:pPr>
            <w:r>
              <w:rPr/>
              <w:t> </w:t>
            </w:r>
          </w:p>
        </w:tc>
        <w:tc>
          <w:tcPr>
            <w:tcW w:w="1159"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(3,313</w:t>
            </w:r>
          </w:p>
        </w:tc>
        <w:tc>
          <w:tcPr>
            <w:tcW w:w="125" w:type="dxa"/>
            <w:tcBorders>
              <w:bottom w:val="single" w:sz="2" w:space="0" w:color="FFFFFF"/>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r>
      <w:tr>
        <w:trPr/>
        <w:tc>
          <w:tcPr>
            <w:tcW w:w="4126" w:type="dxa"/>
            <w:tcBorders>
              <w:bottom w:val="double" w:sz="2" w:space="0" w:color="000000"/>
            </w:tcBorders>
            <w:shd w:fill="CCEEFF" w:val="clear"/>
            <w:vAlign w:val="bottom"/>
          </w:tcPr>
          <w:p>
            <w:pPr>
              <w:pStyle w:val="TableContents"/>
              <w:spacing w:lineRule="auto" w:line="300" w:before="0" w:after="0"/>
              <w:ind w:left="360" w:right="0" w:hanging="0"/>
              <w:jc w:val="left"/>
              <w:rPr>
                <w:rFonts w:ascii="Times New Roman" w:hAnsi="Times New Roman"/>
                <w:sz w:val="20"/>
              </w:rPr>
            </w:pPr>
            <w:bookmarkStart w:id="2791" w:name="TAB11238"/>
            <w:bookmarkEnd w:id="2791"/>
            <w:r>
              <w:rPr>
                <w:rFonts w:ascii="Times New Roman" w:hAnsi="Times New Roman"/>
                <w:sz w:val="20"/>
              </w:rPr>
              <w:t>As adjusted</w:t>
            </w:r>
          </w:p>
        </w:tc>
        <w:tc>
          <w:tcPr>
            <w:tcW w:w="193" w:type="dxa"/>
            <w:tcBorders>
              <w:bottom w:val="single" w:sz="4" w:space="0" w:color="CCEEFF"/>
            </w:tcBorders>
            <w:shd w:fill="CCEEFF" w:val="clear"/>
            <w:vAlign w:val="center"/>
          </w:tcPr>
          <w:p>
            <w:pPr>
              <w:pStyle w:val="TableContents"/>
              <w:spacing w:before="0" w:after="283"/>
              <w:rPr/>
            </w:pPr>
            <w:r>
              <w:rPr/>
              <w:t> </w:t>
            </w:r>
          </w:p>
        </w:tc>
        <w:tc>
          <w:tcPr>
            <w:tcW w:w="130" w:type="dxa"/>
            <w:tcBorders>
              <w:bottom w:val="doub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bookmarkStart w:id="2792" w:name="TAB11239"/>
            <w:bookmarkEnd w:id="2792"/>
            <w:r>
              <w:rPr>
                <w:rFonts w:ascii="Times New Roman" w:hAnsi="Times New Roman"/>
                <w:sz w:val="20"/>
              </w:rPr>
              <w:t>$</w:t>
            </w:r>
          </w:p>
        </w:tc>
        <w:tc>
          <w:tcPr>
            <w:tcW w:w="1163" w:type="dxa"/>
            <w:tcBorders>
              <w:bottom w:val="doub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2793" w:name="TAB11240"/>
            <w:bookmarkEnd w:id="2793"/>
            <w:r>
              <w:rPr>
                <w:rFonts w:ascii="Times New Roman" w:hAnsi="Times New Roman"/>
                <w:sz w:val="20"/>
              </w:rPr>
              <w:t>11,345</w:t>
            </w:r>
          </w:p>
        </w:tc>
        <w:tc>
          <w:tcPr>
            <w:tcW w:w="200" w:type="dxa"/>
            <w:tcBorders>
              <w:bottom w:val="single" w:sz="4" w:space="0" w:color="CCEEFF"/>
            </w:tcBorders>
            <w:shd w:fill="CCEEFF" w:val="clear"/>
            <w:vAlign w:val="bottom"/>
          </w:tcPr>
          <w:p>
            <w:pPr>
              <w:pStyle w:val="TableContents"/>
              <w:spacing w:before="0" w:after="283"/>
              <w:jc w:val="left"/>
              <w:rPr/>
            </w:pPr>
            <w:r>
              <w:rPr/>
              <w:t> </w:t>
            </w:r>
          </w:p>
        </w:tc>
        <w:tc>
          <w:tcPr>
            <w:tcW w:w="129" w:type="dxa"/>
            <w:tcBorders>
              <w:bottom w:val="doub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bookmarkStart w:id="2794" w:name="TAB11241"/>
            <w:bookmarkEnd w:id="2794"/>
            <w:r>
              <w:rPr>
                <w:rFonts w:ascii="Times New Roman" w:hAnsi="Times New Roman"/>
                <w:sz w:val="20"/>
              </w:rPr>
              <w:t>$</w:t>
            </w:r>
          </w:p>
        </w:tc>
        <w:tc>
          <w:tcPr>
            <w:tcW w:w="1159" w:type="dxa"/>
            <w:tcBorders>
              <w:bottom w:val="doub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2795" w:name="TAB11242"/>
            <w:bookmarkEnd w:id="2795"/>
            <w:r>
              <w:rPr>
                <w:rFonts w:ascii="Times New Roman" w:hAnsi="Times New Roman"/>
                <w:sz w:val="20"/>
              </w:rPr>
              <w:t>67,487</w:t>
            </w:r>
          </w:p>
        </w:tc>
        <w:tc>
          <w:tcPr>
            <w:tcW w:w="200" w:type="dxa"/>
            <w:tcBorders>
              <w:bottom w:val="single" w:sz="4" w:space="0" w:color="CCEEFF"/>
            </w:tcBorders>
            <w:shd w:fill="CCEEFF" w:val="clear"/>
            <w:vAlign w:val="bottom"/>
          </w:tcPr>
          <w:p>
            <w:pPr>
              <w:pStyle w:val="TableContents"/>
              <w:spacing w:before="0" w:after="283"/>
              <w:jc w:val="left"/>
              <w:rPr/>
            </w:pPr>
            <w:r>
              <w:rPr/>
              <w:t> </w:t>
            </w:r>
          </w:p>
        </w:tc>
        <w:tc>
          <w:tcPr>
            <w:tcW w:w="130" w:type="dxa"/>
            <w:tcBorders>
              <w:bottom w:val="doub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bookmarkStart w:id="2796" w:name="TAB11243"/>
            <w:bookmarkEnd w:id="2796"/>
            <w:r>
              <w:rPr>
                <w:rFonts w:ascii="Times New Roman" w:hAnsi="Times New Roman"/>
                <w:sz w:val="20"/>
              </w:rPr>
              <w:t>$</w:t>
            </w:r>
          </w:p>
        </w:tc>
        <w:tc>
          <w:tcPr>
            <w:tcW w:w="1163" w:type="dxa"/>
            <w:tcBorders>
              <w:bottom w:val="doub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2797" w:name="TAB11244"/>
            <w:bookmarkEnd w:id="2797"/>
            <w:r>
              <w:rPr>
                <w:rFonts w:ascii="Times New Roman" w:hAnsi="Times New Roman"/>
                <w:sz w:val="20"/>
              </w:rPr>
              <w:t>9,765</w:t>
            </w:r>
          </w:p>
        </w:tc>
        <w:tc>
          <w:tcPr>
            <w:tcW w:w="199" w:type="dxa"/>
            <w:tcBorders>
              <w:bottom w:val="single" w:sz="4" w:space="0" w:color="CCEEFF"/>
            </w:tcBorders>
            <w:shd w:fill="CCEEFF" w:val="clear"/>
            <w:vAlign w:val="bottom"/>
          </w:tcPr>
          <w:p>
            <w:pPr>
              <w:pStyle w:val="TableContents"/>
              <w:spacing w:before="0" w:after="283"/>
              <w:jc w:val="left"/>
              <w:rPr/>
            </w:pPr>
            <w:r>
              <w:rPr/>
              <w:t> </w:t>
            </w:r>
          </w:p>
        </w:tc>
        <w:tc>
          <w:tcPr>
            <w:tcW w:w="129" w:type="dxa"/>
            <w:tcBorders>
              <w:bottom w:val="doub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bookmarkStart w:id="2798" w:name="TAB11245"/>
            <w:bookmarkEnd w:id="2798"/>
            <w:r>
              <w:rPr>
                <w:rFonts w:ascii="Times New Roman" w:hAnsi="Times New Roman"/>
                <w:sz w:val="20"/>
              </w:rPr>
              <w:t>$</w:t>
            </w:r>
          </w:p>
        </w:tc>
        <w:tc>
          <w:tcPr>
            <w:tcW w:w="1159" w:type="dxa"/>
            <w:tcBorders>
              <w:bottom w:val="doub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2799" w:name="TAB11246"/>
            <w:bookmarkEnd w:id="2799"/>
            <w:r>
              <w:rPr>
                <w:rFonts w:ascii="Times New Roman" w:hAnsi="Times New Roman"/>
                <w:sz w:val="20"/>
              </w:rPr>
              <w:t>56,816</w:t>
            </w:r>
          </w:p>
        </w:tc>
        <w:tc>
          <w:tcPr>
            <w:tcW w:w="125" w:type="dxa"/>
            <w:tcBorders>
              <w:bottom w:val="single" w:sz="4" w:space="0" w:color="CCEEFF"/>
            </w:tcBorders>
            <w:shd w:fill="CCEEFF" w:val="clear"/>
            <w:vAlign w:val="bottom"/>
          </w:tcPr>
          <w:p>
            <w:pPr>
              <w:pStyle w:val="TableContents"/>
              <w:spacing w:before="0" w:after="283"/>
              <w:jc w:val="left"/>
              <w:rPr/>
            </w:pPr>
            <w:r>
              <w:rPr/>
              <w:t> </w:t>
            </w:r>
          </w:p>
        </w:tc>
      </w:tr>
    </w:tbl>
    <w:p>
      <w:pPr>
        <w:pStyle w:val="TextBody"/>
        <w:spacing w:lineRule="auto" w:line="300" w:before="0" w:after="0"/>
        <w:ind w:left="0" w:right="0" w:hanging="0"/>
        <w:jc w:val="both"/>
        <w:rPr/>
      </w:pPr>
      <w:r>
        <w:rPr/>
      </w:r>
    </w:p>
    <w:p>
      <w:pPr>
        <w:pStyle w:val="TextBody"/>
        <w:spacing w:lineRule="auto" w:line="300" w:before="0" w:after="0"/>
        <w:ind w:left="720" w:right="0" w:hanging="0"/>
        <w:jc w:val="both"/>
        <w:rPr>
          <w:rFonts w:ascii="Times New Roman" w:hAnsi="Times New Roman"/>
          <w:sz w:val="20"/>
        </w:rPr>
      </w:pPr>
      <w:bookmarkStart w:id="2800" w:name="TAB11247"/>
      <w:bookmarkEnd w:id="2800"/>
      <w:r>
        <w:rPr>
          <w:rFonts w:ascii="Times New Roman" w:hAnsi="Times New Roman"/>
          <w:sz w:val="20"/>
        </w:rPr>
        <w:t>This adjustment had no impact on our operating losses, on our losses from continuing operations, or on our net income (loss) for the years ended December 31, 2005 and 2004. These adjustments were not material to the presentation of our consolidated financial statements for the years ended December 31, 2005 and 2004.</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pPr>
      <w:r>
        <w:rPr/>
      </w:r>
    </w:p>
    <w:p>
      <w:pPr>
        <w:pStyle w:val="TextBody"/>
        <w:spacing w:lineRule="auto" w:line="300" w:before="0" w:after="0"/>
        <w:ind w:left="0" w:right="0" w:hanging="0"/>
        <w:jc w:val="both"/>
        <w:rPr/>
      </w:pPr>
      <w:r>
        <w:rPr>
          <w:rStyle w:val="StrongEmphasis"/>
          <w:rFonts w:ascii="Times New Roman" w:hAnsi="Times New Roman"/>
          <w:sz w:val="20"/>
          <w:u w:val="single"/>
        </w:rPr>
        <w:t>Note 3 - Stock Based Compensation and Employee Stock Option Plan</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u w:val="single"/>
        </w:rPr>
      </w:pPr>
      <w:r>
        <w:rPr>
          <w:rFonts w:ascii="Times New Roman" w:hAnsi="Times New Roman"/>
          <w:sz w:val="20"/>
          <w:u w:val="single"/>
        </w:rPr>
        <w:t>Stock Based Compensation</w:t>
      </w:r>
    </w:p>
    <w:p>
      <w:pPr>
        <w:pStyle w:val="TextBody"/>
        <w:spacing w:lineRule="auto" w:line="300" w:before="0" w:after="0"/>
        <w:ind w:left="0" w:right="0" w:firstLine="72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As part of his compensation package, Mr. James J. Cotter, our Chairman of the Board and Chief Executive Officer, was granted $250,000 of restricted Class A Non-Voting Common Stock for each of the years ending December 31, 2006 and 2005. These stock grants each have a vesting period of two years, a stock grant price of $7.79 and $8.26, respectively, and a total unrealized market value at December 31, 2006 of $383,000. During the year ended December 31, 2006, we recorded compensation expense of $188,000 for the vesting of restricted stock grants. At December 31, 2006, in recognition of the vesting of one-half of the 2005 stock grant, we issued to Mr. Cotter 16,047 shares of Class A Non-Voting Common Stock which had a stock grant price of $7.79 per share and a fair market value of $133,000. The following table details the grants and vesting of restricted stock to our employees (dollars in thousands):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801" w:name="PGBRK82"/>
      <w:bookmarkStart w:id="2802" w:name="PGBRK82"/>
      <w:bookmarkEnd w:id="280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803" w:name="FTR82"/>
      <w:bookmarkStart w:id="2804" w:name="FTR82"/>
      <w:bookmarkEnd w:id="280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805" w:name="GLFTR82"/>
      <w:bookmarkStart w:id="2806" w:name="GLFTR82"/>
      <w:bookmarkEnd w:id="280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2807" w:name="PN82"/>
      <w:bookmarkEnd w:id="2807"/>
      <w:r>
        <w:rPr>
          <w:rFonts w:ascii="Times New Roman" w:hAnsi="Times New Roman"/>
          <w:sz w:val="16"/>
        </w:rPr>
        <w:t>-82-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808" w:name="HDR82"/>
      <w:bookmarkStart w:id="2809" w:name="HDR82"/>
      <w:bookmarkEnd w:id="280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2810" w:name="GLHDR82"/>
        <w:bookmarkEnd w:id="2810"/>
        <w:r>
          <w:rPr>
            <w:rStyle w:val="Emphasis"/>
            <w:rFonts w:ascii="Times New Roman" w:hAnsi="Times New Roman"/>
            <w:color w:val="000000"/>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pStyle w:val="Normal"/>
        <w:spacing w:before="0" w:after="0"/>
        <w:rPr>
          <w:sz w:val="4"/>
          <w:szCs w:val="4"/>
        </w:rPr>
      </w:pPr>
      <w:r>
        <w:rPr>
          <w:sz w:val="4"/>
          <w:szCs w:val="4"/>
        </w:rPr>
      </w:r>
      <w:bookmarkStart w:id="2811" w:name="ftable18"/>
      <w:bookmarkStart w:id="2812" w:name="ftable18"/>
      <w:bookmarkEnd w:id="2812"/>
    </w:p>
    <w:tbl>
      <w:tblPr>
        <w:tblW w:w="5000" w:type="pct"/>
        <w:jc w:val="left"/>
        <w:tblInd w:w="0" w:type="dxa"/>
        <w:tblCellMar>
          <w:top w:w="0" w:type="dxa"/>
          <w:left w:w="0" w:type="dxa"/>
          <w:bottom w:w="28" w:type="dxa"/>
          <w:right w:w="0" w:type="dxa"/>
        </w:tblCellMar>
      </w:tblPr>
      <w:tblGrid>
        <w:gridCol w:w="6563"/>
        <w:gridCol w:w="202"/>
        <w:gridCol w:w="132"/>
        <w:gridCol w:w="1453"/>
        <w:gridCol w:w="214"/>
        <w:gridCol w:w="201"/>
        <w:gridCol w:w="1295"/>
        <w:gridCol w:w="145"/>
      </w:tblGrid>
      <w:tr>
        <w:trPr/>
        <w:tc>
          <w:tcPr>
            <w:tcW w:w="6563" w:type="dxa"/>
            <w:tcBorders>
              <w:bottom w:val="double" w:sz="2" w:space="0" w:color="000000"/>
            </w:tcBorders>
            <w:shd w:fill="auto" w:val="clear"/>
            <w:vAlign w:val="bottom"/>
          </w:tcPr>
          <w:p>
            <w:pPr>
              <w:pStyle w:val="TableContents"/>
              <w:spacing w:before="0" w:after="283"/>
              <w:jc w:val="left"/>
              <w:rPr/>
            </w:pPr>
            <w:r>
              <w:rPr/>
              <w:t> </w:t>
            </w:r>
          </w:p>
        </w:tc>
        <w:tc>
          <w:tcPr>
            <w:tcW w:w="202" w:type="dxa"/>
            <w:tcBorders>
              <w:bottom w:val="single" w:sz="4" w:space="0" w:color="FFFFFF"/>
            </w:tcBorders>
            <w:shd w:fill="auto" w:val="clear"/>
            <w:vAlign w:val="center"/>
          </w:tcPr>
          <w:p>
            <w:pPr>
              <w:pStyle w:val="TableContents"/>
              <w:spacing w:before="0" w:after="283"/>
              <w:rPr/>
            </w:pPr>
            <w:r>
              <w:rPr/>
              <w:t> </w:t>
            </w:r>
          </w:p>
        </w:tc>
        <w:tc>
          <w:tcPr>
            <w:tcW w:w="1585"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Non-Vested Restricted Stock</w:t>
            </w:r>
          </w:p>
        </w:tc>
        <w:tc>
          <w:tcPr>
            <w:tcW w:w="214" w:type="dxa"/>
            <w:tcBorders>
              <w:bottom w:val="single" w:sz="4" w:space="0" w:color="FFFFFF"/>
            </w:tcBorders>
            <w:shd w:fill="auto" w:val="clear"/>
            <w:vAlign w:val="bottom"/>
          </w:tcPr>
          <w:p>
            <w:pPr>
              <w:pStyle w:val="TableContents"/>
              <w:spacing w:before="0" w:after="283"/>
              <w:jc w:val="left"/>
              <w:rPr/>
            </w:pPr>
            <w:r>
              <w:rPr/>
              <w:t> </w:t>
            </w:r>
          </w:p>
        </w:tc>
        <w:tc>
          <w:tcPr>
            <w:tcW w:w="1496"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Weighted Average Fair Value at Grant Date</w:t>
            </w:r>
          </w:p>
        </w:tc>
        <w:tc>
          <w:tcPr>
            <w:tcW w:w="145" w:type="dxa"/>
            <w:tcBorders>
              <w:bottom w:val="single" w:sz="4" w:space="0" w:color="FFFFFF"/>
            </w:tcBorders>
            <w:shd w:fill="auto" w:val="clear"/>
            <w:vAlign w:val="bottom"/>
          </w:tcPr>
          <w:p>
            <w:pPr>
              <w:pStyle w:val="TableContents"/>
              <w:spacing w:before="0" w:after="283"/>
              <w:jc w:val="left"/>
              <w:rPr/>
            </w:pPr>
            <w:r>
              <w:rPr/>
              <w:t> </w:t>
            </w:r>
          </w:p>
        </w:tc>
      </w:tr>
      <w:tr>
        <w:trPr/>
        <w:tc>
          <w:tcPr>
            <w:tcW w:w="6563"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Outstanding - January 1, 2005</w:t>
            </w:r>
          </w:p>
        </w:tc>
        <w:tc>
          <w:tcPr>
            <w:tcW w:w="202" w:type="dxa"/>
            <w:tcBorders/>
            <w:shd w:fill="CCEEFF" w:val="clear"/>
            <w:tcMar>
              <w:bottom w:w="0" w:type="dxa"/>
            </w:tcMar>
            <w:vAlign w:val="center"/>
          </w:tcPr>
          <w:p>
            <w:pPr>
              <w:pStyle w:val="TableContents"/>
              <w:spacing w:before="0" w:after="283"/>
              <w:rPr/>
            </w:pPr>
            <w:r>
              <w:rPr/>
              <w:t> </w:t>
            </w:r>
          </w:p>
        </w:tc>
        <w:tc>
          <w:tcPr>
            <w:tcW w:w="132" w:type="dxa"/>
            <w:tcBorders/>
            <w:shd w:fill="CCEEFF" w:val="clear"/>
            <w:tcMar>
              <w:bottom w:w="0" w:type="dxa"/>
            </w:tcMar>
            <w:vAlign w:val="bottom"/>
          </w:tcPr>
          <w:p>
            <w:pPr>
              <w:pStyle w:val="TableContents"/>
              <w:spacing w:before="0" w:after="283"/>
              <w:jc w:val="left"/>
              <w:rPr/>
            </w:pPr>
            <w:r>
              <w:rPr/>
              <w:t> </w:t>
            </w:r>
          </w:p>
        </w:tc>
        <w:tc>
          <w:tcPr>
            <w:tcW w:w="1453"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2813" w:name="TAB11248"/>
            <w:bookmarkStart w:id="2814" w:name="TAB11249"/>
            <w:bookmarkStart w:id="2815" w:name="TAB11250"/>
            <w:bookmarkEnd w:id="2813"/>
            <w:bookmarkEnd w:id="2814"/>
            <w:bookmarkEnd w:id="2815"/>
            <w:r>
              <w:rPr>
                <w:rFonts w:ascii="Times New Roman" w:hAnsi="Times New Roman"/>
                <w:sz w:val="20"/>
              </w:rPr>
              <w:t>--</w:t>
            </w:r>
          </w:p>
        </w:tc>
        <w:tc>
          <w:tcPr>
            <w:tcW w:w="214" w:type="dxa"/>
            <w:tcBorders/>
            <w:shd w:fill="CCEEFF" w:val="clear"/>
            <w:tcMar>
              <w:bottom w:w="0" w:type="dxa"/>
            </w:tcMar>
            <w:vAlign w:val="bottom"/>
          </w:tcPr>
          <w:p>
            <w:pPr>
              <w:pStyle w:val="TableContents"/>
              <w:spacing w:before="0" w:after="283"/>
              <w:jc w:val="left"/>
              <w:rPr/>
            </w:pPr>
            <w:r>
              <w:rPr/>
              <w:t> </w:t>
            </w:r>
          </w:p>
        </w:tc>
        <w:tc>
          <w:tcPr>
            <w:tcW w:w="201"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2816" w:name="TAB11251"/>
            <w:bookmarkStart w:id="2817" w:name="TAB11252"/>
            <w:bookmarkEnd w:id="2816"/>
            <w:bookmarkEnd w:id="2817"/>
            <w:r>
              <w:rPr>
                <w:rFonts w:ascii="Times New Roman" w:hAnsi="Times New Roman"/>
                <w:sz w:val="20"/>
              </w:rPr>
              <w:t>$</w:t>
            </w:r>
            <w:bookmarkStart w:id="2818" w:name="TAB287"/>
            <w:bookmarkEnd w:id="2818"/>
          </w:p>
        </w:tc>
        <w:tc>
          <w:tcPr>
            <w:tcW w:w="1295"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2819" w:name="TAB288"/>
            <w:bookmarkStart w:id="2820" w:name="TAB11253"/>
            <w:bookmarkStart w:id="2821" w:name="TAB11254"/>
            <w:bookmarkEnd w:id="2819"/>
            <w:bookmarkEnd w:id="2820"/>
            <w:bookmarkEnd w:id="2821"/>
            <w:r>
              <w:rPr>
                <w:rFonts w:ascii="Times New Roman" w:hAnsi="Times New Roman"/>
                <w:sz w:val="20"/>
              </w:rPr>
              <w:t>--</w:t>
            </w:r>
          </w:p>
        </w:tc>
        <w:tc>
          <w:tcPr>
            <w:tcW w:w="145" w:type="dxa"/>
            <w:tcBorders/>
            <w:shd w:fill="CCEEFF" w:val="clear"/>
            <w:tcMar>
              <w:bottom w:w="0" w:type="dxa"/>
            </w:tcMar>
            <w:vAlign w:val="bottom"/>
          </w:tcPr>
          <w:p>
            <w:pPr>
              <w:pStyle w:val="TableContents"/>
              <w:spacing w:before="0" w:after="283"/>
              <w:jc w:val="left"/>
              <w:rPr/>
            </w:pPr>
            <w:r>
              <w:rPr/>
              <w:t> </w:t>
            </w:r>
          </w:p>
        </w:tc>
      </w:tr>
      <w:tr>
        <w:trPr/>
        <w:tc>
          <w:tcPr>
            <w:tcW w:w="6563" w:type="dxa"/>
            <w:tcBorders>
              <w:bottom w:val="single" w:sz="2" w:space="0" w:color="000000"/>
            </w:tcBorders>
            <w:shd w:fill="FFFFFF" w:val="clear"/>
            <w:vAlign w:val="bottom"/>
          </w:tcPr>
          <w:p>
            <w:pPr>
              <w:pStyle w:val="TableContents"/>
              <w:spacing w:lineRule="auto" w:line="300" w:before="0" w:after="0"/>
              <w:ind w:left="360" w:right="0" w:hanging="0"/>
              <w:jc w:val="left"/>
              <w:rPr>
                <w:rFonts w:ascii="Times New Roman" w:hAnsi="Times New Roman"/>
                <w:sz w:val="20"/>
              </w:rPr>
            </w:pPr>
            <w:bookmarkStart w:id="2822" w:name="TAB11255"/>
            <w:bookmarkEnd w:id="2822"/>
            <w:r>
              <w:rPr>
                <w:rFonts w:ascii="Times New Roman" w:hAnsi="Times New Roman"/>
                <w:sz w:val="20"/>
              </w:rPr>
              <w:t>Granted</w:t>
            </w:r>
          </w:p>
        </w:tc>
        <w:tc>
          <w:tcPr>
            <w:tcW w:w="202" w:type="dxa"/>
            <w:tcBorders>
              <w:bottom w:val="single" w:sz="2" w:space="0" w:color="FFFFFF"/>
            </w:tcBorders>
            <w:shd w:fill="FFFFFF" w:val="clear"/>
            <w:vAlign w:val="center"/>
          </w:tcPr>
          <w:p>
            <w:pPr>
              <w:pStyle w:val="TableContents"/>
              <w:spacing w:before="0" w:after="283"/>
              <w:rPr/>
            </w:pPr>
            <w:r>
              <w:rPr/>
              <w:t> </w:t>
            </w:r>
          </w:p>
        </w:tc>
        <w:tc>
          <w:tcPr>
            <w:tcW w:w="132" w:type="dxa"/>
            <w:tcBorders>
              <w:bottom w:val="single" w:sz="2" w:space="0" w:color="000000"/>
            </w:tcBorders>
            <w:shd w:fill="FFFFFF" w:val="clear"/>
            <w:vAlign w:val="bottom"/>
          </w:tcPr>
          <w:p>
            <w:pPr>
              <w:pStyle w:val="TableContents"/>
              <w:spacing w:before="0" w:after="283"/>
              <w:jc w:val="left"/>
              <w:rPr/>
            </w:pPr>
            <w:r>
              <w:rPr/>
              <w:t> </w:t>
            </w:r>
          </w:p>
        </w:tc>
        <w:tc>
          <w:tcPr>
            <w:tcW w:w="1453"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2823" w:name="TAB11256"/>
            <w:bookmarkStart w:id="2824" w:name="TAB11257"/>
            <w:bookmarkStart w:id="2825" w:name="TAB11258"/>
            <w:bookmarkEnd w:id="2823"/>
            <w:bookmarkEnd w:id="2824"/>
            <w:bookmarkEnd w:id="2825"/>
            <w:r>
              <w:rPr>
                <w:rFonts w:ascii="Times New Roman" w:hAnsi="Times New Roman"/>
                <w:sz w:val="20"/>
              </w:rPr>
              <w:t>32,094</w:t>
            </w:r>
          </w:p>
        </w:tc>
        <w:tc>
          <w:tcPr>
            <w:tcW w:w="214" w:type="dxa"/>
            <w:tcBorders>
              <w:bottom w:val="single" w:sz="2" w:space="0" w:color="FFFFFF"/>
            </w:tcBorders>
            <w:shd w:fill="FFFFFF" w:val="clear"/>
            <w:vAlign w:val="bottom"/>
          </w:tcPr>
          <w:p>
            <w:pPr>
              <w:pStyle w:val="TableContents"/>
              <w:spacing w:before="0" w:after="283"/>
              <w:jc w:val="left"/>
              <w:rPr/>
            </w:pPr>
            <w:r>
              <w:rPr/>
              <w:t> </w:t>
            </w:r>
          </w:p>
        </w:tc>
        <w:tc>
          <w:tcPr>
            <w:tcW w:w="201" w:type="dxa"/>
            <w:tcBorders>
              <w:bottom w:val="single" w:sz="2" w:space="0" w:color="000000"/>
            </w:tcBorders>
            <w:shd w:fill="FFFFFF" w:val="clear"/>
            <w:vAlign w:val="bottom"/>
          </w:tcPr>
          <w:p>
            <w:pPr>
              <w:pStyle w:val="TableContents"/>
              <w:spacing w:before="0" w:after="283"/>
              <w:jc w:val="left"/>
              <w:rPr/>
            </w:pPr>
            <w:r>
              <w:rPr/>
              <w:t> </w:t>
            </w:r>
          </w:p>
        </w:tc>
        <w:tc>
          <w:tcPr>
            <w:tcW w:w="1295"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2826" w:name="TAB11259"/>
            <w:bookmarkStart w:id="2827" w:name="TAB11260"/>
            <w:bookmarkStart w:id="2828" w:name="TAB11261"/>
            <w:bookmarkEnd w:id="2826"/>
            <w:bookmarkEnd w:id="2827"/>
            <w:bookmarkEnd w:id="2828"/>
            <w:r>
              <w:rPr>
                <w:rFonts w:ascii="Times New Roman" w:hAnsi="Times New Roman"/>
                <w:sz w:val="20"/>
              </w:rPr>
              <w:t>250</w:t>
            </w:r>
          </w:p>
        </w:tc>
        <w:tc>
          <w:tcPr>
            <w:tcW w:w="145" w:type="dxa"/>
            <w:tcBorders>
              <w:bottom w:val="single" w:sz="2" w:space="0" w:color="FFFFFF"/>
            </w:tcBorders>
            <w:shd w:fill="FFFFFF" w:val="clear"/>
            <w:vAlign w:val="bottom"/>
          </w:tcPr>
          <w:p>
            <w:pPr>
              <w:pStyle w:val="TableContents"/>
              <w:spacing w:before="0" w:after="283"/>
              <w:jc w:val="left"/>
              <w:rPr/>
            </w:pPr>
            <w:r>
              <w:rPr/>
              <w:t> </w:t>
            </w:r>
          </w:p>
        </w:tc>
      </w:tr>
      <w:tr>
        <w:trPr/>
        <w:tc>
          <w:tcPr>
            <w:tcW w:w="6563"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Outstanding - December 31, 2005</w:t>
            </w:r>
          </w:p>
        </w:tc>
        <w:tc>
          <w:tcPr>
            <w:tcW w:w="202" w:type="dxa"/>
            <w:tcBorders/>
            <w:shd w:fill="CCEEFF" w:val="clear"/>
            <w:tcMar>
              <w:bottom w:w="0" w:type="dxa"/>
            </w:tcMar>
            <w:vAlign w:val="center"/>
          </w:tcPr>
          <w:p>
            <w:pPr>
              <w:pStyle w:val="TableContents"/>
              <w:spacing w:before="0" w:after="283"/>
              <w:rPr/>
            </w:pPr>
            <w:r>
              <w:rPr/>
              <w:t> </w:t>
            </w:r>
          </w:p>
        </w:tc>
        <w:tc>
          <w:tcPr>
            <w:tcW w:w="132" w:type="dxa"/>
            <w:tcBorders/>
            <w:shd w:fill="CCEEFF" w:val="clear"/>
            <w:tcMar>
              <w:bottom w:w="0" w:type="dxa"/>
            </w:tcMar>
            <w:vAlign w:val="bottom"/>
          </w:tcPr>
          <w:p>
            <w:pPr>
              <w:pStyle w:val="TableContents"/>
              <w:spacing w:before="0" w:after="283"/>
              <w:jc w:val="left"/>
              <w:rPr/>
            </w:pPr>
            <w:r>
              <w:rPr/>
              <w:t> </w:t>
            </w:r>
          </w:p>
        </w:tc>
        <w:tc>
          <w:tcPr>
            <w:tcW w:w="1453"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2829" w:name="TAB11262"/>
            <w:bookmarkStart w:id="2830" w:name="TAB11263"/>
            <w:bookmarkStart w:id="2831" w:name="TAB11264"/>
            <w:bookmarkEnd w:id="2829"/>
            <w:bookmarkEnd w:id="2830"/>
            <w:bookmarkEnd w:id="2831"/>
            <w:r>
              <w:rPr>
                <w:rFonts w:ascii="Times New Roman" w:hAnsi="Times New Roman"/>
                <w:sz w:val="20"/>
              </w:rPr>
              <w:t>32,094</w:t>
            </w:r>
          </w:p>
        </w:tc>
        <w:tc>
          <w:tcPr>
            <w:tcW w:w="214" w:type="dxa"/>
            <w:tcBorders/>
            <w:shd w:fill="CCEEFF" w:val="clear"/>
            <w:tcMar>
              <w:bottom w:w="0" w:type="dxa"/>
            </w:tcMar>
            <w:vAlign w:val="bottom"/>
          </w:tcPr>
          <w:p>
            <w:pPr>
              <w:pStyle w:val="TableContents"/>
              <w:spacing w:before="0" w:after="283"/>
              <w:jc w:val="left"/>
              <w:rPr/>
            </w:pPr>
            <w:r>
              <w:rPr/>
              <w:t> </w:t>
            </w:r>
          </w:p>
        </w:tc>
        <w:tc>
          <w:tcPr>
            <w:tcW w:w="201" w:type="dxa"/>
            <w:tcBorders/>
            <w:shd w:fill="CCEEFF" w:val="clear"/>
            <w:tcMar>
              <w:bottom w:w="0" w:type="dxa"/>
            </w:tcMar>
            <w:vAlign w:val="bottom"/>
          </w:tcPr>
          <w:p>
            <w:pPr>
              <w:pStyle w:val="TableContents"/>
              <w:spacing w:before="0" w:after="283"/>
              <w:jc w:val="left"/>
              <w:rPr/>
            </w:pPr>
            <w:r>
              <w:rPr/>
              <w:t> </w:t>
            </w:r>
          </w:p>
        </w:tc>
        <w:tc>
          <w:tcPr>
            <w:tcW w:w="1295"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2832" w:name="TAB11265"/>
            <w:bookmarkStart w:id="2833" w:name="TAB11266"/>
            <w:bookmarkStart w:id="2834" w:name="TAB11267"/>
            <w:bookmarkEnd w:id="2832"/>
            <w:bookmarkEnd w:id="2833"/>
            <w:bookmarkEnd w:id="2834"/>
            <w:r>
              <w:rPr>
                <w:rFonts w:ascii="Times New Roman" w:hAnsi="Times New Roman"/>
                <w:sz w:val="20"/>
              </w:rPr>
              <w:t>250</w:t>
            </w:r>
          </w:p>
        </w:tc>
        <w:tc>
          <w:tcPr>
            <w:tcW w:w="145" w:type="dxa"/>
            <w:tcBorders/>
            <w:shd w:fill="CCEEFF" w:val="clear"/>
            <w:tcMar>
              <w:bottom w:w="0" w:type="dxa"/>
            </w:tcMar>
            <w:vAlign w:val="bottom"/>
          </w:tcPr>
          <w:p>
            <w:pPr>
              <w:pStyle w:val="TableContents"/>
              <w:spacing w:before="0" w:after="283"/>
              <w:jc w:val="left"/>
              <w:rPr/>
            </w:pPr>
            <w:r>
              <w:rPr/>
              <w:t> </w:t>
            </w:r>
          </w:p>
        </w:tc>
      </w:tr>
      <w:tr>
        <w:trPr/>
        <w:tc>
          <w:tcPr>
            <w:tcW w:w="6563" w:type="dxa"/>
            <w:tcBorders/>
            <w:shd w:fill="FFFFFF" w:val="clear"/>
            <w:tcMar>
              <w:bottom w:w="0" w:type="dxa"/>
            </w:tcMar>
            <w:vAlign w:val="bottom"/>
          </w:tcPr>
          <w:p>
            <w:pPr>
              <w:pStyle w:val="TableContents"/>
              <w:spacing w:lineRule="auto" w:line="300" w:before="0" w:after="0"/>
              <w:ind w:left="360" w:right="0" w:hanging="0"/>
              <w:jc w:val="left"/>
              <w:rPr>
                <w:rFonts w:ascii="Times New Roman" w:hAnsi="Times New Roman"/>
                <w:sz w:val="20"/>
              </w:rPr>
            </w:pPr>
            <w:bookmarkStart w:id="2835" w:name="TAB11268"/>
            <w:bookmarkEnd w:id="2835"/>
            <w:r>
              <w:rPr>
                <w:rFonts w:ascii="Times New Roman" w:hAnsi="Times New Roman"/>
                <w:sz w:val="20"/>
              </w:rPr>
              <w:t>Granted</w:t>
            </w:r>
          </w:p>
        </w:tc>
        <w:tc>
          <w:tcPr>
            <w:tcW w:w="202" w:type="dxa"/>
            <w:tcBorders/>
            <w:shd w:fill="FFFFFF" w:val="clear"/>
            <w:tcMar>
              <w:bottom w:w="0" w:type="dxa"/>
            </w:tcMar>
            <w:vAlign w:val="center"/>
          </w:tcPr>
          <w:p>
            <w:pPr>
              <w:pStyle w:val="TableContents"/>
              <w:spacing w:before="0" w:after="283"/>
              <w:rPr/>
            </w:pPr>
            <w:r>
              <w:rPr/>
              <w:t> </w:t>
            </w:r>
          </w:p>
        </w:tc>
        <w:tc>
          <w:tcPr>
            <w:tcW w:w="132" w:type="dxa"/>
            <w:tcBorders/>
            <w:shd w:fill="FFFFFF" w:val="clear"/>
            <w:tcMar>
              <w:bottom w:w="0" w:type="dxa"/>
            </w:tcMar>
            <w:vAlign w:val="bottom"/>
          </w:tcPr>
          <w:p>
            <w:pPr>
              <w:pStyle w:val="TableContents"/>
              <w:spacing w:before="0" w:after="283"/>
              <w:jc w:val="left"/>
              <w:rPr/>
            </w:pPr>
            <w:r>
              <w:rPr/>
              <w:t> </w:t>
            </w:r>
          </w:p>
        </w:tc>
        <w:tc>
          <w:tcPr>
            <w:tcW w:w="1453"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30,266</w:t>
            </w:r>
          </w:p>
        </w:tc>
        <w:tc>
          <w:tcPr>
            <w:tcW w:w="214" w:type="dxa"/>
            <w:tcBorders/>
            <w:shd w:fill="FFFFFF" w:val="clear"/>
            <w:tcMar>
              <w:bottom w:w="0" w:type="dxa"/>
            </w:tcMar>
            <w:vAlign w:val="bottom"/>
          </w:tcPr>
          <w:p>
            <w:pPr>
              <w:pStyle w:val="TableContents"/>
              <w:spacing w:before="0" w:after="283"/>
              <w:jc w:val="left"/>
              <w:rPr/>
            </w:pPr>
            <w:r>
              <w:rPr/>
              <w:t> </w:t>
            </w:r>
          </w:p>
        </w:tc>
        <w:tc>
          <w:tcPr>
            <w:tcW w:w="201" w:type="dxa"/>
            <w:tcBorders/>
            <w:shd w:fill="FFFFFF" w:val="clear"/>
            <w:tcMar>
              <w:bottom w:w="0" w:type="dxa"/>
            </w:tcMar>
            <w:vAlign w:val="bottom"/>
          </w:tcPr>
          <w:p>
            <w:pPr>
              <w:pStyle w:val="TableContents"/>
              <w:spacing w:before="0" w:after="283"/>
              <w:jc w:val="left"/>
              <w:rPr/>
            </w:pPr>
            <w:r>
              <w:rPr/>
              <w:t> </w:t>
            </w:r>
          </w:p>
        </w:tc>
        <w:tc>
          <w:tcPr>
            <w:tcW w:w="1295"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250</w:t>
            </w:r>
          </w:p>
        </w:tc>
        <w:tc>
          <w:tcPr>
            <w:tcW w:w="145" w:type="dxa"/>
            <w:tcBorders/>
            <w:shd w:fill="FFFFFF" w:val="clear"/>
            <w:tcMar>
              <w:bottom w:w="0" w:type="dxa"/>
            </w:tcMar>
            <w:vAlign w:val="bottom"/>
          </w:tcPr>
          <w:p>
            <w:pPr>
              <w:pStyle w:val="TableContents"/>
              <w:spacing w:before="0" w:after="283"/>
              <w:jc w:val="left"/>
              <w:rPr/>
            </w:pPr>
            <w:r>
              <w:rPr/>
              <w:t> </w:t>
            </w:r>
          </w:p>
        </w:tc>
      </w:tr>
      <w:tr>
        <w:trPr/>
        <w:tc>
          <w:tcPr>
            <w:tcW w:w="6563" w:type="dxa"/>
            <w:tcBorders>
              <w:bottom w:val="single" w:sz="2" w:space="0" w:color="000000"/>
            </w:tcBorders>
            <w:shd w:fill="CCEEFF" w:val="clear"/>
            <w:vAlign w:val="bottom"/>
          </w:tcPr>
          <w:p>
            <w:pPr>
              <w:pStyle w:val="TableContents"/>
              <w:spacing w:lineRule="auto" w:line="300" w:before="0" w:after="0"/>
              <w:ind w:left="360" w:right="0" w:hanging="0"/>
              <w:jc w:val="left"/>
              <w:rPr>
                <w:rFonts w:ascii="Times New Roman" w:hAnsi="Times New Roman"/>
                <w:sz w:val="20"/>
              </w:rPr>
            </w:pPr>
            <w:bookmarkStart w:id="2836" w:name="TAB11269"/>
            <w:bookmarkEnd w:id="2836"/>
            <w:r>
              <w:rPr>
                <w:rFonts w:ascii="Times New Roman" w:hAnsi="Times New Roman"/>
                <w:sz w:val="20"/>
              </w:rPr>
              <w:t>Vested</w:t>
            </w:r>
          </w:p>
        </w:tc>
        <w:tc>
          <w:tcPr>
            <w:tcW w:w="202" w:type="dxa"/>
            <w:tcBorders>
              <w:bottom w:val="single" w:sz="2" w:space="0" w:color="CCEEFF"/>
            </w:tcBorders>
            <w:shd w:fill="CCEEFF" w:val="clear"/>
            <w:vAlign w:val="center"/>
          </w:tcPr>
          <w:p>
            <w:pPr>
              <w:pStyle w:val="TableContents"/>
              <w:spacing w:before="0" w:after="283"/>
              <w:rPr/>
            </w:pPr>
            <w:r>
              <w:rPr/>
              <w:t> </w:t>
            </w:r>
          </w:p>
        </w:tc>
        <w:tc>
          <w:tcPr>
            <w:tcW w:w="132" w:type="dxa"/>
            <w:tcBorders>
              <w:bottom w:val="single" w:sz="2" w:space="0" w:color="000000"/>
            </w:tcBorders>
            <w:shd w:fill="CCEEFF" w:val="clear"/>
            <w:vAlign w:val="bottom"/>
          </w:tcPr>
          <w:p>
            <w:pPr>
              <w:pStyle w:val="TableContents"/>
              <w:spacing w:before="0" w:after="283"/>
              <w:jc w:val="left"/>
              <w:rPr/>
            </w:pPr>
            <w:r>
              <w:rPr/>
              <w:t> </w:t>
            </w:r>
          </w:p>
        </w:tc>
        <w:tc>
          <w:tcPr>
            <w:tcW w:w="1453"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(16,047</w:t>
            </w:r>
          </w:p>
        </w:tc>
        <w:tc>
          <w:tcPr>
            <w:tcW w:w="214" w:type="dxa"/>
            <w:tcBorders>
              <w:bottom w:val="single" w:sz="2" w:space="0" w:color="CCEEFF"/>
            </w:tcBorders>
            <w:shd w:fill="CCEE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201" w:type="dxa"/>
            <w:tcBorders>
              <w:bottom w:val="single" w:sz="2" w:space="0" w:color="000000"/>
            </w:tcBorders>
            <w:shd w:fill="CCEEFF" w:val="clear"/>
            <w:vAlign w:val="bottom"/>
          </w:tcPr>
          <w:p>
            <w:pPr>
              <w:pStyle w:val="TableContents"/>
              <w:spacing w:before="0" w:after="283"/>
              <w:jc w:val="left"/>
              <w:rPr/>
            </w:pPr>
            <w:r>
              <w:rPr/>
              <w:t> </w:t>
            </w:r>
          </w:p>
        </w:tc>
        <w:tc>
          <w:tcPr>
            <w:tcW w:w="1295"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(125</w:t>
            </w:r>
          </w:p>
        </w:tc>
        <w:tc>
          <w:tcPr>
            <w:tcW w:w="145" w:type="dxa"/>
            <w:tcBorders>
              <w:bottom w:val="single" w:sz="2" w:space="0" w:color="CCEEFF"/>
            </w:tcBorders>
            <w:shd w:fill="CCEE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r>
      <w:tr>
        <w:trPr/>
        <w:tc>
          <w:tcPr>
            <w:tcW w:w="6563" w:type="dxa"/>
            <w:tcBorders>
              <w:bottom w:val="doub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Outstanding - December 31, 2006</w:t>
            </w:r>
          </w:p>
        </w:tc>
        <w:tc>
          <w:tcPr>
            <w:tcW w:w="202" w:type="dxa"/>
            <w:tcBorders>
              <w:bottom w:val="single" w:sz="4" w:space="0" w:color="FFFFFF"/>
            </w:tcBorders>
            <w:shd w:fill="FFFFFF" w:val="clear"/>
            <w:vAlign w:val="center"/>
          </w:tcPr>
          <w:p>
            <w:pPr>
              <w:pStyle w:val="TableContents"/>
              <w:spacing w:before="0" w:after="283"/>
              <w:rPr/>
            </w:pPr>
            <w:r>
              <w:rPr/>
              <w:t> </w:t>
            </w:r>
          </w:p>
        </w:tc>
        <w:tc>
          <w:tcPr>
            <w:tcW w:w="132" w:type="dxa"/>
            <w:tcBorders>
              <w:bottom w:val="double" w:sz="2" w:space="0" w:color="000000"/>
            </w:tcBorders>
            <w:shd w:fill="FFFFFF" w:val="clear"/>
            <w:vAlign w:val="bottom"/>
          </w:tcPr>
          <w:p>
            <w:pPr>
              <w:pStyle w:val="TableContents"/>
              <w:spacing w:before="0" w:after="283"/>
              <w:jc w:val="left"/>
              <w:rPr/>
            </w:pPr>
            <w:r>
              <w:rPr/>
              <w:t> </w:t>
            </w:r>
          </w:p>
        </w:tc>
        <w:tc>
          <w:tcPr>
            <w:tcW w:w="1453" w:type="dxa"/>
            <w:tcBorders>
              <w:bottom w:val="double" w:sz="2" w:space="0" w:color="000000"/>
            </w:tcBorders>
            <w:shd w:fill="FFFFFF" w:val="clear"/>
            <w:vAlign w:val="bottom"/>
          </w:tcPr>
          <w:p>
            <w:pPr>
              <w:pStyle w:val="TableContents"/>
              <w:spacing w:before="0" w:after="0"/>
              <w:ind w:left="0" w:right="0" w:hanging="0"/>
              <w:jc w:val="right"/>
              <w:rPr>
                <w:rFonts w:ascii="Times New Roman" w:hAnsi="Times New Roman"/>
                <w:sz w:val="20"/>
              </w:rPr>
            </w:pPr>
            <w:bookmarkStart w:id="2837" w:name="TAB11270"/>
            <w:bookmarkEnd w:id="2837"/>
            <w:r>
              <w:rPr>
                <w:rFonts w:ascii="Times New Roman" w:hAnsi="Times New Roman"/>
                <w:sz w:val="20"/>
              </w:rPr>
              <w:t>46,313</w:t>
            </w:r>
          </w:p>
        </w:tc>
        <w:tc>
          <w:tcPr>
            <w:tcW w:w="214" w:type="dxa"/>
            <w:tcBorders>
              <w:bottom w:val="single" w:sz="4" w:space="0" w:color="FFFFFF"/>
            </w:tcBorders>
            <w:shd w:fill="FFFFFF" w:val="clear"/>
            <w:vAlign w:val="bottom"/>
          </w:tcPr>
          <w:p>
            <w:pPr>
              <w:pStyle w:val="TableContents"/>
              <w:spacing w:before="0" w:after="283"/>
              <w:jc w:val="left"/>
              <w:rPr/>
            </w:pPr>
            <w:r>
              <w:rPr/>
              <w:t> </w:t>
            </w:r>
          </w:p>
        </w:tc>
        <w:tc>
          <w:tcPr>
            <w:tcW w:w="201" w:type="dxa"/>
            <w:tcBorders>
              <w:bottom w:val="double" w:sz="2" w:space="0" w:color="000000"/>
            </w:tcBorders>
            <w:shd w:fill="FFFFFF" w:val="clear"/>
            <w:vAlign w:val="bottom"/>
          </w:tcPr>
          <w:p>
            <w:pPr>
              <w:pStyle w:val="TableContents"/>
              <w:spacing w:before="0" w:after="0"/>
              <w:ind w:left="0" w:right="0" w:hanging="0"/>
              <w:jc w:val="left"/>
              <w:rPr>
                <w:rFonts w:ascii="Times New Roman" w:hAnsi="Times New Roman"/>
                <w:sz w:val="20"/>
              </w:rPr>
            </w:pPr>
            <w:bookmarkStart w:id="2838" w:name="TAB11271"/>
            <w:bookmarkEnd w:id="2838"/>
            <w:r>
              <w:rPr>
                <w:rFonts w:ascii="Times New Roman" w:hAnsi="Times New Roman"/>
                <w:sz w:val="20"/>
              </w:rPr>
              <w:t>$</w:t>
            </w:r>
          </w:p>
        </w:tc>
        <w:tc>
          <w:tcPr>
            <w:tcW w:w="1295" w:type="dxa"/>
            <w:tcBorders>
              <w:bottom w:val="double" w:sz="2" w:space="0" w:color="000000"/>
            </w:tcBorders>
            <w:shd w:fill="FFFFFF" w:val="clear"/>
            <w:vAlign w:val="bottom"/>
          </w:tcPr>
          <w:p>
            <w:pPr>
              <w:pStyle w:val="TableContents"/>
              <w:spacing w:before="0" w:after="0"/>
              <w:ind w:left="0" w:right="0" w:hanging="0"/>
              <w:jc w:val="right"/>
              <w:rPr>
                <w:rFonts w:ascii="Times New Roman" w:hAnsi="Times New Roman"/>
                <w:sz w:val="20"/>
              </w:rPr>
            </w:pPr>
            <w:bookmarkStart w:id="2839" w:name="TAB11272"/>
            <w:bookmarkEnd w:id="2839"/>
            <w:r>
              <w:rPr>
                <w:rFonts w:ascii="Times New Roman" w:hAnsi="Times New Roman"/>
                <w:sz w:val="20"/>
              </w:rPr>
              <w:t>375</w:t>
            </w:r>
          </w:p>
        </w:tc>
        <w:tc>
          <w:tcPr>
            <w:tcW w:w="145" w:type="dxa"/>
            <w:tcBorders>
              <w:bottom w:val="single" w:sz="4" w:space="0" w:color="FFFFFF"/>
            </w:tcBorders>
            <w:shd w:fill="FFFFFF" w:val="clear"/>
            <w:vAlign w:val="bottom"/>
          </w:tcPr>
          <w:p>
            <w:pPr>
              <w:pStyle w:val="TableContents"/>
              <w:spacing w:before="0" w:after="283"/>
              <w:jc w:val="left"/>
              <w:rPr/>
            </w:pPr>
            <w:r>
              <w:rPr/>
              <w:t> </w:t>
            </w:r>
          </w:p>
        </w:tc>
      </w:tr>
    </w:tbl>
    <w:p>
      <w:pPr>
        <w:pStyle w:val="TextBody"/>
        <w:spacing w:lineRule="auto" w:line="300" w:before="0" w:after="0"/>
        <w:ind w:left="0" w:right="0" w:firstLine="720"/>
        <w:jc w:val="both"/>
        <w:rPr/>
      </w:pPr>
      <w:r>
        <w:rPr/>
      </w:r>
    </w:p>
    <w:p>
      <w:pPr>
        <w:pStyle w:val="TextBody"/>
        <w:spacing w:lineRule="auto" w:line="300" w:before="0" w:after="0"/>
        <w:ind w:left="0" w:right="0" w:firstLine="720"/>
        <w:jc w:val="left"/>
        <w:rPr>
          <w:rFonts w:ascii="Times New Roman" w:hAnsi="Times New Roman"/>
          <w:sz w:val="20"/>
        </w:rPr>
      </w:pPr>
      <w:r>
        <w:rPr>
          <w:rFonts w:ascii="Times New Roman" w:hAnsi="Times New Roman"/>
          <w:sz w:val="20"/>
        </w:rPr>
        <w:t>In 2006, we formed Landplan Property Partners, Ltd, to identify, acquire and develop or redevelop properties on an opportunistic basis. In connection with the formation of Landplan, we entered into an agreement with Mr. Doug Osborne pursuant to which (i) Mr. Osborne will serve as the chief executive officer of Landplan and (ii) Mr. Osborne’s affiliate, Landplan Property Group, Ltd (“LPG”), will perform certain property management services for Landplan. The agreement provides for Mr. Osborne to hold an equity interest in the entities formed to hold these properties; such equity interest to be (i) subordinate to our right to an 11% compounded return on investment and (ii) subject to adjustment depending upon various factors including the term of the investment and the amount invested. Generally speaking, this equity interest will range from 27.5% to 15%. At December 31, 2006, Landplan had acquired one property in Indooroopilly, Brisbane, Australia. With the purchase of the Indooroopilly property, based on SFAS 123(R), we calculated the fair value of Mr. Osborne’s equity interest in the Indooroopilly Trust at the grant date was $77,000 (AUS$98,000) and we have expensed $13,000 (AUS$17,000)of this value during 2006.</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u w:val="single"/>
        </w:rPr>
      </w:pPr>
      <w:r>
        <w:rPr>
          <w:rFonts w:ascii="Times New Roman" w:hAnsi="Times New Roman"/>
          <w:sz w:val="20"/>
          <w:u w:val="single"/>
        </w:rPr>
        <w:t>Employee Stock Option Plan</w:t>
      </w:r>
    </w:p>
    <w:p>
      <w:pPr>
        <w:pStyle w:val="TextBody"/>
        <w:spacing w:lineRule="auto" w:line="300" w:before="0" w:after="0"/>
        <w:ind w:left="0" w:right="0" w:hanging="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We have a long-term incentive stock option plan that provides for the grant to eligible employees and non-employee directors of incentive stock options and non-qualified stock options to purchase shares of the Company’s Class A Nonvoting Common Stock. During the year ending December 31, 2006, we issued for cash to an employee of the corporation under this stock based compensation plan 12,000 shares and 15,000 shares of Class A Nonvoting Common Stock at exercise prices of $3.80 and $2.76 per share, respectively. During the year endings December 31, 2005 and 2004, we did not issue any shares under this stock based compensation plan.</w:t>
      </w:r>
    </w:p>
    <w:p>
      <w:pPr>
        <w:pStyle w:val="TextBody"/>
        <w:spacing w:lineRule="auto" w:line="300" w:before="0" w:after="0"/>
        <w:ind w:left="0" w:right="144" w:firstLine="720"/>
        <w:jc w:val="both"/>
        <w:rPr/>
      </w:pPr>
      <w:r>
        <w:rPr/>
      </w:r>
    </w:p>
    <w:p>
      <w:pPr>
        <w:pStyle w:val="TextBody"/>
        <w:spacing w:lineRule="auto" w:line="300" w:before="0" w:after="0"/>
        <w:ind w:left="0" w:right="0" w:firstLine="720"/>
        <w:jc w:val="both"/>
        <w:rPr/>
      </w:pPr>
      <w:r>
        <w:rPr>
          <w:rFonts w:ascii="Times New Roman" w:hAnsi="Times New Roman"/>
          <w:sz w:val="20"/>
        </w:rPr>
        <w:t xml:space="preserve">Prior to January 1, 2006, we accounted for stock-based employee compensation under the intrinsic value method as outlined in the provisions of Accounting Principles Board (APB) Opinion No. 25, </w:t>
      </w:r>
      <w:r>
        <w:rPr>
          <w:rStyle w:val="Emphasis"/>
          <w:rFonts w:ascii="Times New Roman" w:hAnsi="Times New Roman"/>
          <w:sz w:val="20"/>
        </w:rPr>
        <w:t>Accounting for Stock Issued to Employees</w:t>
      </w:r>
      <w:r>
        <w:rPr>
          <w:rFonts w:ascii="Times New Roman" w:hAnsi="Times New Roman"/>
          <w:sz w:val="20"/>
        </w:rPr>
        <w:t xml:space="preserve">, and related interpretations while disclosing pro-forma net income and pro-forma net income per share as if the fair value method had been applied in accordance with SFAS No. 123, </w:t>
      </w:r>
      <w:r>
        <w:rPr>
          <w:rStyle w:val="Emphasis"/>
          <w:rFonts w:ascii="Times New Roman" w:hAnsi="Times New Roman"/>
          <w:sz w:val="20"/>
        </w:rPr>
        <w:t>Accounting for Stock-Based Compensation</w:t>
      </w:r>
      <w:r>
        <w:rPr>
          <w:rFonts w:ascii="Times New Roman" w:hAnsi="Times New Roman"/>
          <w:sz w:val="20"/>
        </w:rPr>
        <w:t>. Under the intrinsic value method, we did not recognize any compensation expense when the exercise price of the stock options equaled or exceeded the market price of the underlying stock on the date of grant. We issued all stock option grants with exercise prices equal to, or greater than, the market value of the common stock on the date of grant. No stock compensation expense was recognized in the consolidated statements of operations through December 31, 2005.</w:t>
      </w:r>
    </w:p>
    <w:p>
      <w:pPr>
        <w:pStyle w:val="TextBody"/>
        <w:spacing w:lineRule="auto" w:line="300" w:before="0" w:after="0"/>
        <w:ind w:left="0" w:right="0" w:firstLine="720"/>
        <w:jc w:val="both"/>
        <w:rPr/>
      </w:pPr>
      <w:r>
        <w:rPr/>
      </w:r>
    </w:p>
    <w:p>
      <w:pPr>
        <w:pStyle w:val="TextBody"/>
        <w:spacing w:lineRule="auto" w:line="300" w:before="0" w:after="0"/>
        <w:ind w:left="0" w:right="0" w:firstLine="720"/>
        <w:jc w:val="both"/>
        <w:rPr/>
      </w:pPr>
      <w:r>
        <w:rPr>
          <w:rFonts w:ascii="Times New Roman" w:hAnsi="Times New Roman"/>
          <w:sz w:val="20"/>
        </w:rPr>
        <w:t xml:space="preserve">Effective January 1, 2006, we adopted SFAS No. 123(R), </w:t>
      </w:r>
      <w:r>
        <w:rPr>
          <w:rStyle w:val="Emphasis"/>
          <w:rFonts w:ascii="Times New Roman" w:hAnsi="Times New Roman"/>
          <w:sz w:val="20"/>
        </w:rPr>
        <w:t>Share-Based Payment</w:t>
      </w:r>
      <w:r>
        <w:rPr/>
        <w:t xml:space="preserve"> </w:t>
      </w:r>
      <w:r>
        <w:rPr>
          <w:rFonts w:ascii="Times New Roman" w:hAnsi="Times New Roman"/>
          <w:sz w:val="20"/>
        </w:rPr>
        <w:t xml:space="preserve">(SFAS 123(R)) which replaces SFAS No. 123 and supersedes APB Opinion No. 25. SFAS 123(R) requires that all stock-based compensation be recognized as an expense in the financial statements and that such costs be measured at the fair value of the award. This statement was adopted using the modified prospective method, which requires the Company to recognize compensation expense on a prospective basis for all newly granted options and any modifications or cancellations of previously granted awards. Therefore, prior period consolidated financial statements have not been restated. Under this method, in addition to reflecting compensation expense for new share-based payment awards, modifications to awards, and cancellations of awards, expense is also recognized to reflect the remaining vesting period of awards that had been included in pro-forma disclosures in prior periods. We estimate the valuation of stock based compensation using a Black-Scholes option pricing formula. </w:t>
      </w:r>
    </w:p>
    <w:p>
      <w:pPr>
        <w:pStyle w:val="TextBody"/>
        <w:spacing w:lineRule="auto" w:line="300" w:before="0" w:after="0"/>
        <w:ind w:left="0" w:right="0" w:firstLine="72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When the Company’s tax deduction from an option exercise exceeds the compensation cost resulting from the option, a tax benefit is created. SFAS 123(R) requires that excess tax benefits related to stock option exercises be reflected as financing cash inflows instead of operating cash inflows. Had we previously adopted SFAS 123(R), there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840" w:name="PGBRK83"/>
      <w:bookmarkStart w:id="2841" w:name="PGBRK83"/>
      <w:bookmarkEnd w:id="284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842" w:name="FTR83"/>
      <w:bookmarkStart w:id="2843" w:name="FTR83"/>
      <w:bookmarkEnd w:id="284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844" w:name="GLFTR83"/>
      <w:bookmarkStart w:id="2845" w:name="GLFTR83"/>
      <w:bookmarkEnd w:id="284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2846" w:name="PN83"/>
      <w:bookmarkEnd w:id="2846"/>
      <w:r>
        <w:rPr>
          <w:rFonts w:ascii="Times New Roman" w:hAnsi="Times New Roman"/>
          <w:sz w:val="16"/>
        </w:rPr>
        <w:t>-83-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847" w:name="HDR83"/>
      <w:bookmarkStart w:id="2848" w:name="HDR83"/>
      <w:bookmarkEnd w:id="284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2849" w:name="GLHDR83"/>
        <w:bookmarkEnd w:id="2849"/>
        <w:r>
          <w:rPr>
            <w:rStyle w:val="Emphasis"/>
            <w:rFonts w:ascii="Times New Roman" w:hAnsi="Times New Roman"/>
            <w:color w:val="000000"/>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would have been no impact on our presentation of the consolidated statement of cash flows because there were no recognized tax benefits relating to the years ended December 31, 2005 and 2004. For the year ended December 31, 2006, there also was no impact to the consolidated statement of cash flows because there were no recognized tax benefits during this period.</w:t>
      </w:r>
    </w:p>
    <w:p>
      <w:pPr>
        <w:pStyle w:val="TextBody"/>
        <w:spacing w:lineRule="auto" w:line="300" w:before="0" w:after="0"/>
        <w:ind w:left="0" w:right="144" w:firstLine="720"/>
        <w:jc w:val="both"/>
        <w:rPr/>
      </w:pPr>
      <w:r>
        <w:rPr/>
        <w:t> </w:t>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SFAS No. 123(R) requires Companies to estimate forfeitures. Based on our historical experience and the relative market price to strike price of the options, we do not currently estimate any forfeitures of vested or unvested options at the year ended December 31, 2006.</w:t>
      </w:r>
    </w:p>
    <w:p>
      <w:pPr>
        <w:pStyle w:val="TextBody"/>
        <w:spacing w:lineRule="auto" w:line="300" w:before="0" w:after="0"/>
        <w:ind w:left="0" w:right="0" w:firstLine="720"/>
        <w:jc w:val="both"/>
        <w:rPr/>
      </w:pPr>
      <w:r>
        <w:rPr/>
      </w:r>
    </w:p>
    <w:p>
      <w:pPr>
        <w:pStyle w:val="TextBody"/>
        <w:spacing w:lineRule="auto" w:line="300" w:before="0" w:after="0"/>
        <w:ind w:left="0" w:right="0" w:firstLine="720"/>
        <w:jc w:val="both"/>
        <w:rPr/>
      </w:pPr>
      <w:r>
        <w:rPr>
          <w:rFonts w:ascii="Times New Roman" w:hAnsi="Times New Roman"/>
          <w:sz w:val="20"/>
        </w:rPr>
        <w:t xml:space="preserve">In November 2005, the FASB issued FASB Staff Position No. SFAS 123(R)-3, </w:t>
      </w:r>
      <w:r>
        <w:rPr>
          <w:rStyle w:val="Emphasis"/>
          <w:rFonts w:ascii="Times New Roman" w:hAnsi="Times New Roman"/>
          <w:sz w:val="20"/>
        </w:rPr>
        <w:t>Transition Election Related to Accounting for Tax Effects of Share-Based Payment Awards</w:t>
      </w:r>
      <w:r>
        <w:rPr>
          <w:rFonts w:ascii="Times New Roman" w:hAnsi="Times New Roman"/>
          <w:sz w:val="20"/>
        </w:rPr>
        <w:t>. The Company has elected to adopt the alternative transition method provided in this FASB Staff Position for calculating the tax effects of share-based compensation pursuant to SFAS No. 123(R). The alternative transition method includes a simplified method to establish the beginning balance of the additional paid-in capital pool or APIC pool related to the tax effects of employee share-based compensation, which is available to absorb tax deficiencies recognized subsequent to the adoption of SFAS No. 123(R).</w:t>
      </w:r>
    </w:p>
    <w:p>
      <w:pPr>
        <w:pStyle w:val="TextBody"/>
        <w:spacing w:lineRule="auto" w:line="300" w:before="0" w:after="0"/>
        <w:ind w:left="0" w:right="0" w:firstLine="72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In accordance with SFAS No. 123(R), we estimate the fair value of our options using the Black-Scholes option-pricing model, which takes into account assumptions such as the dividend yield, the risk-free interest rate, the expected stock price volatility and the expected life of the options. The dividend yield is excluded from the calculation, as it is our present intention to retain all earnings. We expense the estimated grant date fair values of options issued on a straight-line basis over the vesting period.</w:t>
      </w:r>
    </w:p>
    <w:p>
      <w:pPr>
        <w:pStyle w:val="TextBody"/>
        <w:spacing w:lineRule="auto" w:line="300" w:before="0" w:after="0"/>
        <w:ind w:left="0" w:right="0" w:firstLine="72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There were 7,500 options granted during the year ended December 31, 2005. In accordance with APB 25, we used the intrinsic value method and did not recognize any compensation expense when the exercise price of the stock options equaled or exceeded the market price of the underlying stock on the date of grant. For the 20,000 options granted during 2006, we estimated the fair value of these options at the date of grant using a Black-Scholes option-pricing model with the following weighted average assumptions:</w:t>
      </w:r>
    </w:p>
    <w:p>
      <w:pPr>
        <w:pStyle w:val="TextBody"/>
        <w:spacing w:lineRule="auto" w:line="300" w:before="0" w:after="0"/>
        <w:ind w:left="0" w:right="0" w:hanging="0"/>
        <w:jc w:val="both"/>
        <w:rPr/>
      </w:pPr>
      <w:r>
        <w:rPr/>
      </w:r>
    </w:p>
    <w:tbl>
      <w:tblPr>
        <w:tblW w:w="5000" w:type="pct"/>
        <w:jc w:val="left"/>
        <w:tblInd w:w="0" w:type="dxa"/>
        <w:tblCellMar>
          <w:top w:w="0" w:type="dxa"/>
          <w:left w:w="0" w:type="dxa"/>
          <w:bottom w:w="28" w:type="dxa"/>
          <w:right w:w="0" w:type="dxa"/>
        </w:tblCellMar>
      </w:tblPr>
      <w:tblGrid>
        <w:gridCol w:w="7402"/>
        <w:gridCol w:w="2803"/>
      </w:tblGrid>
      <w:tr>
        <w:trPr/>
        <w:tc>
          <w:tcPr>
            <w:tcW w:w="7402" w:type="dxa"/>
            <w:tcBorders>
              <w:bottom w:val="double" w:sz="2" w:space="0" w:color="000000"/>
            </w:tcBorders>
            <w:shd w:fill="auto" w:val="clear"/>
          </w:tcPr>
          <w:p>
            <w:pPr>
              <w:pStyle w:val="TableContents"/>
              <w:spacing w:before="0" w:after="283"/>
              <w:jc w:val="left"/>
              <w:rPr/>
            </w:pPr>
            <w:r>
              <w:rPr/>
              <w:t> </w:t>
            </w:r>
          </w:p>
        </w:tc>
        <w:tc>
          <w:tcPr>
            <w:tcW w:w="2803" w:type="dxa"/>
            <w:tcBorders>
              <w:bottom w:val="double" w:sz="2" w:space="0" w:color="000000"/>
            </w:tcBorders>
            <w:shd w:fill="auto" w:val="clear"/>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2006</w:t>
            </w:r>
          </w:p>
        </w:tc>
      </w:tr>
      <w:tr>
        <w:trPr/>
        <w:tc>
          <w:tcPr>
            <w:tcW w:w="7402" w:type="dxa"/>
            <w:tcBorders/>
            <w:shd w:fill="CCEEFF" w:val="clear"/>
            <w:tcMar>
              <w:bottom w:w="0" w:type="dxa"/>
            </w:tcM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Stock option exercise price</w:t>
            </w:r>
          </w:p>
        </w:tc>
        <w:tc>
          <w:tcPr>
            <w:tcW w:w="2803" w:type="dxa"/>
            <w:tcBorders/>
            <w:shd w:fill="CCEEFF" w:val="clear"/>
            <w:tcMar>
              <w:bottom w:w="0" w:type="dxa"/>
            </w:tcMar>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$ 8.10</w:t>
            </w:r>
          </w:p>
        </w:tc>
      </w:tr>
      <w:tr>
        <w:trPr/>
        <w:tc>
          <w:tcPr>
            <w:tcW w:w="7402" w:type="dxa"/>
            <w:tcBorders/>
            <w:shd w:fill="FFFFFF" w:val="clear"/>
            <w:tcMar>
              <w:bottom w:w="0" w:type="dxa"/>
            </w:tcM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Risk-free interest rate</w:t>
            </w:r>
          </w:p>
        </w:tc>
        <w:tc>
          <w:tcPr>
            <w:tcW w:w="2803" w:type="dxa"/>
            <w:tcBorders/>
            <w:shd w:fill="FFFFFF" w:val="clear"/>
            <w:tcMar>
              <w:bottom w:w="0" w:type="dxa"/>
            </w:tcMar>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4.22%</w:t>
            </w:r>
          </w:p>
        </w:tc>
      </w:tr>
      <w:tr>
        <w:trPr/>
        <w:tc>
          <w:tcPr>
            <w:tcW w:w="7402" w:type="dxa"/>
            <w:tcBorders/>
            <w:shd w:fill="CCEEFF" w:val="clear"/>
            <w:tcMar>
              <w:bottom w:w="0" w:type="dxa"/>
            </w:tcM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Expected dividend yield</w:t>
            </w:r>
          </w:p>
        </w:tc>
        <w:tc>
          <w:tcPr>
            <w:tcW w:w="2803" w:type="dxa"/>
            <w:tcBorders/>
            <w:shd w:fill="CCEEFF" w:val="clear"/>
            <w:tcMar>
              <w:bottom w:w="0" w:type="dxa"/>
            </w:tcMar>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w:t>
            </w:r>
          </w:p>
        </w:tc>
      </w:tr>
      <w:tr>
        <w:trPr/>
        <w:tc>
          <w:tcPr>
            <w:tcW w:w="7402" w:type="dxa"/>
            <w:tcBorders/>
            <w:shd w:fill="FFFFFF" w:val="clear"/>
            <w:tcMar>
              <w:bottom w:w="0" w:type="dxa"/>
            </w:tcM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Expected option life</w:t>
            </w:r>
          </w:p>
        </w:tc>
        <w:tc>
          <w:tcPr>
            <w:tcW w:w="2803" w:type="dxa"/>
            <w:tcBorders/>
            <w:shd w:fill="FFFFFF" w:val="clear"/>
            <w:tcMar>
              <w:bottom w:w="0" w:type="dxa"/>
            </w:tcMar>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5.97 yrs</w:t>
            </w:r>
          </w:p>
        </w:tc>
      </w:tr>
      <w:tr>
        <w:trPr/>
        <w:tc>
          <w:tcPr>
            <w:tcW w:w="7402" w:type="dxa"/>
            <w:tcBorders/>
            <w:shd w:fill="CCEEFF" w:val="clear"/>
            <w:tcMar>
              <w:bottom w:w="0" w:type="dxa"/>
            </w:tcM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Expected volatility</w:t>
            </w:r>
          </w:p>
        </w:tc>
        <w:tc>
          <w:tcPr>
            <w:tcW w:w="2803" w:type="dxa"/>
            <w:tcBorders/>
            <w:shd w:fill="CCEEFF" w:val="clear"/>
            <w:tcMar>
              <w:bottom w:w="0" w:type="dxa"/>
            </w:tcMar>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34.70%</w:t>
            </w:r>
          </w:p>
        </w:tc>
      </w:tr>
      <w:tr>
        <w:trPr/>
        <w:tc>
          <w:tcPr>
            <w:tcW w:w="7402" w:type="dxa"/>
            <w:tcBorders/>
            <w:shd w:fill="FFFFFF" w:val="clear"/>
            <w:tcMar>
              <w:bottom w:w="0" w:type="dxa"/>
            </w:tcM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Weighted average fair value</w:t>
            </w:r>
          </w:p>
        </w:tc>
        <w:tc>
          <w:tcPr>
            <w:tcW w:w="2803" w:type="dxa"/>
            <w:tcBorders/>
            <w:shd w:fill="FFFFFF" w:val="clear"/>
            <w:tcMar>
              <w:bottom w:w="0" w:type="dxa"/>
            </w:tcMar>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$ 4.33</w:t>
            </w:r>
          </w:p>
        </w:tc>
      </w:tr>
    </w:tbl>
    <w:p>
      <w:pPr>
        <w:pStyle w:val="TextBody"/>
        <w:spacing w:lineRule="auto" w:line="300" w:before="0" w:after="0"/>
        <w:ind w:left="0" w:right="0" w:hanging="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Using the above assumptions and in accordance with the SFAS No. 123(R) modified prospective method, we recorded $98,000 in compensation expense for the total estimated grant date fair value of stock options that vested during the year ended December 31, 2006. The effect on earnings per share of the compensation charge was immaterial. At December 31, 2006, the total unrecognized estimated compensation cost related to non-vested stock options granted was $90,000, which is expected to be recognized over a weighted average vesting period of 2.09 years. The total realized value of stock options exercised during the years ended December 31, 2006 and 2005 was $136,000 and $102,000, respectively. The grant date fair value of options that vested during the years ended December 31, 2006 and 2005 was $199,000 for each of those years. We recorded cash received from stock options exercised of $88,000 and $161,000 during the years ended December 31, 2006 and 2005, respectively. No options were exercised; therefore, no cash was received from the exercising of stock options during the year ended December 31, 2004. The intrinsic, unrealized value of all options outstanding, vested and expected to vest, at December 31, 2006 was $1.6 million of which 99% are currently exercisable.</w:t>
      </w:r>
    </w:p>
    <w:p>
      <w:pPr>
        <w:pStyle w:val="TextBody"/>
        <w:spacing w:lineRule="auto" w:line="300" w:before="0" w:after="0"/>
        <w:ind w:left="0" w:right="0" w:firstLine="72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 xml:space="preserve">All stock options granted have a contractual life of 10 years at the grant date. The aggregate total number of shares of Class A Nonvoting Common Stock and Class B Voting Common Stock authorized for issuance under our 1999 Stock Option Plan is 1,350,000. At the time that options are exercised, at the discretion of management, we will either issue treasury shares or make a new issuance of shares to the employee or board member. Dependent on the grant letter to the employee or board member, the required service period for option vesting is between zero and four years. </w:t>
      </w:r>
    </w:p>
    <w:p>
      <w:pPr>
        <w:pStyle w:val="TextBody"/>
        <w:spacing w:lineRule="auto" w:line="300" w:before="0" w:after="0"/>
        <w:ind w:left="0" w:right="144" w:firstLine="72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300" w:before="0" w:after="0"/>
        <w:ind w:left="0" w:right="0" w:hanging="0"/>
        <w:jc w:val="both"/>
        <w:rPr/>
      </w:pPr>
      <w:r>
        <w:rPr/>
      </w:r>
      <w:bookmarkStart w:id="2850" w:name="PGBRK84"/>
      <w:bookmarkStart w:id="2851" w:name="PGBRK84"/>
      <w:bookmarkEnd w:id="285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0"/>
        <w:jc w:val="both"/>
        <w:rPr/>
      </w:pPr>
      <w:r>
        <w:rPr/>
      </w:r>
      <w:bookmarkStart w:id="2852" w:name="FTR84"/>
      <w:bookmarkStart w:id="2853" w:name="FTR84"/>
      <w:bookmarkEnd w:id="285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0"/>
        <w:jc w:val="both"/>
        <w:rPr/>
      </w:pPr>
      <w:r>
        <w:rPr/>
      </w:r>
      <w:bookmarkStart w:id="2854" w:name="GLFTR84"/>
      <w:bookmarkStart w:id="2855" w:name="GLFTR84"/>
      <w:bookmarkEnd w:id="285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0"/>
        <w:jc w:val="center"/>
        <w:rPr>
          <w:rFonts w:ascii="Times New Roman" w:hAnsi="Times New Roman"/>
          <w:sz w:val="16"/>
        </w:rPr>
      </w:pPr>
      <w:bookmarkStart w:id="2856" w:name="PN84"/>
      <w:bookmarkEnd w:id="2856"/>
      <w:r>
        <w:rPr>
          <w:rFonts w:ascii="Times New Roman" w:hAnsi="Times New Roman"/>
          <w:sz w:val="16"/>
        </w:rPr>
        <w:t>-84-</w:t>
      </w:r>
    </w:p>
    <w:p>
      <w:pPr>
        <w:pStyle w:val="HorizontalLine"/>
        <w:pBdr>
          <w:bottom w:val="single" w:sz="12" w:space="0" w:color="808080"/>
        </w:pBdr>
        <w:spacing w:lineRule="auto" w:line="300"/>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0"/>
        <w:jc w:val="both"/>
        <w:rPr/>
      </w:pPr>
      <w:r>
        <w:rPr/>
      </w:r>
      <w:bookmarkStart w:id="2857" w:name="HDR84"/>
      <w:bookmarkStart w:id="2858" w:name="HDR84"/>
      <w:bookmarkEnd w:id="285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0"/>
        <w:jc w:val="left"/>
        <w:rPr/>
      </w:pPr>
      <w:hyperlink w:anchor="tableofcontents">
        <w:bookmarkStart w:id="2859" w:name="GLHDR84"/>
        <w:bookmarkEnd w:id="2859"/>
        <w:r>
          <w:rPr>
            <w:rStyle w:val="Emphasis"/>
            <w:rFonts w:ascii="Times New Roman" w:hAnsi="Times New Roman"/>
            <w:color w:val="000000"/>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0"/>
        <w:jc w:val="both"/>
        <w:rPr/>
      </w:pPr>
      <w:r>
        <w:rPr/>
      </w:r>
    </w:p>
    <w:p>
      <w:pPr>
        <w:pStyle w:val="TextBody"/>
        <w:spacing w:lineRule="auto" w:line="300" w:before="0" w:after="0"/>
        <w:ind w:left="0" w:right="144" w:firstLine="720"/>
        <w:jc w:val="both"/>
        <w:rPr>
          <w:rFonts w:ascii="Times New Roman" w:hAnsi="Times New Roman"/>
          <w:sz w:val="20"/>
        </w:rPr>
      </w:pPr>
      <w:r>
        <w:rPr>
          <w:rFonts w:ascii="Times New Roman" w:hAnsi="Times New Roman"/>
          <w:sz w:val="20"/>
        </w:rPr>
        <w:t xml:space="preserve">We had the following stock options outstanding and exercisable as of December 31, 2006 and December 31, 2005: </w:t>
      </w:r>
    </w:p>
    <w:p>
      <w:pPr>
        <w:pStyle w:val="TextBody"/>
        <w:spacing w:lineRule="auto" w:line="300" w:before="0" w:after="0"/>
        <w:ind w:left="0" w:right="144" w:firstLine="720"/>
        <w:jc w:val="both"/>
        <w:rPr/>
      </w:pPr>
      <w:r>
        <w:rPr/>
      </w:r>
    </w:p>
    <w:p>
      <w:pPr>
        <w:pStyle w:val="Normal"/>
        <w:spacing w:lineRule="auto" w:line="300" w:before="0" w:after="0"/>
        <w:jc w:val="both"/>
        <w:rPr>
          <w:sz w:val="4"/>
          <w:szCs w:val="4"/>
        </w:rPr>
      </w:pPr>
      <w:r>
        <w:rPr>
          <w:sz w:val="4"/>
          <w:szCs w:val="4"/>
        </w:rPr>
      </w:r>
      <w:bookmarkStart w:id="2860" w:name="ftable19"/>
      <w:bookmarkStart w:id="2861" w:name="ftable19"/>
      <w:bookmarkEnd w:id="2861"/>
    </w:p>
    <w:tbl>
      <w:tblPr>
        <w:tblW w:w="5000" w:type="pct"/>
        <w:jc w:val="left"/>
        <w:tblInd w:w="0" w:type="dxa"/>
        <w:tblCellMar>
          <w:top w:w="0" w:type="dxa"/>
          <w:left w:w="0" w:type="dxa"/>
          <w:bottom w:w="28" w:type="dxa"/>
          <w:right w:w="0" w:type="dxa"/>
        </w:tblCellMar>
      </w:tblPr>
      <w:tblGrid>
        <w:gridCol w:w="2897"/>
        <w:gridCol w:w="100"/>
        <w:gridCol w:w="100"/>
        <w:gridCol w:w="846"/>
        <w:gridCol w:w="113"/>
        <w:gridCol w:w="100"/>
        <w:gridCol w:w="752"/>
        <w:gridCol w:w="100"/>
        <w:gridCol w:w="141"/>
        <w:gridCol w:w="553"/>
        <w:gridCol w:w="100"/>
        <w:gridCol w:w="141"/>
        <w:gridCol w:w="553"/>
        <w:gridCol w:w="100"/>
        <w:gridCol w:w="100"/>
        <w:gridCol w:w="846"/>
        <w:gridCol w:w="100"/>
        <w:gridCol w:w="100"/>
        <w:gridCol w:w="751"/>
        <w:gridCol w:w="100"/>
        <w:gridCol w:w="141"/>
        <w:gridCol w:w="553"/>
        <w:gridCol w:w="100"/>
        <w:gridCol w:w="141"/>
        <w:gridCol w:w="553"/>
        <w:gridCol w:w="124"/>
      </w:tblGrid>
      <w:tr>
        <w:trPr/>
        <w:tc>
          <w:tcPr>
            <w:tcW w:w="2897" w:type="dxa"/>
            <w:tcBorders>
              <w:bottom w:val="single" w:sz="4" w:space="0" w:color="FFFFFF"/>
            </w:tcBorders>
            <w:shd w:fill="auto" w:val="clear"/>
            <w:vAlign w:val="bottom"/>
          </w:tcPr>
          <w:p>
            <w:pPr>
              <w:pStyle w:val="TableContents"/>
              <w:spacing w:before="0" w:after="283"/>
              <w:jc w:val="left"/>
              <w:rPr/>
            </w:pPr>
            <w:r>
              <w:rPr/>
              <w:t> </w:t>
            </w:r>
          </w:p>
        </w:tc>
        <w:tc>
          <w:tcPr>
            <w:tcW w:w="100" w:type="dxa"/>
            <w:tcBorders>
              <w:bottom w:val="single" w:sz="2" w:space="0" w:color="FFFFFF"/>
            </w:tcBorders>
            <w:shd w:fill="auto" w:val="clear"/>
            <w:vAlign w:val="center"/>
          </w:tcPr>
          <w:p>
            <w:pPr>
              <w:pStyle w:val="TableContents"/>
              <w:spacing w:before="0" w:after="283"/>
              <w:rPr/>
            </w:pPr>
            <w:r>
              <w:rPr/>
              <w:t> </w:t>
            </w:r>
          </w:p>
        </w:tc>
        <w:tc>
          <w:tcPr>
            <w:tcW w:w="1911" w:type="dxa"/>
            <w:gridSpan w:val="5"/>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Common Stock Options Outstanding</w:t>
            </w:r>
          </w:p>
        </w:tc>
        <w:tc>
          <w:tcPr>
            <w:tcW w:w="100" w:type="dxa"/>
            <w:tcBorders>
              <w:bottom w:val="single" w:sz="2" w:space="0" w:color="FFFFFF"/>
            </w:tcBorders>
            <w:shd w:fill="auto" w:val="clear"/>
            <w:vAlign w:val="bottom"/>
          </w:tcPr>
          <w:p>
            <w:pPr>
              <w:pStyle w:val="TableContents"/>
              <w:spacing w:before="0" w:after="283"/>
              <w:jc w:val="left"/>
              <w:rPr/>
            </w:pPr>
            <w:r>
              <w:rPr/>
              <w:t> </w:t>
            </w:r>
          </w:p>
        </w:tc>
        <w:tc>
          <w:tcPr>
            <w:tcW w:w="1488" w:type="dxa"/>
            <w:gridSpan w:val="5"/>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Weighted Average Exercise</w:t>
            </w:r>
          </w:p>
          <w:p>
            <w:pPr>
              <w:pStyle w:val="TableContents"/>
              <w:spacing w:lineRule="auto" w:line="300" w:before="0" w:after="0"/>
              <w:ind w:left="0" w:right="0" w:hanging="0"/>
              <w:jc w:val="center"/>
              <w:rPr/>
            </w:pPr>
            <w:r>
              <w:rPr>
                <w:rStyle w:val="StrongEmphasis"/>
                <w:rFonts w:ascii="Times New Roman" w:hAnsi="Times New Roman"/>
                <w:sz w:val="20"/>
              </w:rPr>
              <w:t>Price of Options Outstanding</w:t>
            </w:r>
          </w:p>
        </w:tc>
        <w:tc>
          <w:tcPr>
            <w:tcW w:w="100" w:type="dxa"/>
            <w:tcBorders>
              <w:bottom w:val="single" w:sz="2" w:space="0" w:color="FFFFFF"/>
            </w:tcBorders>
            <w:shd w:fill="auto" w:val="clear"/>
            <w:vAlign w:val="bottom"/>
          </w:tcPr>
          <w:p>
            <w:pPr>
              <w:pStyle w:val="TableContents"/>
              <w:spacing w:before="0" w:after="283"/>
              <w:jc w:val="left"/>
              <w:rPr/>
            </w:pPr>
            <w:r>
              <w:rPr/>
              <w:t> </w:t>
            </w:r>
          </w:p>
        </w:tc>
        <w:tc>
          <w:tcPr>
            <w:tcW w:w="1897" w:type="dxa"/>
            <w:gridSpan w:val="5"/>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Common Stock Exercisable</w:t>
            </w:r>
          </w:p>
          <w:p>
            <w:pPr>
              <w:pStyle w:val="TableContents"/>
              <w:spacing w:lineRule="auto" w:line="300" w:before="0" w:after="0"/>
              <w:ind w:left="0" w:right="0" w:hanging="0"/>
              <w:jc w:val="center"/>
              <w:rPr/>
            </w:pPr>
            <w:r>
              <w:rPr>
                <w:rStyle w:val="StrongEmphasis"/>
                <w:rFonts w:ascii="Times New Roman" w:hAnsi="Times New Roman"/>
                <w:sz w:val="20"/>
              </w:rPr>
              <w:t>Options</w:t>
            </w:r>
          </w:p>
        </w:tc>
        <w:tc>
          <w:tcPr>
            <w:tcW w:w="100" w:type="dxa"/>
            <w:tcBorders>
              <w:bottom w:val="single" w:sz="2" w:space="0" w:color="FFFFFF"/>
            </w:tcBorders>
            <w:shd w:fill="auto" w:val="clear"/>
            <w:vAlign w:val="bottom"/>
          </w:tcPr>
          <w:p>
            <w:pPr>
              <w:pStyle w:val="TableContents"/>
              <w:spacing w:before="0" w:after="283"/>
              <w:jc w:val="left"/>
              <w:rPr/>
            </w:pPr>
            <w:r>
              <w:rPr/>
              <w:t> </w:t>
            </w:r>
          </w:p>
        </w:tc>
        <w:tc>
          <w:tcPr>
            <w:tcW w:w="1488" w:type="dxa"/>
            <w:gridSpan w:val="5"/>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Weighted Average</w:t>
            </w:r>
          </w:p>
          <w:p>
            <w:pPr>
              <w:pStyle w:val="TableContents"/>
              <w:spacing w:lineRule="auto" w:line="300" w:before="0" w:after="0"/>
              <w:ind w:left="0" w:right="0" w:hanging="0"/>
              <w:jc w:val="center"/>
              <w:rPr/>
            </w:pPr>
            <w:r>
              <w:rPr>
                <w:rStyle w:val="StrongEmphasis"/>
                <w:rFonts w:ascii="Times New Roman" w:hAnsi="Times New Roman"/>
                <w:sz w:val="20"/>
              </w:rPr>
              <w:t>Price of Exercisable</w:t>
            </w:r>
          </w:p>
          <w:p>
            <w:pPr>
              <w:pStyle w:val="TableContents"/>
              <w:spacing w:lineRule="auto" w:line="300" w:before="0" w:after="0"/>
              <w:ind w:left="0" w:right="0" w:hanging="0"/>
              <w:jc w:val="center"/>
              <w:rPr/>
            </w:pPr>
            <w:r>
              <w:rPr>
                <w:rStyle w:val="StrongEmphasis"/>
                <w:rFonts w:ascii="Times New Roman" w:hAnsi="Times New Roman"/>
                <w:sz w:val="20"/>
              </w:rPr>
              <w:t>Options</w:t>
            </w:r>
          </w:p>
        </w:tc>
        <w:tc>
          <w:tcPr>
            <w:tcW w:w="124" w:type="dxa"/>
            <w:tcBorders>
              <w:bottom w:val="single" w:sz="2" w:space="0" w:color="FFFFFF"/>
            </w:tcBorders>
            <w:shd w:fill="auto" w:val="clear"/>
            <w:vAlign w:val="bottom"/>
          </w:tcPr>
          <w:p>
            <w:pPr>
              <w:pStyle w:val="TableContents"/>
              <w:spacing w:before="0" w:after="283"/>
              <w:jc w:val="left"/>
              <w:rPr/>
            </w:pPr>
            <w:r>
              <w:rPr/>
              <w:t> </w:t>
            </w:r>
          </w:p>
        </w:tc>
      </w:tr>
      <w:tr>
        <w:trPr/>
        <w:tc>
          <w:tcPr>
            <w:tcW w:w="2897" w:type="dxa"/>
            <w:tcBorders>
              <w:bottom w:val="double" w:sz="2" w:space="0" w:color="000000"/>
            </w:tcBorders>
            <w:shd w:fill="auto" w:val="clear"/>
            <w:vAlign w:val="bottom"/>
          </w:tcPr>
          <w:p>
            <w:pPr>
              <w:pStyle w:val="TableContents"/>
              <w:spacing w:before="0" w:after="283"/>
              <w:jc w:val="left"/>
              <w:rPr/>
            </w:pPr>
            <w:r>
              <w:rPr/>
              <w:t> </w:t>
            </w:r>
          </w:p>
        </w:tc>
        <w:tc>
          <w:tcPr>
            <w:tcW w:w="100" w:type="dxa"/>
            <w:tcBorders>
              <w:bottom w:val="single" w:sz="4" w:space="0" w:color="FFFFFF"/>
            </w:tcBorders>
            <w:shd w:fill="auto" w:val="clear"/>
            <w:vAlign w:val="center"/>
          </w:tcPr>
          <w:p>
            <w:pPr>
              <w:pStyle w:val="TableContents"/>
              <w:spacing w:before="0" w:after="283"/>
              <w:rPr/>
            </w:pPr>
            <w:r>
              <w:rPr/>
              <w:t> </w:t>
            </w:r>
          </w:p>
        </w:tc>
        <w:tc>
          <w:tcPr>
            <w:tcW w:w="946"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Class A</w:t>
            </w:r>
          </w:p>
        </w:tc>
        <w:tc>
          <w:tcPr>
            <w:tcW w:w="113" w:type="dxa"/>
            <w:tcBorders>
              <w:bottom w:val="single" w:sz="4" w:space="0" w:color="FFFFFF"/>
            </w:tcBorders>
            <w:shd w:fill="auto" w:val="clear"/>
            <w:vAlign w:val="bottom"/>
          </w:tcPr>
          <w:p>
            <w:pPr>
              <w:pStyle w:val="TableContents"/>
              <w:spacing w:before="0" w:after="283"/>
              <w:jc w:val="left"/>
              <w:rPr/>
            </w:pPr>
            <w:r>
              <w:rPr/>
              <w:t> </w:t>
            </w:r>
          </w:p>
        </w:tc>
        <w:tc>
          <w:tcPr>
            <w:tcW w:w="852"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Class B</w:t>
            </w:r>
          </w:p>
        </w:tc>
        <w:tc>
          <w:tcPr>
            <w:tcW w:w="100" w:type="dxa"/>
            <w:tcBorders>
              <w:bottom w:val="single" w:sz="4" w:space="0" w:color="FFFFFF"/>
            </w:tcBorders>
            <w:shd w:fill="auto" w:val="clear"/>
            <w:vAlign w:val="bottom"/>
          </w:tcPr>
          <w:p>
            <w:pPr>
              <w:pStyle w:val="TableContents"/>
              <w:spacing w:before="0" w:after="283"/>
              <w:jc w:val="left"/>
              <w:rPr/>
            </w:pPr>
            <w:r>
              <w:rPr/>
              <w:t> </w:t>
            </w:r>
          </w:p>
        </w:tc>
        <w:tc>
          <w:tcPr>
            <w:tcW w:w="694" w:type="dxa"/>
            <w:gridSpan w:val="2"/>
            <w:tcBorders>
              <w:bottom w:val="double" w:sz="2" w:space="0" w:color="000000"/>
            </w:tcBorders>
            <w:shd w:fill="auto" w:val="clear"/>
            <w:vAlign w:val="bottom"/>
          </w:tcPr>
          <w:p>
            <w:pPr>
              <w:pStyle w:val="TableContents"/>
              <w:spacing w:before="0" w:after="0"/>
              <w:jc w:val="center"/>
              <w:rPr/>
            </w:pPr>
            <w:r>
              <w:rPr>
                <w:rStyle w:val="StrongEmphasis"/>
                <w:rFonts w:ascii="Times New Roman" w:hAnsi="Times New Roman"/>
                <w:sz w:val="20"/>
              </w:rPr>
              <w:t>Class A</w:t>
            </w:r>
          </w:p>
        </w:tc>
        <w:tc>
          <w:tcPr>
            <w:tcW w:w="100" w:type="dxa"/>
            <w:tcBorders>
              <w:bottom w:val="single" w:sz="4" w:space="0" w:color="FFFFFF"/>
            </w:tcBorders>
            <w:shd w:fill="auto" w:val="clear"/>
            <w:vAlign w:val="bottom"/>
          </w:tcPr>
          <w:p>
            <w:pPr>
              <w:pStyle w:val="TableContents"/>
              <w:spacing w:before="0" w:after="283"/>
              <w:jc w:val="left"/>
              <w:rPr/>
            </w:pPr>
            <w:r>
              <w:rPr/>
              <w:t> </w:t>
            </w:r>
          </w:p>
        </w:tc>
        <w:tc>
          <w:tcPr>
            <w:tcW w:w="694" w:type="dxa"/>
            <w:gridSpan w:val="2"/>
            <w:tcBorders>
              <w:bottom w:val="double" w:sz="2" w:space="0" w:color="000000"/>
            </w:tcBorders>
            <w:shd w:fill="auto" w:val="clear"/>
            <w:vAlign w:val="bottom"/>
          </w:tcPr>
          <w:p>
            <w:pPr>
              <w:pStyle w:val="TableContents"/>
              <w:spacing w:before="0" w:after="0"/>
              <w:jc w:val="center"/>
              <w:rPr/>
            </w:pPr>
            <w:r>
              <w:rPr>
                <w:rStyle w:val="StrongEmphasis"/>
                <w:rFonts w:ascii="Times New Roman" w:hAnsi="Times New Roman"/>
                <w:sz w:val="20"/>
              </w:rPr>
              <w:t>Class B</w:t>
            </w:r>
          </w:p>
        </w:tc>
        <w:tc>
          <w:tcPr>
            <w:tcW w:w="100" w:type="dxa"/>
            <w:tcBorders>
              <w:bottom w:val="single" w:sz="4" w:space="0" w:color="FFFFFF"/>
            </w:tcBorders>
            <w:shd w:fill="auto" w:val="clear"/>
            <w:vAlign w:val="bottom"/>
          </w:tcPr>
          <w:p>
            <w:pPr>
              <w:pStyle w:val="TableContents"/>
              <w:spacing w:before="0" w:after="283"/>
              <w:jc w:val="left"/>
              <w:rPr/>
            </w:pPr>
            <w:r>
              <w:rPr/>
              <w:t> </w:t>
            </w:r>
          </w:p>
        </w:tc>
        <w:tc>
          <w:tcPr>
            <w:tcW w:w="946"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Class A</w:t>
            </w:r>
          </w:p>
        </w:tc>
        <w:tc>
          <w:tcPr>
            <w:tcW w:w="100" w:type="dxa"/>
            <w:tcBorders>
              <w:bottom w:val="single" w:sz="4" w:space="0" w:color="FFFFFF"/>
            </w:tcBorders>
            <w:shd w:fill="auto" w:val="clear"/>
            <w:vAlign w:val="bottom"/>
          </w:tcPr>
          <w:p>
            <w:pPr>
              <w:pStyle w:val="TableContents"/>
              <w:spacing w:before="0" w:after="283"/>
              <w:jc w:val="left"/>
              <w:rPr/>
            </w:pPr>
            <w:r>
              <w:rPr/>
              <w:t> </w:t>
            </w:r>
          </w:p>
        </w:tc>
        <w:tc>
          <w:tcPr>
            <w:tcW w:w="851"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Class B</w:t>
            </w:r>
          </w:p>
        </w:tc>
        <w:tc>
          <w:tcPr>
            <w:tcW w:w="100" w:type="dxa"/>
            <w:tcBorders>
              <w:bottom w:val="single" w:sz="4" w:space="0" w:color="FFFFFF"/>
            </w:tcBorders>
            <w:shd w:fill="auto" w:val="clear"/>
            <w:vAlign w:val="bottom"/>
          </w:tcPr>
          <w:p>
            <w:pPr>
              <w:pStyle w:val="TableContents"/>
              <w:spacing w:before="0" w:after="283"/>
              <w:jc w:val="left"/>
              <w:rPr/>
            </w:pPr>
            <w:r>
              <w:rPr/>
              <w:t> </w:t>
            </w:r>
          </w:p>
        </w:tc>
        <w:tc>
          <w:tcPr>
            <w:tcW w:w="694" w:type="dxa"/>
            <w:gridSpan w:val="2"/>
            <w:tcBorders>
              <w:bottom w:val="double" w:sz="2" w:space="0" w:color="000000"/>
            </w:tcBorders>
            <w:shd w:fill="auto" w:val="clear"/>
            <w:vAlign w:val="bottom"/>
          </w:tcPr>
          <w:p>
            <w:pPr>
              <w:pStyle w:val="TableContents"/>
              <w:spacing w:before="0" w:after="0"/>
              <w:jc w:val="center"/>
              <w:rPr/>
            </w:pPr>
            <w:r>
              <w:rPr>
                <w:rStyle w:val="StrongEmphasis"/>
                <w:rFonts w:ascii="Times New Roman" w:hAnsi="Times New Roman"/>
                <w:sz w:val="20"/>
              </w:rPr>
              <w:t>Class A</w:t>
            </w:r>
          </w:p>
        </w:tc>
        <w:tc>
          <w:tcPr>
            <w:tcW w:w="100" w:type="dxa"/>
            <w:tcBorders>
              <w:bottom w:val="single" w:sz="4" w:space="0" w:color="FFFFFF"/>
            </w:tcBorders>
            <w:shd w:fill="auto" w:val="clear"/>
            <w:vAlign w:val="bottom"/>
          </w:tcPr>
          <w:p>
            <w:pPr>
              <w:pStyle w:val="TableContents"/>
              <w:spacing w:before="0" w:after="283"/>
              <w:jc w:val="left"/>
              <w:rPr/>
            </w:pPr>
            <w:r>
              <w:rPr/>
              <w:t> </w:t>
            </w:r>
          </w:p>
        </w:tc>
        <w:tc>
          <w:tcPr>
            <w:tcW w:w="694"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Class B</w:t>
            </w:r>
          </w:p>
        </w:tc>
        <w:tc>
          <w:tcPr>
            <w:tcW w:w="124" w:type="dxa"/>
            <w:tcBorders>
              <w:bottom w:val="single" w:sz="4" w:space="0" w:color="FFFFFF"/>
            </w:tcBorders>
            <w:shd w:fill="auto" w:val="clear"/>
            <w:vAlign w:val="bottom"/>
          </w:tcPr>
          <w:p>
            <w:pPr>
              <w:pStyle w:val="TableContents"/>
              <w:spacing w:before="0" w:after="283"/>
              <w:jc w:val="left"/>
              <w:rPr/>
            </w:pPr>
            <w:r>
              <w:rPr/>
              <w:t> </w:t>
            </w:r>
          </w:p>
        </w:tc>
      </w:tr>
      <w:tr>
        <w:trPr/>
        <w:tc>
          <w:tcPr>
            <w:tcW w:w="2897"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Outstanding-January 1, 2004</w:t>
            </w:r>
          </w:p>
        </w:tc>
        <w:tc>
          <w:tcPr>
            <w:tcW w:w="100" w:type="dxa"/>
            <w:tcBorders/>
            <w:shd w:fill="CCEEFF" w:val="clear"/>
            <w:tcMar>
              <w:bottom w:w="0" w:type="dxa"/>
            </w:tcMar>
            <w:vAlign w:val="center"/>
          </w:tcPr>
          <w:p>
            <w:pPr>
              <w:pStyle w:val="TableContents"/>
              <w:spacing w:before="0" w:after="283"/>
              <w:rPr/>
            </w:pPr>
            <w:r>
              <w:rPr/>
              <w:t> </w:t>
            </w:r>
          </w:p>
        </w:tc>
        <w:tc>
          <w:tcPr>
            <w:tcW w:w="100" w:type="dxa"/>
            <w:tcBorders/>
            <w:shd w:fill="CCEEFF" w:val="clear"/>
            <w:tcMar>
              <w:bottom w:w="0" w:type="dxa"/>
            </w:tcMar>
            <w:vAlign w:val="bottom"/>
          </w:tcPr>
          <w:p>
            <w:pPr>
              <w:pStyle w:val="TableContents"/>
              <w:spacing w:before="0" w:after="283"/>
              <w:jc w:val="left"/>
              <w:rPr/>
            </w:pPr>
            <w:r>
              <w:rPr/>
              <w:t> </w:t>
            </w:r>
          </w:p>
        </w:tc>
        <w:tc>
          <w:tcPr>
            <w:tcW w:w="846"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1,448,200</w:t>
            </w:r>
          </w:p>
        </w:tc>
        <w:tc>
          <w:tcPr>
            <w:tcW w:w="113" w:type="dxa"/>
            <w:tcBorders/>
            <w:shd w:fill="CCEEFF" w:val="clear"/>
            <w:tcMar>
              <w:bottom w:w="0" w:type="dxa"/>
            </w:tcMar>
            <w:vAlign w:val="bottom"/>
          </w:tcPr>
          <w:p>
            <w:pPr>
              <w:pStyle w:val="TableContents"/>
              <w:spacing w:before="0" w:after="283"/>
              <w:jc w:val="left"/>
              <w:rPr/>
            </w:pPr>
            <w:r>
              <w:rPr/>
              <w:t> </w:t>
            </w:r>
          </w:p>
        </w:tc>
        <w:tc>
          <w:tcPr>
            <w:tcW w:w="100" w:type="dxa"/>
            <w:tcBorders/>
            <w:shd w:fill="CCEEFF" w:val="clear"/>
            <w:tcMar>
              <w:bottom w:w="0" w:type="dxa"/>
            </w:tcMar>
            <w:vAlign w:val="bottom"/>
          </w:tcPr>
          <w:p>
            <w:pPr>
              <w:pStyle w:val="TableContents"/>
              <w:spacing w:before="0" w:after="283"/>
              <w:jc w:val="left"/>
              <w:rPr/>
            </w:pPr>
            <w:r>
              <w:rPr/>
              <w:t> </w:t>
            </w:r>
          </w:p>
        </w:tc>
        <w:tc>
          <w:tcPr>
            <w:tcW w:w="752"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185,100</w:t>
            </w:r>
          </w:p>
        </w:tc>
        <w:tc>
          <w:tcPr>
            <w:tcW w:w="100" w:type="dxa"/>
            <w:tcBorders/>
            <w:shd w:fill="CCEEFF" w:val="clear"/>
            <w:tcMar>
              <w:bottom w:w="0" w:type="dxa"/>
            </w:tcMar>
            <w:vAlign w:val="bottom"/>
          </w:tcPr>
          <w:p>
            <w:pPr>
              <w:pStyle w:val="TableContents"/>
              <w:spacing w:before="0" w:after="283"/>
              <w:jc w:val="left"/>
              <w:rPr/>
            </w:pPr>
            <w:r>
              <w:rPr/>
              <w:t> </w:t>
            </w:r>
          </w:p>
        </w:tc>
        <w:tc>
          <w:tcPr>
            <w:tcW w:w="141"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2862" w:name="TAB11273"/>
            <w:bookmarkEnd w:id="2862"/>
            <w:r>
              <w:rPr>
                <w:rFonts w:ascii="Times New Roman" w:hAnsi="Times New Roman"/>
                <w:sz w:val="20"/>
              </w:rPr>
              <w:t>$</w:t>
            </w:r>
            <w:bookmarkStart w:id="2863" w:name="TAB289"/>
            <w:bookmarkEnd w:id="2863"/>
          </w:p>
        </w:tc>
        <w:tc>
          <w:tcPr>
            <w:tcW w:w="553"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2864" w:name="TAB290"/>
            <w:bookmarkStart w:id="2865" w:name="TAB11274"/>
            <w:bookmarkEnd w:id="2864"/>
            <w:bookmarkEnd w:id="2865"/>
            <w:r>
              <w:rPr>
                <w:rFonts w:ascii="Times New Roman" w:hAnsi="Times New Roman"/>
                <w:sz w:val="20"/>
              </w:rPr>
              <w:t>4.09</w:t>
            </w:r>
          </w:p>
        </w:tc>
        <w:tc>
          <w:tcPr>
            <w:tcW w:w="100" w:type="dxa"/>
            <w:tcBorders/>
            <w:shd w:fill="CCEEFF" w:val="clear"/>
            <w:tcMar>
              <w:bottom w:w="0" w:type="dxa"/>
            </w:tcMar>
            <w:vAlign w:val="bottom"/>
          </w:tcPr>
          <w:p>
            <w:pPr>
              <w:pStyle w:val="TableContents"/>
              <w:spacing w:before="0" w:after="283"/>
              <w:jc w:val="left"/>
              <w:rPr/>
            </w:pPr>
            <w:r>
              <w:rPr/>
              <w:t> </w:t>
            </w:r>
          </w:p>
        </w:tc>
        <w:tc>
          <w:tcPr>
            <w:tcW w:w="141"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2866" w:name="TAB11275"/>
            <w:bookmarkEnd w:id="2866"/>
            <w:r>
              <w:rPr>
                <w:rFonts w:ascii="Times New Roman" w:hAnsi="Times New Roman"/>
                <w:sz w:val="20"/>
              </w:rPr>
              <w:t>$</w:t>
            </w:r>
          </w:p>
        </w:tc>
        <w:tc>
          <w:tcPr>
            <w:tcW w:w="553"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2867" w:name="TAB11276"/>
            <w:bookmarkEnd w:id="2867"/>
            <w:r>
              <w:rPr>
                <w:rFonts w:ascii="Times New Roman" w:hAnsi="Times New Roman"/>
                <w:sz w:val="20"/>
              </w:rPr>
              <w:t>9.90</w:t>
            </w:r>
          </w:p>
        </w:tc>
        <w:tc>
          <w:tcPr>
            <w:tcW w:w="100" w:type="dxa"/>
            <w:tcBorders/>
            <w:shd w:fill="CCEEFF" w:val="clear"/>
            <w:tcMar>
              <w:bottom w:w="0" w:type="dxa"/>
            </w:tcMar>
            <w:vAlign w:val="bottom"/>
          </w:tcPr>
          <w:p>
            <w:pPr>
              <w:pStyle w:val="TableContents"/>
              <w:spacing w:before="0" w:after="283"/>
              <w:jc w:val="left"/>
              <w:rPr/>
            </w:pPr>
            <w:r>
              <w:rPr/>
              <w:t> </w:t>
            </w:r>
          </w:p>
        </w:tc>
        <w:tc>
          <w:tcPr>
            <w:tcW w:w="100" w:type="dxa"/>
            <w:tcBorders/>
            <w:shd w:fill="CCEEFF" w:val="clear"/>
            <w:tcMar>
              <w:bottom w:w="0" w:type="dxa"/>
            </w:tcMar>
            <w:vAlign w:val="bottom"/>
          </w:tcPr>
          <w:p>
            <w:pPr>
              <w:pStyle w:val="TableContents"/>
              <w:spacing w:before="0" w:after="283"/>
              <w:jc w:val="left"/>
              <w:rPr/>
            </w:pPr>
            <w:r>
              <w:rPr/>
              <w:t> </w:t>
            </w:r>
          </w:p>
        </w:tc>
        <w:tc>
          <w:tcPr>
            <w:tcW w:w="846"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1,053,038</w:t>
            </w:r>
          </w:p>
        </w:tc>
        <w:tc>
          <w:tcPr>
            <w:tcW w:w="100" w:type="dxa"/>
            <w:tcBorders/>
            <w:shd w:fill="CCEEFF" w:val="clear"/>
            <w:tcMar>
              <w:bottom w:w="0" w:type="dxa"/>
            </w:tcMar>
            <w:vAlign w:val="bottom"/>
          </w:tcPr>
          <w:p>
            <w:pPr>
              <w:pStyle w:val="TableContents"/>
              <w:spacing w:before="0" w:after="283"/>
              <w:jc w:val="left"/>
              <w:rPr/>
            </w:pPr>
            <w:r>
              <w:rPr/>
              <w:t> </w:t>
            </w:r>
          </w:p>
        </w:tc>
        <w:tc>
          <w:tcPr>
            <w:tcW w:w="100" w:type="dxa"/>
            <w:tcBorders/>
            <w:shd w:fill="CCEEFF" w:val="clear"/>
            <w:tcMar>
              <w:bottom w:w="0" w:type="dxa"/>
            </w:tcMar>
            <w:vAlign w:val="bottom"/>
          </w:tcPr>
          <w:p>
            <w:pPr>
              <w:pStyle w:val="TableContents"/>
              <w:spacing w:before="0" w:after="283"/>
              <w:jc w:val="left"/>
              <w:rPr/>
            </w:pPr>
            <w:r>
              <w:rPr/>
              <w:t> </w:t>
            </w:r>
          </w:p>
        </w:tc>
        <w:tc>
          <w:tcPr>
            <w:tcW w:w="751" w:type="dxa"/>
            <w:tcBorders/>
            <w:shd w:fill="CCEE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185,100</w:t>
            </w:r>
          </w:p>
        </w:tc>
        <w:tc>
          <w:tcPr>
            <w:tcW w:w="100" w:type="dxa"/>
            <w:tcBorders/>
            <w:shd w:fill="CCEEFF" w:val="clear"/>
            <w:tcMar>
              <w:bottom w:w="0" w:type="dxa"/>
            </w:tcMar>
            <w:vAlign w:val="bottom"/>
          </w:tcPr>
          <w:p>
            <w:pPr>
              <w:pStyle w:val="TableContents"/>
              <w:spacing w:before="0" w:after="283"/>
              <w:jc w:val="left"/>
              <w:rPr/>
            </w:pPr>
            <w:r>
              <w:rPr/>
              <w:t> </w:t>
            </w:r>
          </w:p>
        </w:tc>
        <w:tc>
          <w:tcPr>
            <w:tcW w:w="141"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2868" w:name="TAB11277"/>
            <w:bookmarkEnd w:id="2868"/>
            <w:r>
              <w:rPr>
                <w:rFonts w:ascii="Times New Roman" w:hAnsi="Times New Roman"/>
                <w:sz w:val="20"/>
              </w:rPr>
              <w:t>$</w:t>
            </w:r>
          </w:p>
        </w:tc>
        <w:tc>
          <w:tcPr>
            <w:tcW w:w="553"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2869" w:name="TAB11278"/>
            <w:bookmarkEnd w:id="2869"/>
            <w:r>
              <w:rPr>
                <w:rFonts w:ascii="Times New Roman" w:hAnsi="Times New Roman"/>
                <w:sz w:val="20"/>
              </w:rPr>
              <w:t>4.75</w:t>
            </w:r>
          </w:p>
        </w:tc>
        <w:tc>
          <w:tcPr>
            <w:tcW w:w="100" w:type="dxa"/>
            <w:tcBorders/>
            <w:shd w:fill="CCEEFF" w:val="clear"/>
            <w:tcMar>
              <w:bottom w:w="0" w:type="dxa"/>
            </w:tcMar>
            <w:vAlign w:val="bottom"/>
          </w:tcPr>
          <w:p>
            <w:pPr>
              <w:pStyle w:val="TableContents"/>
              <w:spacing w:before="0" w:after="283"/>
              <w:jc w:val="left"/>
              <w:rPr/>
            </w:pPr>
            <w:r>
              <w:rPr/>
              <w:t> </w:t>
            </w:r>
          </w:p>
        </w:tc>
        <w:tc>
          <w:tcPr>
            <w:tcW w:w="141"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2870" w:name="TAB11279"/>
            <w:bookmarkEnd w:id="2870"/>
            <w:r>
              <w:rPr>
                <w:rFonts w:ascii="Times New Roman" w:hAnsi="Times New Roman"/>
                <w:sz w:val="20"/>
              </w:rPr>
              <w:t>$</w:t>
            </w:r>
            <w:bookmarkStart w:id="2871" w:name="TAB291"/>
            <w:bookmarkEnd w:id="2871"/>
          </w:p>
        </w:tc>
        <w:tc>
          <w:tcPr>
            <w:tcW w:w="553"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2872" w:name="TAB292"/>
            <w:bookmarkStart w:id="2873" w:name="TAB11280"/>
            <w:bookmarkEnd w:id="2872"/>
            <w:bookmarkEnd w:id="2873"/>
            <w:r>
              <w:rPr>
                <w:rFonts w:ascii="Times New Roman" w:hAnsi="Times New Roman"/>
                <w:sz w:val="20"/>
              </w:rPr>
              <w:t>9.90</w:t>
            </w:r>
          </w:p>
        </w:tc>
        <w:tc>
          <w:tcPr>
            <w:tcW w:w="124" w:type="dxa"/>
            <w:tcBorders/>
            <w:shd w:fill="CCEEFF" w:val="clear"/>
            <w:tcMar>
              <w:bottom w:w="0" w:type="dxa"/>
            </w:tcMar>
            <w:vAlign w:val="bottom"/>
          </w:tcPr>
          <w:p>
            <w:pPr>
              <w:pStyle w:val="TableContents"/>
              <w:spacing w:before="0" w:after="283"/>
              <w:jc w:val="left"/>
              <w:rPr/>
            </w:pPr>
            <w:r>
              <w:rPr/>
              <w:t> </w:t>
            </w:r>
          </w:p>
        </w:tc>
      </w:tr>
      <w:tr>
        <w:trPr/>
        <w:tc>
          <w:tcPr>
            <w:tcW w:w="2897" w:type="dxa"/>
            <w:tcBorders>
              <w:bottom w:val="single" w:sz="2" w:space="0" w:color="000000"/>
            </w:tcBorders>
            <w:shd w:fill="FFFFFF" w:val="clear"/>
            <w:vAlign w:val="bottom"/>
          </w:tcPr>
          <w:p>
            <w:pPr>
              <w:pStyle w:val="TableContents"/>
              <w:spacing w:lineRule="auto" w:line="300" w:before="0" w:after="0"/>
              <w:ind w:left="180" w:right="0" w:hanging="0"/>
              <w:jc w:val="left"/>
              <w:rPr>
                <w:rFonts w:ascii="Times New Roman" w:hAnsi="Times New Roman"/>
                <w:sz w:val="20"/>
              </w:rPr>
            </w:pPr>
            <w:bookmarkStart w:id="2874" w:name="TAB11281"/>
            <w:bookmarkEnd w:id="2874"/>
            <w:r>
              <w:rPr>
                <w:rFonts w:ascii="Times New Roman" w:hAnsi="Times New Roman"/>
                <w:sz w:val="20"/>
              </w:rPr>
              <w:t>Granted</w:t>
            </w:r>
          </w:p>
        </w:tc>
        <w:tc>
          <w:tcPr>
            <w:tcW w:w="100" w:type="dxa"/>
            <w:tcBorders>
              <w:bottom w:val="single" w:sz="4" w:space="0" w:color="FFFFFF"/>
            </w:tcBorders>
            <w:shd w:fill="FFFFFF" w:val="clear"/>
            <w:vAlign w:val="center"/>
          </w:tcPr>
          <w:p>
            <w:pPr>
              <w:pStyle w:val="TableContents"/>
              <w:spacing w:before="0" w:after="283"/>
              <w:rPr/>
            </w:pPr>
            <w:r>
              <w:rPr/>
              <w:t> </w:t>
            </w:r>
          </w:p>
        </w:tc>
        <w:tc>
          <w:tcPr>
            <w:tcW w:w="100" w:type="dxa"/>
            <w:tcBorders>
              <w:bottom w:val="single" w:sz="2" w:space="0" w:color="000000"/>
            </w:tcBorders>
            <w:shd w:fill="FFFFFF" w:val="clear"/>
            <w:vAlign w:val="bottom"/>
          </w:tcPr>
          <w:p>
            <w:pPr>
              <w:pStyle w:val="TableContents"/>
              <w:spacing w:before="0" w:after="283"/>
              <w:jc w:val="left"/>
              <w:rPr/>
            </w:pPr>
            <w:r>
              <w:rPr/>
              <w:t> </w:t>
            </w:r>
          </w:p>
        </w:tc>
        <w:tc>
          <w:tcPr>
            <w:tcW w:w="846"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40,000</w:t>
            </w:r>
          </w:p>
        </w:tc>
        <w:tc>
          <w:tcPr>
            <w:tcW w:w="113" w:type="dxa"/>
            <w:tcBorders>
              <w:bottom w:val="single" w:sz="4" w:space="0" w:color="FFFFFF"/>
            </w:tcBorders>
            <w:shd w:fill="FFFFFF" w:val="clear"/>
            <w:vAlign w:val="bottom"/>
          </w:tcPr>
          <w:p>
            <w:pPr>
              <w:pStyle w:val="TableContents"/>
              <w:spacing w:before="0" w:after="283"/>
              <w:jc w:val="left"/>
              <w:rPr/>
            </w:pPr>
            <w:r>
              <w:rPr/>
              <w:t> </w:t>
            </w:r>
          </w:p>
        </w:tc>
        <w:tc>
          <w:tcPr>
            <w:tcW w:w="100" w:type="dxa"/>
            <w:tcBorders>
              <w:bottom w:val="single" w:sz="2" w:space="0" w:color="000000"/>
            </w:tcBorders>
            <w:shd w:fill="FFFFFF" w:val="clear"/>
            <w:vAlign w:val="bottom"/>
          </w:tcPr>
          <w:p>
            <w:pPr>
              <w:pStyle w:val="TableContents"/>
              <w:spacing w:before="0" w:after="283"/>
              <w:jc w:val="left"/>
              <w:rPr/>
            </w:pPr>
            <w:r>
              <w:rPr/>
              <w:t> </w:t>
            </w:r>
          </w:p>
        </w:tc>
        <w:tc>
          <w:tcPr>
            <w:tcW w:w="752"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100" w:type="dxa"/>
            <w:tcBorders>
              <w:bottom w:val="single" w:sz="4" w:space="0" w:color="FFFFFF"/>
            </w:tcBorders>
            <w:shd w:fill="FFFFFF" w:val="clear"/>
            <w:vAlign w:val="bottom"/>
          </w:tcPr>
          <w:p>
            <w:pPr>
              <w:pStyle w:val="TableContents"/>
              <w:spacing w:before="0" w:after="283"/>
              <w:jc w:val="left"/>
              <w:rPr/>
            </w:pPr>
            <w:r>
              <w:rPr/>
              <w:t> </w:t>
            </w:r>
          </w:p>
        </w:tc>
        <w:tc>
          <w:tcPr>
            <w:tcW w:w="141" w:type="dxa"/>
            <w:tcBorders>
              <w:bottom w:val="sing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bookmarkStart w:id="2875" w:name="TAB11282"/>
            <w:bookmarkEnd w:id="2875"/>
            <w:r>
              <w:rPr>
                <w:rFonts w:ascii="Times New Roman" w:hAnsi="Times New Roman"/>
                <w:sz w:val="20"/>
              </w:rPr>
              <w:t>$</w:t>
            </w:r>
            <w:bookmarkStart w:id="2876" w:name="TAB293"/>
            <w:bookmarkEnd w:id="2876"/>
          </w:p>
        </w:tc>
        <w:tc>
          <w:tcPr>
            <w:tcW w:w="553"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2877" w:name="TAB294"/>
            <w:bookmarkStart w:id="2878" w:name="TAB11283"/>
            <w:bookmarkEnd w:id="2877"/>
            <w:bookmarkEnd w:id="2878"/>
            <w:r>
              <w:rPr>
                <w:rFonts w:ascii="Times New Roman" w:hAnsi="Times New Roman"/>
                <w:sz w:val="20"/>
              </w:rPr>
              <w:t>7.80</w:t>
            </w:r>
          </w:p>
        </w:tc>
        <w:tc>
          <w:tcPr>
            <w:tcW w:w="100" w:type="dxa"/>
            <w:tcBorders>
              <w:bottom w:val="single" w:sz="4" w:space="0" w:color="FFFFFF"/>
            </w:tcBorders>
            <w:shd w:fill="FFFFFF" w:val="clear"/>
            <w:vAlign w:val="bottom"/>
          </w:tcPr>
          <w:p>
            <w:pPr>
              <w:pStyle w:val="TableContents"/>
              <w:spacing w:before="0" w:after="283"/>
              <w:jc w:val="left"/>
              <w:rPr/>
            </w:pPr>
            <w:r>
              <w:rPr/>
              <w:t> </w:t>
            </w:r>
          </w:p>
        </w:tc>
        <w:tc>
          <w:tcPr>
            <w:tcW w:w="141" w:type="dxa"/>
            <w:tcBorders>
              <w:bottom w:val="sing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bookmarkStart w:id="2879" w:name="TAB11284"/>
            <w:bookmarkEnd w:id="2879"/>
            <w:r>
              <w:rPr>
                <w:rFonts w:ascii="Times New Roman" w:hAnsi="Times New Roman"/>
                <w:sz w:val="20"/>
              </w:rPr>
              <w:t>$</w:t>
            </w:r>
          </w:p>
        </w:tc>
        <w:tc>
          <w:tcPr>
            <w:tcW w:w="553"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2880" w:name="TAB11285"/>
            <w:bookmarkEnd w:id="2880"/>
            <w:r>
              <w:rPr>
                <w:rFonts w:ascii="Times New Roman" w:hAnsi="Times New Roman"/>
                <w:sz w:val="20"/>
              </w:rPr>
              <w:t>--</w:t>
            </w:r>
          </w:p>
        </w:tc>
        <w:tc>
          <w:tcPr>
            <w:tcW w:w="100" w:type="dxa"/>
            <w:tcBorders>
              <w:bottom w:val="single" w:sz="4" w:space="0" w:color="FFFFFF"/>
            </w:tcBorders>
            <w:shd w:fill="FFFFFF" w:val="clear"/>
            <w:vAlign w:val="bottom"/>
          </w:tcPr>
          <w:p>
            <w:pPr>
              <w:pStyle w:val="TableContents"/>
              <w:spacing w:before="0" w:after="283"/>
              <w:jc w:val="left"/>
              <w:rPr/>
            </w:pPr>
            <w:r>
              <w:rPr/>
              <w:t> </w:t>
            </w:r>
          </w:p>
        </w:tc>
        <w:tc>
          <w:tcPr>
            <w:tcW w:w="100" w:type="dxa"/>
            <w:tcBorders>
              <w:bottom w:val="single" w:sz="2" w:space="0" w:color="000000"/>
            </w:tcBorders>
            <w:shd w:fill="FFFFFF" w:val="clear"/>
            <w:vAlign w:val="bottom"/>
          </w:tcPr>
          <w:p>
            <w:pPr>
              <w:pStyle w:val="TableContents"/>
              <w:spacing w:before="0" w:after="283"/>
              <w:jc w:val="left"/>
              <w:rPr/>
            </w:pPr>
            <w:r>
              <w:rPr/>
              <w:t> </w:t>
            </w:r>
          </w:p>
        </w:tc>
        <w:tc>
          <w:tcPr>
            <w:tcW w:w="846" w:type="dxa"/>
            <w:tcBorders>
              <w:bottom w:val="single" w:sz="2" w:space="0" w:color="000000"/>
            </w:tcBorders>
            <w:shd w:fill="FFFFFF" w:val="clear"/>
            <w:vAlign w:val="bottom"/>
          </w:tcPr>
          <w:p>
            <w:pPr>
              <w:pStyle w:val="TableContents"/>
              <w:spacing w:before="0" w:after="283"/>
              <w:jc w:val="right"/>
              <w:rPr/>
            </w:pPr>
            <w:r>
              <w:rPr/>
              <w:t> </w:t>
            </w:r>
          </w:p>
        </w:tc>
        <w:tc>
          <w:tcPr>
            <w:tcW w:w="100" w:type="dxa"/>
            <w:tcBorders>
              <w:bottom w:val="single" w:sz="4" w:space="0" w:color="FFFFFF"/>
            </w:tcBorders>
            <w:shd w:fill="FFFFFF" w:val="clear"/>
            <w:vAlign w:val="bottom"/>
          </w:tcPr>
          <w:p>
            <w:pPr>
              <w:pStyle w:val="TableContents"/>
              <w:spacing w:before="0" w:after="283"/>
              <w:jc w:val="left"/>
              <w:rPr/>
            </w:pPr>
            <w:r>
              <w:rPr/>
              <w:t> </w:t>
            </w:r>
          </w:p>
        </w:tc>
        <w:tc>
          <w:tcPr>
            <w:tcW w:w="100" w:type="dxa"/>
            <w:tcBorders>
              <w:bottom w:val="single" w:sz="2" w:space="0" w:color="000000"/>
            </w:tcBorders>
            <w:shd w:fill="FFFFFF" w:val="clear"/>
            <w:vAlign w:val="bottom"/>
          </w:tcPr>
          <w:p>
            <w:pPr>
              <w:pStyle w:val="TableContents"/>
              <w:spacing w:before="0" w:after="283"/>
              <w:jc w:val="left"/>
              <w:rPr/>
            </w:pPr>
            <w:r>
              <w:rPr/>
              <w:t> </w:t>
            </w:r>
          </w:p>
        </w:tc>
        <w:tc>
          <w:tcPr>
            <w:tcW w:w="751" w:type="dxa"/>
            <w:tcBorders>
              <w:bottom w:val="single" w:sz="2" w:space="0" w:color="000000"/>
            </w:tcBorders>
            <w:shd w:fill="FFFFFF" w:val="clear"/>
            <w:vAlign w:val="bottom"/>
          </w:tcPr>
          <w:p>
            <w:pPr>
              <w:pStyle w:val="TableContents"/>
              <w:spacing w:before="0" w:after="283"/>
              <w:jc w:val="right"/>
              <w:rPr/>
            </w:pPr>
            <w:r>
              <w:rPr/>
              <w:t> </w:t>
            </w:r>
          </w:p>
        </w:tc>
        <w:tc>
          <w:tcPr>
            <w:tcW w:w="100" w:type="dxa"/>
            <w:tcBorders>
              <w:bottom w:val="single" w:sz="4" w:space="0" w:color="FFFFFF"/>
            </w:tcBorders>
            <w:shd w:fill="FFFFFF" w:val="clear"/>
            <w:vAlign w:val="bottom"/>
          </w:tcPr>
          <w:p>
            <w:pPr>
              <w:pStyle w:val="TableContents"/>
              <w:spacing w:before="0" w:after="283"/>
              <w:jc w:val="left"/>
              <w:rPr/>
            </w:pPr>
            <w:r>
              <w:rPr/>
              <w:t> </w:t>
            </w:r>
          </w:p>
        </w:tc>
        <w:tc>
          <w:tcPr>
            <w:tcW w:w="141" w:type="dxa"/>
            <w:tcBorders>
              <w:bottom w:val="single" w:sz="2" w:space="0" w:color="000000"/>
            </w:tcBorders>
            <w:shd w:fill="FFFFFF" w:val="clear"/>
            <w:vAlign w:val="bottom"/>
          </w:tcPr>
          <w:p>
            <w:pPr>
              <w:pStyle w:val="TableContents"/>
              <w:spacing w:before="0" w:after="283"/>
              <w:jc w:val="left"/>
              <w:rPr/>
            </w:pPr>
            <w:r>
              <w:rPr/>
              <w:t> </w:t>
            </w:r>
          </w:p>
        </w:tc>
        <w:tc>
          <w:tcPr>
            <w:tcW w:w="553" w:type="dxa"/>
            <w:tcBorders>
              <w:bottom w:val="single" w:sz="2" w:space="0" w:color="000000"/>
            </w:tcBorders>
            <w:shd w:fill="FFFFFF" w:val="clear"/>
            <w:vAlign w:val="bottom"/>
          </w:tcPr>
          <w:p>
            <w:pPr>
              <w:pStyle w:val="TableContents"/>
              <w:spacing w:before="0" w:after="283"/>
              <w:jc w:val="right"/>
              <w:rPr/>
            </w:pPr>
            <w:r>
              <w:rPr/>
              <w:t> </w:t>
            </w:r>
          </w:p>
        </w:tc>
        <w:tc>
          <w:tcPr>
            <w:tcW w:w="100" w:type="dxa"/>
            <w:tcBorders>
              <w:bottom w:val="single" w:sz="4" w:space="0" w:color="FFFFFF"/>
            </w:tcBorders>
            <w:shd w:fill="FFFFFF" w:val="clear"/>
            <w:vAlign w:val="bottom"/>
          </w:tcPr>
          <w:p>
            <w:pPr>
              <w:pStyle w:val="TableContents"/>
              <w:spacing w:before="0" w:after="283"/>
              <w:jc w:val="left"/>
              <w:rPr/>
            </w:pPr>
            <w:r>
              <w:rPr/>
              <w:t> </w:t>
            </w:r>
          </w:p>
        </w:tc>
        <w:tc>
          <w:tcPr>
            <w:tcW w:w="141" w:type="dxa"/>
            <w:tcBorders>
              <w:bottom w:val="single" w:sz="2" w:space="0" w:color="000000"/>
            </w:tcBorders>
            <w:shd w:fill="FFFFFF" w:val="clear"/>
            <w:vAlign w:val="bottom"/>
          </w:tcPr>
          <w:p>
            <w:pPr>
              <w:pStyle w:val="TableContents"/>
              <w:spacing w:before="0" w:after="283"/>
              <w:jc w:val="left"/>
              <w:rPr/>
            </w:pPr>
            <w:r>
              <w:rPr/>
              <w:t> </w:t>
            </w:r>
          </w:p>
        </w:tc>
        <w:tc>
          <w:tcPr>
            <w:tcW w:w="553" w:type="dxa"/>
            <w:tcBorders>
              <w:bottom w:val="single" w:sz="2" w:space="0" w:color="000000"/>
            </w:tcBorders>
            <w:shd w:fill="FFFFFF" w:val="clear"/>
            <w:vAlign w:val="bottom"/>
          </w:tcPr>
          <w:p>
            <w:pPr>
              <w:pStyle w:val="TableContents"/>
              <w:spacing w:before="0" w:after="283"/>
              <w:jc w:val="right"/>
              <w:rPr/>
            </w:pPr>
            <w:r>
              <w:rPr/>
              <w:t> </w:t>
            </w:r>
          </w:p>
        </w:tc>
        <w:tc>
          <w:tcPr>
            <w:tcW w:w="124" w:type="dxa"/>
            <w:tcBorders>
              <w:bottom w:val="single" w:sz="4" w:space="0" w:color="FFFFFF"/>
            </w:tcBorders>
            <w:shd w:fill="FFFFFF" w:val="clear"/>
            <w:vAlign w:val="bottom"/>
          </w:tcPr>
          <w:p>
            <w:pPr>
              <w:pStyle w:val="TableContents"/>
              <w:spacing w:before="0" w:after="283"/>
              <w:jc w:val="left"/>
              <w:rPr/>
            </w:pPr>
            <w:r>
              <w:rPr/>
              <w:t> </w:t>
            </w:r>
          </w:p>
        </w:tc>
      </w:tr>
      <w:tr>
        <w:trPr/>
        <w:tc>
          <w:tcPr>
            <w:tcW w:w="2897" w:type="dxa"/>
            <w:tcBorders>
              <w:bottom w:val="sing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Outstanding-December 31, 2004</w:t>
            </w:r>
          </w:p>
        </w:tc>
        <w:tc>
          <w:tcPr>
            <w:tcW w:w="100" w:type="dxa"/>
            <w:tcBorders>
              <w:bottom w:val="single" w:sz="2" w:space="0" w:color="CCEEFF"/>
            </w:tcBorders>
            <w:shd w:fill="CCEEFF" w:val="clear"/>
            <w:vAlign w:val="center"/>
          </w:tcPr>
          <w:p>
            <w:pPr>
              <w:pStyle w:val="TableContents"/>
              <w:spacing w:before="0" w:after="283"/>
              <w:rPr/>
            </w:pPr>
            <w:r>
              <w:rPr/>
              <w:t> </w:t>
            </w:r>
          </w:p>
        </w:tc>
        <w:tc>
          <w:tcPr>
            <w:tcW w:w="100" w:type="dxa"/>
            <w:tcBorders>
              <w:bottom w:val="single" w:sz="2" w:space="0" w:color="000000"/>
            </w:tcBorders>
            <w:shd w:fill="CCEEFF" w:val="clear"/>
            <w:vAlign w:val="bottom"/>
          </w:tcPr>
          <w:p>
            <w:pPr>
              <w:pStyle w:val="TableContents"/>
              <w:spacing w:before="0" w:after="283"/>
              <w:jc w:val="left"/>
              <w:rPr/>
            </w:pPr>
            <w:r>
              <w:rPr/>
              <w:t> </w:t>
            </w:r>
          </w:p>
        </w:tc>
        <w:tc>
          <w:tcPr>
            <w:tcW w:w="846"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1,488,200</w:t>
            </w:r>
          </w:p>
        </w:tc>
        <w:tc>
          <w:tcPr>
            <w:tcW w:w="113" w:type="dxa"/>
            <w:tcBorders>
              <w:bottom w:val="single" w:sz="2" w:space="0" w:color="CCEEFF"/>
            </w:tcBorders>
            <w:shd w:fill="CCEEFF" w:val="clear"/>
            <w:vAlign w:val="bottom"/>
          </w:tcPr>
          <w:p>
            <w:pPr>
              <w:pStyle w:val="TableContents"/>
              <w:spacing w:before="0" w:after="283"/>
              <w:jc w:val="left"/>
              <w:rPr/>
            </w:pPr>
            <w:r>
              <w:rPr/>
              <w:t> </w:t>
            </w:r>
          </w:p>
        </w:tc>
        <w:tc>
          <w:tcPr>
            <w:tcW w:w="100" w:type="dxa"/>
            <w:tcBorders>
              <w:bottom w:val="single" w:sz="2" w:space="0" w:color="000000"/>
            </w:tcBorders>
            <w:shd w:fill="CCEEFF" w:val="clear"/>
            <w:vAlign w:val="bottom"/>
          </w:tcPr>
          <w:p>
            <w:pPr>
              <w:pStyle w:val="TableContents"/>
              <w:spacing w:before="0" w:after="283"/>
              <w:jc w:val="left"/>
              <w:rPr/>
            </w:pPr>
            <w:r>
              <w:rPr/>
              <w:t> </w:t>
            </w:r>
          </w:p>
        </w:tc>
        <w:tc>
          <w:tcPr>
            <w:tcW w:w="752"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185,100</w:t>
            </w:r>
          </w:p>
        </w:tc>
        <w:tc>
          <w:tcPr>
            <w:tcW w:w="100" w:type="dxa"/>
            <w:tcBorders>
              <w:bottom w:val="single" w:sz="2" w:space="0" w:color="CCEEFF"/>
            </w:tcBorders>
            <w:shd w:fill="CCEEFF" w:val="clear"/>
            <w:vAlign w:val="bottom"/>
          </w:tcPr>
          <w:p>
            <w:pPr>
              <w:pStyle w:val="TableContents"/>
              <w:spacing w:before="0" w:after="283"/>
              <w:jc w:val="left"/>
              <w:rPr/>
            </w:pPr>
            <w:r>
              <w:rPr/>
              <w:t> </w:t>
            </w:r>
          </w:p>
        </w:tc>
        <w:tc>
          <w:tcPr>
            <w:tcW w:w="141" w:type="dxa"/>
            <w:tcBorders>
              <w:bottom w:val="sing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bookmarkStart w:id="2881" w:name="TAB11286"/>
            <w:bookmarkEnd w:id="2881"/>
            <w:r>
              <w:rPr>
                <w:rFonts w:ascii="Times New Roman" w:hAnsi="Times New Roman"/>
                <w:sz w:val="20"/>
              </w:rPr>
              <w:t>$</w:t>
            </w:r>
            <w:bookmarkStart w:id="2882" w:name="TAB295"/>
            <w:bookmarkEnd w:id="2882"/>
          </w:p>
        </w:tc>
        <w:tc>
          <w:tcPr>
            <w:tcW w:w="553"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2883" w:name="TAB296"/>
            <w:bookmarkStart w:id="2884" w:name="TAB11287"/>
            <w:bookmarkEnd w:id="2883"/>
            <w:bookmarkEnd w:id="2884"/>
            <w:r>
              <w:rPr>
                <w:rFonts w:ascii="Times New Roman" w:hAnsi="Times New Roman"/>
                <w:sz w:val="20"/>
              </w:rPr>
              <w:t>4.19</w:t>
            </w:r>
          </w:p>
        </w:tc>
        <w:tc>
          <w:tcPr>
            <w:tcW w:w="100" w:type="dxa"/>
            <w:tcBorders>
              <w:bottom w:val="single" w:sz="2" w:space="0" w:color="CCEEFF"/>
            </w:tcBorders>
            <w:shd w:fill="CCEEFF" w:val="clear"/>
            <w:vAlign w:val="bottom"/>
          </w:tcPr>
          <w:p>
            <w:pPr>
              <w:pStyle w:val="TableContents"/>
              <w:spacing w:before="0" w:after="283"/>
              <w:jc w:val="left"/>
              <w:rPr/>
            </w:pPr>
            <w:r>
              <w:rPr/>
              <w:t> </w:t>
            </w:r>
          </w:p>
        </w:tc>
        <w:tc>
          <w:tcPr>
            <w:tcW w:w="141" w:type="dxa"/>
            <w:tcBorders>
              <w:bottom w:val="sing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bookmarkStart w:id="2885" w:name="TAB11288"/>
            <w:bookmarkEnd w:id="2885"/>
            <w:r>
              <w:rPr>
                <w:rFonts w:ascii="Times New Roman" w:hAnsi="Times New Roman"/>
                <w:sz w:val="20"/>
              </w:rPr>
              <w:t>$</w:t>
            </w:r>
          </w:p>
        </w:tc>
        <w:tc>
          <w:tcPr>
            <w:tcW w:w="553"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2886" w:name="TAB11289"/>
            <w:bookmarkEnd w:id="2886"/>
            <w:r>
              <w:rPr>
                <w:rFonts w:ascii="Times New Roman" w:hAnsi="Times New Roman"/>
                <w:sz w:val="20"/>
              </w:rPr>
              <w:t>9.90</w:t>
            </w:r>
          </w:p>
        </w:tc>
        <w:tc>
          <w:tcPr>
            <w:tcW w:w="100" w:type="dxa"/>
            <w:tcBorders>
              <w:bottom w:val="single" w:sz="2" w:space="0" w:color="CCEEFF"/>
            </w:tcBorders>
            <w:shd w:fill="CCEEFF" w:val="clear"/>
            <w:vAlign w:val="bottom"/>
          </w:tcPr>
          <w:p>
            <w:pPr>
              <w:pStyle w:val="TableContents"/>
              <w:spacing w:before="0" w:after="283"/>
              <w:jc w:val="left"/>
              <w:rPr/>
            </w:pPr>
            <w:r>
              <w:rPr/>
              <w:t> </w:t>
            </w:r>
          </w:p>
        </w:tc>
        <w:tc>
          <w:tcPr>
            <w:tcW w:w="100" w:type="dxa"/>
            <w:tcBorders>
              <w:bottom w:val="single" w:sz="2" w:space="0" w:color="000000"/>
            </w:tcBorders>
            <w:shd w:fill="CCEEFF" w:val="clear"/>
            <w:vAlign w:val="bottom"/>
          </w:tcPr>
          <w:p>
            <w:pPr>
              <w:pStyle w:val="TableContents"/>
              <w:spacing w:before="0" w:after="283"/>
              <w:jc w:val="left"/>
              <w:rPr/>
            </w:pPr>
            <w:r>
              <w:rPr/>
              <w:t> </w:t>
            </w:r>
          </w:p>
        </w:tc>
        <w:tc>
          <w:tcPr>
            <w:tcW w:w="846"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1,377,700</w:t>
            </w:r>
          </w:p>
        </w:tc>
        <w:tc>
          <w:tcPr>
            <w:tcW w:w="100" w:type="dxa"/>
            <w:tcBorders>
              <w:bottom w:val="single" w:sz="2" w:space="0" w:color="CCEEFF"/>
            </w:tcBorders>
            <w:shd w:fill="CCEEFF" w:val="clear"/>
            <w:vAlign w:val="bottom"/>
          </w:tcPr>
          <w:p>
            <w:pPr>
              <w:pStyle w:val="TableContents"/>
              <w:spacing w:before="0" w:after="283"/>
              <w:jc w:val="left"/>
              <w:rPr/>
            </w:pPr>
            <w:r>
              <w:rPr/>
              <w:t> </w:t>
            </w:r>
          </w:p>
        </w:tc>
        <w:tc>
          <w:tcPr>
            <w:tcW w:w="100" w:type="dxa"/>
            <w:tcBorders>
              <w:bottom w:val="single" w:sz="2" w:space="0" w:color="000000"/>
            </w:tcBorders>
            <w:shd w:fill="CCEEFF" w:val="clear"/>
            <w:vAlign w:val="bottom"/>
          </w:tcPr>
          <w:p>
            <w:pPr>
              <w:pStyle w:val="TableContents"/>
              <w:spacing w:before="0" w:after="283"/>
              <w:jc w:val="left"/>
              <w:rPr/>
            </w:pPr>
            <w:r>
              <w:rPr/>
              <w:t> </w:t>
            </w:r>
          </w:p>
        </w:tc>
        <w:tc>
          <w:tcPr>
            <w:tcW w:w="751" w:type="dxa"/>
            <w:tcBorders>
              <w:bottom w:val="single" w:sz="2" w:space="0" w:color="000000"/>
            </w:tcBorders>
            <w:shd w:fill="CCEE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185,100</w:t>
            </w:r>
          </w:p>
        </w:tc>
        <w:tc>
          <w:tcPr>
            <w:tcW w:w="100" w:type="dxa"/>
            <w:tcBorders>
              <w:bottom w:val="single" w:sz="2" w:space="0" w:color="CCEEFF"/>
            </w:tcBorders>
            <w:shd w:fill="CCEEFF" w:val="clear"/>
            <w:vAlign w:val="bottom"/>
          </w:tcPr>
          <w:p>
            <w:pPr>
              <w:pStyle w:val="TableContents"/>
              <w:spacing w:before="0" w:after="283"/>
              <w:jc w:val="left"/>
              <w:rPr/>
            </w:pPr>
            <w:r>
              <w:rPr/>
              <w:t> </w:t>
            </w:r>
          </w:p>
        </w:tc>
        <w:tc>
          <w:tcPr>
            <w:tcW w:w="141" w:type="dxa"/>
            <w:tcBorders>
              <w:bottom w:val="sing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bookmarkStart w:id="2887" w:name="TAB11290"/>
            <w:bookmarkEnd w:id="2887"/>
            <w:r>
              <w:rPr>
                <w:rFonts w:ascii="Times New Roman" w:hAnsi="Times New Roman"/>
                <w:sz w:val="20"/>
              </w:rPr>
              <w:t>$</w:t>
            </w:r>
          </w:p>
        </w:tc>
        <w:tc>
          <w:tcPr>
            <w:tcW w:w="553"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2888" w:name="TAB11291"/>
            <w:bookmarkEnd w:id="2888"/>
            <w:r>
              <w:rPr>
                <w:rFonts w:ascii="Times New Roman" w:hAnsi="Times New Roman"/>
                <w:sz w:val="20"/>
              </w:rPr>
              <w:t>4.80</w:t>
            </w:r>
          </w:p>
        </w:tc>
        <w:tc>
          <w:tcPr>
            <w:tcW w:w="100" w:type="dxa"/>
            <w:tcBorders>
              <w:bottom w:val="single" w:sz="2" w:space="0" w:color="CCEEFF"/>
            </w:tcBorders>
            <w:shd w:fill="CCEEFF" w:val="clear"/>
            <w:vAlign w:val="bottom"/>
          </w:tcPr>
          <w:p>
            <w:pPr>
              <w:pStyle w:val="TableContents"/>
              <w:spacing w:before="0" w:after="283"/>
              <w:jc w:val="left"/>
              <w:rPr/>
            </w:pPr>
            <w:r>
              <w:rPr/>
              <w:t> </w:t>
            </w:r>
          </w:p>
        </w:tc>
        <w:tc>
          <w:tcPr>
            <w:tcW w:w="141" w:type="dxa"/>
            <w:tcBorders>
              <w:bottom w:val="sing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bookmarkStart w:id="2889" w:name="TAB11292"/>
            <w:bookmarkEnd w:id="2889"/>
            <w:r>
              <w:rPr>
                <w:rFonts w:ascii="Times New Roman" w:hAnsi="Times New Roman"/>
                <w:sz w:val="20"/>
              </w:rPr>
              <w:t>$</w:t>
            </w:r>
            <w:bookmarkStart w:id="2890" w:name="TAB297"/>
            <w:bookmarkEnd w:id="2890"/>
          </w:p>
        </w:tc>
        <w:tc>
          <w:tcPr>
            <w:tcW w:w="553"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2891" w:name="TAB298"/>
            <w:bookmarkStart w:id="2892" w:name="TAB11293"/>
            <w:bookmarkEnd w:id="2891"/>
            <w:bookmarkEnd w:id="2892"/>
            <w:r>
              <w:rPr>
                <w:rFonts w:ascii="Times New Roman" w:hAnsi="Times New Roman"/>
                <w:sz w:val="20"/>
              </w:rPr>
              <w:t>9.90</w:t>
            </w:r>
          </w:p>
        </w:tc>
        <w:tc>
          <w:tcPr>
            <w:tcW w:w="124" w:type="dxa"/>
            <w:tcBorders>
              <w:bottom w:val="single" w:sz="2" w:space="0" w:color="CCEEFF"/>
            </w:tcBorders>
            <w:shd w:fill="CCEEFF" w:val="clear"/>
            <w:vAlign w:val="bottom"/>
          </w:tcPr>
          <w:p>
            <w:pPr>
              <w:pStyle w:val="TableContents"/>
              <w:spacing w:before="0" w:after="283"/>
              <w:jc w:val="left"/>
              <w:rPr/>
            </w:pPr>
            <w:r>
              <w:rPr/>
              <w:t> </w:t>
            </w:r>
          </w:p>
        </w:tc>
      </w:tr>
      <w:tr>
        <w:trPr/>
        <w:tc>
          <w:tcPr>
            <w:tcW w:w="2897" w:type="dxa"/>
            <w:tcBorders/>
            <w:shd w:fill="FFFFFF" w:val="clear"/>
            <w:tcMar>
              <w:bottom w:w="0" w:type="dxa"/>
            </w:tcMar>
            <w:vAlign w:val="bottom"/>
          </w:tcPr>
          <w:p>
            <w:pPr>
              <w:pStyle w:val="TableContents"/>
              <w:spacing w:lineRule="auto" w:line="300" w:before="0" w:after="0"/>
              <w:ind w:left="180" w:right="0" w:hanging="0"/>
              <w:jc w:val="left"/>
              <w:rPr>
                <w:rFonts w:ascii="Times New Roman" w:hAnsi="Times New Roman"/>
                <w:sz w:val="20"/>
              </w:rPr>
            </w:pPr>
            <w:bookmarkStart w:id="2893" w:name="TAB11294"/>
            <w:bookmarkEnd w:id="2893"/>
            <w:r>
              <w:rPr>
                <w:rFonts w:ascii="Times New Roman" w:hAnsi="Times New Roman"/>
                <w:sz w:val="20"/>
              </w:rPr>
              <w:t>Exercised</w:t>
            </w:r>
          </w:p>
        </w:tc>
        <w:tc>
          <w:tcPr>
            <w:tcW w:w="100" w:type="dxa"/>
            <w:tcBorders/>
            <w:shd w:fill="FFFFFF" w:val="clear"/>
            <w:tcMar>
              <w:bottom w:w="0" w:type="dxa"/>
            </w:tcMar>
            <w:vAlign w:val="center"/>
          </w:tcPr>
          <w:p>
            <w:pPr>
              <w:pStyle w:val="TableContents"/>
              <w:spacing w:before="0" w:after="283"/>
              <w:rPr/>
            </w:pPr>
            <w:r>
              <w:rPr/>
              <w:t> </w:t>
            </w:r>
          </w:p>
        </w:tc>
        <w:tc>
          <w:tcPr>
            <w:tcW w:w="100" w:type="dxa"/>
            <w:tcBorders/>
            <w:shd w:fill="FFFFFF" w:val="clear"/>
            <w:tcMar>
              <w:bottom w:w="0" w:type="dxa"/>
            </w:tcMar>
            <w:vAlign w:val="bottom"/>
          </w:tcPr>
          <w:p>
            <w:pPr>
              <w:pStyle w:val="TableContents"/>
              <w:spacing w:before="0" w:after="283"/>
              <w:jc w:val="left"/>
              <w:rPr/>
            </w:pPr>
            <w:r>
              <w:rPr/>
              <w:t> </w:t>
            </w:r>
          </w:p>
        </w:tc>
        <w:tc>
          <w:tcPr>
            <w:tcW w:w="846"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(974,600</w:t>
            </w:r>
          </w:p>
        </w:tc>
        <w:tc>
          <w:tcPr>
            <w:tcW w:w="113"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00" w:type="dxa"/>
            <w:tcBorders/>
            <w:shd w:fill="FFFFFF" w:val="clear"/>
            <w:tcMar>
              <w:bottom w:w="0" w:type="dxa"/>
            </w:tcMar>
            <w:vAlign w:val="bottom"/>
          </w:tcPr>
          <w:p>
            <w:pPr>
              <w:pStyle w:val="TableContents"/>
              <w:spacing w:before="0" w:after="283"/>
              <w:jc w:val="left"/>
              <w:rPr/>
            </w:pPr>
            <w:r>
              <w:rPr/>
              <w:t> </w:t>
            </w:r>
          </w:p>
        </w:tc>
        <w:tc>
          <w:tcPr>
            <w:tcW w:w="752"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100" w:type="dxa"/>
            <w:tcBorders/>
            <w:shd w:fill="FFFFFF" w:val="clear"/>
            <w:tcMar>
              <w:bottom w:w="0" w:type="dxa"/>
            </w:tcMar>
            <w:vAlign w:val="bottom"/>
          </w:tcPr>
          <w:p>
            <w:pPr>
              <w:pStyle w:val="TableContents"/>
              <w:spacing w:before="0" w:after="283"/>
              <w:jc w:val="left"/>
              <w:rPr/>
            </w:pPr>
            <w:r>
              <w:rPr/>
              <w:t> </w:t>
            </w:r>
          </w:p>
        </w:tc>
        <w:tc>
          <w:tcPr>
            <w:tcW w:w="141"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2894" w:name="TAB11295"/>
            <w:bookmarkEnd w:id="2894"/>
            <w:r>
              <w:rPr>
                <w:rFonts w:ascii="Times New Roman" w:hAnsi="Times New Roman"/>
                <w:sz w:val="20"/>
              </w:rPr>
              <w:t>$</w:t>
            </w:r>
            <w:bookmarkStart w:id="2895" w:name="TAB299"/>
            <w:bookmarkEnd w:id="2895"/>
          </w:p>
        </w:tc>
        <w:tc>
          <w:tcPr>
            <w:tcW w:w="553"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2896" w:name="TAB2100"/>
            <w:bookmarkStart w:id="2897" w:name="TAB11296"/>
            <w:bookmarkEnd w:id="2896"/>
            <w:bookmarkEnd w:id="2897"/>
            <w:r>
              <w:rPr>
                <w:rFonts w:ascii="Times New Roman" w:hAnsi="Times New Roman"/>
                <w:sz w:val="20"/>
              </w:rPr>
              <w:t>3.78</w:t>
            </w:r>
          </w:p>
        </w:tc>
        <w:tc>
          <w:tcPr>
            <w:tcW w:w="100" w:type="dxa"/>
            <w:tcBorders/>
            <w:shd w:fill="FFFFFF" w:val="clear"/>
            <w:tcMar>
              <w:bottom w:w="0" w:type="dxa"/>
            </w:tcMar>
            <w:vAlign w:val="bottom"/>
          </w:tcPr>
          <w:p>
            <w:pPr>
              <w:pStyle w:val="TableContents"/>
              <w:spacing w:before="0" w:after="283"/>
              <w:jc w:val="left"/>
              <w:rPr/>
            </w:pPr>
            <w:r>
              <w:rPr/>
              <w:t> </w:t>
            </w:r>
          </w:p>
        </w:tc>
        <w:tc>
          <w:tcPr>
            <w:tcW w:w="141"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2898" w:name="TAB11297"/>
            <w:bookmarkEnd w:id="2898"/>
            <w:r>
              <w:rPr>
                <w:rFonts w:ascii="Times New Roman" w:hAnsi="Times New Roman"/>
                <w:sz w:val="20"/>
              </w:rPr>
              <w:t>$</w:t>
            </w:r>
          </w:p>
        </w:tc>
        <w:tc>
          <w:tcPr>
            <w:tcW w:w="553"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2899" w:name="TAB11298"/>
            <w:bookmarkEnd w:id="2899"/>
            <w:r>
              <w:rPr>
                <w:rFonts w:ascii="Times New Roman" w:hAnsi="Times New Roman"/>
                <w:sz w:val="20"/>
              </w:rPr>
              <w:t>--</w:t>
            </w:r>
          </w:p>
        </w:tc>
        <w:tc>
          <w:tcPr>
            <w:tcW w:w="100" w:type="dxa"/>
            <w:tcBorders/>
            <w:shd w:fill="FFFFFF" w:val="clear"/>
            <w:tcMar>
              <w:bottom w:w="0" w:type="dxa"/>
            </w:tcMar>
            <w:vAlign w:val="bottom"/>
          </w:tcPr>
          <w:p>
            <w:pPr>
              <w:pStyle w:val="TableContents"/>
              <w:spacing w:before="0" w:after="283"/>
              <w:jc w:val="left"/>
              <w:rPr/>
            </w:pPr>
            <w:r>
              <w:rPr/>
              <w:t> </w:t>
            </w:r>
          </w:p>
        </w:tc>
        <w:tc>
          <w:tcPr>
            <w:tcW w:w="100" w:type="dxa"/>
            <w:tcBorders/>
            <w:shd w:fill="FFFFFF" w:val="clear"/>
            <w:tcMar>
              <w:bottom w:w="0" w:type="dxa"/>
            </w:tcMar>
            <w:vAlign w:val="bottom"/>
          </w:tcPr>
          <w:p>
            <w:pPr>
              <w:pStyle w:val="TableContents"/>
              <w:spacing w:before="0" w:after="283"/>
              <w:jc w:val="left"/>
              <w:rPr/>
            </w:pPr>
            <w:r>
              <w:rPr/>
              <w:t> </w:t>
            </w:r>
          </w:p>
        </w:tc>
        <w:tc>
          <w:tcPr>
            <w:tcW w:w="846" w:type="dxa"/>
            <w:tcBorders/>
            <w:shd w:fill="FFFFFF" w:val="clear"/>
            <w:tcMar>
              <w:bottom w:w="0" w:type="dxa"/>
            </w:tcMar>
            <w:vAlign w:val="bottom"/>
          </w:tcPr>
          <w:p>
            <w:pPr>
              <w:pStyle w:val="TableContents"/>
              <w:spacing w:before="0" w:after="283"/>
              <w:jc w:val="right"/>
              <w:rPr/>
            </w:pPr>
            <w:r>
              <w:rPr/>
              <w:t> </w:t>
            </w:r>
          </w:p>
        </w:tc>
        <w:tc>
          <w:tcPr>
            <w:tcW w:w="100" w:type="dxa"/>
            <w:tcBorders/>
            <w:shd w:fill="FFFFFF" w:val="clear"/>
            <w:tcMar>
              <w:bottom w:w="0" w:type="dxa"/>
            </w:tcMar>
            <w:vAlign w:val="bottom"/>
          </w:tcPr>
          <w:p>
            <w:pPr>
              <w:pStyle w:val="TableContents"/>
              <w:spacing w:before="0" w:after="283"/>
              <w:jc w:val="left"/>
              <w:rPr/>
            </w:pPr>
            <w:r>
              <w:rPr/>
              <w:t> </w:t>
            </w:r>
          </w:p>
        </w:tc>
        <w:tc>
          <w:tcPr>
            <w:tcW w:w="100" w:type="dxa"/>
            <w:tcBorders/>
            <w:shd w:fill="FFFFFF" w:val="clear"/>
            <w:tcMar>
              <w:bottom w:w="0" w:type="dxa"/>
            </w:tcMar>
            <w:vAlign w:val="bottom"/>
          </w:tcPr>
          <w:p>
            <w:pPr>
              <w:pStyle w:val="TableContents"/>
              <w:spacing w:before="0" w:after="283"/>
              <w:jc w:val="left"/>
              <w:rPr/>
            </w:pPr>
            <w:r>
              <w:rPr/>
              <w:t> </w:t>
            </w:r>
          </w:p>
        </w:tc>
        <w:tc>
          <w:tcPr>
            <w:tcW w:w="751" w:type="dxa"/>
            <w:tcBorders/>
            <w:shd w:fill="FFFFFF" w:val="clear"/>
            <w:tcMar>
              <w:bottom w:w="0" w:type="dxa"/>
            </w:tcMar>
            <w:vAlign w:val="bottom"/>
          </w:tcPr>
          <w:p>
            <w:pPr>
              <w:pStyle w:val="TableContents"/>
              <w:spacing w:before="0" w:after="283"/>
              <w:jc w:val="right"/>
              <w:rPr/>
            </w:pPr>
            <w:r>
              <w:rPr/>
              <w:t> </w:t>
            </w:r>
          </w:p>
        </w:tc>
        <w:tc>
          <w:tcPr>
            <w:tcW w:w="100" w:type="dxa"/>
            <w:tcBorders/>
            <w:shd w:fill="FFFFFF" w:val="clear"/>
            <w:tcMar>
              <w:bottom w:w="0" w:type="dxa"/>
            </w:tcMar>
            <w:vAlign w:val="bottom"/>
          </w:tcPr>
          <w:p>
            <w:pPr>
              <w:pStyle w:val="TableContents"/>
              <w:spacing w:before="0" w:after="283"/>
              <w:jc w:val="left"/>
              <w:rPr/>
            </w:pPr>
            <w:r>
              <w:rPr/>
              <w:t> </w:t>
            </w:r>
          </w:p>
        </w:tc>
        <w:tc>
          <w:tcPr>
            <w:tcW w:w="141" w:type="dxa"/>
            <w:tcBorders/>
            <w:shd w:fill="FFFFFF" w:val="clear"/>
            <w:tcMar>
              <w:bottom w:w="0" w:type="dxa"/>
            </w:tcMar>
            <w:vAlign w:val="bottom"/>
          </w:tcPr>
          <w:p>
            <w:pPr>
              <w:pStyle w:val="TableContents"/>
              <w:spacing w:before="0" w:after="283"/>
              <w:jc w:val="left"/>
              <w:rPr/>
            </w:pPr>
            <w:r>
              <w:rPr/>
              <w:t> </w:t>
            </w:r>
          </w:p>
        </w:tc>
        <w:tc>
          <w:tcPr>
            <w:tcW w:w="553" w:type="dxa"/>
            <w:tcBorders/>
            <w:shd w:fill="FFFFFF" w:val="clear"/>
            <w:tcMar>
              <w:bottom w:w="0" w:type="dxa"/>
            </w:tcMar>
            <w:vAlign w:val="bottom"/>
          </w:tcPr>
          <w:p>
            <w:pPr>
              <w:pStyle w:val="TableContents"/>
              <w:spacing w:before="0" w:after="283"/>
              <w:jc w:val="right"/>
              <w:rPr/>
            </w:pPr>
            <w:r>
              <w:rPr/>
              <w:t> </w:t>
            </w:r>
          </w:p>
        </w:tc>
        <w:tc>
          <w:tcPr>
            <w:tcW w:w="100" w:type="dxa"/>
            <w:tcBorders/>
            <w:shd w:fill="FFFFFF" w:val="clear"/>
            <w:tcMar>
              <w:bottom w:w="0" w:type="dxa"/>
            </w:tcMar>
            <w:vAlign w:val="bottom"/>
          </w:tcPr>
          <w:p>
            <w:pPr>
              <w:pStyle w:val="TableContents"/>
              <w:spacing w:before="0" w:after="283"/>
              <w:jc w:val="left"/>
              <w:rPr/>
            </w:pPr>
            <w:r>
              <w:rPr/>
              <w:t> </w:t>
            </w:r>
          </w:p>
        </w:tc>
        <w:tc>
          <w:tcPr>
            <w:tcW w:w="141" w:type="dxa"/>
            <w:tcBorders/>
            <w:shd w:fill="FFFFFF" w:val="clear"/>
            <w:tcMar>
              <w:bottom w:w="0" w:type="dxa"/>
            </w:tcMar>
            <w:vAlign w:val="bottom"/>
          </w:tcPr>
          <w:p>
            <w:pPr>
              <w:pStyle w:val="TableContents"/>
              <w:spacing w:before="0" w:after="283"/>
              <w:jc w:val="left"/>
              <w:rPr/>
            </w:pPr>
            <w:r>
              <w:rPr/>
              <w:t> </w:t>
            </w:r>
          </w:p>
        </w:tc>
        <w:tc>
          <w:tcPr>
            <w:tcW w:w="553" w:type="dxa"/>
            <w:tcBorders/>
            <w:shd w:fill="FFFFFF" w:val="clear"/>
            <w:tcMar>
              <w:bottom w:w="0" w:type="dxa"/>
            </w:tcMar>
            <w:vAlign w:val="bottom"/>
          </w:tcPr>
          <w:p>
            <w:pPr>
              <w:pStyle w:val="TableContents"/>
              <w:spacing w:before="0" w:after="283"/>
              <w:jc w:val="right"/>
              <w:rPr/>
            </w:pPr>
            <w:r>
              <w:rPr/>
              <w:t> </w:t>
            </w:r>
          </w:p>
        </w:tc>
        <w:tc>
          <w:tcPr>
            <w:tcW w:w="124" w:type="dxa"/>
            <w:tcBorders/>
            <w:shd w:fill="FFFFFF" w:val="clear"/>
            <w:tcMar>
              <w:bottom w:w="0" w:type="dxa"/>
            </w:tcMar>
            <w:vAlign w:val="bottom"/>
          </w:tcPr>
          <w:p>
            <w:pPr>
              <w:pStyle w:val="TableContents"/>
              <w:spacing w:before="0" w:after="283"/>
              <w:jc w:val="left"/>
              <w:rPr/>
            </w:pPr>
            <w:r>
              <w:rPr/>
              <w:t> </w:t>
            </w:r>
          </w:p>
        </w:tc>
      </w:tr>
      <w:tr>
        <w:trPr/>
        <w:tc>
          <w:tcPr>
            <w:tcW w:w="2897" w:type="dxa"/>
            <w:tcBorders>
              <w:bottom w:val="single" w:sz="2" w:space="0" w:color="000000"/>
            </w:tcBorders>
            <w:shd w:fill="CCEEFF" w:val="clear"/>
            <w:vAlign w:val="bottom"/>
          </w:tcPr>
          <w:p>
            <w:pPr>
              <w:pStyle w:val="TableContents"/>
              <w:spacing w:lineRule="auto" w:line="300" w:before="0" w:after="0"/>
              <w:ind w:left="180" w:right="0" w:hanging="0"/>
              <w:jc w:val="left"/>
              <w:rPr>
                <w:rFonts w:ascii="Times New Roman" w:hAnsi="Times New Roman"/>
                <w:sz w:val="20"/>
              </w:rPr>
            </w:pPr>
            <w:bookmarkStart w:id="2900" w:name="TAB11299"/>
            <w:bookmarkEnd w:id="2900"/>
            <w:r>
              <w:rPr>
                <w:rFonts w:ascii="Times New Roman" w:hAnsi="Times New Roman"/>
                <w:sz w:val="20"/>
              </w:rPr>
              <w:t>Granted</w:t>
            </w:r>
          </w:p>
        </w:tc>
        <w:tc>
          <w:tcPr>
            <w:tcW w:w="100" w:type="dxa"/>
            <w:tcBorders>
              <w:bottom w:val="single" w:sz="2" w:space="0" w:color="CCEEFF"/>
            </w:tcBorders>
            <w:shd w:fill="CCEEFF" w:val="clear"/>
            <w:vAlign w:val="center"/>
          </w:tcPr>
          <w:p>
            <w:pPr>
              <w:pStyle w:val="TableContents"/>
              <w:spacing w:before="0" w:after="283"/>
              <w:rPr/>
            </w:pPr>
            <w:r>
              <w:rPr/>
              <w:t> </w:t>
            </w:r>
          </w:p>
        </w:tc>
        <w:tc>
          <w:tcPr>
            <w:tcW w:w="100" w:type="dxa"/>
            <w:tcBorders>
              <w:bottom w:val="single" w:sz="2" w:space="0" w:color="000000"/>
            </w:tcBorders>
            <w:shd w:fill="CCEEFF" w:val="clear"/>
            <w:vAlign w:val="bottom"/>
          </w:tcPr>
          <w:p>
            <w:pPr>
              <w:pStyle w:val="TableContents"/>
              <w:spacing w:before="0" w:after="283"/>
              <w:jc w:val="left"/>
              <w:rPr/>
            </w:pPr>
            <w:r>
              <w:rPr/>
              <w:t> </w:t>
            </w:r>
          </w:p>
        </w:tc>
        <w:tc>
          <w:tcPr>
            <w:tcW w:w="846"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7,500</w:t>
            </w:r>
          </w:p>
        </w:tc>
        <w:tc>
          <w:tcPr>
            <w:tcW w:w="113" w:type="dxa"/>
            <w:tcBorders>
              <w:bottom w:val="single" w:sz="2" w:space="0" w:color="CCEEFF"/>
            </w:tcBorders>
            <w:shd w:fill="CCEEFF" w:val="clear"/>
            <w:vAlign w:val="bottom"/>
          </w:tcPr>
          <w:p>
            <w:pPr>
              <w:pStyle w:val="TableContents"/>
              <w:spacing w:before="0" w:after="283"/>
              <w:jc w:val="left"/>
              <w:rPr/>
            </w:pPr>
            <w:r>
              <w:rPr/>
              <w:t> </w:t>
            </w:r>
          </w:p>
        </w:tc>
        <w:tc>
          <w:tcPr>
            <w:tcW w:w="100" w:type="dxa"/>
            <w:tcBorders>
              <w:bottom w:val="single" w:sz="2" w:space="0" w:color="000000"/>
            </w:tcBorders>
            <w:shd w:fill="CCEEFF" w:val="clear"/>
            <w:vAlign w:val="bottom"/>
          </w:tcPr>
          <w:p>
            <w:pPr>
              <w:pStyle w:val="TableContents"/>
              <w:spacing w:before="0" w:after="283"/>
              <w:jc w:val="left"/>
              <w:rPr/>
            </w:pPr>
            <w:r>
              <w:rPr/>
              <w:t> </w:t>
            </w:r>
          </w:p>
        </w:tc>
        <w:tc>
          <w:tcPr>
            <w:tcW w:w="752"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100" w:type="dxa"/>
            <w:tcBorders>
              <w:bottom w:val="single" w:sz="2" w:space="0" w:color="CCEEFF"/>
            </w:tcBorders>
            <w:shd w:fill="CCEEFF" w:val="clear"/>
            <w:vAlign w:val="bottom"/>
          </w:tcPr>
          <w:p>
            <w:pPr>
              <w:pStyle w:val="TableContents"/>
              <w:spacing w:before="0" w:after="283"/>
              <w:jc w:val="left"/>
              <w:rPr/>
            </w:pPr>
            <w:r>
              <w:rPr/>
              <w:t> </w:t>
            </w:r>
          </w:p>
        </w:tc>
        <w:tc>
          <w:tcPr>
            <w:tcW w:w="141" w:type="dxa"/>
            <w:tcBorders>
              <w:bottom w:val="sing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bookmarkStart w:id="2901" w:name="TAB11300"/>
            <w:bookmarkEnd w:id="2901"/>
            <w:r>
              <w:rPr>
                <w:rFonts w:ascii="Times New Roman" w:hAnsi="Times New Roman"/>
                <w:sz w:val="20"/>
              </w:rPr>
              <w:t>$</w:t>
            </w:r>
            <w:bookmarkStart w:id="2902" w:name="TAB2101"/>
            <w:bookmarkEnd w:id="2902"/>
          </w:p>
        </w:tc>
        <w:tc>
          <w:tcPr>
            <w:tcW w:w="553"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2903" w:name="TAB2102"/>
            <w:bookmarkStart w:id="2904" w:name="TAB11301"/>
            <w:bookmarkEnd w:id="2903"/>
            <w:bookmarkEnd w:id="2904"/>
            <w:r>
              <w:rPr>
                <w:rFonts w:ascii="Times New Roman" w:hAnsi="Times New Roman"/>
                <w:sz w:val="20"/>
              </w:rPr>
              <w:t>7.86</w:t>
            </w:r>
          </w:p>
        </w:tc>
        <w:tc>
          <w:tcPr>
            <w:tcW w:w="100" w:type="dxa"/>
            <w:tcBorders>
              <w:bottom w:val="single" w:sz="2" w:space="0" w:color="CCEEFF"/>
            </w:tcBorders>
            <w:shd w:fill="CCEEFF" w:val="clear"/>
            <w:vAlign w:val="bottom"/>
          </w:tcPr>
          <w:p>
            <w:pPr>
              <w:pStyle w:val="TableContents"/>
              <w:spacing w:before="0" w:after="283"/>
              <w:jc w:val="left"/>
              <w:rPr/>
            </w:pPr>
            <w:r>
              <w:rPr/>
              <w:t> </w:t>
            </w:r>
          </w:p>
        </w:tc>
        <w:tc>
          <w:tcPr>
            <w:tcW w:w="141" w:type="dxa"/>
            <w:tcBorders>
              <w:bottom w:val="sing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bookmarkStart w:id="2905" w:name="TAB11302"/>
            <w:bookmarkEnd w:id="2905"/>
            <w:r>
              <w:rPr>
                <w:rFonts w:ascii="Times New Roman" w:hAnsi="Times New Roman"/>
                <w:sz w:val="20"/>
              </w:rPr>
              <w:t>$</w:t>
            </w:r>
          </w:p>
        </w:tc>
        <w:tc>
          <w:tcPr>
            <w:tcW w:w="553"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2906" w:name="TAB11303"/>
            <w:bookmarkEnd w:id="2906"/>
            <w:r>
              <w:rPr>
                <w:rFonts w:ascii="Times New Roman" w:hAnsi="Times New Roman"/>
                <w:sz w:val="20"/>
              </w:rPr>
              <w:t>--</w:t>
            </w:r>
          </w:p>
        </w:tc>
        <w:tc>
          <w:tcPr>
            <w:tcW w:w="100" w:type="dxa"/>
            <w:tcBorders>
              <w:bottom w:val="single" w:sz="2" w:space="0" w:color="CCEEFF"/>
            </w:tcBorders>
            <w:shd w:fill="CCEEFF" w:val="clear"/>
            <w:vAlign w:val="bottom"/>
          </w:tcPr>
          <w:p>
            <w:pPr>
              <w:pStyle w:val="TableContents"/>
              <w:spacing w:before="0" w:after="283"/>
              <w:jc w:val="left"/>
              <w:rPr/>
            </w:pPr>
            <w:r>
              <w:rPr/>
              <w:t> </w:t>
            </w:r>
          </w:p>
        </w:tc>
        <w:tc>
          <w:tcPr>
            <w:tcW w:w="100" w:type="dxa"/>
            <w:tcBorders>
              <w:bottom w:val="single" w:sz="2" w:space="0" w:color="000000"/>
            </w:tcBorders>
            <w:shd w:fill="CCEEFF" w:val="clear"/>
            <w:vAlign w:val="bottom"/>
          </w:tcPr>
          <w:p>
            <w:pPr>
              <w:pStyle w:val="TableContents"/>
              <w:spacing w:before="0" w:after="283"/>
              <w:jc w:val="left"/>
              <w:rPr/>
            </w:pPr>
            <w:r>
              <w:rPr/>
              <w:t> </w:t>
            </w:r>
          </w:p>
        </w:tc>
        <w:tc>
          <w:tcPr>
            <w:tcW w:w="846" w:type="dxa"/>
            <w:tcBorders>
              <w:bottom w:val="single" w:sz="2" w:space="0" w:color="000000"/>
            </w:tcBorders>
            <w:shd w:fill="CCEEFF" w:val="clear"/>
            <w:vAlign w:val="bottom"/>
          </w:tcPr>
          <w:p>
            <w:pPr>
              <w:pStyle w:val="TableContents"/>
              <w:spacing w:before="0" w:after="283"/>
              <w:jc w:val="right"/>
              <w:rPr/>
            </w:pPr>
            <w:r>
              <w:rPr/>
              <w:t> </w:t>
            </w:r>
          </w:p>
        </w:tc>
        <w:tc>
          <w:tcPr>
            <w:tcW w:w="100" w:type="dxa"/>
            <w:tcBorders>
              <w:bottom w:val="single" w:sz="2" w:space="0" w:color="CCEEFF"/>
            </w:tcBorders>
            <w:shd w:fill="CCEEFF" w:val="clear"/>
            <w:vAlign w:val="bottom"/>
          </w:tcPr>
          <w:p>
            <w:pPr>
              <w:pStyle w:val="TableContents"/>
              <w:spacing w:before="0" w:after="283"/>
              <w:jc w:val="left"/>
              <w:rPr/>
            </w:pPr>
            <w:r>
              <w:rPr/>
              <w:t> </w:t>
            </w:r>
          </w:p>
        </w:tc>
        <w:tc>
          <w:tcPr>
            <w:tcW w:w="100" w:type="dxa"/>
            <w:tcBorders>
              <w:bottom w:val="single" w:sz="2" w:space="0" w:color="000000"/>
            </w:tcBorders>
            <w:shd w:fill="CCEEFF" w:val="clear"/>
            <w:vAlign w:val="bottom"/>
          </w:tcPr>
          <w:p>
            <w:pPr>
              <w:pStyle w:val="TableContents"/>
              <w:spacing w:before="0" w:after="283"/>
              <w:jc w:val="left"/>
              <w:rPr/>
            </w:pPr>
            <w:r>
              <w:rPr/>
              <w:t> </w:t>
            </w:r>
          </w:p>
        </w:tc>
        <w:tc>
          <w:tcPr>
            <w:tcW w:w="751" w:type="dxa"/>
            <w:tcBorders>
              <w:bottom w:val="single" w:sz="2" w:space="0" w:color="000000"/>
            </w:tcBorders>
            <w:shd w:fill="CCEEFF" w:val="clear"/>
            <w:vAlign w:val="bottom"/>
          </w:tcPr>
          <w:p>
            <w:pPr>
              <w:pStyle w:val="TableContents"/>
              <w:spacing w:before="0" w:after="283"/>
              <w:jc w:val="right"/>
              <w:rPr/>
            </w:pPr>
            <w:r>
              <w:rPr/>
              <w:t> </w:t>
            </w:r>
          </w:p>
        </w:tc>
        <w:tc>
          <w:tcPr>
            <w:tcW w:w="100" w:type="dxa"/>
            <w:tcBorders>
              <w:bottom w:val="single" w:sz="2" w:space="0" w:color="CCEEFF"/>
            </w:tcBorders>
            <w:shd w:fill="CCEEFF" w:val="clear"/>
            <w:vAlign w:val="bottom"/>
          </w:tcPr>
          <w:p>
            <w:pPr>
              <w:pStyle w:val="TableContents"/>
              <w:spacing w:before="0" w:after="283"/>
              <w:jc w:val="left"/>
              <w:rPr/>
            </w:pPr>
            <w:r>
              <w:rPr/>
              <w:t> </w:t>
            </w:r>
          </w:p>
        </w:tc>
        <w:tc>
          <w:tcPr>
            <w:tcW w:w="141" w:type="dxa"/>
            <w:tcBorders>
              <w:bottom w:val="single" w:sz="2" w:space="0" w:color="000000"/>
            </w:tcBorders>
            <w:shd w:fill="CCEEFF" w:val="clear"/>
            <w:vAlign w:val="bottom"/>
          </w:tcPr>
          <w:p>
            <w:pPr>
              <w:pStyle w:val="TableContents"/>
              <w:spacing w:before="0" w:after="283"/>
              <w:jc w:val="left"/>
              <w:rPr/>
            </w:pPr>
            <w:r>
              <w:rPr/>
              <w:t> </w:t>
            </w:r>
          </w:p>
        </w:tc>
        <w:tc>
          <w:tcPr>
            <w:tcW w:w="553" w:type="dxa"/>
            <w:tcBorders>
              <w:bottom w:val="single" w:sz="2" w:space="0" w:color="000000"/>
            </w:tcBorders>
            <w:shd w:fill="CCEEFF" w:val="clear"/>
            <w:vAlign w:val="bottom"/>
          </w:tcPr>
          <w:p>
            <w:pPr>
              <w:pStyle w:val="TableContents"/>
              <w:spacing w:before="0" w:after="283"/>
              <w:jc w:val="right"/>
              <w:rPr/>
            </w:pPr>
            <w:r>
              <w:rPr/>
              <w:t> </w:t>
            </w:r>
          </w:p>
        </w:tc>
        <w:tc>
          <w:tcPr>
            <w:tcW w:w="100" w:type="dxa"/>
            <w:tcBorders>
              <w:bottom w:val="single" w:sz="2" w:space="0" w:color="CCEEFF"/>
            </w:tcBorders>
            <w:shd w:fill="CCEEFF" w:val="clear"/>
            <w:vAlign w:val="bottom"/>
          </w:tcPr>
          <w:p>
            <w:pPr>
              <w:pStyle w:val="TableContents"/>
              <w:spacing w:before="0" w:after="283"/>
              <w:jc w:val="left"/>
              <w:rPr/>
            </w:pPr>
            <w:r>
              <w:rPr/>
              <w:t> </w:t>
            </w:r>
          </w:p>
        </w:tc>
        <w:tc>
          <w:tcPr>
            <w:tcW w:w="141" w:type="dxa"/>
            <w:tcBorders>
              <w:bottom w:val="single" w:sz="2" w:space="0" w:color="000000"/>
            </w:tcBorders>
            <w:shd w:fill="CCEEFF" w:val="clear"/>
            <w:vAlign w:val="bottom"/>
          </w:tcPr>
          <w:p>
            <w:pPr>
              <w:pStyle w:val="TableContents"/>
              <w:spacing w:before="0" w:after="283"/>
              <w:jc w:val="left"/>
              <w:rPr/>
            </w:pPr>
            <w:r>
              <w:rPr/>
              <w:t> </w:t>
            </w:r>
          </w:p>
        </w:tc>
        <w:tc>
          <w:tcPr>
            <w:tcW w:w="553" w:type="dxa"/>
            <w:tcBorders>
              <w:bottom w:val="single" w:sz="2" w:space="0" w:color="000000"/>
            </w:tcBorders>
            <w:shd w:fill="CCEEFF" w:val="clear"/>
            <w:vAlign w:val="bottom"/>
          </w:tcPr>
          <w:p>
            <w:pPr>
              <w:pStyle w:val="TableContents"/>
              <w:spacing w:before="0" w:after="283"/>
              <w:jc w:val="right"/>
              <w:rPr/>
            </w:pPr>
            <w:r>
              <w:rPr/>
              <w:t> </w:t>
            </w:r>
          </w:p>
        </w:tc>
        <w:tc>
          <w:tcPr>
            <w:tcW w:w="124" w:type="dxa"/>
            <w:tcBorders>
              <w:bottom w:val="single" w:sz="2" w:space="0" w:color="CCEEFF"/>
            </w:tcBorders>
            <w:shd w:fill="CCEEFF" w:val="clear"/>
            <w:vAlign w:val="bottom"/>
          </w:tcPr>
          <w:p>
            <w:pPr>
              <w:pStyle w:val="TableContents"/>
              <w:spacing w:before="0" w:after="283"/>
              <w:jc w:val="left"/>
              <w:rPr/>
            </w:pPr>
            <w:r>
              <w:rPr/>
              <w:t> </w:t>
            </w:r>
          </w:p>
        </w:tc>
      </w:tr>
      <w:tr>
        <w:trPr/>
        <w:tc>
          <w:tcPr>
            <w:tcW w:w="2897" w:type="dxa"/>
            <w:tcBorders>
              <w:bottom w:val="sing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Outstanding-December 31, 2005</w:t>
            </w:r>
          </w:p>
        </w:tc>
        <w:tc>
          <w:tcPr>
            <w:tcW w:w="100" w:type="dxa"/>
            <w:tcBorders>
              <w:bottom w:val="single" w:sz="2" w:space="0" w:color="FFFFFF"/>
            </w:tcBorders>
            <w:shd w:fill="FFFFFF" w:val="clear"/>
            <w:vAlign w:val="center"/>
          </w:tcPr>
          <w:p>
            <w:pPr>
              <w:pStyle w:val="TableContents"/>
              <w:spacing w:before="0" w:after="283"/>
              <w:rPr/>
            </w:pPr>
            <w:r>
              <w:rPr/>
              <w:t> </w:t>
            </w:r>
          </w:p>
        </w:tc>
        <w:tc>
          <w:tcPr>
            <w:tcW w:w="100" w:type="dxa"/>
            <w:tcBorders>
              <w:bottom w:val="single" w:sz="2" w:space="0" w:color="000000"/>
            </w:tcBorders>
            <w:shd w:fill="FFFFFF" w:val="clear"/>
            <w:vAlign w:val="bottom"/>
          </w:tcPr>
          <w:p>
            <w:pPr>
              <w:pStyle w:val="TableContents"/>
              <w:spacing w:before="0" w:after="283"/>
              <w:jc w:val="left"/>
              <w:rPr/>
            </w:pPr>
            <w:r>
              <w:rPr/>
              <w:t> </w:t>
            </w:r>
          </w:p>
        </w:tc>
        <w:tc>
          <w:tcPr>
            <w:tcW w:w="846"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521,100</w:t>
            </w:r>
          </w:p>
        </w:tc>
        <w:tc>
          <w:tcPr>
            <w:tcW w:w="113" w:type="dxa"/>
            <w:tcBorders>
              <w:bottom w:val="single" w:sz="2" w:space="0" w:color="FFFFFF"/>
            </w:tcBorders>
            <w:shd w:fill="FFFFFF" w:val="clear"/>
            <w:vAlign w:val="bottom"/>
          </w:tcPr>
          <w:p>
            <w:pPr>
              <w:pStyle w:val="TableContents"/>
              <w:spacing w:before="0" w:after="283"/>
              <w:jc w:val="left"/>
              <w:rPr/>
            </w:pPr>
            <w:r>
              <w:rPr/>
              <w:t> </w:t>
            </w:r>
          </w:p>
        </w:tc>
        <w:tc>
          <w:tcPr>
            <w:tcW w:w="100" w:type="dxa"/>
            <w:tcBorders>
              <w:bottom w:val="single" w:sz="2" w:space="0" w:color="000000"/>
            </w:tcBorders>
            <w:shd w:fill="FFFFFF" w:val="clear"/>
            <w:vAlign w:val="bottom"/>
          </w:tcPr>
          <w:p>
            <w:pPr>
              <w:pStyle w:val="TableContents"/>
              <w:spacing w:before="0" w:after="283"/>
              <w:jc w:val="left"/>
              <w:rPr/>
            </w:pPr>
            <w:r>
              <w:rPr/>
              <w:t> </w:t>
            </w:r>
          </w:p>
        </w:tc>
        <w:tc>
          <w:tcPr>
            <w:tcW w:w="752"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185,100</w:t>
            </w:r>
          </w:p>
        </w:tc>
        <w:tc>
          <w:tcPr>
            <w:tcW w:w="100" w:type="dxa"/>
            <w:tcBorders>
              <w:bottom w:val="single" w:sz="2" w:space="0" w:color="FFFFFF"/>
            </w:tcBorders>
            <w:shd w:fill="FFFFFF" w:val="clear"/>
            <w:vAlign w:val="bottom"/>
          </w:tcPr>
          <w:p>
            <w:pPr>
              <w:pStyle w:val="TableContents"/>
              <w:spacing w:before="0" w:after="283"/>
              <w:jc w:val="left"/>
              <w:rPr/>
            </w:pPr>
            <w:r>
              <w:rPr/>
              <w:t> </w:t>
            </w:r>
          </w:p>
        </w:tc>
        <w:tc>
          <w:tcPr>
            <w:tcW w:w="141" w:type="dxa"/>
            <w:tcBorders>
              <w:bottom w:val="sing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bookmarkStart w:id="2907" w:name="TAB11304"/>
            <w:bookmarkEnd w:id="2907"/>
            <w:r>
              <w:rPr>
                <w:rFonts w:ascii="Times New Roman" w:hAnsi="Times New Roman"/>
                <w:sz w:val="20"/>
              </w:rPr>
              <w:t>$</w:t>
            </w:r>
            <w:bookmarkStart w:id="2908" w:name="TAB2103"/>
            <w:bookmarkEnd w:id="2908"/>
          </w:p>
        </w:tc>
        <w:tc>
          <w:tcPr>
            <w:tcW w:w="553"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2909" w:name="TAB2104"/>
            <w:bookmarkStart w:id="2910" w:name="TAB11305"/>
            <w:bookmarkEnd w:id="2909"/>
            <w:bookmarkEnd w:id="2910"/>
            <w:r>
              <w:rPr>
                <w:rFonts w:ascii="Times New Roman" w:hAnsi="Times New Roman"/>
                <w:sz w:val="20"/>
              </w:rPr>
              <w:t>5.00</w:t>
            </w:r>
          </w:p>
        </w:tc>
        <w:tc>
          <w:tcPr>
            <w:tcW w:w="100" w:type="dxa"/>
            <w:tcBorders>
              <w:bottom w:val="single" w:sz="2" w:space="0" w:color="FFFFFF"/>
            </w:tcBorders>
            <w:shd w:fill="FFFFFF" w:val="clear"/>
            <w:vAlign w:val="bottom"/>
          </w:tcPr>
          <w:p>
            <w:pPr>
              <w:pStyle w:val="TableContents"/>
              <w:spacing w:before="0" w:after="283"/>
              <w:jc w:val="left"/>
              <w:rPr/>
            </w:pPr>
            <w:r>
              <w:rPr/>
              <w:t> </w:t>
            </w:r>
          </w:p>
        </w:tc>
        <w:tc>
          <w:tcPr>
            <w:tcW w:w="141" w:type="dxa"/>
            <w:tcBorders>
              <w:bottom w:val="sing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bookmarkStart w:id="2911" w:name="TAB11306"/>
            <w:bookmarkEnd w:id="2911"/>
            <w:r>
              <w:rPr>
                <w:rFonts w:ascii="Times New Roman" w:hAnsi="Times New Roman"/>
                <w:sz w:val="20"/>
              </w:rPr>
              <w:t>$</w:t>
            </w:r>
          </w:p>
        </w:tc>
        <w:tc>
          <w:tcPr>
            <w:tcW w:w="553"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2912" w:name="TAB11307"/>
            <w:bookmarkEnd w:id="2912"/>
            <w:r>
              <w:rPr>
                <w:rFonts w:ascii="Times New Roman" w:hAnsi="Times New Roman"/>
                <w:sz w:val="20"/>
              </w:rPr>
              <w:t>9.90</w:t>
            </w:r>
          </w:p>
        </w:tc>
        <w:tc>
          <w:tcPr>
            <w:tcW w:w="100" w:type="dxa"/>
            <w:tcBorders>
              <w:bottom w:val="single" w:sz="2" w:space="0" w:color="FFFFFF"/>
            </w:tcBorders>
            <w:shd w:fill="FFFFFF" w:val="clear"/>
            <w:vAlign w:val="bottom"/>
          </w:tcPr>
          <w:p>
            <w:pPr>
              <w:pStyle w:val="TableContents"/>
              <w:spacing w:before="0" w:after="283"/>
              <w:jc w:val="left"/>
              <w:rPr/>
            </w:pPr>
            <w:r>
              <w:rPr/>
              <w:t> </w:t>
            </w:r>
          </w:p>
        </w:tc>
        <w:tc>
          <w:tcPr>
            <w:tcW w:w="100" w:type="dxa"/>
            <w:tcBorders>
              <w:bottom w:val="single" w:sz="2" w:space="0" w:color="000000"/>
            </w:tcBorders>
            <w:shd w:fill="FFFFFF" w:val="clear"/>
            <w:vAlign w:val="bottom"/>
          </w:tcPr>
          <w:p>
            <w:pPr>
              <w:pStyle w:val="TableContents"/>
              <w:spacing w:before="0" w:after="283"/>
              <w:jc w:val="left"/>
              <w:rPr/>
            </w:pPr>
            <w:r>
              <w:rPr/>
              <w:t> </w:t>
            </w:r>
          </w:p>
        </w:tc>
        <w:tc>
          <w:tcPr>
            <w:tcW w:w="846"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474,600</w:t>
            </w:r>
          </w:p>
        </w:tc>
        <w:tc>
          <w:tcPr>
            <w:tcW w:w="100" w:type="dxa"/>
            <w:tcBorders>
              <w:bottom w:val="single" w:sz="2" w:space="0" w:color="FFFFFF"/>
            </w:tcBorders>
            <w:shd w:fill="FFFFFF" w:val="clear"/>
            <w:vAlign w:val="bottom"/>
          </w:tcPr>
          <w:p>
            <w:pPr>
              <w:pStyle w:val="TableContents"/>
              <w:spacing w:before="0" w:after="283"/>
              <w:jc w:val="left"/>
              <w:rPr/>
            </w:pPr>
            <w:r>
              <w:rPr/>
              <w:t> </w:t>
            </w:r>
          </w:p>
        </w:tc>
        <w:tc>
          <w:tcPr>
            <w:tcW w:w="100" w:type="dxa"/>
            <w:tcBorders>
              <w:bottom w:val="single" w:sz="2" w:space="0" w:color="000000"/>
            </w:tcBorders>
            <w:shd w:fill="FFFFFF" w:val="clear"/>
            <w:vAlign w:val="bottom"/>
          </w:tcPr>
          <w:p>
            <w:pPr>
              <w:pStyle w:val="TableContents"/>
              <w:spacing w:before="0" w:after="283"/>
              <w:jc w:val="left"/>
              <w:rPr/>
            </w:pPr>
            <w:r>
              <w:rPr/>
              <w:t> </w:t>
            </w:r>
          </w:p>
        </w:tc>
        <w:tc>
          <w:tcPr>
            <w:tcW w:w="751" w:type="dxa"/>
            <w:tcBorders>
              <w:bottom w:val="single" w:sz="2" w:space="0" w:color="000000"/>
            </w:tcBorders>
            <w:shd w:fill="FFFF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185,100</w:t>
            </w:r>
          </w:p>
        </w:tc>
        <w:tc>
          <w:tcPr>
            <w:tcW w:w="100" w:type="dxa"/>
            <w:tcBorders>
              <w:bottom w:val="single" w:sz="2" w:space="0" w:color="FFFFFF"/>
            </w:tcBorders>
            <w:shd w:fill="FFFFFF" w:val="clear"/>
            <w:vAlign w:val="bottom"/>
          </w:tcPr>
          <w:p>
            <w:pPr>
              <w:pStyle w:val="TableContents"/>
              <w:spacing w:before="0" w:after="283"/>
              <w:jc w:val="left"/>
              <w:rPr/>
            </w:pPr>
            <w:r>
              <w:rPr/>
              <w:t> </w:t>
            </w:r>
          </w:p>
        </w:tc>
        <w:tc>
          <w:tcPr>
            <w:tcW w:w="141" w:type="dxa"/>
            <w:tcBorders>
              <w:bottom w:val="sing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bookmarkStart w:id="2913" w:name="TAB11308"/>
            <w:bookmarkEnd w:id="2913"/>
            <w:r>
              <w:rPr>
                <w:rFonts w:ascii="Times New Roman" w:hAnsi="Times New Roman"/>
                <w:sz w:val="20"/>
              </w:rPr>
              <w:t>$</w:t>
            </w:r>
          </w:p>
        </w:tc>
        <w:tc>
          <w:tcPr>
            <w:tcW w:w="553"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2914" w:name="TAB11309"/>
            <w:bookmarkEnd w:id="2914"/>
            <w:r>
              <w:rPr>
                <w:rFonts w:ascii="Times New Roman" w:hAnsi="Times New Roman"/>
                <w:sz w:val="20"/>
              </w:rPr>
              <w:t>5.04</w:t>
            </w:r>
          </w:p>
        </w:tc>
        <w:tc>
          <w:tcPr>
            <w:tcW w:w="100" w:type="dxa"/>
            <w:tcBorders>
              <w:bottom w:val="single" w:sz="2" w:space="0" w:color="FFFFFF"/>
            </w:tcBorders>
            <w:shd w:fill="FFFFFF" w:val="clear"/>
            <w:vAlign w:val="bottom"/>
          </w:tcPr>
          <w:p>
            <w:pPr>
              <w:pStyle w:val="TableContents"/>
              <w:spacing w:before="0" w:after="283"/>
              <w:jc w:val="left"/>
              <w:rPr/>
            </w:pPr>
            <w:r>
              <w:rPr/>
              <w:t> </w:t>
            </w:r>
          </w:p>
        </w:tc>
        <w:tc>
          <w:tcPr>
            <w:tcW w:w="141" w:type="dxa"/>
            <w:tcBorders>
              <w:bottom w:val="sing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bookmarkStart w:id="2915" w:name="TAB11310"/>
            <w:bookmarkEnd w:id="2915"/>
            <w:r>
              <w:rPr>
                <w:rFonts w:ascii="Times New Roman" w:hAnsi="Times New Roman"/>
                <w:sz w:val="20"/>
              </w:rPr>
              <w:t>$</w:t>
            </w:r>
            <w:bookmarkStart w:id="2916" w:name="TAB2105"/>
            <w:bookmarkEnd w:id="2916"/>
          </w:p>
        </w:tc>
        <w:tc>
          <w:tcPr>
            <w:tcW w:w="553"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2917" w:name="TAB2106"/>
            <w:bookmarkStart w:id="2918" w:name="TAB11311"/>
            <w:bookmarkEnd w:id="2917"/>
            <w:bookmarkEnd w:id="2918"/>
            <w:r>
              <w:rPr>
                <w:rFonts w:ascii="Times New Roman" w:hAnsi="Times New Roman"/>
                <w:sz w:val="20"/>
              </w:rPr>
              <w:t>9.90</w:t>
            </w:r>
          </w:p>
        </w:tc>
        <w:tc>
          <w:tcPr>
            <w:tcW w:w="124" w:type="dxa"/>
            <w:tcBorders>
              <w:bottom w:val="single" w:sz="2" w:space="0" w:color="FFFFFF"/>
            </w:tcBorders>
            <w:shd w:fill="FFFFFF" w:val="clear"/>
            <w:vAlign w:val="bottom"/>
          </w:tcPr>
          <w:p>
            <w:pPr>
              <w:pStyle w:val="TableContents"/>
              <w:spacing w:before="0" w:after="283"/>
              <w:jc w:val="left"/>
              <w:rPr/>
            </w:pPr>
            <w:r>
              <w:rPr/>
              <w:t> </w:t>
            </w:r>
          </w:p>
        </w:tc>
      </w:tr>
      <w:tr>
        <w:trPr/>
        <w:tc>
          <w:tcPr>
            <w:tcW w:w="2897" w:type="dxa"/>
            <w:tcBorders/>
            <w:shd w:fill="CCEEFF" w:val="clear"/>
            <w:tcMar>
              <w:bottom w:w="0" w:type="dxa"/>
            </w:tcMar>
            <w:vAlign w:val="bottom"/>
          </w:tcPr>
          <w:p>
            <w:pPr>
              <w:pStyle w:val="TableContents"/>
              <w:spacing w:lineRule="auto" w:line="300" w:before="0" w:after="0"/>
              <w:ind w:left="180" w:right="0" w:hanging="0"/>
              <w:jc w:val="left"/>
              <w:rPr>
                <w:rFonts w:ascii="Times New Roman" w:hAnsi="Times New Roman"/>
                <w:sz w:val="20"/>
              </w:rPr>
            </w:pPr>
            <w:bookmarkStart w:id="2919" w:name="TAB11312"/>
            <w:bookmarkEnd w:id="2919"/>
            <w:r>
              <w:rPr>
                <w:rFonts w:ascii="Times New Roman" w:hAnsi="Times New Roman"/>
                <w:sz w:val="20"/>
              </w:rPr>
              <w:t>Exercised</w:t>
            </w:r>
          </w:p>
        </w:tc>
        <w:tc>
          <w:tcPr>
            <w:tcW w:w="100" w:type="dxa"/>
            <w:tcBorders/>
            <w:shd w:fill="CCEEFF" w:val="clear"/>
            <w:tcMar>
              <w:bottom w:w="0" w:type="dxa"/>
            </w:tcMar>
            <w:vAlign w:val="center"/>
          </w:tcPr>
          <w:p>
            <w:pPr>
              <w:pStyle w:val="TableContents"/>
              <w:spacing w:before="0" w:after="283"/>
              <w:rPr/>
            </w:pPr>
            <w:r>
              <w:rPr/>
              <w:t> </w:t>
            </w:r>
          </w:p>
        </w:tc>
        <w:tc>
          <w:tcPr>
            <w:tcW w:w="100" w:type="dxa"/>
            <w:tcBorders/>
            <w:shd w:fill="CCEEFF" w:val="clear"/>
            <w:tcMar>
              <w:bottom w:w="0" w:type="dxa"/>
            </w:tcMar>
            <w:vAlign w:val="bottom"/>
          </w:tcPr>
          <w:p>
            <w:pPr>
              <w:pStyle w:val="TableContents"/>
              <w:spacing w:before="0" w:after="283"/>
              <w:jc w:val="left"/>
              <w:rPr/>
            </w:pPr>
            <w:r>
              <w:rPr/>
              <w:t> </w:t>
            </w:r>
          </w:p>
        </w:tc>
        <w:tc>
          <w:tcPr>
            <w:tcW w:w="846"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(27,000</w:t>
            </w:r>
          </w:p>
        </w:tc>
        <w:tc>
          <w:tcPr>
            <w:tcW w:w="113"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00" w:type="dxa"/>
            <w:tcBorders/>
            <w:shd w:fill="CCEEFF" w:val="clear"/>
            <w:tcMar>
              <w:bottom w:w="0" w:type="dxa"/>
            </w:tcMar>
            <w:vAlign w:val="bottom"/>
          </w:tcPr>
          <w:p>
            <w:pPr>
              <w:pStyle w:val="TableContents"/>
              <w:spacing w:before="0" w:after="283"/>
              <w:jc w:val="left"/>
              <w:rPr/>
            </w:pPr>
            <w:r>
              <w:rPr/>
              <w:t> </w:t>
            </w:r>
          </w:p>
        </w:tc>
        <w:tc>
          <w:tcPr>
            <w:tcW w:w="752"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100" w:type="dxa"/>
            <w:tcBorders/>
            <w:shd w:fill="CCEEFF" w:val="clear"/>
            <w:tcMar>
              <w:bottom w:w="0" w:type="dxa"/>
            </w:tcMar>
            <w:vAlign w:val="bottom"/>
          </w:tcPr>
          <w:p>
            <w:pPr>
              <w:pStyle w:val="TableContents"/>
              <w:spacing w:before="0" w:after="283"/>
              <w:jc w:val="left"/>
              <w:rPr/>
            </w:pPr>
            <w:r>
              <w:rPr/>
              <w:t> </w:t>
            </w:r>
          </w:p>
        </w:tc>
        <w:tc>
          <w:tcPr>
            <w:tcW w:w="141"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2920" w:name="TAB11313"/>
            <w:bookmarkEnd w:id="2920"/>
            <w:r>
              <w:rPr>
                <w:rFonts w:ascii="Times New Roman" w:hAnsi="Times New Roman"/>
                <w:sz w:val="20"/>
              </w:rPr>
              <w:t>$</w:t>
            </w:r>
            <w:bookmarkStart w:id="2921" w:name="TAB2107"/>
            <w:bookmarkEnd w:id="2921"/>
          </w:p>
        </w:tc>
        <w:tc>
          <w:tcPr>
            <w:tcW w:w="553"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2922" w:name="TAB2108"/>
            <w:bookmarkStart w:id="2923" w:name="TAB11314"/>
            <w:bookmarkEnd w:id="2922"/>
            <w:bookmarkEnd w:id="2923"/>
            <w:r>
              <w:rPr>
                <w:rFonts w:ascii="Times New Roman" w:hAnsi="Times New Roman"/>
                <w:sz w:val="20"/>
              </w:rPr>
              <w:t>3.22</w:t>
            </w:r>
          </w:p>
        </w:tc>
        <w:tc>
          <w:tcPr>
            <w:tcW w:w="100" w:type="dxa"/>
            <w:tcBorders/>
            <w:shd w:fill="CCEEFF" w:val="clear"/>
            <w:tcMar>
              <w:bottom w:w="0" w:type="dxa"/>
            </w:tcMar>
            <w:vAlign w:val="bottom"/>
          </w:tcPr>
          <w:p>
            <w:pPr>
              <w:pStyle w:val="TableContents"/>
              <w:spacing w:before="0" w:after="283"/>
              <w:jc w:val="left"/>
              <w:rPr/>
            </w:pPr>
            <w:r>
              <w:rPr/>
              <w:t> </w:t>
            </w:r>
          </w:p>
        </w:tc>
        <w:tc>
          <w:tcPr>
            <w:tcW w:w="141"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2924" w:name="TAB11315"/>
            <w:bookmarkEnd w:id="2924"/>
            <w:r>
              <w:rPr>
                <w:rFonts w:ascii="Times New Roman" w:hAnsi="Times New Roman"/>
                <w:sz w:val="20"/>
              </w:rPr>
              <w:t>$</w:t>
            </w:r>
          </w:p>
        </w:tc>
        <w:tc>
          <w:tcPr>
            <w:tcW w:w="553"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2925" w:name="TAB11316"/>
            <w:bookmarkEnd w:id="2925"/>
            <w:r>
              <w:rPr>
                <w:rFonts w:ascii="Times New Roman" w:hAnsi="Times New Roman"/>
                <w:sz w:val="20"/>
              </w:rPr>
              <w:t>--</w:t>
            </w:r>
          </w:p>
        </w:tc>
        <w:tc>
          <w:tcPr>
            <w:tcW w:w="100" w:type="dxa"/>
            <w:tcBorders/>
            <w:shd w:fill="CCEEFF" w:val="clear"/>
            <w:tcMar>
              <w:bottom w:w="0" w:type="dxa"/>
            </w:tcMar>
            <w:vAlign w:val="bottom"/>
          </w:tcPr>
          <w:p>
            <w:pPr>
              <w:pStyle w:val="TableContents"/>
              <w:spacing w:before="0" w:after="283"/>
              <w:jc w:val="left"/>
              <w:rPr/>
            </w:pPr>
            <w:r>
              <w:rPr/>
              <w:t> </w:t>
            </w:r>
          </w:p>
        </w:tc>
        <w:tc>
          <w:tcPr>
            <w:tcW w:w="100" w:type="dxa"/>
            <w:tcBorders/>
            <w:shd w:fill="CCEEFF" w:val="clear"/>
            <w:tcMar>
              <w:bottom w:w="0" w:type="dxa"/>
            </w:tcMar>
            <w:vAlign w:val="bottom"/>
          </w:tcPr>
          <w:p>
            <w:pPr>
              <w:pStyle w:val="TableContents"/>
              <w:spacing w:before="0" w:after="283"/>
              <w:jc w:val="left"/>
              <w:rPr/>
            </w:pPr>
            <w:r>
              <w:rPr/>
              <w:t> </w:t>
            </w:r>
          </w:p>
        </w:tc>
        <w:tc>
          <w:tcPr>
            <w:tcW w:w="846" w:type="dxa"/>
            <w:tcBorders/>
            <w:shd w:fill="CCEEFF" w:val="clear"/>
            <w:tcMar>
              <w:bottom w:w="0" w:type="dxa"/>
            </w:tcMar>
            <w:vAlign w:val="bottom"/>
          </w:tcPr>
          <w:p>
            <w:pPr>
              <w:pStyle w:val="TableContents"/>
              <w:spacing w:before="0" w:after="283"/>
              <w:jc w:val="right"/>
              <w:rPr/>
            </w:pPr>
            <w:r>
              <w:rPr/>
              <w:t> </w:t>
            </w:r>
          </w:p>
        </w:tc>
        <w:tc>
          <w:tcPr>
            <w:tcW w:w="100" w:type="dxa"/>
            <w:tcBorders/>
            <w:shd w:fill="CCEEFF" w:val="clear"/>
            <w:tcMar>
              <w:bottom w:w="0" w:type="dxa"/>
            </w:tcMar>
            <w:vAlign w:val="bottom"/>
          </w:tcPr>
          <w:p>
            <w:pPr>
              <w:pStyle w:val="TableContents"/>
              <w:spacing w:before="0" w:after="283"/>
              <w:jc w:val="left"/>
              <w:rPr/>
            </w:pPr>
            <w:r>
              <w:rPr/>
              <w:t> </w:t>
            </w:r>
          </w:p>
        </w:tc>
        <w:tc>
          <w:tcPr>
            <w:tcW w:w="100" w:type="dxa"/>
            <w:tcBorders/>
            <w:shd w:fill="CCEEFF" w:val="clear"/>
            <w:tcMar>
              <w:bottom w:w="0" w:type="dxa"/>
            </w:tcMar>
            <w:vAlign w:val="bottom"/>
          </w:tcPr>
          <w:p>
            <w:pPr>
              <w:pStyle w:val="TableContents"/>
              <w:spacing w:before="0" w:after="283"/>
              <w:jc w:val="left"/>
              <w:rPr/>
            </w:pPr>
            <w:r>
              <w:rPr/>
              <w:t> </w:t>
            </w:r>
          </w:p>
        </w:tc>
        <w:tc>
          <w:tcPr>
            <w:tcW w:w="751" w:type="dxa"/>
            <w:tcBorders/>
            <w:shd w:fill="CCEEFF" w:val="clear"/>
            <w:tcMar>
              <w:bottom w:w="0" w:type="dxa"/>
            </w:tcMar>
            <w:vAlign w:val="bottom"/>
          </w:tcPr>
          <w:p>
            <w:pPr>
              <w:pStyle w:val="TableContents"/>
              <w:spacing w:before="0" w:after="283"/>
              <w:jc w:val="right"/>
              <w:rPr/>
            </w:pPr>
            <w:r>
              <w:rPr/>
              <w:t> </w:t>
            </w:r>
          </w:p>
        </w:tc>
        <w:tc>
          <w:tcPr>
            <w:tcW w:w="100" w:type="dxa"/>
            <w:tcBorders/>
            <w:shd w:fill="CCEEFF" w:val="clear"/>
            <w:tcMar>
              <w:bottom w:w="0" w:type="dxa"/>
            </w:tcMar>
            <w:vAlign w:val="bottom"/>
          </w:tcPr>
          <w:p>
            <w:pPr>
              <w:pStyle w:val="TableContents"/>
              <w:spacing w:before="0" w:after="283"/>
              <w:jc w:val="left"/>
              <w:rPr/>
            </w:pPr>
            <w:r>
              <w:rPr/>
              <w:t> </w:t>
            </w:r>
          </w:p>
        </w:tc>
        <w:tc>
          <w:tcPr>
            <w:tcW w:w="141" w:type="dxa"/>
            <w:tcBorders/>
            <w:shd w:fill="CCEEFF" w:val="clear"/>
            <w:tcMar>
              <w:bottom w:w="0" w:type="dxa"/>
            </w:tcMar>
            <w:vAlign w:val="bottom"/>
          </w:tcPr>
          <w:p>
            <w:pPr>
              <w:pStyle w:val="TableContents"/>
              <w:spacing w:before="0" w:after="283"/>
              <w:jc w:val="left"/>
              <w:rPr/>
            </w:pPr>
            <w:r>
              <w:rPr/>
              <w:t> </w:t>
            </w:r>
          </w:p>
        </w:tc>
        <w:tc>
          <w:tcPr>
            <w:tcW w:w="553" w:type="dxa"/>
            <w:tcBorders/>
            <w:shd w:fill="CCEEFF" w:val="clear"/>
            <w:tcMar>
              <w:bottom w:w="0" w:type="dxa"/>
            </w:tcMar>
            <w:vAlign w:val="bottom"/>
          </w:tcPr>
          <w:p>
            <w:pPr>
              <w:pStyle w:val="TableContents"/>
              <w:spacing w:before="0" w:after="283"/>
              <w:jc w:val="right"/>
              <w:rPr/>
            </w:pPr>
            <w:r>
              <w:rPr/>
              <w:t> </w:t>
            </w:r>
          </w:p>
        </w:tc>
        <w:tc>
          <w:tcPr>
            <w:tcW w:w="100" w:type="dxa"/>
            <w:tcBorders/>
            <w:shd w:fill="CCEEFF" w:val="clear"/>
            <w:tcMar>
              <w:bottom w:w="0" w:type="dxa"/>
            </w:tcMar>
            <w:vAlign w:val="bottom"/>
          </w:tcPr>
          <w:p>
            <w:pPr>
              <w:pStyle w:val="TableContents"/>
              <w:spacing w:before="0" w:after="283"/>
              <w:jc w:val="left"/>
              <w:rPr/>
            </w:pPr>
            <w:r>
              <w:rPr/>
              <w:t> </w:t>
            </w:r>
          </w:p>
        </w:tc>
        <w:tc>
          <w:tcPr>
            <w:tcW w:w="141" w:type="dxa"/>
            <w:tcBorders/>
            <w:shd w:fill="CCEEFF" w:val="clear"/>
            <w:tcMar>
              <w:bottom w:w="0" w:type="dxa"/>
            </w:tcMar>
            <w:vAlign w:val="bottom"/>
          </w:tcPr>
          <w:p>
            <w:pPr>
              <w:pStyle w:val="TableContents"/>
              <w:spacing w:before="0" w:after="283"/>
              <w:jc w:val="left"/>
              <w:rPr/>
            </w:pPr>
            <w:r>
              <w:rPr/>
              <w:t> </w:t>
            </w:r>
          </w:p>
        </w:tc>
        <w:tc>
          <w:tcPr>
            <w:tcW w:w="553" w:type="dxa"/>
            <w:tcBorders/>
            <w:shd w:fill="CCEEFF" w:val="clear"/>
            <w:tcMar>
              <w:bottom w:w="0" w:type="dxa"/>
            </w:tcMar>
            <w:vAlign w:val="bottom"/>
          </w:tcPr>
          <w:p>
            <w:pPr>
              <w:pStyle w:val="TableContents"/>
              <w:spacing w:before="0" w:after="283"/>
              <w:jc w:val="right"/>
              <w:rPr/>
            </w:pPr>
            <w:r>
              <w:rPr/>
              <w:t> </w:t>
            </w:r>
          </w:p>
        </w:tc>
        <w:tc>
          <w:tcPr>
            <w:tcW w:w="124" w:type="dxa"/>
            <w:tcBorders/>
            <w:shd w:fill="CCEEFF" w:val="clear"/>
            <w:tcMar>
              <w:bottom w:w="0" w:type="dxa"/>
            </w:tcMar>
            <w:vAlign w:val="bottom"/>
          </w:tcPr>
          <w:p>
            <w:pPr>
              <w:pStyle w:val="TableContents"/>
              <w:spacing w:before="0" w:after="283"/>
              <w:jc w:val="left"/>
              <w:rPr/>
            </w:pPr>
            <w:r>
              <w:rPr/>
              <w:t> </w:t>
            </w:r>
          </w:p>
        </w:tc>
      </w:tr>
      <w:tr>
        <w:trPr/>
        <w:tc>
          <w:tcPr>
            <w:tcW w:w="2897" w:type="dxa"/>
            <w:tcBorders>
              <w:bottom w:val="single" w:sz="2" w:space="0" w:color="000000"/>
            </w:tcBorders>
            <w:shd w:fill="FFFFFF" w:val="clear"/>
            <w:vAlign w:val="bottom"/>
          </w:tcPr>
          <w:p>
            <w:pPr>
              <w:pStyle w:val="TableContents"/>
              <w:spacing w:lineRule="auto" w:line="300" w:before="0" w:after="0"/>
              <w:ind w:left="180" w:right="0" w:hanging="0"/>
              <w:jc w:val="left"/>
              <w:rPr>
                <w:rFonts w:ascii="Times New Roman" w:hAnsi="Times New Roman"/>
                <w:sz w:val="20"/>
              </w:rPr>
            </w:pPr>
            <w:bookmarkStart w:id="2926" w:name="TAB11317"/>
            <w:bookmarkEnd w:id="2926"/>
            <w:r>
              <w:rPr>
                <w:rFonts w:ascii="Times New Roman" w:hAnsi="Times New Roman"/>
                <w:sz w:val="20"/>
              </w:rPr>
              <w:t>Granted</w:t>
            </w:r>
          </w:p>
        </w:tc>
        <w:tc>
          <w:tcPr>
            <w:tcW w:w="100" w:type="dxa"/>
            <w:tcBorders>
              <w:bottom w:val="single" w:sz="2" w:space="0" w:color="FFFFFF"/>
            </w:tcBorders>
            <w:shd w:fill="FFFFFF" w:val="clear"/>
            <w:vAlign w:val="center"/>
          </w:tcPr>
          <w:p>
            <w:pPr>
              <w:pStyle w:val="TableContents"/>
              <w:spacing w:before="0" w:after="283"/>
              <w:rPr/>
            </w:pPr>
            <w:r>
              <w:rPr/>
              <w:t> </w:t>
            </w:r>
          </w:p>
        </w:tc>
        <w:tc>
          <w:tcPr>
            <w:tcW w:w="100" w:type="dxa"/>
            <w:tcBorders>
              <w:bottom w:val="single" w:sz="2" w:space="0" w:color="000000"/>
            </w:tcBorders>
            <w:shd w:fill="FFFFFF" w:val="clear"/>
            <w:vAlign w:val="bottom"/>
          </w:tcPr>
          <w:p>
            <w:pPr>
              <w:pStyle w:val="TableContents"/>
              <w:spacing w:before="0" w:after="283"/>
              <w:jc w:val="left"/>
              <w:rPr/>
            </w:pPr>
            <w:r>
              <w:rPr/>
              <w:t> </w:t>
            </w:r>
          </w:p>
        </w:tc>
        <w:tc>
          <w:tcPr>
            <w:tcW w:w="846"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20,000</w:t>
            </w:r>
          </w:p>
        </w:tc>
        <w:tc>
          <w:tcPr>
            <w:tcW w:w="113" w:type="dxa"/>
            <w:tcBorders>
              <w:bottom w:val="single" w:sz="2" w:space="0" w:color="FFFFFF"/>
            </w:tcBorders>
            <w:shd w:fill="FFFFFF" w:val="clear"/>
            <w:vAlign w:val="bottom"/>
          </w:tcPr>
          <w:p>
            <w:pPr>
              <w:pStyle w:val="TableContents"/>
              <w:spacing w:before="0" w:after="283"/>
              <w:jc w:val="left"/>
              <w:rPr/>
            </w:pPr>
            <w:r>
              <w:rPr/>
              <w:t> </w:t>
            </w:r>
          </w:p>
        </w:tc>
        <w:tc>
          <w:tcPr>
            <w:tcW w:w="100" w:type="dxa"/>
            <w:tcBorders>
              <w:bottom w:val="single" w:sz="2" w:space="0" w:color="000000"/>
            </w:tcBorders>
            <w:shd w:fill="FFFFFF" w:val="clear"/>
            <w:vAlign w:val="bottom"/>
          </w:tcPr>
          <w:p>
            <w:pPr>
              <w:pStyle w:val="TableContents"/>
              <w:spacing w:before="0" w:after="283"/>
              <w:jc w:val="left"/>
              <w:rPr/>
            </w:pPr>
            <w:r>
              <w:rPr/>
              <w:t> </w:t>
            </w:r>
          </w:p>
        </w:tc>
        <w:tc>
          <w:tcPr>
            <w:tcW w:w="752"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100" w:type="dxa"/>
            <w:tcBorders>
              <w:bottom w:val="single" w:sz="2" w:space="0" w:color="FFFFFF"/>
            </w:tcBorders>
            <w:shd w:fill="FFFFFF" w:val="clear"/>
            <w:vAlign w:val="bottom"/>
          </w:tcPr>
          <w:p>
            <w:pPr>
              <w:pStyle w:val="TableContents"/>
              <w:spacing w:before="0" w:after="283"/>
              <w:jc w:val="left"/>
              <w:rPr/>
            </w:pPr>
            <w:r>
              <w:rPr/>
              <w:t> </w:t>
            </w:r>
          </w:p>
        </w:tc>
        <w:tc>
          <w:tcPr>
            <w:tcW w:w="141" w:type="dxa"/>
            <w:tcBorders>
              <w:bottom w:val="sing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bookmarkStart w:id="2927" w:name="TAB11318"/>
            <w:bookmarkEnd w:id="2927"/>
            <w:r>
              <w:rPr>
                <w:rFonts w:ascii="Times New Roman" w:hAnsi="Times New Roman"/>
                <w:sz w:val="20"/>
              </w:rPr>
              <w:t>$</w:t>
            </w:r>
            <w:bookmarkStart w:id="2928" w:name="TAB2109"/>
            <w:bookmarkEnd w:id="2928"/>
          </w:p>
        </w:tc>
        <w:tc>
          <w:tcPr>
            <w:tcW w:w="553"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2929" w:name="TAB2110"/>
            <w:bookmarkStart w:id="2930" w:name="TAB11319"/>
            <w:bookmarkEnd w:id="2929"/>
            <w:bookmarkEnd w:id="2930"/>
            <w:r>
              <w:rPr>
                <w:rFonts w:ascii="Times New Roman" w:hAnsi="Times New Roman"/>
                <w:sz w:val="20"/>
              </w:rPr>
              <w:t>8.10</w:t>
            </w:r>
          </w:p>
        </w:tc>
        <w:tc>
          <w:tcPr>
            <w:tcW w:w="100" w:type="dxa"/>
            <w:tcBorders>
              <w:bottom w:val="single" w:sz="2" w:space="0" w:color="FFFFFF"/>
            </w:tcBorders>
            <w:shd w:fill="FFFFFF" w:val="clear"/>
            <w:vAlign w:val="bottom"/>
          </w:tcPr>
          <w:p>
            <w:pPr>
              <w:pStyle w:val="TableContents"/>
              <w:spacing w:before="0" w:after="283"/>
              <w:jc w:val="left"/>
              <w:rPr/>
            </w:pPr>
            <w:r>
              <w:rPr/>
              <w:t> </w:t>
            </w:r>
          </w:p>
        </w:tc>
        <w:tc>
          <w:tcPr>
            <w:tcW w:w="141" w:type="dxa"/>
            <w:tcBorders>
              <w:bottom w:val="sing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bookmarkStart w:id="2931" w:name="TAB11320"/>
            <w:bookmarkEnd w:id="2931"/>
            <w:r>
              <w:rPr>
                <w:rFonts w:ascii="Times New Roman" w:hAnsi="Times New Roman"/>
                <w:sz w:val="20"/>
              </w:rPr>
              <w:t>$</w:t>
            </w:r>
          </w:p>
        </w:tc>
        <w:tc>
          <w:tcPr>
            <w:tcW w:w="553"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2932" w:name="TAB11321"/>
            <w:bookmarkEnd w:id="2932"/>
            <w:r>
              <w:rPr>
                <w:rFonts w:ascii="Times New Roman" w:hAnsi="Times New Roman"/>
                <w:sz w:val="20"/>
              </w:rPr>
              <w:t>--</w:t>
            </w:r>
          </w:p>
        </w:tc>
        <w:tc>
          <w:tcPr>
            <w:tcW w:w="100" w:type="dxa"/>
            <w:tcBorders>
              <w:bottom w:val="single" w:sz="2" w:space="0" w:color="FFFFFF"/>
            </w:tcBorders>
            <w:shd w:fill="FFFFFF" w:val="clear"/>
            <w:vAlign w:val="bottom"/>
          </w:tcPr>
          <w:p>
            <w:pPr>
              <w:pStyle w:val="TableContents"/>
              <w:spacing w:before="0" w:after="283"/>
              <w:jc w:val="left"/>
              <w:rPr/>
            </w:pPr>
            <w:r>
              <w:rPr/>
              <w:t> </w:t>
            </w:r>
          </w:p>
        </w:tc>
        <w:tc>
          <w:tcPr>
            <w:tcW w:w="100" w:type="dxa"/>
            <w:tcBorders>
              <w:bottom w:val="single" w:sz="2" w:space="0" w:color="000000"/>
            </w:tcBorders>
            <w:shd w:fill="FFFFFF" w:val="clear"/>
            <w:vAlign w:val="bottom"/>
          </w:tcPr>
          <w:p>
            <w:pPr>
              <w:pStyle w:val="TableContents"/>
              <w:spacing w:before="0" w:after="283"/>
              <w:jc w:val="left"/>
              <w:rPr/>
            </w:pPr>
            <w:r>
              <w:rPr/>
              <w:t> </w:t>
            </w:r>
          </w:p>
        </w:tc>
        <w:tc>
          <w:tcPr>
            <w:tcW w:w="846" w:type="dxa"/>
            <w:tcBorders>
              <w:bottom w:val="single" w:sz="2" w:space="0" w:color="000000"/>
            </w:tcBorders>
            <w:shd w:fill="FFFFFF" w:val="clear"/>
            <w:vAlign w:val="bottom"/>
          </w:tcPr>
          <w:p>
            <w:pPr>
              <w:pStyle w:val="TableContents"/>
              <w:spacing w:before="0" w:after="283"/>
              <w:jc w:val="right"/>
              <w:rPr/>
            </w:pPr>
            <w:r>
              <w:rPr/>
              <w:t> </w:t>
            </w:r>
          </w:p>
        </w:tc>
        <w:tc>
          <w:tcPr>
            <w:tcW w:w="100" w:type="dxa"/>
            <w:tcBorders>
              <w:bottom w:val="single" w:sz="2" w:space="0" w:color="FFFFFF"/>
            </w:tcBorders>
            <w:shd w:fill="FFFFFF" w:val="clear"/>
            <w:vAlign w:val="bottom"/>
          </w:tcPr>
          <w:p>
            <w:pPr>
              <w:pStyle w:val="TableContents"/>
              <w:spacing w:before="0" w:after="283"/>
              <w:jc w:val="left"/>
              <w:rPr/>
            </w:pPr>
            <w:r>
              <w:rPr/>
              <w:t> </w:t>
            </w:r>
          </w:p>
        </w:tc>
        <w:tc>
          <w:tcPr>
            <w:tcW w:w="100" w:type="dxa"/>
            <w:tcBorders>
              <w:bottom w:val="single" w:sz="2" w:space="0" w:color="000000"/>
            </w:tcBorders>
            <w:shd w:fill="FFFFFF" w:val="clear"/>
            <w:vAlign w:val="bottom"/>
          </w:tcPr>
          <w:p>
            <w:pPr>
              <w:pStyle w:val="TableContents"/>
              <w:spacing w:before="0" w:after="283"/>
              <w:jc w:val="left"/>
              <w:rPr/>
            </w:pPr>
            <w:r>
              <w:rPr/>
              <w:t> </w:t>
            </w:r>
          </w:p>
        </w:tc>
        <w:tc>
          <w:tcPr>
            <w:tcW w:w="751" w:type="dxa"/>
            <w:tcBorders>
              <w:bottom w:val="single" w:sz="2" w:space="0" w:color="000000"/>
            </w:tcBorders>
            <w:shd w:fill="FFFFFF" w:val="clear"/>
            <w:vAlign w:val="bottom"/>
          </w:tcPr>
          <w:p>
            <w:pPr>
              <w:pStyle w:val="TableContents"/>
              <w:spacing w:before="0" w:after="283"/>
              <w:jc w:val="right"/>
              <w:rPr/>
            </w:pPr>
            <w:r>
              <w:rPr/>
              <w:t> </w:t>
            </w:r>
          </w:p>
        </w:tc>
        <w:tc>
          <w:tcPr>
            <w:tcW w:w="100" w:type="dxa"/>
            <w:tcBorders>
              <w:bottom w:val="single" w:sz="2" w:space="0" w:color="FFFFFF"/>
            </w:tcBorders>
            <w:shd w:fill="FFFFFF" w:val="clear"/>
            <w:vAlign w:val="bottom"/>
          </w:tcPr>
          <w:p>
            <w:pPr>
              <w:pStyle w:val="TableContents"/>
              <w:spacing w:before="0" w:after="283"/>
              <w:jc w:val="left"/>
              <w:rPr/>
            </w:pPr>
            <w:r>
              <w:rPr/>
              <w:t> </w:t>
            </w:r>
          </w:p>
        </w:tc>
        <w:tc>
          <w:tcPr>
            <w:tcW w:w="141" w:type="dxa"/>
            <w:tcBorders>
              <w:bottom w:val="single" w:sz="2" w:space="0" w:color="000000"/>
            </w:tcBorders>
            <w:shd w:fill="FFFFFF" w:val="clear"/>
            <w:vAlign w:val="bottom"/>
          </w:tcPr>
          <w:p>
            <w:pPr>
              <w:pStyle w:val="TableContents"/>
              <w:spacing w:before="0" w:after="283"/>
              <w:jc w:val="left"/>
              <w:rPr/>
            </w:pPr>
            <w:r>
              <w:rPr/>
              <w:t> </w:t>
            </w:r>
          </w:p>
        </w:tc>
        <w:tc>
          <w:tcPr>
            <w:tcW w:w="553" w:type="dxa"/>
            <w:tcBorders>
              <w:bottom w:val="single" w:sz="2" w:space="0" w:color="000000"/>
            </w:tcBorders>
            <w:shd w:fill="FFFFFF" w:val="clear"/>
            <w:vAlign w:val="bottom"/>
          </w:tcPr>
          <w:p>
            <w:pPr>
              <w:pStyle w:val="TableContents"/>
              <w:spacing w:before="0" w:after="283"/>
              <w:jc w:val="right"/>
              <w:rPr/>
            </w:pPr>
            <w:r>
              <w:rPr/>
              <w:t> </w:t>
            </w:r>
          </w:p>
        </w:tc>
        <w:tc>
          <w:tcPr>
            <w:tcW w:w="100" w:type="dxa"/>
            <w:tcBorders>
              <w:bottom w:val="single" w:sz="2" w:space="0" w:color="FFFFFF"/>
            </w:tcBorders>
            <w:shd w:fill="FFFFFF" w:val="clear"/>
            <w:vAlign w:val="bottom"/>
          </w:tcPr>
          <w:p>
            <w:pPr>
              <w:pStyle w:val="TableContents"/>
              <w:spacing w:before="0" w:after="283"/>
              <w:jc w:val="left"/>
              <w:rPr/>
            </w:pPr>
            <w:r>
              <w:rPr/>
              <w:t> </w:t>
            </w:r>
          </w:p>
        </w:tc>
        <w:tc>
          <w:tcPr>
            <w:tcW w:w="141" w:type="dxa"/>
            <w:tcBorders>
              <w:bottom w:val="single" w:sz="2" w:space="0" w:color="000000"/>
            </w:tcBorders>
            <w:shd w:fill="FFFFFF" w:val="clear"/>
            <w:vAlign w:val="bottom"/>
          </w:tcPr>
          <w:p>
            <w:pPr>
              <w:pStyle w:val="TableContents"/>
              <w:spacing w:before="0" w:after="283"/>
              <w:jc w:val="left"/>
              <w:rPr/>
            </w:pPr>
            <w:r>
              <w:rPr/>
              <w:t> </w:t>
            </w:r>
          </w:p>
        </w:tc>
        <w:tc>
          <w:tcPr>
            <w:tcW w:w="553" w:type="dxa"/>
            <w:tcBorders>
              <w:bottom w:val="single" w:sz="2" w:space="0" w:color="000000"/>
            </w:tcBorders>
            <w:shd w:fill="FFFFFF" w:val="clear"/>
            <w:vAlign w:val="bottom"/>
          </w:tcPr>
          <w:p>
            <w:pPr>
              <w:pStyle w:val="TableContents"/>
              <w:spacing w:before="0" w:after="283"/>
              <w:jc w:val="right"/>
              <w:rPr/>
            </w:pPr>
            <w:r>
              <w:rPr/>
              <w:t> </w:t>
            </w:r>
          </w:p>
        </w:tc>
        <w:tc>
          <w:tcPr>
            <w:tcW w:w="124" w:type="dxa"/>
            <w:tcBorders>
              <w:bottom w:val="single" w:sz="2" w:space="0" w:color="FFFFFF"/>
            </w:tcBorders>
            <w:shd w:fill="FFFFFF" w:val="clear"/>
            <w:vAlign w:val="bottom"/>
          </w:tcPr>
          <w:p>
            <w:pPr>
              <w:pStyle w:val="TableContents"/>
              <w:spacing w:before="0" w:after="283"/>
              <w:jc w:val="left"/>
              <w:rPr/>
            </w:pPr>
            <w:r>
              <w:rPr/>
              <w:t> </w:t>
            </w:r>
          </w:p>
        </w:tc>
      </w:tr>
      <w:tr>
        <w:trPr/>
        <w:tc>
          <w:tcPr>
            <w:tcW w:w="2897" w:type="dxa"/>
            <w:tcBorders>
              <w:bottom w:val="doub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Outstanding-December 31, 2006</w:t>
            </w:r>
          </w:p>
        </w:tc>
        <w:tc>
          <w:tcPr>
            <w:tcW w:w="100" w:type="dxa"/>
            <w:tcBorders>
              <w:bottom w:val="single" w:sz="4" w:space="0" w:color="CCEEFF"/>
            </w:tcBorders>
            <w:shd w:fill="CCEEFF" w:val="clear"/>
            <w:vAlign w:val="center"/>
          </w:tcPr>
          <w:p>
            <w:pPr>
              <w:pStyle w:val="TableContents"/>
              <w:spacing w:before="0" w:after="283"/>
              <w:rPr/>
            </w:pPr>
            <w:r>
              <w:rPr/>
              <w:t> </w:t>
            </w:r>
          </w:p>
        </w:tc>
        <w:tc>
          <w:tcPr>
            <w:tcW w:w="100" w:type="dxa"/>
            <w:tcBorders>
              <w:bottom w:val="double" w:sz="2" w:space="0" w:color="000000"/>
            </w:tcBorders>
            <w:shd w:fill="CCEEFF" w:val="clear"/>
            <w:vAlign w:val="bottom"/>
          </w:tcPr>
          <w:p>
            <w:pPr>
              <w:pStyle w:val="TableContents"/>
              <w:spacing w:before="0" w:after="283"/>
              <w:jc w:val="left"/>
              <w:rPr/>
            </w:pPr>
            <w:r>
              <w:rPr/>
              <w:t> </w:t>
            </w:r>
          </w:p>
        </w:tc>
        <w:tc>
          <w:tcPr>
            <w:tcW w:w="846" w:type="dxa"/>
            <w:tcBorders>
              <w:bottom w:val="doub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514,100</w:t>
            </w:r>
          </w:p>
        </w:tc>
        <w:tc>
          <w:tcPr>
            <w:tcW w:w="113" w:type="dxa"/>
            <w:tcBorders>
              <w:bottom w:val="single" w:sz="4" w:space="0" w:color="CCEEFF"/>
            </w:tcBorders>
            <w:shd w:fill="CCEEFF" w:val="clear"/>
            <w:vAlign w:val="bottom"/>
          </w:tcPr>
          <w:p>
            <w:pPr>
              <w:pStyle w:val="TableContents"/>
              <w:spacing w:before="0" w:after="283"/>
              <w:jc w:val="left"/>
              <w:rPr/>
            </w:pPr>
            <w:r>
              <w:rPr/>
              <w:t> </w:t>
            </w:r>
          </w:p>
        </w:tc>
        <w:tc>
          <w:tcPr>
            <w:tcW w:w="100" w:type="dxa"/>
            <w:tcBorders>
              <w:bottom w:val="double" w:sz="2" w:space="0" w:color="000000"/>
            </w:tcBorders>
            <w:shd w:fill="CCEEFF" w:val="clear"/>
            <w:vAlign w:val="bottom"/>
          </w:tcPr>
          <w:p>
            <w:pPr>
              <w:pStyle w:val="TableContents"/>
              <w:spacing w:before="0" w:after="283"/>
              <w:jc w:val="left"/>
              <w:rPr/>
            </w:pPr>
            <w:r>
              <w:rPr/>
              <w:t> </w:t>
            </w:r>
          </w:p>
        </w:tc>
        <w:tc>
          <w:tcPr>
            <w:tcW w:w="752" w:type="dxa"/>
            <w:tcBorders>
              <w:bottom w:val="doub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185,100</w:t>
            </w:r>
          </w:p>
        </w:tc>
        <w:tc>
          <w:tcPr>
            <w:tcW w:w="100" w:type="dxa"/>
            <w:tcBorders>
              <w:bottom w:val="single" w:sz="4" w:space="0" w:color="CCEEFF"/>
            </w:tcBorders>
            <w:shd w:fill="CCEEFF" w:val="clear"/>
            <w:vAlign w:val="bottom"/>
          </w:tcPr>
          <w:p>
            <w:pPr>
              <w:pStyle w:val="TableContents"/>
              <w:spacing w:before="0" w:after="283"/>
              <w:jc w:val="left"/>
              <w:rPr/>
            </w:pPr>
            <w:r>
              <w:rPr/>
              <w:t> </w:t>
            </w:r>
          </w:p>
        </w:tc>
        <w:tc>
          <w:tcPr>
            <w:tcW w:w="141" w:type="dxa"/>
            <w:tcBorders>
              <w:bottom w:val="doub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bookmarkStart w:id="2933" w:name="TAB11322"/>
            <w:bookmarkEnd w:id="2933"/>
            <w:r>
              <w:rPr>
                <w:rFonts w:ascii="Times New Roman" w:hAnsi="Times New Roman"/>
                <w:sz w:val="20"/>
              </w:rPr>
              <w:t>$</w:t>
            </w:r>
            <w:bookmarkStart w:id="2934" w:name="TAB2111"/>
            <w:bookmarkEnd w:id="2934"/>
          </w:p>
        </w:tc>
        <w:tc>
          <w:tcPr>
            <w:tcW w:w="553" w:type="dxa"/>
            <w:tcBorders>
              <w:bottom w:val="doub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2935" w:name="TAB2112"/>
            <w:bookmarkStart w:id="2936" w:name="TAB11323"/>
            <w:bookmarkEnd w:id="2935"/>
            <w:bookmarkEnd w:id="2936"/>
            <w:r>
              <w:rPr>
                <w:rFonts w:ascii="Times New Roman" w:hAnsi="Times New Roman"/>
                <w:sz w:val="20"/>
              </w:rPr>
              <w:t>5.21</w:t>
            </w:r>
          </w:p>
        </w:tc>
        <w:tc>
          <w:tcPr>
            <w:tcW w:w="100" w:type="dxa"/>
            <w:tcBorders>
              <w:bottom w:val="single" w:sz="4" w:space="0" w:color="CCEEFF"/>
            </w:tcBorders>
            <w:shd w:fill="CCEEFF" w:val="clear"/>
            <w:vAlign w:val="bottom"/>
          </w:tcPr>
          <w:p>
            <w:pPr>
              <w:pStyle w:val="TableContents"/>
              <w:spacing w:before="0" w:after="283"/>
              <w:jc w:val="left"/>
              <w:rPr/>
            </w:pPr>
            <w:r>
              <w:rPr/>
              <w:t> </w:t>
            </w:r>
          </w:p>
        </w:tc>
        <w:tc>
          <w:tcPr>
            <w:tcW w:w="141" w:type="dxa"/>
            <w:tcBorders>
              <w:bottom w:val="doub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bookmarkStart w:id="2937" w:name="TAB11324"/>
            <w:bookmarkEnd w:id="2937"/>
            <w:r>
              <w:rPr>
                <w:rFonts w:ascii="Times New Roman" w:hAnsi="Times New Roman"/>
                <w:sz w:val="20"/>
              </w:rPr>
              <w:t>$</w:t>
            </w:r>
          </w:p>
        </w:tc>
        <w:tc>
          <w:tcPr>
            <w:tcW w:w="553" w:type="dxa"/>
            <w:tcBorders>
              <w:bottom w:val="doub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2938" w:name="TAB11325"/>
            <w:bookmarkEnd w:id="2938"/>
            <w:r>
              <w:rPr>
                <w:rFonts w:ascii="Times New Roman" w:hAnsi="Times New Roman"/>
                <w:sz w:val="20"/>
              </w:rPr>
              <w:t>9.90</w:t>
            </w:r>
          </w:p>
        </w:tc>
        <w:tc>
          <w:tcPr>
            <w:tcW w:w="100" w:type="dxa"/>
            <w:tcBorders>
              <w:bottom w:val="single" w:sz="4" w:space="0" w:color="CCEEFF"/>
            </w:tcBorders>
            <w:shd w:fill="CCEEFF" w:val="clear"/>
            <w:vAlign w:val="bottom"/>
          </w:tcPr>
          <w:p>
            <w:pPr>
              <w:pStyle w:val="TableContents"/>
              <w:spacing w:before="0" w:after="283"/>
              <w:jc w:val="left"/>
              <w:rPr/>
            </w:pPr>
            <w:r>
              <w:rPr/>
              <w:t> </w:t>
            </w:r>
          </w:p>
        </w:tc>
        <w:tc>
          <w:tcPr>
            <w:tcW w:w="100" w:type="dxa"/>
            <w:tcBorders>
              <w:bottom w:val="double" w:sz="2" w:space="0" w:color="000000"/>
            </w:tcBorders>
            <w:shd w:fill="CCEEFF" w:val="clear"/>
            <w:vAlign w:val="bottom"/>
          </w:tcPr>
          <w:p>
            <w:pPr>
              <w:pStyle w:val="TableContents"/>
              <w:spacing w:before="0" w:after="283"/>
              <w:jc w:val="left"/>
              <w:rPr/>
            </w:pPr>
            <w:r>
              <w:rPr/>
              <w:t> </w:t>
            </w:r>
          </w:p>
        </w:tc>
        <w:tc>
          <w:tcPr>
            <w:tcW w:w="846" w:type="dxa"/>
            <w:tcBorders>
              <w:bottom w:val="doub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488,475</w:t>
            </w:r>
          </w:p>
        </w:tc>
        <w:tc>
          <w:tcPr>
            <w:tcW w:w="100" w:type="dxa"/>
            <w:tcBorders>
              <w:bottom w:val="single" w:sz="4" w:space="0" w:color="CCEEFF"/>
            </w:tcBorders>
            <w:shd w:fill="CCEEFF" w:val="clear"/>
            <w:vAlign w:val="bottom"/>
          </w:tcPr>
          <w:p>
            <w:pPr>
              <w:pStyle w:val="TableContents"/>
              <w:spacing w:before="0" w:after="283"/>
              <w:jc w:val="left"/>
              <w:rPr/>
            </w:pPr>
            <w:r>
              <w:rPr/>
              <w:t> </w:t>
            </w:r>
          </w:p>
        </w:tc>
        <w:tc>
          <w:tcPr>
            <w:tcW w:w="100" w:type="dxa"/>
            <w:tcBorders>
              <w:bottom w:val="double" w:sz="2" w:space="0" w:color="000000"/>
            </w:tcBorders>
            <w:shd w:fill="CCEEFF" w:val="clear"/>
            <w:vAlign w:val="bottom"/>
          </w:tcPr>
          <w:p>
            <w:pPr>
              <w:pStyle w:val="TableContents"/>
              <w:spacing w:before="0" w:after="283"/>
              <w:jc w:val="left"/>
              <w:rPr/>
            </w:pPr>
            <w:r>
              <w:rPr/>
              <w:t> </w:t>
            </w:r>
          </w:p>
        </w:tc>
        <w:tc>
          <w:tcPr>
            <w:tcW w:w="751" w:type="dxa"/>
            <w:tcBorders>
              <w:bottom w:val="double" w:sz="2" w:space="0" w:color="000000"/>
            </w:tcBorders>
            <w:shd w:fill="CCEE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185,100</w:t>
            </w:r>
          </w:p>
        </w:tc>
        <w:tc>
          <w:tcPr>
            <w:tcW w:w="100" w:type="dxa"/>
            <w:tcBorders>
              <w:bottom w:val="single" w:sz="4" w:space="0" w:color="CCEEFF"/>
            </w:tcBorders>
            <w:shd w:fill="CCEEFF" w:val="clear"/>
            <w:vAlign w:val="bottom"/>
          </w:tcPr>
          <w:p>
            <w:pPr>
              <w:pStyle w:val="TableContents"/>
              <w:spacing w:before="0" w:after="283"/>
              <w:jc w:val="left"/>
              <w:rPr/>
            </w:pPr>
            <w:r>
              <w:rPr/>
              <w:t> </w:t>
            </w:r>
          </w:p>
        </w:tc>
        <w:tc>
          <w:tcPr>
            <w:tcW w:w="141" w:type="dxa"/>
            <w:tcBorders>
              <w:bottom w:val="doub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bookmarkStart w:id="2939" w:name="TAB11326"/>
            <w:bookmarkEnd w:id="2939"/>
            <w:r>
              <w:rPr>
                <w:rFonts w:ascii="Times New Roman" w:hAnsi="Times New Roman"/>
                <w:sz w:val="20"/>
              </w:rPr>
              <w:t>$</w:t>
            </w:r>
          </w:p>
        </w:tc>
        <w:tc>
          <w:tcPr>
            <w:tcW w:w="553" w:type="dxa"/>
            <w:tcBorders>
              <w:bottom w:val="doub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2940" w:name="TAB11327"/>
            <w:bookmarkEnd w:id="2940"/>
            <w:r>
              <w:rPr>
                <w:rFonts w:ascii="Times New Roman" w:hAnsi="Times New Roman"/>
                <w:sz w:val="20"/>
              </w:rPr>
              <w:t>5.06</w:t>
            </w:r>
          </w:p>
        </w:tc>
        <w:tc>
          <w:tcPr>
            <w:tcW w:w="100" w:type="dxa"/>
            <w:tcBorders>
              <w:bottom w:val="single" w:sz="4" w:space="0" w:color="CCEEFF"/>
            </w:tcBorders>
            <w:shd w:fill="CCEEFF" w:val="clear"/>
            <w:vAlign w:val="bottom"/>
          </w:tcPr>
          <w:p>
            <w:pPr>
              <w:pStyle w:val="TableContents"/>
              <w:spacing w:before="0" w:after="283"/>
              <w:jc w:val="left"/>
              <w:rPr/>
            </w:pPr>
            <w:r>
              <w:rPr/>
              <w:t> </w:t>
            </w:r>
          </w:p>
        </w:tc>
        <w:tc>
          <w:tcPr>
            <w:tcW w:w="141" w:type="dxa"/>
            <w:tcBorders>
              <w:bottom w:val="doub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bookmarkStart w:id="2941" w:name="TAB11328"/>
            <w:bookmarkEnd w:id="2941"/>
            <w:r>
              <w:rPr>
                <w:rFonts w:ascii="Times New Roman" w:hAnsi="Times New Roman"/>
                <w:sz w:val="20"/>
              </w:rPr>
              <w:t>$</w:t>
            </w:r>
            <w:bookmarkStart w:id="2942" w:name="TAB2113"/>
            <w:bookmarkEnd w:id="2942"/>
          </w:p>
        </w:tc>
        <w:tc>
          <w:tcPr>
            <w:tcW w:w="553" w:type="dxa"/>
            <w:tcBorders>
              <w:bottom w:val="doub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2943" w:name="TAB2114"/>
            <w:bookmarkStart w:id="2944" w:name="TAB11329"/>
            <w:bookmarkEnd w:id="2943"/>
            <w:bookmarkEnd w:id="2944"/>
            <w:r>
              <w:rPr>
                <w:rFonts w:ascii="Times New Roman" w:hAnsi="Times New Roman"/>
                <w:sz w:val="20"/>
              </w:rPr>
              <w:t>9.90</w:t>
            </w:r>
          </w:p>
        </w:tc>
        <w:tc>
          <w:tcPr>
            <w:tcW w:w="124" w:type="dxa"/>
            <w:tcBorders>
              <w:bottom w:val="single" w:sz="4" w:space="0" w:color="CCEEFF"/>
            </w:tcBorders>
            <w:shd w:fill="CCEEFF" w:val="clear"/>
            <w:vAlign w:val="bottom"/>
          </w:tcPr>
          <w:p>
            <w:pPr>
              <w:pStyle w:val="TableContents"/>
              <w:spacing w:before="0" w:after="283"/>
              <w:jc w:val="left"/>
              <w:rPr/>
            </w:pPr>
            <w:r>
              <w:rPr/>
              <w:t> </w:t>
            </w:r>
          </w:p>
        </w:tc>
      </w:tr>
    </w:tbl>
    <w:p>
      <w:pPr>
        <w:pStyle w:val="TextBody"/>
        <w:spacing w:lineRule="auto" w:line="300" w:before="0" w:after="0"/>
        <w:jc w:val="both"/>
        <w:rPr/>
      </w:pPr>
      <w:r>
        <w:rPr/>
        <w:t> </w:t>
      </w:r>
    </w:p>
    <w:p>
      <w:pPr>
        <w:pStyle w:val="TextBody"/>
        <w:spacing w:lineRule="auto" w:line="300" w:before="0" w:after="0"/>
        <w:ind w:left="0" w:right="144" w:firstLine="720"/>
        <w:jc w:val="both"/>
        <w:rPr>
          <w:rFonts w:ascii="Times New Roman" w:hAnsi="Times New Roman"/>
          <w:sz w:val="20"/>
        </w:rPr>
      </w:pPr>
      <w:r>
        <w:rPr>
          <w:rFonts w:ascii="Times New Roman" w:hAnsi="Times New Roman"/>
          <w:sz w:val="20"/>
        </w:rPr>
        <w:t>The weighted average remaining contractual life of all options outstanding, vested and expected to vest, at December 31, 2006 and 2005 were approximately 3.60 and 4.47 years, respectively. The weighted average remaining contractual life of the exercisable options outstanding at December 31, 2006 and 2005 was approximately 3.39 and 4.25 years, respectively.</w:t>
      </w:r>
    </w:p>
    <w:p>
      <w:pPr>
        <w:pStyle w:val="TextBody"/>
        <w:spacing w:lineRule="auto" w:line="300" w:before="0" w:after="0"/>
        <w:ind w:left="0" w:right="0" w:hanging="0"/>
        <w:jc w:val="both"/>
        <w:rPr/>
      </w:pPr>
      <w:r>
        <w:rPr/>
      </w:r>
    </w:p>
    <w:p>
      <w:pPr>
        <w:pStyle w:val="TextBody"/>
        <w:spacing w:lineRule="auto" w:line="300" w:before="0" w:after="0"/>
        <w:ind w:left="0" w:right="144" w:firstLine="720"/>
        <w:jc w:val="both"/>
        <w:rPr>
          <w:rFonts w:ascii="Times New Roman" w:hAnsi="Times New Roman"/>
          <w:sz w:val="20"/>
        </w:rPr>
      </w:pPr>
      <w:r>
        <w:rPr>
          <w:rFonts w:ascii="Times New Roman" w:hAnsi="Times New Roman"/>
          <w:sz w:val="20"/>
        </w:rPr>
        <w:t>The following table illustrates the effect on net income per common share for the years ended December 31, 2005 and 2004 as if we had consistently measured the compensation cost for stock option programs under the fair value method adopted on January 1, 2006 (dollars in thousands):</w:t>
      </w:r>
    </w:p>
    <w:p>
      <w:pPr>
        <w:pStyle w:val="TextBody"/>
        <w:spacing w:lineRule="auto" w:line="300" w:before="0" w:after="0"/>
        <w:ind w:left="0" w:right="144" w:hanging="0"/>
        <w:jc w:val="both"/>
        <w:rPr/>
      </w:pPr>
      <w:r>
        <w:rPr/>
      </w:r>
    </w:p>
    <w:p>
      <w:pPr>
        <w:pStyle w:val="Normal"/>
        <w:spacing w:before="0" w:after="0"/>
        <w:rPr>
          <w:sz w:val="4"/>
          <w:szCs w:val="4"/>
        </w:rPr>
      </w:pPr>
      <w:r>
        <w:rPr>
          <w:sz w:val="4"/>
          <w:szCs w:val="4"/>
        </w:rPr>
      </w:r>
      <w:bookmarkStart w:id="2945" w:name="ftable20"/>
      <w:bookmarkStart w:id="2946" w:name="ftable20"/>
      <w:bookmarkEnd w:id="2946"/>
    </w:p>
    <w:tbl>
      <w:tblPr>
        <w:tblW w:w="5000" w:type="pct"/>
        <w:jc w:val="left"/>
        <w:tblInd w:w="0" w:type="dxa"/>
        <w:tblCellMar>
          <w:top w:w="0" w:type="dxa"/>
          <w:left w:w="0" w:type="dxa"/>
          <w:bottom w:w="28" w:type="dxa"/>
          <w:right w:w="0" w:type="dxa"/>
        </w:tblCellMar>
      </w:tblPr>
      <w:tblGrid>
        <w:gridCol w:w="7081"/>
        <w:gridCol w:w="206"/>
        <w:gridCol w:w="127"/>
        <w:gridCol w:w="1147"/>
        <w:gridCol w:w="206"/>
        <w:gridCol w:w="127"/>
        <w:gridCol w:w="1189"/>
        <w:gridCol w:w="122"/>
      </w:tblGrid>
      <w:tr>
        <w:trPr/>
        <w:tc>
          <w:tcPr>
            <w:tcW w:w="7081" w:type="dxa"/>
            <w:tcBorders>
              <w:bottom w:val="double" w:sz="2" w:space="0" w:color="000000"/>
            </w:tcBorders>
            <w:shd w:fill="auto"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Pro forma net income (loss):</w:t>
            </w:r>
          </w:p>
        </w:tc>
        <w:tc>
          <w:tcPr>
            <w:tcW w:w="206" w:type="dxa"/>
            <w:tcBorders>
              <w:bottom w:val="single" w:sz="4" w:space="0" w:color="FFFFFF"/>
            </w:tcBorders>
            <w:shd w:fill="auto" w:val="clear"/>
            <w:vAlign w:val="center"/>
          </w:tcPr>
          <w:p>
            <w:pPr>
              <w:pStyle w:val="TableContents"/>
              <w:spacing w:before="0" w:after="283"/>
              <w:rPr/>
            </w:pPr>
            <w:r>
              <w:rPr/>
              <w:t> </w:t>
            </w:r>
          </w:p>
        </w:tc>
        <w:tc>
          <w:tcPr>
            <w:tcW w:w="1274" w:type="dxa"/>
            <w:gridSpan w:val="2"/>
            <w:tcBorders>
              <w:bottom w:val="double" w:sz="2" w:space="0" w:color="000000"/>
            </w:tcBorders>
            <w:shd w:fill="auto" w:val="cle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2005</w:t>
            </w:r>
          </w:p>
        </w:tc>
        <w:tc>
          <w:tcPr>
            <w:tcW w:w="206" w:type="dxa"/>
            <w:tcBorders>
              <w:bottom w:val="single" w:sz="4" w:space="0" w:color="FFFFFF"/>
            </w:tcBorders>
            <w:shd w:fill="auto" w:val="clear"/>
            <w:vAlign w:val="bottom"/>
          </w:tcPr>
          <w:p>
            <w:pPr>
              <w:pStyle w:val="TableContents"/>
              <w:spacing w:before="0" w:after="283"/>
              <w:jc w:val="left"/>
              <w:rPr/>
            </w:pPr>
            <w:r>
              <w:rPr/>
              <w:t> </w:t>
            </w:r>
          </w:p>
        </w:tc>
        <w:tc>
          <w:tcPr>
            <w:tcW w:w="1316" w:type="dxa"/>
            <w:gridSpan w:val="2"/>
            <w:tcBorders>
              <w:bottom w:val="double" w:sz="2" w:space="0" w:color="000000"/>
            </w:tcBorders>
            <w:shd w:fill="auto" w:val="cle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2004</w:t>
            </w:r>
          </w:p>
        </w:tc>
        <w:tc>
          <w:tcPr>
            <w:tcW w:w="122" w:type="dxa"/>
            <w:tcBorders>
              <w:bottom w:val="single" w:sz="4" w:space="0" w:color="FFFFFF"/>
            </w:tcBorders>
            <w:shd w:fill="auto" w:val="clear"/>
            <w:vAlign w:val="bottom"/>
          </w:tcPr>
          <w:p>
            <w:pPr>
              <w:pStyle w:val="TableContents"/>
              <w:spacing w:before="0" w:after="283"/>
              <w:jc w:val="left"/>
              <w:rPr/>
            </w:pPr>
            <w:r>
              <w:rPr/>
              <w:t> </w:t>
            </w:r>
          </w:p>
        </w:tc>
      </w:tr>
      <w:tr>
        <w:trPr/>
        <w:tc>
          <w:tcPr>
            <w:tcW w:w="7081" w:type="dxa"/>
            <w:tcBorders/>
            <w:shd w:fill="CCEEFF" w:val="clear"/>
            <w:tcMar>
              <w:bottom w:w="0" w:type="dxa"/>
            </w:tcMar>
            <w:vAlign w:val="bottom"/>
          </w:tcPr>
          <w:p>
            <w:pPr>
              <w:pStyle w:val="TableContents"/>
              <w:spacing w:lineRule="auto" w:line="300" w:before="0" w:after="0"/>
              <w:ind w:left="180" w:right="0" w:hanging="0"/>
              <w:jc w:val="left"/>
              <w:rPr>
                <w:rFonts w:ascii="Times New Roman" w:hAnsi="Times New Roman"/>
                <w:sz w:val="20"/>
              </w:rPr>
            </w:pPr>
            <w:r>
              <w:rPr>
                <w:rFonts w:ascii="Times New Roman" w:hAnsi="Times New Roman"/>
                <w:sz w:val="20"/>
              </w:rPr>
              <w:t xml:space="preserve">Net income (loss) </w:t>
            </w:r>
          </w:p>
        </w:tc>
        <w:tc>
          <w:tcPr>
            <w:tcW w:w="206" w:type="dxa"/>
            <w:tcBorders/>
            <w:shd w:fill="CCEEFF" w:val="clear"/>
            <w:tcMar>
              <w:bottom w:w="0" w:type="dxa"/>
            </w:tcMar>
            <w:vAlign w:val="center"/>
          </w:tcPr>
          <w:p>
            <w:pPr>
              <w:pStyle w:val="TableContents"/>
              <w:spacing w:before="0" w:after="283"/>
              <w:rPr/>
            </w:pPr>
            <w:r>
              <w:rPr/>
              <w:t> </w:t>
            </w:r>
          </w:p>
        </w:tc>
        <w:tc>
          <w:tcPr>
            <w:tcW w:w="127"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2947" w:name="TAB11330"/>
            <w:bookmarkEnd w:id="2947"/>
            <w:r>
              <w:rPr>
                <w:rFonts w:ascii="Times New Roman" w:hAnsi="Times New Roman"/>
                <w:sz w:val="20"/>
              </w:rPr>
              <w:t>$</w:t>
            </w:r>
          </w:p>
        </w:tc>
        <w:tc>
          <w:tcPr>
            <w:tcW w:w="1147"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2948" w:name="TAB11331"/>
            <w:bookmarkEnd w:id="2948"/>
            <w:r>
              <w:rPr>
                <w:rFonts w:ascii="Times New Roman" w:hAnsi="Times New Roman"/>
                <w:sz w:val="20"/>
              </w:rPr>
              <w:t>989</w:t>
            </w:r>
          </w:p>
        </w:tc>
        <w:tc>
          <w:tcPr>
            <w:tcW w:w="206" w:type="dxa"/>
            <w:tcBorders/>
            <w:shd w:fill="CCEEFF" w:val="clear"/>
            <w:tcMar>
              <w:bottom w:w="0" w:type="dxa"/>
            </w:tcMar>
            <w:vAlign w:val="bottom"/>
          </w:tcPr>
          <w:p>
            <w:pPr>
              <w:pStyle w:val="TableContents"/>
              <w:spacing w:before="0" w:after="283"/>
              <w:jc w:val="left"/>
              <w:rPr/>
            </w:pPr>
            <w:r>
              <w:rPr/>
              <w:t> </w:t>
            </w:r>
          </w:p>
        </w:tc>
        <w:tc>
          <w:tcPr>
            <w:tcW w:w="127"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2949" w:name="TAB11332"/>
            <w:bookmarkEnd w:id="2949"/>
            <w:r>
              <w:rPr>
                <w:rFonts w:ascii="Times New Roman" w:hAnsi="Times New Roman"/>
                <w:sz w:val="20"/>
              </w:rPr>
              <w:t>$</w:t>
            </w:r>
          </w:p>
        </w:tc>
        <w:tc>
          <w:tcPr>
            <w:tcW w:w="1189"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2950" w:name="TAB11333"/>
            <w:bookmarkEnd w:id="2950"/>
            <w:r>
              <w:rPr>
                <w:rFonts w:ascii="Times New Roman" w:hAnsi="Times New Roman"/>
                <w:sz w:val="20"/>
              </w:rPr>
              <w:t>(8,463</w:t>
            </w:r>
          </w:p>
        </w:tc>
        <w:tc>
          <w:tcPr>
            <w:tcW w:w="122"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2951" w:name="TAB11334"/>
            <w:bookmarkEnd w:id="2951"/>
            <w:r>
              <w:rPr>
                <w:rFonts w:ascii="Times New Roman" w:hAnsi="Times New Roman"/>
                <w:sz w:val="20"/>
              </w:rPr>
              <w:t>)</w:t>
            </w:r>
          </w:p>
        </w:tc>
      </w:tr>
      <w:tr>
        <w:trPr/>
        <w:tc>
          <w:tcPr>
            <w:tcW w:w="7081" w:type="dxa"/>
            <w:tcBorders/>
            <w:shd w:fill="FFFFFF" w:val="clear"/>
            <w:tcMar>
              <w:bottom w:w="0" w:type="dxa"/>
            </w:tcMar>
            <w:vAlign w:val="bottom"/>
          </w:tcPr>
          <w:p>
            <w:pPr>
              <w:pStyle w:val="TableContents"/>
              <w:spacing w:lineRule="auto" w:line="300" w:before="0" w:after="0"/>
              <w:ind w:left="360" w:right="0" w:hanging="180"/>
              <w:jc w:val="left"/>
              <w:rPr>
                <w:rFonts w:ascii="Times New Roman" w:hAnsi="Times New Roman"/>
                <w:sz w:val="20"/>
              </w:rPr>
            </w:pPr>
            <w:r>
              <w:rPr>
                <w:rFonts w:ascii="Times New Roman" w:hAnsi="Times New Roman"/>
                <w:sz w:val="20"/>
              </w:rPr>
              <w:t>Add: Stock-based compensation costs included in reported net loss</w:t>
            </w:r>
          </w:p>
        </w:tc>
        <w:tc>
          <w:tcPr>
            <w:tcW w:w="206" w:type="dxa"/>
            <w:tcBorders/>
            <w:shd w:fill="FFFFFF" w:val="clear"/>
            <w:tcMar>
              <w:bottom w:w="0" w:type="dxa"/>
            </w:tcMar>
            <w:vAlign w:val="center"/>
          </w:tcPr>
          <w:p>
            <w:pPr>
              <w:pStyle w:val="TableContents"/>
              <w:spacing w:before="0" w:after="283"/>
              <w:rPr/>
            </w:pPr>
            <w:r>
              <w:rPr/>
              <w:t> </w:t>
            </w:r>
          </w:p>
        </w:tc>
        <w:tc>
          <w:tcPr>
            <w:tcW w:w="127" w:type="dxa"/>
            <w:tcBorders/>
            <w:shd w:fill="FFFFFF" w:val="clear"/>
            <w:tcMar>
              <w:bottom w:w="0" w:type="dxa"/>
            </w:tcMar>
            <w:vAlign w:val="bottom"/>
          </w:tcPr>
          <w:p>
            <w:pPr>
              <w:pStyle w:val="TableContents"/>
              <w:spacing w:before="0" w:after="283"/>
              <w:jc w:val="left"/>
              <w:rPr/>
            </w:pPr>
            <w:r>
              <w:rPr/>
              <w:t> </w:t>
            </w:r>
          </w:p>
        </w:tc>
        <w:tc>
          <w:tcPr>
            <w:tcW w:w="1147"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206" w:type="dxa"/>
            <w:tcBorders/>
            <w:shd w:fill="FFFFFF" w:val="clear"/>
            <w:tcMar>
              <w:bottom w:w="0" w:type="dxa"/>
            </w:tcMar>
            <w:vAlign w:val="bottom"/>
          </w:tcPr>
          <w:p>
            <w:pPr>
              <w:pStyle w:val="TableContents"/>
              <w:spacing w:before="0" w:after="283"/>
              <w:jc w:val="left"/>
              <w:rPr/>
            </w:pPr>
            <w:r>
              <w:rPr/>
              <w:t> </w:t>
            </w:r>
          </w:p>
        </w:tc>
        <w:tc>
          <w:tcPr>
            <w:tcW w:w="127" w:type="dxa"/>
            <w:tcBorders/>
            <w:shd w:fill="FFFFFF" w:val="clear"/>
            <w:tcMar>
              <w:bottom w:w="0" w:type="dxa"/>
            </w:tcMar>
            <w:vAlign w:val="bottom"/>
          </w:tcPr>
          <w:p>
            <w:pPr>
              <w:pStyle w:val="TableContents"/>
              <w:spacing w:before="0" w:after="283"/>
              <w:jc w:val="left"/>
              <w:rPr/>
            </w:pPr>
            <w:r>
              <w:rPr/>
              <w:t> </w:t>
            </w:r>
          </w:p>
        </w:tc>
        <w:tc>
          <w:tcPr>
            <w:tcW w:w="1189"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122" w:type="dxa"/>
            <w:tcBorders/>
            <w:shd w:fill="FFFFFF" w:val="clear"/>
            <w:tcMar>
              <w:bottom w:w="0" w:type="dxa"/>
            </w:tcMar>
            <w:vAlign w:val="bottom"/>
          </w:tcPr>
          <w:p>
            <w:pPr>
              <w:pStyle w:val="TableContents"/>
              <w:spacing w:before="0" w:after="283"/>
              <w:jc w:val="left"/>
              <w:rPr/>
            </w:pPr>
            <w:r>
              <w:rPr/>
              <w:t> </w:t>
            </w:r>
          </w:p>
        </w:tc>
      </w:tr>
      <w:tr>
        <w:trPr/>
        <w:tc>
          <w:tcPr>
            <w:tcW w:w="7081" w:type="dxa"/>
            <w:tcBorders>
              <w:bottom w:val="single" w:sz="2" w:space="0" w:color="000000"/>
            </w:tcBorders>
            <w:shd w:fill="CCEEFF" w:val="clear"/>
            <w:vAlign w:val="bottom"/>
          </w:tcPr>
          <w:p>
            <w:pPr>
              <w:pStyle w:val="TableContents"/>
              <w:spacing w:lineRule="auto" w:line="300" w:before="0" w:after="0"/>
              <w:ind w:left="180" w:right="0" w:hanging="0"/>
              <w:jc w:val="left"/>
              <w:rPr>
                <w:rFonts w:ascii="Times New Roman" w:hAnsi="Times New Roman"/>
                <w:sz w:val="20"/>
              </w:rPr>
            </w:pPr>
            <w:r>
              <w:rPr>
                <w:rFonts w:ascii="Times New Roman" w:hAnsi="Times New Roman"/>
                <w:sz w:val="20"/>
              </w:rPr>
              <w:t>Deduct: Stock-based compensation costs under SFAS 123</w:t>
            </w:r>
          </w:p>
        </w:tc>
        <w:tc>
          <w:tcPr>
            <w:tcW w:w="206" w:type="dxa"/>
            <w:tcBorders>
              <w:bottom w:val="single" w:sz="2" w:space="0" w:color="CCEEFF"/>
            </w:tcBorders>
            <w:shd w:fill="CCEEFF" w:val="clear"/>
            <w:vAlign w:val="center"/>
          </w:tcPr>
          <w:p>
            <w:pPr>
              <w:pStyle w:val="TableContents"/>
              <w:spacing w:before="0" w:after="283"/>
              <w:rPr/>
            </w:pPr>
            <w:r>
              <w:rPr/>
              <w:t> </w:t>
            </w:r>
          </w:p>
        </w:tc>
        <w:tc>
          <w:tcPr>
            <w:tcW w:w="127" w:type="dxa"/>
            <w:tcBorders>
              <w:bottom w:val="single" w:sz="2" w:space="0" w:color="000000"/>
            </w:tcBorders>
            <w:shd w:fill="CCEEFF" w:val="clear"/>
            <w:vAlign w:val="bottom"/>
          </w:tcPr>
          <w:p>
            <w:pPr>
              <w:pStyle w:val="TableContents"/>
              <w:spacing w:before="0" w:after="283"/>
              <w:jc w:val="left"/>
              <w:rPr/>
            </w:pPr>
            <w:r>
              <w:rPr/>
              <w:t> </w:t>
            </w:r>
          </w:p>
        </w:tc>
        <w:tc>
          <w:tcPr>
            <w:tcW w:w="1147"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83</w:t>
            </w:r>
          </w:p>
        </w:tc>
        <w:tc>
          <w:tcPr>
            <w:tcW w:w="206" w:type="dxa"/>
            <w:tcBorders>
              <w:bottom w:val="single" w:sz="2" w:space="0" w:color="CCEEFF"/>
            </w:tcBorders>
            <w:shd w:fill="CCEEFF" w:val="clear"/>
            <w:vAlign w:val="bottom"/>
          </w:tcPr>
          <w:p>
            <w:pPr>
              <w:pStyle w:val="TableContents"/>
              <w:spacing w:before="0" w:after="283"/>
              <w:jc w:val="left"/>
              <w:rPr/>
            </w:pPr>
            <w:r>
              <w:rPr/>
              <w:t> </w:t>
            </w:r>
          </w:p>
        </w:tc>
        <w:tc>
          <w:tcPr>
            <w:tcW w:w="127" w:type="dxa"/>
            <w:tcBorders>
              <w:bottom w:val="single" w:sz="2" w:space="0" w:color="000000"/>
            </w:tcBorders>
            <w:shd w:fill="CCEEFF" w:val="clear"/>
            <w:vAlign w:val="bottom"/>
          </w:tcPr>
          <w:p>
            <w:pPr>
              <w:pStyle w:val="TableContents"/>
              <w:spacing w:before="0" w:after="283"/>
              <w:jc w:val="left"/>
              <w:rPr/>
            </w:pPr>
            <w:r>
              <w:rPr/>
              <w:t> </w:t>
            </w:r>
          </w:p>
        </w:tc>
        <w:tc>
          <w:tcPr>
            <w:tcW w:w="1189"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358</w:t>
            </w:r>
          </w:p>
        </w:tc>
        <w:tc>
          <w:tcPr>
            <w:tcW w:w="122" w:type="dxa"/>
            <w:tcBorders>
              <w:bottom w:val="single" w:sz="2" w:space="0" w:color="CCEEFF"/>
            </w:tcBorders>
            <w:shd w:fill="CCEEFF" w:val="clear"/>
            <w:vAlign w:val="bottom"/>
          </w:tcPr>
          <w:p>
            <w:pPr>
              <w:pStyle w:val="TableContents"/>
              <w:spacing w:before="0" w:after="283"/>
              <w:jc w:val="left"/>
              <w:rPr/>
            </w:pPr>
            <w:r>
              <w:rPr/>
              <w:t> </w:t>
            </w:r>
          </w:p>
        </w:tc>
      </w:tr>
      <w:tr>
        <w:trPr/>
        <w:tc>
          <w:tcPr>
            <w:tcW w:w="7081" w:type="dxa"/>
            <w:tcBorders>
              <w:bottom w:val="double" w:sz="2" w:space="0" w:color="000000"/>
            </w:tcBorders>
            <w:shd w:fill="FFFFFF" w:val="clear"/>
            <w:vAlign w:val="bottom"/>
          </w:tcPr>
          <w:p>
            <w:pPr>
              <w:pStyle w:val="TableContents"/>
              <w:spacing w:lineRule="auto" w:line="300" w:before="0" w:after="0"/>
              <w:ind w:left="180" w:right="0" w:hanging="0"/>
              <w:jc w:val="left"/>
              <w:rPr>
                <w:rFonts w:ascii="Times New Roman" w:hAnsi="Times New Roman"/>
                <w:sz w:val="20"/>
              </w:rPr>
            </w:pPr>
            <w:r>
              <w:rPr>
                <w:rFonts w:ascii="Times New Roman" w:hAnsi="Times New Roman"/>
                <w:sz w:val="20"/>
              </w:rPr>
              <w:t xml:space="preserve">Proforma net income (loss) </w:t>
            </w:r>
          </w:p>
        </w:tc>
        <w:tc>
          <w:tcPr>
            <w:tcW w:w="206" w:type="dxa"/>
            <w:tcBorders>
              <w:bottom w:val="single" w:sz="4" w:space="0" w:color="FFFFFF"/>
            </w:tcBorders>
            <w:shd w:fill="FFFFFF" w:val="clear"/>
            <w:vAlign w:val="center"/>
          </w:tcPr>
          <w:p>
            <w:pPr>
              <w:pStyle w:val="TableContents"/>
              <w:spacing w:before="0" w:after="283"/>
              <w:rPr/>
            </w:pPr>
            <w:r>
              <w:rPr/>
              <w:t> </w:t>
            </w:r>
          </w:p>
        </w:tc>
        <w:tc>
          <w:tcPr>
            <w:tcW w:w="127" w:type="dxa"/>
            <w:tcBorders>
              <w:bottom w:val="doub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bookmarkStart w:id="2952" w:name="TAB11335"/>
            <w:bookmarkEnd w:id="2952"/>
            <w:r>
              <w:rPr>
                <w:rFonts w:ascii="Times New Roman" w:hAnsi="Times New Roman"/>
                <w:sz w:val="20"/>
              </w:rPr>
              <w:t>$</w:t>
            </w:r>
          </w:p>
        </w:tc>
        <w:tc>
          <w:tcPr>
            <w:tcW w:w="1147"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2953" w:name="TAB11336"/>
            <w:bookmarkEnd w:id="2953"/>
            <w:r>
              <w:rPr>
                <w:rFonts w:ascii="Times New Roman" w:hAnsi="Times New Roman"/>
                <w:sz w:val="20"/>
              </w:rPr>
              <w:t>906</w:t>
            </w:r>
          </w:p>
        </w:tc>
        <w:tc>
          <w:tcPr>
            <w:tcW w:w="206" w:type="dxa"/>
            <w:tcBorders>
              <w:bottom w:val="single" w:sz="4" w:space="0" w:color="FFFFFF"/>
            </w:tcBorders>
            <w:shd w:fill="FFFFFF" w:val="clear"/>
            <w:vAlign w:val="bottom"/>
          </w:tcPr>
          <w:p>
            <w:pPr>
              <w:pStyle w:val="TableContents"/>
              <w:spacing w:before="0" w:after="283"/>
              <w:jc w:val="left"/>
              <w:rPr/>
            </w:pPr>
            <w:r>
              <w:rPr/>
              <w:t> </w:t>
            </w:r>
          </w:p>
        </w:tc>
        <w:tc>
          <w:tcPr>
            <w:tcW w:w="127" w:type="dxa"/>
            <w:tcBorders>
              <w:bottom w:val="doub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bookmarkStart w:id="2954" w:name="TAB11337"/>
            <w:bookmarkEnd w:id="2954"/>
            <w:r>
              <w:rPr>
                <w:rFonts w:ascii="Times New Roman" w:hAnsi="Times New Roman"/>
                <w:sz w:val="20"/>
              </w:rPr>
              <w:t>$</w:t>
            </w:r>
          </w:p>
        </w:tc>
        <w:tc>
          <w:tcPr>
            <w:tcW w:w="1189"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2955" w:name="TAB11338"/>
            <w:bookmarkEnd w:id="2955"/>
            <w:r>
              <w:rPr>
                <w:rFonts w:ascii="Times New Roman" w:hAnsi="Times New Roman"/>
                <w:sz w:val="20"/>
              </w:rPr>
              <w:t>(8,821</w:t>
            </w:r>
          </w:p>
        </w:tc>
        <w:tc>
          <w:tcPr>
            <w:tcW w:w="122" w:type="dxa"/>
            <w:tcBorders>
              <w:bottom w:val="single" w:sz="4" w:space="0" w:color="FFFFFF"/>
            </w:tcBorders>
            <w:shd w:fill="FFFFFF" w:val="clear"/>
            <w:vAlign w:val="bottom"/>
          </w:tcPr>
          <w:p>
            <w:pPr>
              <w:pStyle w:val="TableContents"/>
              <w:spacing w:lineRule="auto" w:line="300" w:before="0" w:after="0"/>
              <w:ind w:left="0" w:right="0" w:hanging="0"/>
              <w:jc w:val="left"/>
              <w:rPr>
                <w:rFonts w:ascii="Times New Roman" w:hAnsi="Times New Roman"/>
                <w:sz w:val="20"/>
              </w:rPr>
            </w:pPr>
            <w:bookmarkStart w:id="2956" w:name="TAB11339"/>
            <w:bookmarkEnd w:id="2956"/>
            <w:r>
              <w:rPr>
                <w:rFonts w:ascii="Times New Roman" w:hAnsi="Times New Roman"/>
                <w:sz w:val="20"/>
              </w:rPr>
              <w:t>)</w:t>
            </w:r>
          </w:p>
        </w:tc>
      </w:tr>
      <w:tr>
        <w:trPr/>
        <w:tc>
          <w:tcPr>
            <w:tcW w:w="7081" w:type="dxa"/>
            <w:tcBorders/>
            <w:shd w:fill="CCEEFF" w:val="clear"/>
            <w:tcMar>
              <w:bottom w:w="0" w:type="dxa"/>
            </w:tcMar>
            <w:vAlign w:val="bottom"/>
          </w:tcPr>
          <w:p>
            <w:pPr>
              <w:pStyle w:val="TableContents"/>
              <w:spacing w:before="0" w:after="283"/>
              <w:jc w:val="left"/>
              <w:rPr/>
            </w:pPr>
            <w:r>
              <w:rPr/>
              <w:t> </w:t>
            </w:r>
          </w:p>
        </w:tc>
        <w:tc>
          <w:tcPr>
            <w:tcW w:w="206" w:type="dxa"/>
            <w:tcBorders/>
            <w:shd w:fill="CCEEFF" w:val="clear"/>
            <w:tcMar>
              <w:bottom w:w="0" w:type="dxa"/>
            </w:tcMar>
            <w:vAlign w:val="center"/>
          </w:tcPr>
          <w:p>
            <w:pPr>
              <w:pStyle w:val="TableContents"/>
              <w:spacing w:before="0" w:after="283"/>
              <w:rPr/>
            </w:pPr>
            <w:r>
              <w:rPr/>
              <w:t> </w:t>
            </w:r>
          </w:p>
        </w:tc>
        <w:tc>
          <w:tcPr>
            <w:tcW w:w="127" w:type="dxa"/>
            <w:tcBorders/>
            <w:shd w:fill="CCEEFF" w:val="clear"/>
            <w:tcMar>
              <w:bottom w:w="0" w:type="dxa"/>
            </w:tcMar>
            <w:vAlign w:val="bottom"/>
          </w:tcPr>
          <w:p>
            <w:pPr>
              <w:pStyle w:val="TableContents"/>
              <w:spacing w:before="0" w:after="283"/>
              <w:jc w:val="left"/>
              <w:rPr/>
            </w:pPr>
            <w:r>
              <w:rPr/>
              <w:t> </w:t>
            </w:r>
          </w:p>
        </w:tc>
        <w:tc>
          <w:tcPr>
            <w:tcW w:w="1147" w:type="dxa"/>
            <w:tcBorders/>
            <w:shd w:fill="CCEEFF" w:val="clear"/>
            <w:tcMar>
              <w:bottom w:w="0" w:type="dxa"/>
            </w:tcMar>
            <w:vAlign w:val="bottom"/>
          </w:tcPr>
          <w:p>
            <w:pPr>
              <w:pStyle w:val="TableContents"/>
              <w:spacing w:before="0" w:after="283"/>
              <w:jc w:val="right"/>
              <w:rPr/>
            </w:pPr>
            <w:r>
              <w:rPr/>
              <w:t> </w:t>
            </w:r>
          </w:p>
        </w:tc>
        <w:tc>
          <w:tcPr>
            <w:tcW w:w="206" w:type="dxa"/>
            <w:tcBorders/>
            <w:shd w:fill="CCEEFF" w:val="clear"/>
            <w:tcMar>
              <w:bottom w:w="0" w:type="dxa"/>
            </w:tcMar>
            <w:vAlign w:val="bottom"/>
          </w:tcPr>
          <w:p>
            <w:pPr>
              <w:pStyle w:val="TableContents"/>
              <w:spacing w:before="0" w:after="283"/>
              <w:jc w:val="left"/>
              <w:rPr/>
            </w:pPr>
            <w:r>
              <w:rPr/>
              <w:t> </w:t>
            </w:r>
          </w:p>
        </w:tc>
        <w:tc>
          <w:tcPr>
            <w:tcW w:w="127" w:type="dxa"/>
            <w:tcBorders/>
            <w:shd w:fill="CCEEFF" w:val="clear"/>
            <w:tcMar>
              <w:bottom w:w="0" w:type="dxa"/>
            </w:tcMar>
            <w:vAlign w:val="bottom"/>
          </w:tcPr>
          <w:p>
            <w:pPr>
              <w:pStyle w:val="TableContents"/>
              <w:spacing w:before="0" w:after="283"/>
              <w:jc w:val="left"/>
              <w:rPr/>
            </w:pPr>
            <w:r>
              <w:rPr/>
              <w:t> </w:t>
            </w:r>
          </w:p>
        </w:tc>
        <w:tc>
          <w:tcPr>
            <w:tcW w:w="1189" w:type="dxa"/>
            <w:tcBorders/>
            <w:shd w:fill="CCEEFF" w:val="clear"/>
            <w:tcMar>
              <w:bottom w:w="0" w:type="dxa"/>
            </w:tcMar>
            <w:vAlign w:val="bottom"/>
          </w:tcPr>
          <w:p>
            <w:pPr>
              <w:pStyle w:val="TableContents"/>
              <w:spacing w:before="0" w:after="283"/>
              <w:jc w:val="right"/>
              <w:rPr/>
            </w:pPr>
            <w:r>
              <w:rPr/>
              <w:t> </w:t>
            </w:r>
          </w:p>
        </w:tc>
        <w:tc>
          <w:tcPr>
            <w:tcW w:w="122" w:type="dxa"/>
            <w:tcBorders/>
            <w:shd w:fill="CCEEFF" w:val="clear"/>
            <w:tcMar>
              <w:bottom w:w="0" w:type="dxa"/>
            </w:tcMar>
            <w:vAlign w:val="bottom"/>
          </w:tcPr>
          <w:p>
            <w:pPr>
              <w:pStyle w:val="TableContents"/>
              <w:spacing w:before="0" w:after="283"/>
              <w:jc w:val="left"/>
              <w:rPr/>
            </w:pPr>
            <w:r>
              <w:rPr/>
              <w:t> </w:t>
            </w:r>
          </w:p>
        </w:tc>
      </w:tr>
      <w:tr>
        <w:trPr/>
        <w:tc>
          <w:tcPr>
            <w:tcW w:w="7081" w:type="dxa"/>
            <w:tcBorders>
              <w:bottom w:val="doub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Pro forma basic net earnings (loss) per common share:</w:t>
            </w:r>
          </w:p>
        </w:tc>
        <w:tc>
          <w:tcPr>
            <w:tcW w:w="206" w:type="dxa"/>
            <w:tcBorders>
              <w:bottom w:val="single" w:sz="4" w:space="0" w:color="FFFFFF"/>
            </w:tcBorders>
            <w:shd w:fill="FFFFFF" w:val="clear"/>
            <w:vAlign w:val="center"/>
          </w:tcPr>
          <w:p>
            <w:pPr>
              <w:pStyle w:val="TableContents"/>
              <w:spacing w:before="0" w:after="283"/>
              <w:rPr/>
            </w:pPr>
            <w:r>
              <w:rPr/>
              <w:t> </w:t>
            </w:r>
          </w:p>
        </w:tc>
        <w:tc>
          <w:tcPr>
            <w:tcW w:w="127" w:type="dxa"/>
            <w:tcBorders>
              <w:bottom w:val="double" w:sz="2" w:space="0" w:color="000000"/>
            </w:tcBorders>
            <w:shd w:fill="FFFFFF" w:val="clear"/>
            <w:vAlign w:val="bottom"/>
          </w:tcPr>
          <w:p>
            <w:pPr>
              <w:pStyle w:val="TableContents"/>
              <w:spacing w:before="0" w:after="283"/>
              <w:jc w:val="left"/>
              <w:rPr/>
            </w:pPr>
            <w:r>
              <w:rPr/>
              <w:t> </w:t>
            </w:r>
          </w:p>
        </w:tc>
        <w:tc>
          <w:tcPr>
            <w:tcW w:w="1147" w:type="dxa"/>
            <w:tcBorders>
              <w:bottom w:val="double" w:sz="2" w:space="0" w:color="000000"/>
            </w:tcBorders>
            <w:shd w:fill="FFFFFF" w:val="clear"/>
            <w:vAlign w:val="bottom"/>
          </w:tcPr>
          <w:p>
            <w:pPr>
              <w:pStyle w:val="TableContents"/>
              <w:spacing w:before="0" w:after="283"/>
              <w:jc w:val="right"/>
              <w:rPr/>
            </w:pPr>
            <w:r>
              <w:rPr/>
              <w:t> </w:t>
            </w:r>
          </w:p>
        </w:tc>
        <w:tc>
          <w:tcPr>
            <w:tcW w:w="206" w:type="dxa"/>
            <w:tcBorders>
              <w:bottom w:val="single" w:sz="4" w:space="0" w:color="FFFFFF"/>
            </w:tcBorders>
            <w:shd w:fill="FFFFFF" w:val="clear"/>
            <w:vAlign w:val="bottom"/>
          </w:tcPr>
          <w:p>
            <w:pPr>
              <w:pStyle w:val="TableContents"/>
              <w:spacing w:before="0" w:after="283"/>
              <w:jc w:val="left"/>
              <w:rPr/>
            </w:pPr>
            <w:r>
              <w:rPr/>
              <w:t> </w:t>
            </w:r>
          </w:p>
        </w:tc>
        <w:tc>
          <w:tcPr>
            <w:tcW w:w="127" w:type="dxa"/>
            <w:tcBorders>
              <w:bottom w:val="double" w:sz="2" w:space="0" w:color="000000"/>
            </w:tcBorders>
            <w:shd w:fill="FFFFFF" w:val="clear"/>
            <w:vAlign w:val="bottom"/>
          </w:tcPr>
          <w:p>
            <w:pPr>
              <w:pStyle w:val="TableContents"/>
              <w:spacing w:before="0" w:after="283"/>
              <w:jc w:val="left"/>
              <w:rPr/>
            </w:pPr>
            <w:r>
              <w:rPr/>
              <w:t> </w:t>
            </w:r>
          </w:p>
        </w:tc>
        <w:tc>
          <w:tcPr>
            <w:tcW w:w="1189" w:type="dxa"/>
            <w:tcBorders>
              <w:bottom w:val="double" w:sz="2" w:space="0" w:color="000000"/>
            </w:tcBorders>
            <w:shd w:fill="FFFFFF" w:val="clear"/>
            <w:vAlign w:val="bottom"/>
          </w:tcPr>
          <w:p>
            <w:pPr>
              <w:pStyle w:val="TableContents"/>
              <w:spacing w:before="0" w:after="283"/>
              <w:jc w:val="right"/>
              <w:rPr/>
            </w:pPr>
            <w:r>
              <w:rPr/>
              <w:t> </w:t>
            </w:r>
          </w:p>
        </w:tc>
        <w:tc>
          <w:tcPr>
            <w:tcW w:w="122" w:type="dxa"/>
            <w:tcBorders>
              <w:bottom w:val="single" w:sz="4" w:space="0" w:color="FFFFFF"/>
            </w:tcBorders>
            <w:shd w:fill="FFFFFF" w:val="clear"/>
            <w:vAlign w:val="bottom"/>
          </w:tcPr>
          <w:p>
            <w:pPr>
              <w:pStyle w:val="TableContents"/>
              <w:spacing w:before="0" w:after="283"/>
              <w:jc w:val="left"/>
              <w:rPr/>
            </w:pPr>
            <w:r>
              <w:rPr/>
              <w:t> </w:t>
            </w:r>
          </w:p>
        </w:tc>
      </w:tr>
      <w:tr>
        <w:trPr/>
        <w:tc>
          <w:tcPr>
            <w:tcW w:w="7081" w:type="dxa"/>
            <w:tcBorders/>
            <w:shd w:fill="CCEEFF" w:val="clear"/>
            <w:tcMar>
              <w:bottom w:w="0" w:type="dxa"/>
            </w:tcMar>
            <w:vAlign w:val="bottom"/>
          </w:tcPr>
          <w:p>
            <w:pPr>
              <w:pStyle w:val="TableContents"/>
              <w:spacing w:lineRule="auto" w:line="300" w:before="0" w:after="0"/>
              <w:ind w:left="180" w:right="0" w:hanging="0"/>
              <w:jc w:val="left"/>
              <w:rPr>
                <w:rFonts w:ascii="Times New Roman" w:hAnsi="Times New Roman"/>
                <w:sz w:val="20"/>
              </w:rPr>
            </w:pPr>
            <w:r>
              <w:rPr>
                <w:rFonts w:ascii="Times New Roman" w:hAnsi="Times New Roman"/>
                <w:sz w:val="20"/>
              </w:rPr>
              <w:t>Pro forma net earnings (loss) per common share-basic and diluted</w:t>
            </w:r>
          </w:p>
        </w:tc>
        <w:tc>
          <w:tcPr>
            <w:tcW w:w="206" w:type="dxa"/>
            <w:tcBorders/>
            <w:shd w:fill="CCEEFF" w:val="clear"/>
            <w:tcMar>
              <w:bottom w:w="0" w:type="dxa"/>
            </w:tcMar>
            <w:vAlign w:val="center"/>
          </w:tcPr>
          <w:p>
            <w:pPr>
              <w:pStyle w:val="TableContents"/>
              <w:spacing w:before="0" w:after="283"/>
              <w:rPr/>
            </w:pPr>
            <w:r>
              <w:rPr/>
              <w:t> </w:t>
            </w:r>
          </w:p>
        </w:tc>
        <w:tc>
          <w:tcPr>
            <w:tcW w:w="127"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2957" w:name="TAB11340"/>
            <w:bookmarkEnd w:id="2957"/>
            <w:r>
              <w:rPr>
                <w:rFonts w:ascii="Times New Roman" w:hAnsi="Times New Roman"/>
                <w:sz w:val="20"/>
              </w:rPr>
              <w:t>$</w:t>
            </w:r>
          </w:p>
        </w:tc>
        <w:tc>
          <w:tcPr>
            <w:tcW w:w="1147"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2958" w:name="TAB11341"/>
            <w:bookmarkEnd w:id="2958"/>
            <w:r>
              <w:rPr>
                <w:rFonts w:ascii="Times New Roman" w:hAnsi="Times New Roman"/>
                <w:sz w:val="20"/>
              </w:rPr>
              <w:t>0.04</w:t>
            </w:r>
          </w:p>
        </w:tc>
        <w:tc>
          <w:tcPr>
            <w:tcW w:w="206" w:type="dxa"/>
            <w:tcBorders/>
            <w:shd w:fill="CCEEFF" w:val="clear"/>
            <w:tcMar>
              <w:bottom w:w="0" w:type="dxa"/>
            </w:tcMar>
            <w:vAlign w:val="bottom"/>
          </w:tcPr>
          <w:p>
            <w:pPr>
              <w:pStyle w:val="TableContents"/>
              <w:spacing w:before="0" w:after="283"/>
              <w:jc w:val="left"/>
              <w:rPr/>
            </w:pPr>
            <w:r>
              <w:rPr/>
              <w:t> </w:t>
            </w:r>
          </w:p>
        </w:tc>
        <w:tc>
          <w:tcPr>
            <w:tcW w:w="127"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2959" w:name="TAB11342"/>
            <w:bookmarkEnd w:id="2959"/>
            <w:r>
              <w:rPr>
                <w:rFonts w:ascii="Times New Roman" w:hAnsi="Times New Roman"/>
                <w:sz w:val="20"/>
              </w:rPr>
              <w:t>$</w:t>
            </w:r>
          </w:p>
        </w:tc>
        <w:tc>
          <w:tcPr>
            <w:tcW w:w="1189"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2960" w:name="TAB11343"/>
            <w:bookmarkEnd w:id="2960"/>
            <w:r>
              <w:rPr>
                <w:rFonts w:ascii="Times New Roman" w:hAnsi="Times New Roman"/>
                <w:sz w:val="20"/>
              </w:rPr>
              <w:t>(0.40</w:t>
            </w:r>
          </w:p>
        </w:tc>
        <w:tc>
          <w:tcPr>
            <w:tcW w:w="122"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2961" w:name="TAB11344"/>
            <w:bookmarkEnd w:id="2961"/>
            <w:r>
              <w:rPr>
                <w:rFonts w:ascii="Times New Roman" w:hAnsi="Times New Roman"/>
                <w:sz w:val="20"/>
              </w:rPr>
              <w:t>)</w:t>
            </w:r>
          </w:p>
        </w:tc>
      </w:tr>
      <w:tr>
        <w:trPr/>
        <w:tc>
          <w:tcPr>
            <w:tcW w:w="7081" w:type="dxa"/>
            <w:tcBorders>
              <w:bottom w:val="double" w:sz="2" w:space="0" w:color="000000"/>
            </w:tcBorders>
            <w:shd w:fill="FFFFFF" w:val="clear"/>
            <w:vAlign w:val="bottom"/>
          </w:tcPr>
          <w:p>
            <w:pPr>
              <w:pStyle w:val="TableContents"/>
              <w:spacing w:lineRule="auto" w:line="300" w:before="0" w:after="0"/>
              <w:ind w:left="180" w:right="0" w:hanging="0"/>
              <w:jc w:val="left"/>
              <w:rPr>
                <w:rFonts w:ascii="Times New Roman" w:hAnsi="Times New Roman"/>
                <w:sz w:val="20"/>
              </w:rPr>
            </w:pPr>
            <w:r>
              <w:rPr>
                <w:rFonts w:ascii="Times New Roman" w:hAnsi="Times New Roman"/>
                <w:sz w:val="20"/>
              </w:rPr>
              <w:t>Reported net earnings (loss) per common share-basic and diluted</w:t>
            </w:r>
          </w:p>
        </w:tc>
        <w:tc>
          <w:tcPr>
            <w:tcW w:w="206" w:type="dxa"/>
            <w:tcBorders>
              <w:bottom w:val="single" w:sz="4" w:space="0" w:color="FFFFFF"/>
            </w:tcBorders>
            <w:shd w:fill="FFFFFF" w:val="clear"/>
            <w:vAlign w:val="center"/>
          </w:tcPr>
          <w:p>
            <w:pPr>
              <w:pStyle w:val="TableContents"/>
              <w:spacing w:before="0" w:after="283"/>
              <w:rPr/>
            </w:pPr>
            <w:r>
              <w:rPr/>
              <w:t> </w:t>
            </w:r>
          </w:p>
        </w:tc>
        <w:tc>
          <w:tcPr>
            <w:tcW w:w="127" w:type="dxa"/>
            <w:tcBorders>
              <w:bottom w:val="doub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bookmarkStart w:id="2962" w:name="TAB11345"/>
            <w:bookmarkEnd w:id="2962"/>
            <w:r>
              <w:rPr>
                <w:rFonts w:ascii="Times New Roman" w:hAnsi="Times New Roman"/>
                <w:sz w:val="20"/>
              </w:rPr>
              <w:t>$</w:t>
            </w:r>
          </w:p>
        </w:tc>
        <w:tc>
          <w:tcPr>
            <w:tcW w:w="1147"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2963" w:name="TAB11346"/>
            <w:bookmarkEnd w:id="2963"/>
            <w:r>
              <w:rPr>
                <w:rFonts w:ascii="Times New Roman" w:hAnsi="Times New Roman"/>
                <w:sz w:val="20"/>
              </w:rPr>
              <w:t>0.04</w:t>
            </w:r>
          </w:p>
        </w:tc>
        <w:tc>
          <w:tcPr>
            <w:tcW w:w="206" w:type="dxa"/>
            <w:tcBorders>
              <w:bottom w:val="single" w:sz="4" w:space="0" w:color="FFFFFF"/>
            </w:tcBorders>
            <w:shd w:fill="FFFFFF" w:val="clear"/>
            <w:vAlign w:val="bottom"/>
          </w:tcPr>
          <w:p>
            <w:pPr>
              <w:pStyle w:val="TableContents"/>
              <w:spacing w:before="0" w:after="283"/>
              <w:jc w:val="left"/>
              <w:rPr/>
            </w:pPr>
            <w:r>
              <w:rPr/>
              <w:t> </w:t>
            </w:r>
          </w:p>
        </w:tc>
        <w:tc>
          <w:tcPr>
            <w:tcW w:w="127" w:type="dxa"/>
            <w:tcBorders>
              <w:bottom w:val="doub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bookmarkStart w:id="2964" w:name="TAB11347"/>
            <w:bookmarkEnd w:id="2964"/>
            <w:r>
              <w:rPr>
                <w:rFonts w:ascii="Times New Roman" w:hAnsi="Times New Roman"/>
                <w:sz w:val="20"/>
              </w:rPr>
              <w:t>$</w:t>
            </w:r>
          </w:p>
        </w:tc>
        <w:tc>
          <w:tcPr>
            <w:tcW w:w="1189"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2965" w:name="TAB11348"/>
            <w:bookmarkEnd w:id="2965"/>
            <w:r>
              <w:rPr>
                <w:rFonts w:ascii="Times New Roman" w:hAnsi="Times New Roman"/>
                <w:sz w:val="20"/>
              </w:rPr>
              <w:t>(0.39</w:t>
            </w:r>
          </w:p>
        </w:tc>
        <w:tc>
          <w:tcPr>
            <w:tcW w:w="122" w:type="dxa"/>
            <w:tcBorders>
              <w:bottom w:val="single" w:sz="4" w:space="0" w:color="FFFFFF"/>
            </w:tcBorders>
            <w:shd w:fill="FFFFFF" w:val="clear"/>
            <w:vAlign w:val="bottom"/>
          </w:tcPr>
          <w:p>
            <w:pPr>
              <w:pStyle w:val="TableContents"/>
              <w:spacing w:lineRule="auto" w:line="300" w:before="0" w:after="0"/>
              <w:ind w:left="0" w:right="0" w:hanging="0"/>
              <w:jc w:val="left"/>
              <w:rPr>
                <w:rFonts w:ascii="Times New Roman" w:hAnsi="Times New Roman"/>
                <w:sz w:val="20"/>
              </w:rPr>
            </w:pPr>
            <w:bookmarkStart w:id="2966" w:name="TAB11349"/>
            <w:bookmarkEnd w:id="2966"/>
            <w:r>
              <w:rPr>
                <w:rFonts w:ascii="Times New Roman" w:hAnsi="Times New Roman"/>
                <w:sz w:val="20"/>
              </w:rPr>
              <w:t>)</w:t>
            </w:r>
          </w:p>
        </w:tc>
      </w:tr>
    </w:tbl>
    <w:p>
      <w:pPr>
        <w:pStyle w:val="TextBody"/>
        <w:spacing w:lineRule="auto" w:line="300" w:before="0" w:after="0"/>
        <w:ind w:left="0" w:right="0" w:hanging="0"/>
        <w:jc w:val="both"/>
        <w:rPr/>
      </w:pPr>
      <w:r>
        <w:rPr/>
      </w:r>
    </w:p>
    <w:p>
      <w:pPr>
        <w:pStyle w:val="TextBody"/>
        <w:spacing w:lineRule="auto" w:line="300" w:before="0" w:after="0"/>
        <w:ind w:left="0" w:right="0" w:hanging="0"/>
        <w:jc w:val="both"/>
        <w:rPr/>
      </w:pPr>
      <w:r>
        <w:rPr/>
      </w:r>
    </w:p>
    <w:p>
      <w:pPr>
        <w:pStyle w:val="TextBody"/>
        <w:spacing w:lineRule="auto" w:line="300" w:before="0" w:after="0"/>
        <w:ind w:left="0" w:right="0" w:hanging="0"/>
        <w:jc w:val="both"/>
        <w:rPr/>
      </w:pPr>
      <w:r>
        <w:rPr>
          <w:rStyle w:val="StrongEmphasis"/>
          <w:rFonts w:ascii="Times New Roman" w:hAnsi="Times New Roman"/>
          <w:sz w:val="20"/>
          <w:u w:val="single"/>
        </w:rPr>
        <w:t>Note 4 - Earnings (Loss) Per Share</w:t>
      </w:r>
    </w:p>
    <w:p>
      <w:pPr>
        <w:pStyle w:val="TextBody"/>
        <w:spacing w:lineRule="auto" w:line="300" w:before="0" w:after="0"/>
        <w:ind w:left="0" w:right="0" w:hanging="0"/>
        <w:jc w:val="both"/>
        <w:rPr/>
      </w:pPr>
      <w:r>
        <w:rPr/>
      </w:r>
    </w:p>
    <w:p>
      <w:pPr>
        <w:pStyle w:val="TextBody"/>
        <w:spacing w:lineRule="auto" w:line="300" w:before="0" w:after="0"/>
        <w:ind w:left="720" w:right="0" w:hanging="0"/>
        <w:jc w:val="both"/>
        <w:rPr>
          <w:rFonts w:ascii="Times New Roman" w:hAnsi="Times New Roman"/>
          <w:sz w:val="20"/>
        </w:rPr>
      </w:pPr>
      <w:bookmarkStart w:id="2967" w:name="TAB11350"/>
      <w:bookmarkEnd w:id="2967"/>
      <w:r>
        <w:rPr>
          <w:rFonts w:ascii="Times New Roman" w:hAnsi="Times New Roman"/>
          <w:sz w:val="20"/>
        </w:rPr>
        <w:t>For the three years ended December 31, 2006, we calculated the following earnings (loss) per share (dollars in thousands, except per share amounts):</w:t>
      </w:r>
    </w:p>
    <w:p>
      <w:pPr>
        <w:pStyle w:val="TextBody"/>
        <w:spacing w:lineRule="auto" w:line="300" w:before="0" w:after="0"/>
        <w:ind w:left="0" w:right="0" w:hanging="0"/>
        <w:jc w:val="both"/>
        <w:rPr/>
      </w:pPr>
      <w:r>
        <w:rPr/>
      </w:r>
    </w:p>
    <w:p>
      <w:pPr>
        <w:pStyle w:val="Normal"/>
        <w:spacing w:before="0" w:after="0"/>
        <w:rPr>
          <w:sz w:val="4"/>
          <w:szCs w:val="4"/>
        </w:rPr>
      </w:pPr>
      <w:r>
        <w:rPr>
          <w:sz w:val="4"/>
          <w:szCs w:val="4"/>
        </w:rPr>
      </w:r>
      <w:bookmarkStart w:id="2968" w:name="ftable21"/>
      <w:bookmarkStart w:id="2969" w:name="ftable21"/>
      <w:bookmarkEnd w:id="2969"/>
    </w:p>
    <w:tbl>
      <w:tblPr>
        <w:tblW w:w="5000" w:type="pct"/>
        <w:jc w:val="left"/>
        <w:tblInd w:w="0" w:type="dxa"/>
        <w:tblCellMar>
          <w:top w:w="0" w:type="dxa"/>
          <w:left w:w="0" w:type="dxa"/>
          <w:bottom w:w="28" w:type="dxa"/>
          <w:right w:w="0" w:type="dxa"/>
        </w:tblCellMar>
      </w:tblPr>
      <w:tblGrid>
        <w:gridCol w:w="5327"/>
        <w:gridCol w:w="193"/>
        <w:gridCol w:w="127"/>
        <w:gridCol w:w="1263"/>
        <w:gridCol w:w="193"/>
        <w:gridCol w:w="127"/>
        <w:gridCol w:w="1263"/>
        <w:gridCol w:w="199"/>
        <w:gridCol w:w="127"/>
        <w:gridCol w:w="1262"/>
        <w:gridCol w:w="124"/>
      </w:tblGrid>
      <w:tr>
        <w:trPr/>
        <w:tc>
          <w:tcPr>
            <w:tcW w:w="5327" w:type="dxa"/>
            <w:tcBorders>
              <w:bottom w:val="double" w:sz="2" w:space="0" w:color="000000"/>
            </w:tcBorders>
            <w:shd w:fill="auto" w:val="clear"/>
            <w:vAlign w:val="bottom"/>
          </w:tcPr>
          <w:p>
            <w:pPr>
              <w:pStyle w:val="TableContents"/>
              <w:spacing w:before="0" w:after="283"/>
              <w:jc w:val="left"/>
              <w:rPr/>
            </w:pPr>
            <w:r>
              <w:rPr/>
              <w:t> </w:t>
            </w:r>
          </w:p>
        </w:tc>
        <w:tc>
          <w:tcPr>
            <w:tcW w:w="193" w:type="dxa"/>
            <w:tcBorders>
              <w:bottom w:val="single" w:sz="4" w:space="0" w:color="FFFFFF"/>
            </w:tcBorders>
            <w:shd w:fill="auto" w:val="clear"/>
            <w:vAlign w:val="center"/>
          </w:tcPr>
          <w:p>
            <w:pPr>
              <w:pStyle w:val="TableContents"/>
              <w:spacing w:before="0" w:after="283"/>
              <w:rPr/>
            </w:pPr>
            <w:r>
              <w:rPr/>
              <w:t> </w:t>
            </w:r>
          </w:p>
        </w:tc>
        <w:tc>
          <w:tcPr>
            <w:tcW w:w="1390"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2006</w:t>
            </w:r>
          </w:p>
        </w:tc>
        <w:tc>
          <w:tcPr>
            <w:tcW w:w="193" w:type="dxa"/>
            <w:tcBorders>
              <w:bottom w:val="single" w:sz="4" w:space="0" w:color="FFFFFF"/>
            </w:tcBorders>
            <w:shd w:fill="auto" w:val="clear"/>
            <w:vAlign w:val="bottom"/>
          </w:tcPr>
          <w:p>
            <w:pPr>
              <w:pStyle w:val="TableContents"/>
              <w:spacing w:before="0" w:after="283"/>
              <w:jc w:val="left"/>
              <w:rPr/>
            </w:pPr>
            <w:r>
              <w:rPr/>
              <w:t> </w:t>
            </w:r>
          </w:p>
        </w:tc>
        <w:tc>
          <w:tcPr>
            <w:tcW w:w="1390"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 xml:space="preserve">2005 </w:t>
            </w:r>
          </w:p>
        </w:tc>
        <w:tc>
          <w:tcPr>
            <w:tcW w:w="199" w:type="dxa"/>
            <w:tcBorders>
              <w:bottom w:val="single" w:sz="4" w:space="0" w:color="FFFFFF"/>
            </w:tcBorders>
            <w:shd w:fill="auto" w:val="clear"/>
            <w:vAlign w:val="bottom"/>
          </w:tcPr>
          <w:p>
            <w:pPr>
              <w:pStyle w:val="TableContents"/>
              <w:spacing w:before="0" w:after="283"/>
              <w:jc w:val="left"/>
              <w:rPr/>
            </w:pPr>
            <w:r>
              <w:rPr/>
              <w:t> </w:t>
            </w:r>
          </w:p>
        </w:tc>
        <w:tc>
          <w:tcPr>
            <w:tcW w:w="1389"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 xml:space="preserve">2004 </w:t>
            </w:r>
          </w:p>
        </w:tc>
        <w:tc>
          <w:tcPr>
            <w:tcW w:w="124" w:type="dxa"/>
            <w:tcBorders>
              <w:bottom w:val="single" w:sz="4" w:space="0" w:color="FFFFFF"/>
            </w:tcBorders>
            <w:shd w:fill="auto" w:val="clear"/>
            <w:vAlign w:val="bottom"/>
          </w:tcPr>
          <w:p>
            <w:pPr>
              <w:pStyle w:val="TableContents"/>
              <w:spacing w:before="0" w:after="283"/>
              <w:jc w:val="left"/>
              <w:rPr/>
            </w:pPr>
            <w:r>
              <w:rPr/>
              <w:t> </w:t>
            </w:r>
          </w:p>
        </w:tc>
      </w:tr>
      <w:tr>
        <w:trPr/>
        <w:tc>
          <w:tcPr>
            <w:tcW w:w="5327"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Income (loss) from continuing operations</w:t>
            </w:r>
          </w:p>
        </w:tc>
        <w:tc>
          <w:tcPr>
            <w:tcW w:w="193" w:type="dxa"/>
            <w:tcBorders/>
            <w:shd w:fill="CCEEFF" w:val="clear"/>
            <w:tcMar>
              <w:bottom w:w="0" w:type="dxa"/>
            </w:tcMar>
            <w:vAlign w:val="center"/>
          </w:tcPr>
          <w:p>
            <w:pPr>
              <w:pStyle w:val="TableContents"/>
              <w:spacing w:before="0" w:after="283"/>
              <w:rPr/>
            </w:pPr>
            <w:r>
              <w:rPr/>
              <w:t> </w:t>
            </w:r>
          </w:p>
        </w:tc>
        <w:tc>
          <w:tcPr>
            <w:tcW w:w="127"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2970" w:name="TAB11351"/>
            <w:bookmarkStart w:id="2971" w:name="TAB11352"/>
            <w:bookmarkEnd w:id="2970"/>
            <w:bookmarkEnd w:id="2971"/>
            <w:r>
              <w:rPr>
                <w:rFonts w:ascii="Times New Roman" w:hAnsi="Times New Roman"/>
                <w:sz w:val="20"/>
              </w:rPr>
              <w:t>$</w:t>
            </w:r>
            <w:bookmarkStart w:id="2972" w:name="TAB2115"/>
            <w:bookmarkEnd w:id="2972"/>
          </w:p>
        </w:tc>
        <w:tc>
          <w:tcPr>
            <w:tcW w:w="1263"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2973" w:name="TAB2116"/>
            <w:bookmarkStart w:id="2974" w:name="TAB11353"/>
            <w:bookmarkStart w:id="2975" w:name="TAB11354"/>
            <w:bookmarkEnd w:id="2973"/>
            <w:bookmarkEnd w:id="2974"/>
            <w:bookmarkEnd w:id="2975"/>
            <w:r>
              <w:rPr>
                <w:rFonts w:ascii="Times New Roman" w:hAnsi="Times New Roman"/>
                <w:sz w:val="20"/>
              </w:rPr>
              <w:t>3,856</w:t>
            </w:r>
          </w:p>
        </w:tc>
        <w:tc>
          <w:tcPr>
            <w:tcW w:w="193" w:type="dxa"/>
            <w:tcBorders/>
            <w:shd w:fill="CCEEFF" w:val="clear"/>
            <w:tcMar>
              <w:bottom w:w="0" w:type="dxa"/>
            </w:tcMar>
            <w:vAlign w:val="bottom"/>
          </w:tcPr>
          <w:p>
            <w:pPr>
              <w:pStyle w:val="TableContents"/>
              <w:spacing w:before="0" w:after="283"/>
              <w:jc w:val="left"/>
              <w:rPr/>
            </w:pPr>
            <w:r>
              <w:rPr/>
              <w:t> </w:t>
            </w:r>
          </w:p>
        </w:tc>
        <w:tc>
          <w:tcPr>
            <w:tcW w:w="127"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2976" w:name="TAB11355"/>
            <w:bookmarkStart w:id="2977" w:name="TAB11356"/>
            <w:bookmarkEnd w:id="2976"/>
            <w:bookmarkEnd w:id="2977"/>
            <w:r>
              <w:rPr>
                <w:rFonts w:ascii="Times New Roman" w:hAnsi="Times New Roman"/>
                <w:sz w:val="20"/>
              </w:rPr>
              <w:t>$</w:t>
            </w:r>
            <w:bookmarkStart w:id="2978" w:name="TAB2117"/>
            <w:bookmarkEnd w:id="2978"/>
          </w:p>
        </w:tc>
        <w:tc>
          <w:tcPr>
            <w:tcW w:w="1263"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2979" w:name="TAB2118"/>
            <w:bookmarkStart w:id="2980" w:name="TAB11357"/>
            <w:bookmarkStart w:id="2981" w:name="TAB11358"/>
            <w:bookmarkEnd w:id="2979"/>
            <w:bookmarkEnd w:id="2980"/>
            <w:bookmarkEnd w:id="2981"/>
            <w:r>
              <w:rPr>
                <w:rFonts w:ascii="Times New Roman" w:hAnsi="Times New Roman"/>
                <w:sz w:val="20"/>
              </w:rPr>
              <w:t>(11,242</w:t>
            </w:r>
          </w:p>
        </w:tc>
        <w:tc>
          <w:tcPr>
            <w:tcW w:w="199"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2982" w:name="TAB2119"/>
            <w:bookmarkStart w:id="2983" w:name="TAB11359"/>
            <w:bookmarkStart w:id="2984" w:name="TAB11360"/>
            <w:bookmarkEnd w:id="2982"/>
            <w:bookmarkEnd w:id="2983"/>
            <w:bookmarkEnd w:id="2984"/>
            <w:r>
              <w:rPr>
                <w:rFonts w:ascii="Times New Roman" w:hAnsi="Times New Roman"/>
                <w:sz w:val="20"/>
              </w:rPr>
              <w:t>)</w:t>
            </w:r>
          </w:p>
        </w:tc>
        <w:tc>
          <w:tcPr>
            <w:tcW w:w="127"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2985" w:name="TAB11361"/>
            <w:bookmarkStart w:id="2986" w:name="TAB11362"/>
            <w:bookmarkEnd w:id="2985"/>
            <w:bookmarkEnd w:id="2986"/>
            <w:r>
              <w:rPr>
                <w:rFonts w:ascii="Times New Roman" w:hAnsi="Times New Roman"/>
                <w:sz w:val="20"/>
              </w:rPr>
              <w:t>$</w:t>
            </w:r>
            <w:bookmarkStart w:id="2987" w:name="TAB2120"/>
            <w:bookmarkEnd w:id="2987"/>
          </w:p>
        </w:tc>
        <w:tc>
          <w:tcPr>
            <w:tcW w:w="1262"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2988" w:name="TAB2121"/>
            <w:bookmarkStart w:id="2989" w:name="TAB11363"/>
            <w:bookmarkStart w:id="2990" w:name="TAB11364"/>
            <w:bookmarkEnd w:id="2988"/>
            <w:bookmarkEnd w:id="2989"/>
            <w:bookmarkEnd w:id="2990"/>
            <w:r>
              <w:rPr>
                <w:rFonts w:ascii="Times New Roman" w:hAnsi="Times New Roman"/>
                <w:sz w:val="20"/>
              </w:rPr>
              <w:t>(7,994</w:t>
            </w:r>
          </w:p>
        </w:tc>
        <w:tc>
          <w:tcPr>
            <w:tcW w:w="124"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2991" w:name="TAB2122"/>
            <w:bookmarkStart w:id="2992" w:name="TAB11365"/>
            <w:bookmarkStart w:id="2993" w:name="TAB11366"/>
            <w:bookmarkEnd w:id="2991"/>
            <w:bookmarkEnd w:id="2992"/>
            <w:bookmarkEnd w:id="2993"/>
            <w:r>
              <w:rPr>
                <w:rFonts w:ascii="Times New Roman" w:hAnsi="Times New Roman"/>
                <w:sz w:val="20"/>
              </w:rPr>
              <w:t>)</w:t>
            </w:r>
          </w:p>
        </w:tc>
      </w:tr>
      <w:tr>
        <w:trPr/>
        <w:tc>
          <w:tcPr>
            <w:tcW w:w="5327" w:type="dxa"/>
            <w:tcBorders>
              <w:bottom w:val="sing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Income (loss) from discontinued operations</w:t>
            </w:r>
          </w:p>
        </w:tc>
        <w:tc>
          <w:tcPr>
            <w:tcW w:w="193" w:type="dxa"/>
            <w:tcBorders>
              <w:bottom w:val="single" w:sz="2" w:space="0" w:color="FFFFFF"/>
            </w:tcBorders>
            <w:shd w:fill="FFFFFF" w:val="clear"/>
            <w:vAlign w:val="center"/>
          </w:tcPr>
          <w:p>
            <w:pPr>
              <w:pStyle w:val="TableContents"/>
              <w:spacing w:before="0" w:after="283"/>
              <w:rPr/>
            </w:pPr>
            <w:r>
              <w:rPr/>
              <w:t> </w:t>
            </w:r>
          </w:p>
        </w:tc>
        <w:tc>
          <w:tcPr>
            <w:tcW w:w="127" w:type="dxa"/>
            <w:tcBorders>
              <w:bottom w:val="single" w:sz="2" w:space="0" w:color="000000"/>
            </w:tcBorders>
            <w:shd w:fill="FFFFFF" w:val="clear"/>
            <w:vAlign w:val="bottom"/>
          </w:tcPr>
          <w:p>
            <w:pPr>
              <w:pStyle w:val="TableContents"/>
              <w:spacing w:before="0" w:after="283"/>
              <w:jc w:val="left"/>
              <w:rPr/>
            </w:pPr>
            <w:r>
              <w:rPr/>
              <w:t> </w:t>
            </w:r>
          </w:p>
        </w:tc>
        <w:tc>
          <w:tcPr>
            <w:tcW w:w="1263"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2994" w:name="TAB11367"/>
            <w:bookmarkStart w:id="2995" w:name="TAB11368"/>
            <w:bookmarkStart w:id="2996" w:name="TAB11369"/>
            <w:bookmarkEnd w:id="2994"/>
            <w:bookmarkEnd w:id="2995"/>
            <w:bookmarkEnd w:id="2996"/>
            <w:r>
              <w:rPr>
                <w:rFonts w:ascii="Times New Roman" w:hAnsi="Times New Roman"/>
                <w:sz w:val="20"/>
              </w:rPr>
              <w:t>--</w:t>
            </w:r>
          </w:p>
        </w:tc>
        <w:tc>
          <w:tcPr>
            <w:tcW w:w="193" w:type="dxa"/>
            <w:tcBorders>
              <w:bottom w:val="single" w:sz="2" w:space="0" w:color="FFFFFF"/>
            </w:tcBorders>
            <w:shd w:fill="FFFFFF" w:val="clear"/>
            <w:vAlign w:val="bottom"/>
          </w:tcPr>
          <w:p>
            <w:pPr>
              <w:pStyle w:val="TableContents"/>
              <w:spacing w:before="0" w:after="283"/>
              <w:jc w:val="left"/>
              <w:rPr/>
            </w:pPr>
            <w:r>
              <w:rPr/>
              <w:t> </w:t>
            </w:r>
          </w:p>
        </w:tc>
        <w:tc>
          <w:tcPr>
            <w:tcW w:w="127" w:type="dxa"/>
            <w:tcBorders>
              <w:bottom w:val="single" w:sz="2" w:space="0" w:color="000000"/>
            </w:tcBorders>
            <w:shd w:fill="FFFFFF" w:val="clear"/>
            <w:vAlign w:val="bottom"/>
          </w:tcPr>
          <w:p>
            <w:pPr>
              <w:pStyle w:val="TableContents"/>
              <w:spacing w:before="0" w:after="283"/>
              <w:jc w:val="left"/>
              <w:rPr/>
            </w:pPr>
            <w:r>
              <w:rPr/>
              <w:t> </w:t>
            </w:r>
          </w:p>
        </w:tc>
        <w:tc>
          <w:tcPr>
            <w:tcW w:w="1263"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2997" w:name="TAB11370"/>
            <w:bookmarkStart w:id="2998" w:name="TAB11371"/>
            <w:bookmarkStart w:id="2999" w:name="TAB11372"/>
            <w:bookmarkEnd w:id="2997"/>
            <w:bookmarkEnd w:id="2998"/>
            <w:bookmarkEnd w:id="2999"/>
            <w:r>
              <w:rPr>
                <w:rFonts w:ascii="Times New Roman" w:hAnsi="Times New Roman"/>
                <w:sz w:val="20"/>
              </w:rPr>
              <w:t>12,231</w:t>
            </w:r>
          </w:p>
        </w:tc>
        <w:tc>
          <w:tcPr>
            <w:tcW w:w="199" w:type="dxa"/>
            <w:tcBorders>
              <w:bottom w:val="single" w:sz="2" w:space="0" w:color="FFFFFF"/>
            </w:tcBorders>
            <w:shd w:fill="FFFFFF" w:val="clear"/>
            <w:vAlign w:val="bottom"/>
          </w:tcPr>
          <w:p>
            <w:pPr>
              <w:pStyle w:val="TableContents"/>
              <w:spacing w:before="0" w:after="283"/>
              <w:jc w:val="left"/>
              <w:rPr/>
            </w:pPr>
            <w:r>
              <w:rPr/>
              <w:t> </w:t>
            </w:r>
          </w:p>
        </w:tc>
        <w:tc>
          <w:tcPr>
            <w:tcW w:w="127" w:type="dxa"/>
            <w:tcBorders>
              <w:bottom w:val="single" w:sz="2" w:space="0" w:color="000000"/>
            </w:tcBorders>
            <w:shd w:fill="FFFFFF" w:val="clear"/>
            <w:vAlign w:val="bottom"/>
          </w:tcPr>
          <w:p>
            <w:pPr>
              <w:pStyle w:val="TableContents"/>
              <w:spacing w:before="0" w:after="283"/>
              <w:jc w:val="left"/>
              <w:rPr/>
            </w:pPr>
            <w:r>
              <w:rPr/>
              <w:t> </w:t>
            </w:r>
          </w:p>
        </w:tc>
        <w:tc>
          <w:tcPr>
            <w:tcW w:w="1262"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3000" w:name="TAB11373"/>
            <w:bookmarkStart w:id="3001" w:name="TAB11374"/>
            <w:bookmarkStart w:id="3002" w:name="TAB11375"/>
            <w:bookmarkEnd w:id="3000"/>
            <w:bookmarkEnd w:id="3001"/>
            <w:bookmarkEnd w:id="3002"/>
            <w:r>
              <w:rPr>
                <w:rFonts w:ascii="Times New Roman" w:hAnsi="Times New Roman"/>
                <w:sz w:val="20"/>
              </w:rPr>
              <w:t>(469</w:t>
            </w:r>
          </w:p>
        </w:tc>
        <w:tc>
          <w:tcPr>
            <w:tcW w:w="124" w:type="dxa"/>
            <w:tcBorders>
              <w:bottom w:val="single" w:sz="2" w:space="0" w:color="FFFFFF"/>
            </w:tcBorders>
            <w:shd w:fill="FFFFFF" w:val="clear"/>
            <w:vAlign w:val="bottom"/>
          </w:tcPr>
          <w:p>
            <w:pPr>
              <w:pStyle w:val="TableContents"/>
              <w:spacing w:lineRule="auto" w:line="300" w:before="0" w:after="0"/>
              <w:ind w:left="0" w:right="0" w:hanging="0"/>
              <w:jc w:val="left"/>
              <w:rPr>
                <w:rFonts w:ascii="Times New Roman" w:hAnsi="Times New Roman"/>
                <w:sz w:val="20"/>
              </w:rPr>
            </w:pPr>
            <w:bookmarkStart w:id="3003" w:name="TAB11376"/>
            <w:bookmarkStart w:id="3004" w:name="TAB11377"/>
            <w:bookmarkStart w:id="3005" w:name="TAB11378"/>
            <w:bookmarkEnd w:id="3003"/>
            <w:bookmarkEnd w:id="3004"/>
            <w:bookmarkEnd w:id="3005"/>
            <w:r>
              <w:rPr>
                <w:rFonts w:ascii="Times New Roman" w:hAnsi="Times New Roman"/>
                <w:sz w:val="20"/>
              </w:rPr>
              <w:t>)</w:t>
            </w:r>
          </w:p>
        </w:tc>
      </w:tr>
      <w:tr>
        <w:trPr/>
        <w:tc>
          <w:tcPr>
            <w:tcW w:w="5327"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Net income (loss)</w:t>
            </w:r>
          </w:p>
        </w:tc>
        <w:tc>
          <w:tcPr>
            <w:tcW w:w="193" w:type="dxa"/>
            <w:tcBorders/>
            <w:shd w:fill="CCEEFF" w:val="clear"/>
            <w:tcMar>
              <w:bottom w:w="0" w:type="dxa"/>
            </w:tcMar>
            <w:vAlign w:val="center"/>
          </w:tcPr>
          <w:p>
            <w:pPr>
              <w:pStyle w:val="TableContents"/>
              <w:spacing w:before="0" w:after="283"/>
              <w:rPr/>
            </w:pPr>
            <w:r>
              <w:rPr/>
              <w:t> </w:t>
            </w:r>
          </w:p>
        </w:tc>
        <w:tc>
          <w:tcPr>
            <w:tcW w:w="127" w:type="dxa"/>
            <w:tcBorders/>
            <w:shd w:fill="CCEEFF" w:val="clear"/>
            <w:tcMar>
              <w:bottom w:w="0" w:type="dxa"/>
            </w:tcMar>
            <w:vAlign w:val="bottom"/>
          </w:tcPr>
          <w:p>
            <w:pPr>
              <w:pStyle w:val="TableContents"/>
              <w:spacing w:before="0" w:after="283"/>
              <w:jc w:val="left"/>
              <w:rPr/>
            </w:pPr>
            <w:r>
              <w:rPr/>
              <w:t> </w:t>
            </w:r>
          </w:p>
        </w:tc>
        <w:tc>
          <w:tcPr>
            <w:tcW w:w="1263"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3006" w:name="TAB11379"/>
            <w:bookmarkStart w:id="3007" w:name="TAB11380"/>
            <w:bookmarkStart w:id="3008" w:name="TAB11381"/>
            <w:bookmarkEnd w:id="3006"/>
            <w:bookmarkEnd w:id="3007"/>
            <w:bookmarkEnd w:id="3008"/>
            <w:r>
              <w:rPr>
                <w:rFonts w:ascii="Times New Roman" w:hAnsi="Times New Roman"/>
                <w:sz w:val="20"/>
              </w:rPr>
              <w:t>3,856</w:t>
            </w:r>
          </w:p>
        </w:tc>
        <w:tc>
          <w:tcPr>
            <w:tcW w:w="193" w:type="dxa"/>
            <w:tcBorders/>
            <w:shd w:fill="CCEEFF" w:val="clear"/>
            <w:tcMar>
              <w:bottom w:w="0" w:type="dxa"/>
            </w:tcMar>
            <w:vAlign w:val="bottom"/>
          </w:tcPr>
          <w:p>
            <w:pPr>
              <w:pStyle w:val="TableContents"/>
              <w:spacing w:before="0" w:after="283"/>
              <w:jc w:val="left"/>
              <w:rPr/>
            </w:pPr>
            <w:r>
              <w:rPr/>
              <w:t> </w:t>
            </w:r>
          </w:p>
        </w:tc>
        <w:tc>
          <w:tcPr>
            <w:tcW w:w="127" w:type="dxa"/>
            <w:tcBorders/>
            <w:shd w:fill="CCEEFF" w:val="clear"/>
            <w:tcMar>
              <w:bottom w:w="0" w:type="dxa"/>
            </w:tcMar>
            <w:vAlign w:val="bottom"/>
          </w:tcPr>
          <w:p>
            <w:pPr>
              <w:pStyle w:val="TableContents"/>
              <w:spacing w:before="0" w:after="283"/>
              <w:jc w:val="left"/>
              <w:rPr/>
            </w:pPr>
            <w:r>
              <w:rPr/>
              <w:t> </w:t>
            </w:r>
          </w:p>
        </w:tc>
        <w:tc>
          <w:tcPr>
            <w:tcW w:w="1263"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3009" w:name="TAB11382"/>
            <w:bookmarkStart w:id="3010" w:name="TAB11383"/>
            <w:bookmarkStart w:id="3011" w:name="TAB11384"/>
            <w:bookmarkEnd w:id="3009"/>
            <w:bookmarkEnd w:id="3010"/>
            <w:bookmarkEnd w:id="3011"/>
            <w:r>
              <w:rPr>
                <w:rFonts w:ascii="Times New Roman" w:hAnsi="Times New Roman"/>
                <w:sz w:val="20"/>
              </w:rPr>
              <w:t>989</w:t>
            </w:r>
          </w:p>
        </w:tc>
        <w:tc>
          <w:tcPr>
            <w:tcW w:w="199" w:type="dxa"/>
            <w:tcBorders/>
            <w:shd w:fill="CCEEFF" w:val="clear"/>
            <w:tcMar>
              <w:bottom w:w="0" w:type="dxa"/>
            </w:tcMar>
            <w:vAlign w:val="bottom"/>
          </w:tcPr>
          <w:p>
            <w:pPr>
              <w:pStyle w:val="TableContents"/>
              <w:spacing w:before="0" w:after="283"/>
              <w:jc w:val="left"/>
              <w:rPr/>
            </w:pPr>
            <w:r>
              <w:rPr/>
              <w:t> </w:t>
            </w:r>
          </w:p>
        </w:tc>
        <w:tc>
          <w:tcPr>
            <w:tcW w:w="127" w:type="dxa"/>
            <w:tcBorders/>
            <w:shd w:fill="CCEEFF" w:val="clear"/>
            <w:tcMar>
              <w:bottom w:w="0" w:type="dxa"/>
            </w:tcMar>
            <w:vAlign w:val="bottom"/>
          </w:tcPr>
          <w:p>
            <w:pPr>
              <w:pStyle w:val="TableContents"/>
              <w:spacing w:before="0" w:after="283"/>
              <w:jc w:val="left"/>
              <w:rPr/>
            </w:pPr>
            <w:r>
              <w:rPr/>
              <w:t> </w:t>
            </w:r>
          </w:p>
        </w:tc>
        <w:tc>
          <w:tcPr>
            <w:tcW w:w="1262"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3012" w:name="TAB11385"/>
            <w:bookmarkStart w:id="3013" w:name="TAB11386"/>
            <w:bookmarkStart w:id="3014" w:name="TAB11387"/>
            <w:bookmarkEnd w:id="3012"/>
            <w:bookmarkEnd w:id="3013"/>
            <w:bookmarkEnd w:id="3014"/>
            <w:r>
              <w:rPr>
                <w:rFonts w:ascii="Times New Roman" w:hAnsi="Times New Roman"/>
                <w:sz w:val="20"/>
              </w:rPr>
              <w:t>(8,463</w:t>
            </w:r>
          </w:p>
        </w:tc>
        <w:tc>
          <w:tcPr>
            <w:tcW w:w="124"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3015" w:name="TAB11388"/>
            <w:bookmarkStart w:id="3016" w:name="TAB11389"/>
            <w:bookmarkStart w:id="3017" w:name="TAB11390"/>
            <w:bookmarkEnd w:id="3015"/>
            <w:bookmarkEnd w:id="3016"/>
            <w:bookmarkEnd w:id="3017"/>
            <w:r>
              <w:rPr>
                <w:rFonts w:ascii="Times New Roman" w:hAnsi="Times New Roman"/>
                <w:sz w:val="20"/>
              </w:rPr>
              <w:t>)</w:t>
            </w:r>
          </w:p>
        </w:tc>
      </w:tr>
      <w:tr>
        <w:trPr/>
        <w:tc>
          <w:tcPr>
            <w:tcW w:w="5327"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Weighted average shares of common stock - basic</w:t>
            </w:r>
          </w:p>
        </w:tc>
        <w:tc>
          <w:tcPr>
            <w:tcW w:w="193" w:type="dxa"/>
            <w:tcBorders/>
            <w:shd w:fill="FFFFFF" w:val="clear"/>
            <w:tcMar>
              <w:bottom w:w="0" w:type="dxa"/>
            </w:tcMar>
            <w:vAlign w:val="center"/>
          </w:tcPr>
          <w:p>
            <w:pPr>
              <w:pStyle w:val="TableContents"/>
              <w:spacing w:before="0" w:after="283"/>
              <w:rPr/>
            </w:pPr>
            <w:r>
              <w:rPr/>
              <w:t> </w:t>
            </w:r>
          </w:p>
        </w:tc>
        <w:tc>
          <w:tcPr>
            <w:tcW w:w="127" w:type="dxa"/>
            <w:tcBorders/>
            <w:shd w:fill="FFFFFF" w:val="clear"/>
            <w:tcMar>
              <w:bottom w:w="0" w:type="dxa"/>
            </w:tcMar>
            <w:vAlign w:val="bottom"/>
          </w:tcPr>
          <w:p>
            <w:pPr>
              <w:pStyle w:val="TableContents"/>
              <w:spacing w:before="0" w:after="283"/>
              <w:jc w:val="left"/>
              <w:rPr/>
            </w:pPr>
            <w:r>
              <w:rPr/>
              <w:t> </w:t>
            </w:r>
          </w:p>
        </w:tc>
        <w:tc>
          <w:tcPr>
            <w:tcW w:w="1263"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22,425,941</w:t>
            </w:r>
          </w:p>
        </w:tc>
        <w:tc>
          <w:tcPr>
            <w:tcW w:w="193" w:type="dxa"/>
            <w:tcBorders/>
            <w:shd w:fill="FFFFFF" w:val="clear"/>
            <w:tcMar>
              <w:bottom w:w="0" w:type="dxa"/>
            </w:tcMar>
            <w:vAlign w:val="bottom"/>
          </w:tcPr>
          <w:p>
            <w:pPr>
              <w:pStyle w:val="TableContents"/>
              <w:spacing w:before="0" w:after="283"/>
              <w:jc w:val="left"/>
              <w:rPr/>
            </w:pPr>
            <w:r>
              <w:rPr/>
              <w:t> </w:t>
            </w:r>
          </w:p>
        </w:tc>
        <w:tc>
          <w:tcPr>
            <w:tcW w:w="127" w:type="dxa"/>
            <w:tcBorders/>
            <w:shd w:fill="FFFFFF" w:val="clear"/>
            <w:tcMar>
              <w:bottom w:w="0" w:type="dxa"/>
            </w:tcMar>
            <w:vAlign w:val="bottom"/>
          </w:tcPr>
          <w:p>
            <w:pPr>
              <w:pStyle w:val="TableContents"/>
              <w:spacing w:before="0" w:after="283"/>
              <w:jc w:val="left"/>
              <w:rPr/>
            </w:pPr>
            <w:r>
              <w:rPr/>
              <w:t> </w:t>
            </w:r>
          </w:p>
        </w:tc>
        <w:tc>
          <w:tcPr>
            <w:tcW w:w="1263"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22,249,967</w:t>
            </w:r>
          </w:p>
        </w:tc>
        <w:tc>
          <w:tcPr>
            <w:tcW w:w="199" w:type="dxa"/>
            <w:tcBorders/>
            <w:shd w:fill="FFFFFF" w:val="clear"/>
            <w:tcMar>
              <w:bottom w:w="0" w:type="dxa"/>
            </w:tcMar>
            <w:vAlign w:val="bottom"/>
          </w:tcPr>
          <w:p>
            <w:pPr>
              <w:pStyle w:val="TableContents"/>
              <w:spacing w:before="0" w:after="283"/>
              <w:jc w:val="left"/>
              <w:rPr/>
            </w:pPr>
            <w:r>
              <w:rPr/>
              <w:t> </w:t>
            </w:r>
          </w:p>
        </w:tc>
        <w:tc>
          <w:tcPr>
            <w:tcW w:w="127" w:type="dxa"/>
            <w:tcBorders/>
            <w:shd w:fill="FFFFFF" w:val="clear"/>
            <w:tcMar>
              <w:bottom w:w="0" w:type="dxa"/>
            </w:tcMar>
            <w:vAlign w:val="bottom"/>
          </w:tcPr>
          <w:p>
            <w:pPr>
              <w:pStyle w:val="TableContents"/>
              <w:spacing w:before="0" w:after="283"/>
              <w:jc w:val="left"/>
              <w:rPr/>
            </w:pPr>
            <w:r>
              <w:rPr/>
              <w:t> </w:t>
            </w:r>
          </w:p>
        </w:tc>
        <w:tc>
          <w:tcPr>
            <w:tcW w:w="1262"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21,948,065</w:t>
            </w:r>
          </w:p>
        </w:tc>
        <w:tc>
          <w:tcPr>
            <w:tcW w:w="124" w:type="dxa"/>
            <w:tcBorders/>
            <w:shd w:fill="FFFFFF" w:val="clear"/>
            <w:tcMar>
              <w:bottom w:w="0" w:type="dxa"/>
            </w:tcMar>
            <w:vAlign w:val="bottom"/>
          </w:tcPr>
          <w:p>
            <w:pPr>
              <w:pStyle w:val="TableContents"/>
              <w:spacing w:before="0" w:after="283"/>
              <w:jc w:val="left"/>
              <w:rPr/>
            </w:pPr>
            <w:r>
              <w:rPr/>
              <w:t> </w:t>
            </w:r>
          </w:p>
        </w:tc>
      </w:tr>
      <w:tr>
        <w:trPr/>
        <w:tc>
          <w:tcPr>
            <w:tcW w:w="5327" w:type="dxa"/>
            <w:tcBorders>
              <w:bottom w:val="sing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Weighted average shares of common stock - dilutive</w:t>
            </w:r>
          </w:p>
        </w:tc>
        <w:tc>
          <w:tcPr>
            <w:tcW w:w="193" w:type="dxa"/>
            <w:tcBorders>
              <w:bottom w:val="single" w:sz="2" w:space="0" w:color="CCEEFF"/>
            </w:tcBorders>
            <w:shd w:fill="CCEEFF" w:val="clear"/>
            <w:vAlign w:val="center"/>
          </w:tcPr>
          <w:p>
            <w:pPr>
              <w:pStyle w:val="TableContents"/>
              <w:spacing w:before="0" w:after="283"/>
              <w:rPr/>
            </w:pPr>
            <w:r>
              <w:rPr/>
              <w:t> </w:t>
            </w:r>
          </w:p>
        </w:tc>
        <w:tc>
          <w:tcPr>
            <w:tcW w:w="127" w:type="dxa"/>
            <w:tcBorders>
              <w:bottom w:val="single" w:sz="2" w:space="0" w:color="000000"/>
            </w:tcBorders>
            <w:shd w:fill="CCEEFF" w:val="clear"/>
            <w:vAlign w:val="bottom"/>
          </w:tcPr>
          <w:p>
            <w:pPr>
              <w:pStyle w:val="TableContents"/>
              <w:spacing w:before="0" w:after="283"/>
              <w:jc w:val="left"/>
              <w:rPr/>
            </w:pPr>
            <w:r>
              <w:rPr/>
              <w:t> </w:t>
            </w:r>
          </w:p>
        </w:tc>
        <w:tc>
          <w:tcPr>
            <w:tcW w:w="1263"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22,674,818</w:t>
            </w:r>
          </w:p>
        </w:tc>
        <w:tc>
          <w:tcPr>
            <w:tcW w:w="193" w:type="dxa"/>
            <w:tcBorders>
              <w:bottom w:val="single" w:sz="2" w:space="0" w:color="CCEEFF"/>
            </w:tcBorders>
            <w:shd w:fill="CCEEFF" w:val="clear"/>
            <w:vAlign w:val="bottom"/>
          </w:tcPr>
          <w:p>
            <w:pPr>
              <w:pStyle w:val="TableContents"/>
              <w:spacing w:before="0" w:after="283"/>
              <w:jc w:val="left"/>
              <w:rPr/>
            </w:pPr>
            <w:r>
              <w:rPr/>
              <w:t> </w:t>
            </w:r>
          </w:p>
        </w:tc>
        <w:tc>
          <w:tcPr>
            <w:tcW w:w="127" w:type="dxa"/>
            <w:tcBorders>
              <w:bottom w:val="single" w:sz="2" w:space="0" w:color="000000"/>
            </w:tcBorders>
            <w:shd w:fill="CCEEFF" w:val="clear"/>
            <w:vAlign w:val="bottom"/>
          </w:tcPr>
          <w:p>
            <w:pPr>
              <w:pStyle w:val="TableContents"/>
              <w:spacing w:before="0" w:after="283"/>
              <w:jc w:val="left"/>
              <w:rPr/>
            </w:pPr>
            <w:r>
              <w:rPr/>
              <w:t> </w:t>
            </w:r>
          </w:p>
        </w:tc>
        <w:tc>
          <w:tcPr>
            <w:tcW w:w="1263"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22,249,967</w:t>
            </w:r>
          </w:p>
        </w:tc>
        <w:tc>
          <w:tcPr>
            <w:tcW w:w="199" w:type="dxa"/>
            <w:tcBorders>
              <w:bottom w:val="single" w:sz="2" w:space="0" w:color="CCEEFF"/>
            </w:tcBorders>
            <w:shd w:fill="CCEEFF" w:val="clear"/>
            <w:vAlign w:val="bottom"/>
          </w:tcPr>
          <w:p>
            <w:pPr>
              <w:pStyle w:val="TableContents"/>
              <w:spacing w:before="0" w:after="283"/>
              <w:jc w:val="left"/>
              <w:rPr/>
            </w:pPr>
            <w:r>
              <w:rPr/>
              <w:t> </w:t>
            </w:r>
          </w:p>
        </w:tc>
        <w:tc>
          <w:tcPr>
            <w:tcW w:w="127" w:type="dxa"/>
            <w:tcBorders>
              <w:bottom w:val="single" w:sz="2" w:space="0" w:color="000000"/>
            </w:tcBorders>
            <w:shd w:fill="CCEEFF" w:val="clear"/>
            <w:vAlign w:val="bottom"/>
          </w:tcPr>
          <w:p>
            <w:pPr>
              <w:pStyle w:val="TableContents"/>
              <w:spacing w:before="0" w:after="283"/>
              <w:jc w:val="left"/>
              <w:rPr/>
            </w:pPr>
            <w:r>
              <w:rPr/>
              <w:t> </w:t>
            </w:r>
          </w:p>
        </w:tc>
        <w:tc>
          <w:tcPr>
            <w:tcW w:w="1262"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21,948,065</w:t>
            </w:r>
          </w:p>
        </w:tc>
        <w:tc>
          <w:tcPr>
            <w:tcW w:w="124" w:type="dxa"/>
            <w:tcBorders>
              <w:bottom w:val="single" w:sz="2" w:space="0" w:color="CCEEFF"/>
            </w:tcBorders>
            <w:shd w:fill="CCEEFF" w:val="clear"/>
            <w:vAlign w:val="bottom"/>
          </w:tcPr>
          <w:p>
            <w:pPr>
              <w:pStyle w:val="TableContents"/>
              <w:spacing w:before="0" w:after="283"/>
              <w:jc w:val="left"/>
              <w:rPr/>
            </w:pPr>
            <w:r>
              <w:rPr/>
              <w:t> </w:t>
            </w:r>
          </w:p>
        </w:tc>
      </w:tr>
      <w:tr>
        <w:trPr/>
        <w:tc>
          <w:tcPr>
            <w:tcW w:w="5327" w:type="dxa"/>
            <w:tcBorders/>
            <w:shd w:fill="FFFFFF" w:val="clear"/>
            <w:tcMar>
              <w:bottom w:w="0" w:type="dxa"/>
            </w:tcMar>
            <w:vAlign w:val="bottom"/>
          </w:tcPr>
          <w:p>
            <w:pPr>
              <w:pStyle w:val="TableContents"/>
              <w:spacing w:before="0" w:after="283"/>
              <w:jc w:val="left"/>
              <w:rPr/>
            </w:pPr>
            <w:r>
              <w:rPr/>
              <w:t> </w:t>
            </w:r>
          </w:p>
        </w:tc>
        <w:tc>
          <w:tcPr>
            <w:tcW w:w="193" w:type="dxa"/>
            <w:tcBorders/>
            <w:shd w:fill="FFFFFF" w:val="clear"/>
            <w:tcMar>
              <w:bottom w:w="0" w:type="dxa"/>
            </w:tcMar>
            <w:vAlign w:val="center"/>
          </w:tcPr>
          <w:p>
            <w:pPr>
              <w:pStyle w:val="TableContents"/>
              <w:spacing w:before="0" w:after="283"/>
              <w:rPr/>
            </w:pPr>
            <w:r>
              <w:rPr/>
              <w:t> </w:t>
            </w:r>
          </w:p>
        </w:tc>
        <w:tc>
          <w:tcPr>
            <w:tcW w:w="127" w:type="dxa"/>
            <w:tcBorders/>
            <w:shd w:fill="FFFFFF" w:val="clear"/>
            <w:tcMar>
              <w:bottom w:w="0" w:type="dxa"/>
            </w:tcMar>
            <w:vAlign w:val="bottom"/>
          </w:tcPr>
          <w:p>
            <w:pPr>
              <w:pStyle w:val="TableContents"/>
              <w:spacing w:before="0" w:after="283"/>
              <w:jc w:val="left"/>
              <w:rPr/>
            </w:pPr>
            <w:r>
              <w:rPr/>
              <w:t> </w:t>
            </w:r>
          </w:p>
        </w:tc>
        <w:tc>
          <w:tcPr>
            <w:tcW w:w="1263" w:type="dxa"/>
            <w:tcBorders/>
            <w:shd w:fill="FFFFFF" w:val="clear"/>
            <w:tcMar>
              <w:bottom w:w="0" w:type="dxa"/>
            </w:tcMar>
            <w:vAlign w:val="bottom"/>
          </w:tcPr>
          <w:p>
            <w:pPr>
              <w:pStyle w:val="TableContents"/>
              <w:spacing w:before="0" w:after="283"/>
              <w:jc w:val="right"/>
              <w:rPr/>
            </w:pPr>
            <w:r>
              <w:rPr/>
              <w:t> </w:t>
            </w:r>
          </w:p>
        </w:tc>
        <w:tc>
          <w:tcPr>
            <w:tcW w:w="193" w:type="dxa"/>
            <w:tcBorders/>
            <w:shd w:fill="FFFFFF" w:val="clear"/>
            <w:tcMar>
              <w:bottom w:w="0" w:type="dxa"/>
            </w:tcMar>
            <w:vAlign w:val="bottom"/>
          </w:tcPr>
          <w:p>
            <w:pPr>
              <w:pStyle w:val="TableContents"/>
              <w:spacing w:before="0" w:after="283"/>
              <w:jc w:val="left"/>
              <w:rPr/>
            </w:pPr>
            <w:r>
              <w:rPr/>
              <w:t> </w:t>
            </w:r>
          </w:p>
        </w:tc>
        <w:tc>
          <w:tcPr>
            <w:tcW w:w="127" w:type="dxa"/>
            <w:tcBorders/>
            <w:shd w:fill="FFFFFF" w:val="clear"/>
            <w:tcMar>
              <w:bottom w:w="0" w:type="dxa"/>
            </w:tcMar>
            <w:vAlign w:val="bottom"/>
          </w:tcPr>
          <w:p>
            <w:pPr>
              <w:pStyle w:val="TableContents"/>
              <w:spacing w:before="0" w:after="283"/>
              <w:jc w:val="left"/>
              <w:rPr/>
            </w:pPr>
            <w:r>
              <w:rPr/>
              <w:t> </w:t>
            </w:r>
          </w:p>
        </w:tc>
        <w:tc>
          <w:tcPr>
            <w:tcW w:w="1263" w:type="dxa"/>
            <w:tcBorders/>
            <w:shd w:fill="FFFFFF" w:val="clear"/>
            <w:tcMar>
              <w:bottom w:w="0" w:type="dxa"/>
            </w:tcMar>
            <w:vAlign w:val="bottom"/>
          </w:tcPr>
          <w:p>
            <w:pPr>
              <w:pStyle w:val="TableContents"/>
              <w:spacing w:before="0" w:after="283"/>
              <w:jc w:val="right"/>
              <w:rPr/>
            </w:pPr>
            <w:r>
              <w:rPr/>
              <w:t> </w:t>
            </w:r>
          </w:p>
        </w:tc>
        <w:tc>
          <w:tcPr>
            <w:tcW w:w="199" w:type="dxa"/>
            <w:tcBorders/>
            <w:shd w:fill="FFFFFF" w:val="clear"/>
            <w:tcMar>
              <w:bottom w:w="0" w:type="dxa"/>
            </w:tcMar>
            <w:vAlign w:val="bottom"/>
          </w:tcPr>
          <w:p>
            <w:pPr>
              <w:pStyle w:val="TableContents"/>
              <w:spacing w:before="0" w:after="283"/>
              <w:jc w:val="left"/>
              <w:rPr/>
            </w:pPr>
            <w:r>
              <w:rPr/>
              <w:t> </w:t>
            </w:r>
          </w:p>
        </w:tc>
        <w:tc>
          <w:tcPr>
            <w:tcW w:w="127" w:type="dxa"/>
            <w:tcBorders/>
            <w:shd w:fill="FFFFFF" w:val="clear"/>
            <w:tcMar>
              <w:bottom w:w="0" w:type="dxa"/>
            </w:tcMar>
            <w:vAlign w:val="bottom"/>
          </w:tcPr>
          <w:p>
            <w:pPr>
              <w:pStyle w:val="TableContents"/>
              <w:spacing w:before="0" w:after="283"/>
              <w:jc w:val="left"/>
              <w:rPr/>
            </w:pPr>
            <w:r>
              <w:rPr/>
              <w:t> </w:t>
            </w:r>
          </w:p>
        </w:tc>
        <w:tc>
          <w:tcPr>
            <w:tcW w:w="1262" w:type="dxa"/>
            <w:tcBorders/>
            <w:shd w:fill="FFFFFF" w:val="clear"/>
            <w:tcMar>
              <w:bottom w:w="0" w:type="dxa"/>
            </w:tcMar>
            <w:vAlign w:val="bottom"/>
          </w:tcPr>
          <w:p>
            <w:pPr>
              <w:pStyle w:val="TableContents"/>
              <w:spacing w:before="0" w:after="283"/>
              <w:jc w:val="right"/>
              <w:rPr/>
            </w:pPr>
            <w:r>
              <w:rPr/>
              <w:t> </w:t>
            </w:r>
          </w:p>
        </w:tc>
        <w:tc>
          <w:tcPr>
            <w:tcW w:w="124" w:type="dxa"/>
            <w:tcBorders/>
            <w:shd w:fill="FFFFFF" w:val="clear"/>
            <w:tcMar>
              <w:bottom w:w="0" w:type="dxa"/>
            </w:tcMar>
            <w:vAlign w:val="bottom"/>
          </w:tcPr>
          <w:p>
            <w:pPr>
              <w:pStyle w:val="TableContents"/>
              <w:spacing w:before="0" w:after="283"/>
              <w:jc w:val="left"/>
              <w:rPr/>
            </w:pPr>
            <w:r>
              <w:rPr/>
              <w:t> </w:t>
            </w:r>
          </w:p>
        </w:tc>
      </w:tr>
      <w:tr>
        <w:trPr/>
        <w:tc>
          <w:tcPr>
            <w:tcW w:w="5327" w:type="dxa"/>
            <w:tcBorders/>
            <w:shd w:fill="CCEEFF" w:val="clear"/>
            <w:tcMar>
              <w:bottom w:w="0" w:type="dxa"/>
            </w:tcMar>
            <w:vAlign w:val="bottom"/>
          </w:tcPr>
          <w:p>
            <w:pPr>
              <w:pStyle w:val="TableContents"/>
              <w:spacing w:lineRule="auto" w:line="300" w:before="0" w:after="0"/>
              <w:ind w:left="0" w:right="0" w:hanging="0"/>
              <w:jc w:val="left"/>
              <w:rPr/>
            </w:pPr>
            <w:r>
              <w:rPr>
                <w:rStyle w:val="StrongEmphasis"/>
                <w:rFonts w:ascii="Times New Roman" w:hAnsi="Times New Roman"/>
                <w:sz w:val="20"/>
              </w:rPr>
              <w:t>Earnings (loss) per share:</w:t>
            </w:r>
          </w:p>
        </w:tc>
        <w:tc>
          <w:tcPr>
            <w:tcW w:w="193" w:type="dxa"/>
            <w:tcBorders/>
            <w:shd w:fill="CCEEFF" w:val="clear"/>
            <w:tcMar>
              <w:bottom w:w="0" w:type="dxa"/>
            </w:tcMar>
            <w:vAlign w:val="center"/>
          </w:tcPr>
          <w:p>
            <w:pPr>
              <w:pStyle w:val="TableContents"/>
              <w:spacing w:before="0" w:after="283"/>
              <w:rPr/>
            </w:pPr>
            <w:r>
              <w:rPr/>
              <w:t> </w:t>
            </w:r>
          </w:p>
        </w:tc>
        <w:tc>
          <w:tcPr>
            <w:tcW w:w="127" w:type="dxa"/>
            <w:tcBorders/>
            <w:shd w:fill="CCEEFF" w:val="clear"/>
            <w:tcMar>
              <w:bottom w:w="0" w:type="dxa"/>
            </w:tcMar>
            <w:vAlign w:val="bottom"/>
          </w:tcPr>
          <w:p>
            <w:pPr>
              <w:pStyle w:val="TableContents"/>
              <w:spacing w:before="0" w:after="283"/>
              <w:jc w:val="left"/>
              <w:rPr/>
            </w:pPr>
            <w:r>
              <w:rPr/>
              <w:t> </w:t>
            </w:r>
          </w:p>
        </w:tc>
        <w:tc>
          <w:tcPr>
            <w:tcW w:w="1263" w:type="dxa"/>
            <w:tcBorders/>
            <w:shd w:fill="CCEEFF" w:val="clear"/>
            <w:tcMar>
              <w:bottom w:w="0" w:type="dxa"/>
            </w:tcMar>
            <w:vAlign w:val="bottom"/>
          </w:tcPr>
          <w:p>
            <w:pPr>
              <w:pStyle w:val="TableContents"/>
              <w:spacing w:before="0" w:after="283"/>
              <w:jc w:val="right"/>
              <w:rPr/>
            </w:pPr>
            <w:r>
              <w:rPr/>
              <w:t> </w:t>
            </w:r>
          </w:p>
        </w:tc>
        <w:tc>
          <w:tcPr>
            <w:tcW w:w="193" w:type="dxa"/>
            <w:tcBorders/>
            <w:shd w:fill="CCEEFF" w:val="clear"/>
            <w:tcMar>
              <w:bottom w:w="0" w:type="dxa"/>
            </w:tcMar>
            <w:vAlign w:val="bottom"/>
          </w:tcPr>
          <w:p>
            <w:pPr>
              <w:pStyle w:val="TableContents"/>
              <w:spacing w:before="0" w:after="283"/>
              <w:jc w:val="left"/>
              <w:rPr/>
            </w:pPr>
            <w:r>
              <w:rPr/>
              <w:t> </w:t>
            </w:r>
          </w:p>
        </w:tc>
        <w:tc>
          <w:tcPr>
            <w:tcW w:w="127" w:type="dxa"/>
            <w:tcBorders/>
            <w:shd w:fill="CCEEFF" w:val="clear"/>
            <w:tcMar>
              <w:bottom w:w="0" w:type="dxa"/>
            </w:tcMar>
            <w:vAlign w:val="bottom"/>
          </w:tcPr>
          <w:p>
            <w:pPr>
              <w:pStyle w:val="TableContents"/>
              <w:spacing w:before="0" w:after="283"/>
              <w:jc w:val="left"/>
              <w:rPr/>
            </w:pPr>
            <w:r>
              <w:rPr/>
              <w:t> </w:t>
            </w:r>
          </w:p>
        </w:tc>
        <w:tc>
          <w:tcPr>
            <w:tcW w:w="1263" w:type="dxa"/>
            <w:tcBorders/>
            <w:shd w:fill="CCEEFF" w:val="clear"/>
            <w:tcMar>
              <w:bottom w:w="0" w:type="dxa"/>
            </w:tcMar>
            <w:vAlign w:val="bottom"/>
          </w:tcPr>
          <w:p>
            <w:pPr>
              <w:pStyle w:val="TableContents"/>
              <w:spacing w:before="0" w:after="283"/>
              <w:jc w:val="right"/>
              <w:rPr/>
            </w:pPr>
            <w:r>
              <w:rPr/>
              <w:t> </w:t>
            </w:r>
          </w:p>
        </w:tc>
        <w:tc>
          <w:tcPr>
            <w:tcW w:w="199" w:type="dxa"/>
            <w:tcBorders/>
            <w:shd w:fill="CCEEFF" w:val="clear"/>
            <w:tcMar>
              <w:bottom w:w="0" w:type="dxa"/>
            </w:tcMar>
            <w:vAlign w:val="bottom"/>
          </w:tcPr>
          <w:p>
            <w:pPr>
              <w:pStyle w:val="TableContents"/>
              <w:spacing w:before="0" w:after="283"/>
              <w:jc w:val="left"/>
              <w:rPr/>
            </w:pPr>
            <w:r>
              <w:rPr/>
              <w:t> </w:t>
            </w:r>
          </w:p>
        </w:tc>
        <w:tc>
          <w:tcPr>
            <w:tcW w:w="127" w:type="dxa"/>
            <w:tcBorders/>
            <w:shd w:fill="CCEEFF" w:val="clear"/>
            <w:tcMar>
              <w:bottom w:w="0" w:type="dxa"/>
            </w:tcMar>
            <w:vAlign w:val="bottom"/>
          </w:tcPr>
          <w:p>
            <w:pPr>
              <w:pStyle w:val="TableContents"/>
              <w:spacing w:before="0" w:after="283"/>
              <w:jc w:val="left"/>
              <w:rPr/>
            </w:pPr>
            <w:r>
              <w:rPr/>
              <w:t> </w:t>
            </w:r>
          </w:p>
        </w:tc>
        <w:tc>
          <w:tcPr>
            <w:tcW w:w="1262" w:type="dxa"/>
            <w:tcBorders/>
            <w:shd w:fill="CCEEFF" w:val="clear"/>
            <w:tcMar>
              <w:bottom w:w="0" w:type="dxa"/>
            </w:tcMar>
            <w:vAlign w:val="bottom"/>
          </w:tcPr>
          <w:p>
            <w:pPr>
              <w:pStyle w:val="TableContents"/>
              <w:spacing w:before="0" w:after="283"/>
              <w:jc w:val="right"/>
              <w:rPr/>
            </w:pPr>
            <w:r>
              <w:rPr/>
              <w:t> </w:t>
            </w:r>
          </w:p>
        </w:tc>
        <w:tc>
          <w:tcPr>
            <w:tcW w:w="124" w:type="dxa"/>
            <w:tcBorders/>
            <w:shd w:fill="CCEEFF" w:val="clear"/>
            <w:tcMar>
              <w:bottom w:w="0" w:type="dxa"/>
            </w:tcMar>
            <w:vAlign w:val="bottom"/>
          </w:tcPr>
          <w:p>
            <w:pPr>
              <w:pStyle w:val="TableContents"/>
              <w:spacing w:before="0" w:after="283"/>
              <w:jc w:val="left"/>
              <w:rPr/>
            </w:pPr>
            <w:r>
              <w:rPr/>
              <w:t> </w:t>
            </w:r>
          </w:p>
        </w:tc>
      </w:tr>
      <w:tr>
        <w:trPr/>
        <w:tc>
          <w:tcPr>
            <w:tcW w:w="5327" w:type="dxa"/>
            <w:tcBorders/>
            <w:shd w:fill="FFFFFF" w:val="clear"/>
            <w:tcMar>
              <w:bottom w:w="0" w:type="dxa"/>
            </w:tcMar>
            <w:vAlign w:val="bottom"/>
          </w:tcPr>
          <w:p>
            <w:pPr>
              <w:pStyle w:val="TableContents"/>
              <w:spacing w:lineRule="auto" w:line="300" w:before="0" w:after="0"/>
              <w:ind w:left="180" w:right="0" w:hanging="0"/>
              <w:jc w:val="left"/>
              <w:rPr>
                <w:rFonts w:ascii="Times New Roman" w:hAnsi="Times New Roman"/>
                <w:sz w:val="20"/>
              </w:rPr>
            </w:pPr>
            <w:bookmarkStart w:id="3018" w:name="TAB11391"/>
            <w:bookmarkEnd w:id="3018"/>
            <w:r>
              <w:rPr>
                <w:rFonts w:ascii="Times New Roman" w:hAnsi="Times New Roman"/>
                <w:sz w:val="20"/>
              </w:rPr>
              <w:t>Earnings (loss) from continuing operations - basic and dilutive</w:t>
            </w:r>
          </w:p>
        </w:tc>
        <w:tc>
          <w:tcPr>
            <w:tcW w:w="193" w:type="dxa"/>
            <w:tcBorders/>
            <w:shd w:fill="FFFFFF" w:val="clear"/>
            <w:tcMar>
              <w:bottom w:w="0" w:type="dxa"/>
            </w:tcMar>
            <w:vAlign w:val="center"/>
          </w:tcPr>
          <w:p>
            <w:pPr>
              <w:pStyle w:val="TableContents"/>
              <w:spacing w:before="0" w:after="283"/>
              <w:rPr/>
            </w:pPr>
            <w:r>
              <w:rPr/>
              <w:t> </w:t>
            </w:r>
          </w:p>
        </w:tc>
        <w:tc>
          <w:tcPr>
            <w:tcW w:w="127"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bookmarkStart w:id="3019" w:name="TAB11392"/>
            <w:bookmarkEnd w:id="3019"/>
            <w:r>
              <w:rPr>
                <w:rFonts w:ascii="Times New Roman" w:hAnsi="Times New Roman"/>
                <w:sz w:val="20"/>
              </w:rPr>
              <w:t>$</w:t>
            </w:r>
          </w:p>
        </w:tc>
        <w:tc>
          <w:tcPr>
            <w:tcW w:w="1263" w:type="dxa"/>
            <w:tcBorders/>
            <w:shd w:fill="FFFFFF" w:val="clear"/>
            <w:tcMar>
              <w:bottom w:w="0" w:type="dxa"/>
            </w:tcMar>
            <w:vAlign w:val="bottom"/>
          </w:tcPr>
          <w:p>
            <w:pPr>
              <w:pStyle w:val="TableContents"/>
              <w:spacing w:before="0" w:after="0"/>
              <w:ind w:left="0" w:right="0" w:hanging="0"/>
              <w:jc w:val="right"/>
              <w:rPr>
                <w:rFonts w:ascii="Times New Roman" w:hAnsi="Times New Roman"/>
                <w:sz w:val="20"/>
              </w:rPr>
            </w:pPr>
            <w:bookmarkStart w:id="3020" w:name="TAB11393"/>
            <w:bookmarkEnd w:id="3020"/>
            <w:r>
              <w:rPr>
                <w:rFonts w:ascii="Times New Roman" w:hAnsi="Times New Roman"/>
                <w:sz w:val="20"/>
              </w:rPr>
              <w:t>0.17</w:t>
            </w:r>
          </w:p>
        </w:tc>
        <w:tc>
          <w:tcPr>
            <w:tcW w:w="193" w:type="dxa"/>
            <w:tcBorders/>
            <w:shd w:fill="FFFFFF" w:val="clear"/>
            <w:tcMar>
              <w:bottom w:w="0" w:type="dxa"/>
            </w:tcMar>
            <w:vAlign w:val="bottom"/>
          </w:tcPr>
          <w:p>
            <w:pPr>
              <w:pStyle w:val="TableContents"/>
              <w:spacing w:before="0" w:after="283"/>
              <w:jc w:val="left"/>
              <w:rPr/>
            </w:pPr>
            <w:r>
              <w:rPr/>
              <w:t> </w:t>
            </w:r>
          </w:p>
        </w:tc>
        <w:tc>
          <w:tcPr>
            <w:tcW w:w="127"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bookmarkStart w:id="3021" w:name="TAB11394"/>
            <w:bookmarkEnd w:id="3021"/>
            <w:r>
              <w:rPr>
                <w:rFonts w:ascii="Times New Roman" w:hAnsi="Times New Roman"/>
                <w:sz w:val="20"/>
              </w:rPr>
              <w:t>$</w:t>
            </w:r>
          </w:p>
        </w:tc>
        <w:tc>
          <w:tcPr>
            <w:tcW w:w="1263" w:type="dxa"/>
            <w:tcBorders/>
            <w:shd w:fill="FFFFFF" w:val="clear"/>
            <w:tcMar>
              <w:bottom w:w="0" w:type="dxa"/>
            </w:tcMar>
            <w:vAlign w:val="bottom"/>
          </w:tcPr>
          <w:p>
            <w:pPr>
              <w:pStyle w:val="TableContents"/>
              <w:spacing w:before="0" w:after="0"/>
              <w:ind w:left="0" w:right="0" w:hanging="0"/>
              <w:jc w:val="right"/>
              <w:rPr>
                <w:rFonts w:ascii="Times New Roman" w:hAnsi="Times New Roman"/>
                <w:sz w:val="20"/>
              </w:rPr>
            </w:pPr>
            <w:bookmarkStart w:id="3022" w:name="TAB11395"/>
            <w:bookmarkEnd w:id="3022"/>
            <w:r>
              <w:rPr>
                <w:rFonts w:ascii="Times New Roman" w:hAnsi="Times New Roman"/>
                <w:sz w:val="20"/>
              </w:rPr>
              <w:t>(0.51</w:t>
            </w:r>
          </w:p>
        </w:tc>
        <w:tc>
          <w:tcPr>
            <w:tcW w:w="199"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bookmarkStart w:id="3023" w:name="TAB11396"/>
            <w:bookmarkEnd w:id="3023"/>
            <w:r>
              <w:rPr>
                <w:rFonts w:ascii="Times New Roman" w:hAnsi="Times New Roman"/>
                <w:sz w:val="20"/>
              </w:rPr>
              <w:t>)</w:t>
            </w:r>
          </w:p>
        </w:tc>
        <w:tc>
          <w:tcPr>
            <w:tcW w:w="127"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bookmarkStart w:id="3024" w:name="TAB11397"/>
            <w:bookmarkEnd w:id="3024"/>
            <w:r>
              <w:rPr>
                <w:rFonts w:ascii="Times New Roman" w:hAnsi="Times New Roman"/>
                <w:sz w:val="20"/>
              </w:rPr>
              <w:t>$</w:t>
            </w:r>
          </w:p>
        </w:tc>
        <w:tc>
          <w:tcPr>
            <w:tcW w:w="1262" w:type="dxa"/>
            <w:tcBorders/>
            <w:shd w:fill="FFFFFF" w:val="clear"/>
            <w:tcMar>
              <w:bottom w:w="0" w:type="dxa"/>
            </w:tcMar>
            <w:vAlign w:val="bottom"/>
          </w:tcPr>
          <w:p>
            <w:pPr>
              <w:pStyle w:val="TableContents"/>
              <w:spacing w:before="0" w:after="0"/>
              <w:ind w:left="0" w:right="0" w:hanging="0"/>
              <w:jc w:val="right"/>
              <w:rPr>
                <w:rFonts w:ascii="Times New Roman" w:hAnsi="Times New Roman"/>
                <w:sz w:val="20"/>
              </w:rPr>
            </w:pPr>
            <w:bookmarkStart w:id="3025" w:name="TAB11398"/>
            <w:bookmarkEnd w:id="3025"/>
            <w:r>
              <w:rPr>
                <w:rFonts w:ascii="Times New Roman" w:hAnsi="Times New Roman"/>
                <w:sz w:val="20"/>
              </w:rPr>
              <w:t>(0.37</w:t>
            </w:r>
          </w:p>
        </w:tc>
        <w:tc>
          <w:tcPr>
            <w:tcW w:w="124"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bookmarkStart w:id="3026" w:name="TAB11399"/>
            <w:bookmarkEnd w:id="3026"/>
            <w:r>
              <w:rPr>
                <w:rFonts w:ascii="Times New Roman" w:hAnsi="Times New Roman"/>
                <w:sz w:val="20"/>
              </w:rPr>
              <w:t>)</w:t>
            </w:r>
          </w:p>
        </w:tc>
      </w:tr>
      <w:tr>
        <w:trPr/>
        <w:tc>
          <w:tcPr>
            <w:tcW w:w="5327" w:type="dxa"/>
            <w:tcBorders>
              <w:bottom w:val="single" w:sz="2" w:space="0" w:color="000000"/>
            </w:tcBorders>
            <w:shd w:fill="CCEEFF" w:val="clear"/>
            <w:vAlign w:val="bottom"/>
          </w:tcPr>
          <w:p>
            <w:pPr>
              <w:pStyle w:val="TableContents"/>
              <w:spacing w:lineRule="auto" w:line="300" w:before="0" w:after="0"/>
              <w:ind w:left="180" w:right="0" w:hanging="0"/>
              <w:jc w:val="left"/>
              <w:rPr>
                <w:rFonts w:ascii="Times New Roman" w:hAnsi="Times New Roman"/>
                <w:sz w:val="20"/>
              </w:rPr>
            </w:pPr>
            <w:bookmarkStart w:id="3027" w:name="TAB11400"/>
            <w:bookmarkEnd w:id="3027"/>
            <w:r>
              <w:rPr>
                <w:rFonts w:ascii="Times New Roman" w:hAnsi="Times New Roman"/>
                <w:sz w:val="20"/>
              </w:rPr>
              <w:t>Earnings (loss) from discontinued operations - basic and dilutive</w:t>
            </w:r>
          </w:p>
        </w:tc>
        <w:tc>
          <w:tcPr>
            <w:tcW w:w="193" w:type="dxa"/>
            <w:tcBorders>
              <w:bottom w:val="single" w:sz="2" w:space="0" w:color="CCEEFF"/>
            </w:tcBorders>
            <w:shd w:fill="CCEEFF" w:val="clear"/>
            <w:vAlign w:val="center"/>
          </w:tcPr>
          <w:p>
            <w:pPr>
              <w:pStyle w:val="TableContents"/>
              <w:spacing w:before="0" w:after="283"/>
              <w:rPr/>
            </w:pPr>
            <w:r>
              <w:rPr/>
              <w:t> </w:t>
            </w:r>
          </w:p>
        </w:tc>
        <w:tc>
          <w:tcPr>
            <w:tcW w:w="127" w:type="dxa"/>
            <w:tcBorders>
              <w:bottom w:val="single" w:sz="2" w:space="0" w:color="000000"/>
            </w:tcBorders>
            <w:shd w:fill="CCEEFF" w:val="clear"/>
            <w:vAlign w:val="bottom"/>
          </w:tcPr>
          <w:p>
            <w:pPr>
              <w:pStyle w:val="TableContents"/>
              <w:spacing w:before="0" w:after="0"/>
              <w:ind w:left="0" w:right="0" w:hanging="0"/>
              <w:jc w:val="left"/>
              <w:rPr>
                <w:rFonts w:ascii="Times New Roman" w:hAnsi="Times New Roman"/>
                <w:sz w:val="20"/>
              </w:rPr>
            </w:pPr>
            <w:bookmarkStart w:id="3028" w:name="TAB11401"/>
            <w:bookmarkEnd w:id="3028"/>
            <w:r>
              <w:rPr>
                <w:rFonts w:ascii="Times New Roman" w:hAnsi="Times New Roman"/>
                <w:sz w:val="20"/>
              </w:rPr>
              <w:t>$</w:t>
            </w:r>
          </w:p>
        </w:tc>
        <w:tc>
          <w:tcPr>
            <w:tcW w:w="1263" w:type="dxa"/>
            <w:tcBorders>
              <w:bottom w:val="single" w:sz="2" w:space="0" w:color="000000"/>
            </w:tcBorders>
            <w:shd w:fill="CCEEFF" w:val="clear"/>
            <w:vAlign w:val="bottom"/>
          </w:tcPr>
          <w:p>
            <w:pPr>
              <w:pStyle w:val="TableContents"/>
              <w:spacing w:before="0" w:after="0"/>
              <w:ind w:left="0" w:right="0" w:hanging="0"/>
              <w:jc w:val="right"/>
              <w:rPr>
                <w:rFonts w:ascii="Times New Roman" w:hAnsi="Times New Roman"/>
                <w:sz w:val="20"/>
              </w:rPr>
            </w:pPr>
            <w:bookmarkStart w:id="3029" w:name="TAB11402"/>
            <w:bookmarkEnd w:id="3029"/>
            <w:r>
              <w:rPr>
                <w:rFonts w:ascii="Times New Roman" w:hAnsi="Times New Roman"/>
                <w:sz w:val="20"/>
              </w:rPr>
              <w:t>--</w:t>
            </w:r>
          </w:p>
        </w:tc>
        <w:tc>
          <w:tcPr>
            <w:tcW w:w="193" w:type="dxa"/>
            <w:tcBorders>
              <w:bottom w:val="single" w:sz="2" w:space="0" w:color="CCEEFF"/>
            </w:tcBorders>
            <w:shd w:fill="CCEEFF" w:val="clear"/>
            <w:vAlign w:val="bottom"/>
          </w:tcPr>
          <w:p>
            <w:pPr>
              <w:pStyle w:val="TableContents"/>
              <w:spacing w:before="0" w:after="283"/>
              <w:jc w:val="left"/>
              <w:rPr/>
            </w:pPr>
            <w:r>
              <w:rPr/>
              <w:t> </w:t>
            </w:r>
          </w:p>
        </w:tc>
        <w:tc>
          <w:tcPr>
            <w:tcW w:w="127" w:type="dxa"/>
            <w:tcBorders>
              <w:bottom w:val="single" w:sz="2" w:space="0" w:color="000000"/>
            </w:tcBorders>
            <w:shd w:fill="CCEEFF" w:val="clear"/>
            <w:vAlign w:val="bottom"/>
          </w:tcPr>
          <w:p>
            <w:pPr>
              <w:pStyle w:val="TableContents"/>
              <w:spacing w:before="0" w:after="0"/>
              <w:ind w:left="0" w:right="0" w:hanging="0"/>
              <w:jc w:val="left"/>
              <w:rPr>
                <w:rFonts w:ascii="Times New Roman" w:hAnsi="Times New Roman"/>
                <w:sz w:val="20"/>
              </w:rPr>
            </w:pPr>
            <w:bookmarkStart w:id="3030" w:name="TAB11403"/>
            <w:bookmarkEnd w:id="3030"/>
            <w:r>
              <w:rPr>
                <w:rFonts w:ascii="Times New Roman" w:hAnsi="Times New Roman"/>
                <w:sz w:val="20"/>
              </w:rPr>
              <w:t>$</w:t>
            </w:r>
          </w:p>
        </w:tc>
        <w:tc>
          <w:tcPr>
            <w:tcW w:w="1263" w:type="dxa"/>
            <w:tcBorders>
              <w:bottom w:val="single" w:sz="2" w:space="0" w:color="000000"/>
            </w:tcBorders>
            <w:shd w:fill="CCEEFF" w:val="clear"/>
            <w:vAlign w:val="bottom"/>
          </w:tcPr>
          <w:p>
            <w:pPr>
              <w:pStyle w:val="TableContents"/>
              <w:spacing w:before="0" w:after="0"/>
              <w:ind w:left="0" w:right="0" w:hanging="0"/>
              <w:jc w:val="right"/>
              <w:rPr>
                <w:rFonts w:ascii="Times New Roman" w:hAnsi="Times New Roman"/>
                <w:sz w:val="20"/>
              </w:rPr>
            </w:pPr>
            <w:bookmarkStart w:id="3031" w:name="TAB11404"/>
            <w:bookmarkEnd w:id="3031"/>
            <w:r>
              <w:rPr>
                <w:rFonts w:ascii="Times New Roman" w:hAnsi="Times New Roman"/>
                <w:sz w:val="20"/>
              </w:rPr>
              <w:t>0.55</w:t>
            </w:r>
          </w:p>
        </w:tc>
        <w:tc>
          <w:tcPr>
            <w:tcW w:w="199" w:type="dxa"/>
            <w:tcBorders>
              <w:bottom w:val="single" w:sz="2" w:space="0" w:color="CCEEFF"/>
            </w:tcBorders>
            <w:shd w:fill="CCEEFF" w:val="clear"/>
            <w:vAlign w:val="bottom"/>
          </w:tcPr>
          <w:p>
            <w:pPr>
              <w:pStyle w:val="TableContents"/>
              <w:spacing w:before="0" w:after="283"/>
              <w:jc w:val="left"/>
              <w:rPr/>
            </w:pPr>
            <w:r>
              <w:rPr/>
              <w:t> </w:t>
            </w:r>
          </w:p>
        </w:tc>
        <w:tc>
          <w:tcPr>
            <w:tcW w:w="127" w:type="dxa"/>
            <w:tcBorders>
              <w:bottom w:val="single" w:sz="2" w:space="0" w:color="000000"/>
            </w:tcBorders>
            <w:shd w:fill="CCEEFF" w:val="clear"/>
            <w:vAlign w:val="bottom"/>
          </w:tcPr>
          <w:p>
            <w:pPr>
              <w:pStyle w:val="TableContents"/>
              <w:spacing w:before="0" w:after="0"/>
              <w:ind w:left="0" w:right="0" w:hanging="0"/>
              <w:jc w:val="left"/>
              <w:rPr>
                <w:rFonts w:ascii="Times New Roman" w:hAnsi="Times New Roman"/>
                <w:sz w:val="20"/>
              </w:rPr>
            </w:pPr>
            <w:bookmarkStart w:id="3032" w:name="TAB11405"/>
            <w:bookmarkEnd w:id="3032"/>
            <w:r>
              <w:rPr>
                <w:rFonts w:ascii="Times New Roman" w:hAnsi="Times New Roman"/>
                <w:sz w:val="20"/>
              </w:rPr>
              <w:t>$</w:t>
            </w:r>
          </w:p>
        </w:tc>
        <w:tc>
          <w:tcPr>
            <w:tcW w:w="1262" w:type="dxa"/>
            <w:tcBorders>
              <w:bottom w:val="single" w:sz="2" w:space="0" w:color="000000"/>
            </w:tcBorders>
            <w:shd w:fill="CCEEFF" w:val="clear"/>
            <w:vAlign w:val="bottom"/>
          </w:tcPr>
          <w:p>
            <w:pPr>
              <w:pStyle w:val="TableContents"/>
              <w:spacing w:before="0" w:after="0"/>
              <w:ind w:left="0" w:right="0" w:hanging="0"/>
              <w:jc w:val="right"/>
              <w:rPr>
                <w:rFonts w:ascii="Times New Roman" w:hAnsi="Times New Roman"/>
                <w:sz w:val="20"/>
              </w:rPr>
            </w:pPr>
            <w:bookmarkStart w:id="3033" w:name="TAB11406"/>
            <w:bookmarkEnd w:id="3033"/>
            <w:r>
              <w:rPr>
                <w:rFonts w:ascii="Times New Roman" w:hAnsi="Times New Roman"/>
                <w:sz w:val="20"/>
              </w:rPr>
              <w:t>(0.02</w:t>
            </w:r>
          </w:p>
        </w:tc>
        <w:tc>
          <w:tcPr>
            <w:tcW w:w="124" w:type="dxa"/>
            <w:tcBorders>
              <w:bottom w:val="single" w:sz="2" w:space="0" w:color="CCEEFF"/>
            </w:tcBorders>
            <w:shd w:fill="CCEEFF" w:val="clear"/>
            <w:vAlign w:val="bottom"/>
          </w:tcPr>
          <w:p>
            <w:pPr>
              <w:pStyle w:val="TableContents"/>
              <w:spacing w:before="0" w:after="0"/>
              <w:ind w:left="0" w:right="0" w:hanging="0"/>
              <w:jc w:val="left"/>
              <w:rPr>
                <w:rFonts w:ascii="Times New Roman" w:hAnsi="Times New Roman"/>
                <w:sz w:val="20"/>
              </w:rPr>
            </w:pPr>
            <w:bookmarkStart w:id="3034" w:name="TAB11407"/>
            <w:bookmarkEnd w:id="3034"/>
            <w:r>
              <w:rPr>
                <w:rFonts w:ascii="Times New Roman" w:hAnsi="Times New Roman"/>
                <w:sz w:val="20"/>
              </w:rPr>
              <w:t>)</w:t>
            </w:r>
          </w:p>
        </w:tc>
      </w:tr>
      <w:tr>
        <w:trPr/>
        <w:tc>
          <w:tcPr>
            <w:tcW w:w="5327" w:type="dxa"/>
            <w:tcBorders>
              <w:bottom w:val="double" w:sz="2" w:space="0" w:color="000000"/>
            </w:tcBorders>
            <w:shd w:fill="FFFFFF" w:val="clear"/>
            <w:vAlign w:val="bottom"/>
          </w:tcPr>
          <w:p>
            <w:pPr>
              <w:pStyle w:val="TableContents"/>
              <w:spacing w:lineRule="auto" w:line="300" w:before="0" w:after="0"/>
              <w:ind w:left="720" w:right="0" w:hanging="0"/>
              <w:jc w:val="left"/>
              <w:rPr>
                <w:rFonts w:ascii="Times New Roman" w:hAnsi="Times New Roman"/>
                <w:sz w:val="20"/>
              </w:rPr>
            </w:pPr>
            <w:bookmarkStart w:id="3035" w:name="TAB11408"/>
            <w:bookmarkStart w:id="3036" w:name="TAB11409"/>
            <w:bookmarkEnd w:id="3035"/>
            <w:bookmarkEnd w:id="3036"/>
            <w:r>
              <w:rPr>
                <w:rFonts w:ascii="Times New Roman" w:hAnsi="Times New Roman"/>
                <w:sz w:val="20"/>
              </w:rPr>
              <w:t>Earnings (loss) per share - basic and dilutive</w:t>
            </w:r>
          </w:p>
        </w:tc>
        <w:tc>
          <w:tcPr>
            <w:tcW w:w="193" w:type="dxa"/>
            <w:tcBorders>
              <w:bottom w:val="single" w:sz="4" w:space="0" w:color="FFFFFF"/>
            </w:tcBorders>
            <w:shd w:fill="FFFFFF" w:val="clear"/>
            <w:vAlign w:val="center"/>
          </w:tcPr>
          <w:p>
            <w:pPr>
              <w:pStyle w:val="TableContents"/>
              <w:spacing w:before="0" w:after="283"/>
              <w:rPr/>
            </w:pPr>
            <w:r>
              <w:rPr/>
              <w:t> </w:t>
            </w:r>
          </w:p>
        </w:tc>
        <w:tc>
          <w:tcPr>
            <w:tcW w:w="127" w:type="dxa"/>
            <w:tcBorders>
              <w:bottom w:val="double" w:sz="2" w:space="0" w:color="000000"/>
            </w:tcBorders>
            <w:shd w:fill="FFFFFF" w:val="clear"/>
            <w:vAlign w:val="bottom"/>
          </w:tcPr>
          <w:p>
            <w:pPr>
              <w:pStyle w:val="TableContents"/>
              <w:spacing w:before="0" w:after="0"/>
              <w:ind w:left="0" w:right="0" w:hanging="0"/>
              <w:jc w:val="left"/>
              <w:rPr>
                <w:rFonts w:ascii="Times New Roman" w:hAnsi="Times New Roman"/>
                <w:sz w:val="20"/>
              </w:rPr>
            </w:pPr>
            <w:bookmarkStart w:id="3037" w:name="TAB11410"/>
            <w:bookmarkEnd w:id="3037"/>
            <w:r>
              <w:rPr>
                <w:rFonts w:ascii="Times New Roman" w:hAnsi="Times New Roman"/>
                <w:sz w:val="20"/>
              </w:rPr>
              <w:t>$</w:t>
            </w:r>
          </w:p>
        </w:tc>
        <w:tc>
          <w:tcPr>
            <w:tcW w:w="1263" w:type="dxa"/>
            <w:tcBorders>
              <w:bottom w:val="double" w:sz="2" w:space="0" w:color="000000"/>
            </w:tcBorders>
            <w:shd w:fill="FFFFFF" w:val="clear"/>
            <w:vAlign w:val="bottom"/>
          </w:tcPr>
          <w:p>
            <w:pPr>
              <w:pStyle w:val="TableContents"/>
              <w:spacing w:before="0" w:after="0"/>
              <w:ind w:left="0" w:right="0" w:hanging="0"/>
              <w:jc w:val="right"/>
              <w:rPr>
                <w:rFonts w:ascii="Times New Roman" w:hAnsi="Times New Roman"/>
                <w:sz w:val="20"/>
              </w:rPr>
            </w:pPr>
            <w:bookmarkStart w:id="3038" w:name="TAB11411"/>
            <w:bookmarkEnd w:id="3038"/>
            <w:r>
              <w:rPr>
                <w:rFonts w:ascii="Times New Roman" w:hAnsi="Times New Roman"/>
                <w:sz w:val="20"/>
              </w:rPr>
              <w:t>0.17</w:t>
            </w:r>
          </w:p>
        </w:tc>
        <w:tc>
          <w:tcPr>
            <w:tcW w:w="193" w:type="dxa"/>
            <w:tcBorders>
              <w:bottom w:val="single" w:sz="4" w:space="0" w:color="FFFFFF"/>
            </w:tcBorders>
            <w:shd w:fill="FFFFFF" w:val="clear"/>
            <w:vAlign w:val="bottom"/>
          </w:tcPr>
          <w:p>
            <w:pPr>
              <w:pStyle w:val="TableContents"/>
              <w:spacing w:before="0" w:after="283"/>
              <w:jc w:val="left"/>
              <w:rPr/>
            </w:pPr>
            <w:r>
              <w:rPr/>
              <w:t> </w:t>
            </w:r>
          </w:p>
        </w:tc>
        <w:tc>
          <w:tcPr>
            <w:tcW w:w="127" w:type="dxa"/>
            <w:tcBorders>
              <w:bottom w:val="double" w:sz="2" w:space="0" w:color="000000"/>
            </w:tcBorders>
            <w:shd w:fill="FFFFFF" w:val="clear"/>
            <w:vAlign w:val="bottom"/>
          </w:tcPr>
          <w:p>
            <w:pPr>
              <w:pStyle w:val="TableContents"/>
              <w:spacing w:before="0" w:after="0"/>
              <w:ind w:left="0" w:right="0" w:hanging="0"/>
              <w:jc w:val="left"/>
              <w:rPr>
                <w:rFonts w:ascii="Times New Roman" w:hAnsi="Times New Roman"/>
                <w:sz w:val="20"/>
              </w:rPr>
            </w:pPr>
            <w:bookmarkStart w:id="3039" w:name="TAB11412"/>
            <w:bookmarkEnd w:id="3039"/>
            <w:r>
              <w:rPr>
                <w:rFonts w:ascii="Times New Roman" w:hAnsi="Times New Roman"/>
                <w:sz w:val="20"/>
              </w:rPr>
              <w:t>$</w:t>
            </w:r>
          </w:p>
        </w:tc>
        <w:tc>
          <w:tcPr>
            <w:tcW w:w="1263" w:type="dxa"/>
            <w:tcBorders>
              <w:bottom w:val="double" w:sz="2" w:space="0" w:color="000000"/>
            </w:tcBorders>
            <w:shd w:fill="FFFFFF" w:val="clear"/>
            <w:vAlign w:val="bottom"/>
          </w:tcPr>
          <w:p>
            <w:pPr>
              <w:pStyle w:val="TableContents"/>
              <w:spacing w:before="0" w:after="0"/>
              <w:ind w:left="0" w:right="0" w:hanging="0"/>
              <w:jc w:val="right"/>
              <w:rPr>
                <w:rFonts w:ascii="Times New Roman" w:hAnsi="Times New Roman"/>
                <w:sz w:val="20"/>
              </w:rPr>
            </w:pPr>
            <w:bookmarkStart w:id="3040" w:name="TAB11413"/>
            <w:bookmarkEnd w:id="3040"/>
            <w:r>
              <w:rPr>
                <w:rFonts w:ascii="Times New Roman" w:hAnsi="Times New Roman"/>
                <w:sz w:val="20"/>
              </w:rPr>
              <w:t>0.04</w:t>
            </w:r>
          </w:p>
        </w:tc>
        <w:tc>
          <w:tcPr>
            <w:tcW w:w="199" w:type="dxa"/>
            <w:tcBorders>
              <w:bottom w:val="single" w:sz="4" w:space="0" w:color="FFFFFF"/>
            </w:tcBorders>
            <w:shd w:fill="FFFFFF" w:val="clear"/>
            <w:vAlign w:val="bottom"/>
          </w:tcPr>
          <w:p>
            <w:pPr>
              <w:pStyle w:val="TableContents"/>
              <w:spacing w:before="0" w:after="283"/>
              <w:jc w:val="left"/>
              <w:rPr/>
            </w:pPr>
            <w:r>
              <w:rPr/>
              <w:t> </w:t>
            </w:r>
          </w:p>
        </w:tc>
        <w:tc>
          <w:tcPr>
            <w:tcW w:w="127" w:type="dxa"/>
            <w:tcBorders>
              <w:bottom w:val="double" w:sz="2" w:space="0" w:color="000000"/>
            </w:tcBorders>
            <w:shd w:fill="FFFFFF" w:val="clear"/>
            <w:vAlign w:val="bottom"/>
          </w:tcPr>
          <w:p>
            <w:pPr>
              <w:pStyle w:val="TableContents"/>
              <w:spacing w:before="0" w:after="0"/>
              <w:ind w:left="0" w:right="0" w:hanging="0"/>
              <w:jc w:val="left"/>
              <w:rPr>
                <w:rFonts w:ascii="Times New Roman" w:hAnsi="Times New Roman"/>
                <w:sz w:val="20"/>
              </w:rPr>
            </w:pPr>
            <w:bookmarkStart w:id="3041" w:name="TAB11414"/>
            <w:bookmarkEnd w:id="3041"/>
            <w:r>
              <w:rPr>
                <w:rFonts w:ascii="Times New Roman" w:hAnsi="Times New Roman"/>
                <w:sz w:val="20"/>
              </w:rPr>
              <w:t>$</w:t>
            </w:r>
          </w:p>
        </w:tc>
        <w:tc>
          <w:tcPr>
            <w:tcW w:w="1262" w:type="dxa"/>
            <w:tcBorders>
              <w:bottom w:val="double" w:sz="2" w:space="0" w:color="000000"/>
            </w:tcBorders>
            <w:shd w:fill="FFFFFF" w:val="clear"/>
            <w:vAlign w:val="bottom"/>
          </w:tcPr>
          <w:p>
            <w:pPr>
              <w:pStyle w:val="TableContents"/>
              <w:spacing w:before="0" w:after="0"/>
              <w:ind w:left="0" w:right="0" w:hanging="0"/>
              <w:jc w:val="right"/>
              <w:rPr>
                <w:rFonts w:ascii="Times New Roman" w:hAnsi="Times New Roman"/>
                <w:sz w:val="20"/>
              </w:rPr>
            </w:pPr>
            <w:bookmarkStart w:id="3042" w:name="TAB11415"/>
            <w:bookmarkEnd w:id="3042"/>
            <w:r>
              <w:rPr>
                <w:rFonts w:ascii="Times New Roman" w:hAnsi="Times New Roman"/>
                <w:sz w:val="20"/>
              </w:rPr>
              <w:t>(0.39</w:t>
            </w:r>
          </w:p>
        </w:tc>
        <w:tc>
          <w:tcPr>
            <w:tcW w:w="124" w:type="dxa"/>
            <w:tcBorders>
              <w:bottom w:val="single" w:sz="4" w:space="0" w:color="FFFFFF"/>
            </w:tcBorders>
            <w:shd w:fill="FFFFFF" w:val="clear"/>
            <w:vAlign w:val="bottom"/>
          </w:tcPr>
          <w:p>
            <w:pPr>
              <w:pStyle w:val="TableContents"/>
              <w:spacing w:before="0" w:after="0"/>
              <w:ind w:left="0" w:right="0" w:hanging="0"/>
              <w:jc w:val="left"/>
              <w:rPr>
                <w:rFonts w:ascii="Times New Roman" w:hAnsi="Times New Roman"/>
                <w:sz w:val="20"/>
              </w:rPr>
            </w:pPr>
            <w:bookmarkStart w:id="3043" w:name="TAB11416"/>
            <w:bookmarkEnd w:id="3043"/>
            <w:r>
              <w:rPr>
                <w:rFonts w:ascii="Times New Roman" w:hAnsi="Times New Roman"/>
                <w:sz w:val="20"/>
              </w:rPr>
              <w:t>)</w:t>
            </w:r>
          </w:p>
        </w:tc>
      </w:tr>
    </w:tbl>
    <w:p>
      <w:pPr>
        <w:pStyle w:val="TextBody"/>
        <w:spacing w:lineRule="auto" w:line="300"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044" w:name="PGBRK85"/>
      <w:bookmarkStart w:id="3045" w:name="PGBRK85"/>
      <w:bookmarkEnd w:id="304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046" w:name="FTR85"/>
      <w:bookmarkStart w:id="3047" w:name="FTR85"/>
      <w:bookmarkEnd w:id="304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048" w:name="GLFTR85"/>
      <w:bookmarkStart w:id="3049" w:name="GLFTR85"/>
      <w:bookmarkEnd w:id="304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3050" w:name="PN85"/>
      <w:bookmarkEnd w:id="3050"/>
      <w:r>
        <w:rPr>
          <w:rFonts w:ascii="Times New Roman" w:hAnsi="Times New Roman"/>
          <w:sz w:val="16"/>
        </w:rPr>
        <w:t>-85-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051" w:name="HDR85"/>
      <w:bookmarkStart w:id="3052" w:name="HDR85"/>
      <w:bookmarkEnd w:id="305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3053" w:name="GLHDR85"/>
        <w:bookmarkEnd w:id="3053"/>
        <w:r>
          <w:rPr>
            <w:rStyle w:val="Emphasis"/>
            <w:rFonts w:ascii="Times New Roman" w:hAnsi="Times New Roman"/>
            <w:color w:val="000000"/>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300" w:before="0" w:after="0"/>
        <w:ind w:left="0" w:right="0" w:hanging="0"/>
        <w:jc w:val="both"/>
        <w:rPr/>
      </w:pPr>
      <w:r>
        <w:rPr>
          <w:rStyle w:val="StrongEmphasis"/>
          <w:rFonts w:ascii="Times New Roman" w:hAnsi="Times New Roman"/>
          <w:sz w:val="20"/>
          <w:u w:val="single"/>
        </w:rPr>
        <w:t>Note 5 - Prepaid and Other Assets</w:t>
      </w:r>
    </w:p>
    <w:p>
      <w:pPr>
        <w:pStyle w:val="TextBody"/>
        <w:spacing w:lineRule="auto" w:line="300" w:before="0" w:after="0"/>
        <w:ind w:left="0" w:right="0" w:hanging="0"/>
        <w:jc w:val="left"/>
        <w:rPr/>
      </w:pPr>
      <w:r>
        <w:rPr/>
      </w:r>
    </w:p>
    <w:p>
      <w:pPr>
        <w:pStyle w:val="TextBody"/>
        <w:spacing w:lineRule="auto" w:line="300" w:before="0" w:after="0"/>
        <w:ind w:left="0" w:right="0" w:firstLine="720"/>
        <w:jc w:val="left"/>
        <w:rPr>
          <w:rFonts w:ascii="Times New Roman" w:hAnsi="Times New Roman"/>
          <w:sz w:val="20"/>
        </w:rPr>
      </w:pPr>
      <w:r>
        <w:rPr>
          <w:rFonts w:ascii="Times New Roman" w:hAnsi="Times New Roman"/>
          <w:sz w:val="20"/>
        </w:rPr>
        <w:t>Prepaid and other assets are summarized as follows (dollars in thousands):</w:t>
      </w:r>
    </w:p>
    <w:p>
      <w:pPr>
        <w:pStyle w:val="TextBody"/>
        <w:spacing w:lineRule="auto" w:line="300" w:before="0" w:after="0"/>
        <w:ind w:left="0" w:right="0" w:firstLine="720"/>
        <w:jc w:val="left"/>
        <w:rPr/>
      </w:pPr>
      <w:r>
        <w:rPr/>
        <w:t> </w:t>
      </w:r>
    </w:p>
    <w:p>
      <w:pPr>
        <w:pStyle w:val="Normal"/>
        <w:spacing w:before="0" w:after="0"/>
        <w:ind w:left="0" w:right="0" w:firstLine="720"/>
        <w:rPr>
          <w:sz w:val="4"/>
          <w:szCs w:val="4"/>
        </w:rPr>
      </w:pPr>
      <w:r>
        <w:rPr>
          <w:sz w:val="4"/>
          <w:szCs w:val="4"/>
        </w:rPr>
      </w:r>
      <w:bookmarkStart w:id="3054" w:name="ftable22"/>
      <w:bookmarkStart w:id="3055" w:name="ftable22"/>
      <w:bookmarkEnd w:id="3055"/>
    </w:p>
    <w:tbl>
      <w:tblPr>
        <w:tblW w:w="5000" w:type="pct"/>
        <w:jc w:val="left"/>
        <w:tblInd w:w="0" w:type="dxa"/>
        <w:tblCellMar>
          <w:top w:w="0" w:type="dxa"/>
          <w:left w:w="0" w:type="dxa"/>
          <w:bottom w:w="28" w:type="dxa"/>
          <w:right w:w="0" w:type="dxa"/>
        </w:tblCellMar>
      </w:tblPr>
      <w:tblGrid>
        <w:gridCol w:w="7063"/>
        <w:gridCol w:w="206"/>
        <w:gridCol w:w="127"/>
        <w:gridCol w:w="1178"/>
        <w:gridCol w:w="206"/>
        <w:gridCol w:w="127"/>
        <w:gridCol w:w="1178"/>
        <w:gridCol w:w="120"/>
      </w:tblGrid>
      <w:tr>
        <w:trPr/>
        <w:tc>
          <w:tcPr>
            <w:tcW w:w="7063" w:type="dxa"/>
            <w:tcBorders>
              <w:bottom w:val="single" w:sz="4" w:space="0" w:color="FFFFFF"/>
            </w:tcBorders>
            <w:shd w:fill="auto" w:val="clear"/>
            <w:vAlign w:val="bottom"/>
          </w:tcPr>
          <w:p>
            <w:pPr>
              <w:pStyle w:val="TableContents"/>
              <w:spacing w:before="0" w:after="283"/>
              <w:jc w:val="left"/>
              <w:rPr/>
            </w:pPr>
            <w:r>
              <w:rPr/>
              <w:t> </w:t>
            </w:r>
          </w:p>
        </w:tc>
        <w:tc>
          <w:tcPr>
            <w:tcW w:w="206" w:type="dxa"/>
            <w:tcBorders>
              <w:bottom w:val="single" w:sz="2" w:space="0" w:color="FFFFFF"/>
            </w:tcBorders>
            <w:shd w:fill="auto" w:val="clear"/>
            <w:vAlign w:val="center"/>
          </w:tcPr>
          <w:p>
            <w:pPr>
              <w:pStyle w:val="TableContents"/>
              <w:spacing w:before="0" w:after="283"/>
              <w:rPr/>
            </w:pPr>
            <w:r>
              <w:rPr/>
              <w:t> </w:t>
            </w:r>
          </w:p>
        </w:tc>
        <w:tc>
          <w:tcPr>
            <w:tcW w:w="2816" w:type="dxa"/>
            <w:gridSpan w:val="5"/>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December 31,</w:t>
            </w:r>
          </w:p>
        </w:tc>
        <w:tc>
          <w:tcPr>
            <w:tcW w:w="120" w:type="dxa"/>
            <w:tcBorders>
              <w:bottom w:val="single" w:sz="2" w:space="0" w:color="FFFFFF"/>
            </w:tcBorders>
            <w:shd w:fill="auto" w:val="clear"/>
            <w:vAlign w:val="bottom"/>
          </w:tcPr>
          <w:p>
            <w:pPr>
              <w:pStyle w:val="TableContents"/>
              <w:spacing w:before="0" w:after="283"/>
              <w:jc w:val="left"/>
              <w:rPr/>
            </w:pPr>
            <w:r>
              <w:rPr/>
              <w:t> </w:t>
            </w:r>
          </w:p>
        </w:tc>
      </w:tr>
      <w:tr>
        <w:trPr/>
        <w:tc>
          <w:tcPr>
            <w:tcW w:w="7063" w:type="dxa"/>
            <w:tcBorders>
              <w:bottom w:val="double" w:sz="2" w:space="0" w:color="000000"/>
            </w:tcBorders>
            <w:shd w:fill="auto" w:val="clear"/>
            <w:vAlign w:val="bottom"/>
          </w:tcPr>
          <w:p>
            <w:pPr>
              <w:pStyle w:val="TableContents"/>
              <w:spacing w:before="0" w:after="283"/>
              <w:jc w:val="left"/>
              <w:rPr/>
            </w:pPr>
            <w:r>
              <w:rPr/>
              <w:t> </w:t>
            </w:r>
          </w:p>
        </w:tc>
        <w:tc>
          <w:tcPr>
            <w:tcW w:w="206" w:type="dxa"/>
            <w:tcBorders>
              <w:bottom w:val="single" w:sz="4" w:space="0" w:color="FFFFFF"/>
            </w:tcBorders>
            <w:shd w:fill="auto" w:val="clear"/>
            <w:vAlign w:val="center"/>
          </w:tcPr>
          <w:p>
            <w:pPr>
              <w:pStyle w:val="TableContents"/>
              <w:spacing w:before="0" w:after="283"/>
              <w:rPr/>
            </w:pPr>
            <w:r>
              <w:rPr/>
              <w:t> </w:t>
            </w:r>
          </w:p>
        </w:tc>
        <w:tc>
          <w:tcPr>
            <w:tcW w:w="1305"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2006</w:t>
            </w:r>
          </w:p>
        </w:tc>
        <w:tc>
          <w:tcPr>
            <w:tcW w:w="206" w:type="dxa"/>
            <w:tcBorders>
              <w:bottom w:val="single" w:sz="4" w:space="0" w:color="FFFFFF"/>
            </w:tcBorders>
            <w:shd w:fill="auto" w:val="clear"/>
            <w:vAlign w:val="bottom"/>
          </w:tcPr>
          <w:p>
            <w:pPr>
              <w:pStyle w:val="TableContents"/>
              <w:spacing w:before="0" w:after="283"/>
              <w:jc w:val="left"/>
              <w:rPr/>
            </w:pPr>
            <w:r>
              <w:rPr/>
              <w:t> </w:t>
            </w:r>
          </w:p>
        </w:tc>
        <w:tc>
          <w:tcPr>
            <w:tcW w:w="1305"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2005</w:t>
            </w:r>
          </w:p>
        </w:tc>
        <w:tc>
          <w:tcPr>
            <w:tcW w:w="120" w:type="dxa"/>
            <w:tcBorders>
              <w:bottom w:val="single" w:sz="4" w:space="0" w:color="FFFFFF"/>
            </w:tcBorders>
            <w:shd w:fill="auto" w:val="clear"/>
            <w:vAlign w:val="bottom"/>
          </w:tcPr>
          <w:p>
            <w:pPr>
              <w:pStyle w:val="TableContents"/>
              <w:spacing w:before="0" w:after="283"/>
              <w:jc w:val="left"/>
              <w:rPr/>
            </w:pPr>
            <w:r>
              <w:rPr/>
              <w:t> </w:t>
            </w:r>
          </w:p>
        </w:tc>
      </w:tr>
      <w:tr>
        <w:trPr/>
        <w:tc>
          <w:tcPr>
            <w:tcW w:w="7063" w:type="dxa"/>
            <w:tcBorders/>
            <w:shd w:fill="auto" w:val="clear"/>
            <w:tcMar>
              <w:bottom w:w="0" w:type="dxa"/>
            </w:tcMar>
            <w:vAlign w:val="bottom"/>
          </w:tcPr>
          <w:p>
            <w:pPr>
              <w:pStyle w:val="TableContents"/>
              <w:spacing w:lineRule="auto" w:line="300" w:before="0" w:after="0"/>
              <w:ind w:left="0" w:right="0" w:hanging="0"/>
              <w:jc w:val="left"/>
              <w:rPr/>
            </w:pPr>
            <w:r>
              <w:rPr>
                <w:rStyle w:val="StrongEmphasis"/>
                <w:rFonts w:ascii="Times New Roman" w:hAnsi="Times New Roman"/>
                <w:sz w:val="20"/>
              </w:rPr>
              <w:t>Prepaid and other current assets</w:t>
            </w:r>
          </w:p>
        </w:tc>
        <w:tc>
          <w:tcPr>
            <w:tcW w:w="206" w:type="dxa"/>
            <w:tcBorders/>
            <w:shd w:fill="auto" w:val="clear"/>
            <w:tcMar>
              <w:bottom w:w="0" w:type="dxa"/>
            </w:tcMar>
            <w:vAlign w:val="center"/>
          </w:tcPr>
          <w:p>
            <w:pPr>
              <w:pStyle w:val="TableContents"/>
              <w:spacing w:before="0" w:after="283"/>
              <w:rPr/>
            </w:pPr>
            <w:r>
              <w:rPr/>
              <w:t> </w:t>
            </w:r>
          </w:p>
        </w:tc>
        <w:tc>
          <w:tcPr>
            <w:tcW w:w="127" w:type="dxa"/>
            <w:tcBorders/>
            <w:shd w:fill="auto" w:val="clear"/>
            <w:tcMar>
              <w:bottom w:w="0" w:type="dxa"/>
            </w:tcMar>
            <w:vAlign w:val="bottom"/>
          </w:tcPr>
          <w:p>
            <w:pPr>
              <w:pStyle w:val="TableContents"/>
              <w:spacing w:before="0" w:after="283"/>
              <w:jc w:val="left"/>
              <w:rPr/>
            </w:pPr>
            <w:r>
              <w:rPr/>
              <w:t> </w:t>
            </w:r>
          </w:p>
        </w:tc>
        <w:tc>
          <w:tcPr>
            <w:tcW w:w="1178" w:type="dxa"/>
            <w:tcBorders/>
            <w:shd w:fill="auto" w:val="clear"/>
            <w:tcMar>
              <w:bottom w:w="0" w:type="dxa"/>
            </w:tcMar>
            <w:vAlign w:val="bottom"/>
          </w:tcPr>
          <w:p>
            <w:pPr>
              <w:pStyle w:val="TableContents"/>
              <w:spacing w:before="0" w:after="283"/>
              <w:jc w:val="right"/>
              <w:rPr/>
            </w:pPr>
            <w:r>
              <w:rPr/>
              <w:t> </w:t>
            </w:r>
          </w:p>
        </w:tc>
        <w:tc>
          <w:tcPr>
            <w:tcW w:w="206" w:type="dxa"/>
            <w:tcBorders/>
            <w:shd w:fill="auto" w:val="clear"/>
            <w:tcMar>
              <w:bottom w:w="0" w:type="dxa"/>
            </w:tcMar>
            <w:vAlign w:val="bottom"/>
          </w:tcPr>
          <w:p>
            <w:pPr>
              <w:pStyle w:val="TableContents"/>
              <w:spacing w:before="0" w:after="283"/>
              <w:jc w:val="left"/>
              <w:rPr/>
            </w:pPr>
            <w:r>
              <w:rPr/>
              <w:t> </w:t>
            </w:r>
          </w:p>
        </w:tc>
        <w:tc>
          <w:tcPr>
            <w:tcW w:w="127" w:type="dxa"/>
            <w:tcBorders/>
            <w:shd w:fill="auto" w:val="clear"/>
            <w:tcMar>
              <w:bottom w:w="0" w:type="dxa"/>
            </w:tcMar>
            <w:vAlign w:val="bottom"/>
          </w:tcPr>
          <w:p>
            <w:pPr>
              <w:pStyle w:val="TableContents"/>
              <w:spacing w:before="0" w:after="283"/>
              <w:jc w:val="left"/>
              <w:rPr/>
            </w:pPr>
            <w:r>
              <w:rPr/>
              <w:t> </w:t>
            </w:r>
          </w:p>
        </w:tc>
        <w:tc>
          <w:tcPr>
            <w:tcW w:w="1178" w:type="dxa"/>
            <w:tcBorders/>
            <w:shd w:fill="auto" w:val="clear"/>
            <w:tcMar>
              <w:bottom w:w="0" w:type="dxa"/>
            </w:tcMar>
            <w:vAlign w:val="bottom"/>
          </w:tcPr>
          <w:p>
            <w:pPr>
              <w:pStyle w:val="TableContents"/>
              <w:spacing w:before="0" w:after="283"/>
              <w:jc w:val="right"/>
              <w:rPr/>
            </w:pPr>
            <w:r>
              <w:rPr/>
              <w:t> </w:t>
            </w:r>
          </w:p>
        </w:tc>
        <w:tc>
          <w:tcPr>
            <w:tcW w:w="120" w:type="dxa"/>
            <w:tcBorders/>
            <w:shd w:fill="auto" w:val="clear"/>
            <w:tcMar>
              <w:bottom w:w="0" w:type="dxa"/>
            </w:tcMar>
            <w:vAlign w:val="bottom"/>
          </w:tcPr>
          <w:p>
            <w:pPr>
              <w:pStyle w:val="TableContents"/>
              <w:spacing w:before="0" w:after="283"/>
              <w:jc w:val="left"/>
              <w:rPr/>
            </w:pPr>
            <w:r>
              <w:rPr/>
              <w:t> </w:t>
            </w:r>
          </w:p>
        </w:tc>
      </w:tr>
      <w:tr>
        <w:trPr/>
        <w:tc>
          <w:tcPr>
            <w:tcW w:w="7063" w:type="dxa"/>
            <w:tcBorders/>
            <w:shd w:fill="CCEEFF" w:val="clear"/>
            <w:tcMar>
              <w:bottom w:w="0" w:type="dxa"/>
            </w:tcMar>
            <w:vAlign w:val="bottom"/>
          </w:tcPr>
          <w:p>
            <w:pPr>
              <w:pStyle w:val="TableContents"/>
              <w:spacing w:lineRule="auto" w:line="300" w:before="0" w:after="0"/>
              <w:ind w:left="180" w:right="0" w:hanging="0"/>
              <w:jc w:val="left"/>
              <w:rPr>
                <w:rFonts w:ascii="Times New Roman" w:hAnsi="Times New Roman"/>
                <w:sz w:val="20"/>
              </w:rPr>
            </w:pPr>
            <w:bookmarkStart w:id="3056" w:name="TAB11417"/>
            <w:bookmarkEnd w:id="3056"/>
            <w:r>
              <w:rPr>
                <w:rFonts w:ascii="Times New Roman" w:hAnsi="Times New Roman"/>
                <w:sz w:val="20"/>
              </w:rPr>
              <w:t>Prepaid expenses</w:t>
            </w:r>
          </w:p>
        </w:tc>
        <w:tc>
          <w:tcPr>
            <w:tcW w:w="206" w:type="dxa"/>
            <w:tcBorders/>
            <w:shd w:fill="CCEEFF" w:val="clear"/>
            <w:tcMar>
              <w:bottom w:w="0" w:type="dxa"/>
            </w:tcMar>
            <w:vAlign w:val="center"/>
          </w:tcPr>
          <w:p>
            <w:pPr>
              <w:pStyle w:val="TableContents"/>
              <w:spacing w:before="0" w:after="283"/>
              <w:rPr/>
            </w:pPr>
            <w:r>
              <w:rPr/>
              <w:t> </w:t>
            </w:r>
          </w:p>
        </w:tc>
        <w:tc>
          <w:tcPr>
            <w:tcW w:w="127"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3057" w:name="TAB11418"/>
            <w:bookmarkEnd w:id="3057"/>
            <w:r>
              <w:rPr>
                <w:rFonts w:ascii="Times New Roman" w:hAnsi="Times New Roman"/>
                <w:sz w:val="20"/>
              </w:rPr>
              <w:t>$</w:t>
            </w:r>
          </w:p>
        </w:tc>
        <w:tc>
          <w:tcPr>
            <w:tcW w:w="1178"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3058" w:name="TAB11419"/>
            <w:bookmarkEnd w:id="3058"/>
            <w:r>
              <w:rPr>
                <w:rFonts w:ascii="Times New Roman" w:hAnsi="Times New Roman"/>
                <w:sz w:val="20"/>
              </w:rPr>
              <w:t>1,214</w:t>
            </w:r>
          </w:p>
        </w:tc>
        <w:tc>
          <w:tcPr>
            <w:tcW w:w="206" w:type="dxa"/>
            <w:tcBorders/>
            <w:shd w:fill="CCEEFF" w:val="clear"/>
            <w:tcMar>
              <w:bottom w:w="0" w:type="dxa"/>
            </w:tcMar>
            <w:vAlign w:val="bottom"/>
          </w:tcPr>
          <w:p>
            <w:pPr>
              <w:pStyle w:val="TableContents"/>
              <w:spacing w:before="0" w:after="283"/>
              <w:jc w:val="left"/>
              <w:rPr/>
            </w:pPr>
            <w:r>
              <w:rPr/>
              <w:t> </w:t>
            </w:r>
          </w:p>
        </w:tc>
        <w:tc>
          <w:tcPr>
            <w:tcW w:w="127"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3059" w:name="TAB11420"/>
            <w:bookmarkEnd w:id="3059"/>
            <w:r>
              <w:rPr>
                <w:rFonts w:ascii="Times New Roman" w:hAnsi="Times New Roman"/>
                <w:sz w:val="20"/>
              </w:rPr>
              <w:t>$</w:t>
            </w:r>
          </w:p>
        </w:tc>
        <w:tc>
          <w:tcPr>
            <w:tcW w:w="1178"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3060" w:name="TAB11421"/>
            <w:bookmarkEnd w:id="3060"/>
            <w:r>
              <w:rPr>
                <w:rFonts w:ascii="Times New Roman" w:hAnsi="Times New Roman"/>
                <w:sz w:val="20"/>
              </w:rPr>
              <w:t>246</w:t>
            </w:r>
          </w:p>
        </w:tc>
        <w:tc>
          <w:tcPr>
            <w:tcW w:w="120" w:type="dxa"/>
            <w:tcBorders/>
            <w:shd w:fill="CCEEFF" w:val="clear"/>
            <w:tcMar>
              <w:bottom w:w="0" w:type="dxa"/>
            </w:tcMar>
            <w:vAlign w:val="bottom"/>
          </w:tcPr>
          <w:p>
            <w:pPr>
              <w:pStyle w:val="TableContents"/>
              <w:spacing w:before="0" w:after="283"/>
              <w:jc w:val="left"/>
              <w:rPr/>
            </w:pPr>
            <w:r>
              <w:rPr/>
              <w:t> </w:t>
            </w:r>
          </w:p>
        </w:tc>
      </w:tr>
      <w:tr>
        <w:trPr/>
        <w:tc>
          <w:tcPr>
            <w:tcW w:w="7063" w:type="dxa"/>
            <w:tcBorders/>
            <w:shd w:fill="FFFFFF" w:val="clear"/>
            <w:tcMar>
              <w:bottom w:w="0" w:type="dxa"/>
            </w:tcMar>
            <w:vAlign w:val="bottom"/>
          </w:tcPr>
          <w:p>
            <w:pPr>
              <w:pStyle w:val="TableContents"/>
              <w:spacing w:lineRule="auto" w:line="300" w:before="0" w:after="0"/>
              <w:ind w:left="180" w:right="0" w:hanging="0"/>
              <w:jc w:val="left"/>
              <w:rPr>
                <w:rFonts w:ascii="Times New Roman" w:hAnsi="Times New Roman"/>
                <w:sz w:val="20"/>
              </w:rPr>
            </w:pPr>
            <w:bookmarkStart w:id="3061" w:name="TAB11422"/>
            <w:bookmarkEnd w:id="3061"/>
            <w:r>
              <w:rPr>
                <w:rFonts w:ascii="Times New Roman" w:hAnsi="Times New Roman"/>
                <w:sz w:val="20"/>
              </w:rPr>
              <w:t>Prepaid taxes</w:t>
            </w:r>
          </w:p>
        </w:tc>
        <w:tc>
          <w:tcPr>
            <w:tcW w:w="206" w:type="dxa"/>
            <w:tcBorders/>
            <w:shd w:fill="FFFFFF" w:val="clear"/>
            <w:tcMar>
              <w:bottom w:w="0" w:type="dxa"/>
            </w:tcMar>
            <w:vAlign w:val="center"/>
          </w:tcPr>
          <w:p>
            <w:pPr>
              <w:pStyle w:val="TableContents"/>
              <w:spacing w:before="0" w:after="283"/>
              <w:rPr/>
            </w:pPr>
            <w:r>
              <w:rPr/>
              <w:t> </w:t>
            </w:r>
          </w:p>
        </w:tc>
        <w:tc>
          <w:tcPr>
            <w:tcW w:w="127" w:type="dxa"/>
            <w:tcBorders/>
            <w:shd w:fill="FFFFFF" w:val="clear"/>
            <w:tcMar>
              <w:bottom w:w="0" w:type="dxa"/>
            </w:tcMar>
            <w:vAlign w:val="bottom"/>
          </w:tcPr>
          <w:p>
            <w:pPr>
              <w:pStyle w:val="TableContents"/>
              <w:spacing w:before="0" w:after="283"/>
              <w:jc w:val="left"/>
              <w:rPr/>
            </w:pPr>
            <w:r>
              <w:rPr/>
              <w:t> </w:t>
            </w:r>
          </w:p>
        </w:tc>
        <w:tc>
          <w:tcPr>
            <w:tcW w:w="1178"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552</w:t>
            </w:r>
          </w:p>
        </w:tc>
        <w:tc>
          <w:tcPr>
            <w:tcW w:w="206" w:type="dxa"/>
            <w:tcBorders/>
            <w:shd w:fill="FFFFFF" w:val="clear"/>
            <w:tcMar>
              <w:bottom w:w="0" w:type="dxa"/>
            </w:tcMar>
            <w:vAlign w:val="bottom"/>
          </w:tcPr>
          <w:p>
            <w:pPr>
              <w:pStyle w:val="TableContents"/>
              <w:spacing w:before="0" w:after="283"/>
              <w:jc w:val="left"/>
              <w:rPr/>
            </w:pPr>
            <w:r>
              <w:rPr/>
              <w:t> </w:t>
            </w:r>
          </w:p>
        </w:tc>
        <w:tc>
          <w:tcPr>
            <w:tcW w:w="127" w:type="dxa"/>
            <w:tcBorders/>
            <w:shd w:fill="FFFFFF" w:val="clear"/>
            <w:tcMar>
              <w:bottom w:w="0" w:type="dxa"/>
            </w:tcMar>
            <w:vAlign w:val="bottom"/>
          </w:tcPr>
          <w:p>
            <w:pPr>
              <w:pStyle w:val="TableContents"/>
              <w:spacing w:before="0" w:after="283"/>
              <w:jc w:val="left"/>
              <w:rPr/>
            </w:pPr>
            <w:r>
              <w:rPr/>
              <w:t> </w:t>
            </w:r>
          </w:p>
        </w:tc>
        <w:tc>
          <w:tcPr>
            <w:tcW w:w="1178"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370</w:t>
            </w:r>
          </w:p>
        </w:tc>
        <w:tc>
          <w:tcPr>
            <w:tcW w:w="120" w:type="dxa"/>
            <w:tcBorders/>
            <w:shd w:fill="FFFFFF" w:val="clear"/>
            <w:tcMar>
              <w:bottom w:w="0" w:type="dxa"/>
            </w:tcMar>
            <w:vAlign w:val="bottom"/>
          </w:tcPr>
          <w:p>
            <w:pPr>
              <w:pStyle w:val="TableContents"/>
              <w:spacing w:before="0" w:after="283"/>
              <w:jc w:val="left"/>
              <w:rPr/>
            </w:pPr>
            <w:r>
              <w:rPr/>
              <w:t> </w:t>
            </w:r>
          </w:p>
        </w:tc>
      </w:tr>
      <w:tr>
        <w:trPr/>
        <w:tc>
          <w:tcPr>
            <w:tcW w:w="7063" w:type="dxa"/>
            <w:tcBorders/>
            <w:shd w:fill="CCEEFF" w:val="clear"/>
            <w:tcMar>
              <w:bottom w:w="0" w:type="dxa"/>
            </w:tcMar>
            <w:vAlign w:val="bottom"/>
          </w:tcPr>
          <w:p>
            <w:pPr>
              <w:pStyle w:val="TableContents"/>
              <w:spacing w:lineRule="auto" w:line="300" w:before="0" w:after="0"/>
              <w:ind w:left="180" w:right="0" w:hanging="0"/>
              <w:jc w:val="left"/>
              <w:rPr>
                <w:rFonts w:ascii="Times New Roman" w:hAnsi="Times New Roman"/>
                <w:sz w:val="20"/>
              </w:rPr>
            </w:pPr>
            <w:bookmarkStart w:id="3062" w:name="TAB11423"/>
            <w:bookmarkEnd w:id="3062"/>
            <w:r>
              <w:rPr>
                <w:rFonts w:ascii="Times New Roman" w:hAnsi="Times New Roman"/>
                <w:sz w:val="20"/>
              </w:rPr>
              <w:t>Deposits</w:t>
            </w:r>
          </w:p>
        </w:tc>
        <w:tc>
          <w:tcPr>
            <w:tcW w:w="206" w:type="dxa"/>
            <w:tcBorders/>
            <w:shd w:fill="CCEEFF" w:val="clear"/>
            <w:tcMar>
              <w:bottom w:w="0" w:type="dxa"/>
            </w:tcMar>
            <w:vAlign w:val="center"/>
          </w:tcPr>
          <w:p>
            <w:pPr>
              <w:pStyle w:val="TableContents"/>
              <w:spacing w:before="0" w:after="283"/>
              <w:rPr/>
            </w:pPr>
            <w:r>
              <w:rPr/>
              <w:t> </w:t>
            </w:r>
          </w:p>
        </w:tc>
        <w:tc>
          <w:tcPr>
            <w:tcW w:w="127" w:type="dxa"/>
            <w:tcBorders/>
            <w:shd w:fill="CCEEFF" w:val="clear"/>
            <w:tcMar>
              <w:bottom w:w="0" w:type="dxa"/>
            </w:tcMar>
            <w:vAlign w:val="bottom"/>
          </w:tcPr>
          <w:p>
            <w:pPr>
              <w:pStyle w:val="TableContents"/>
              <w:spacing w:before="0" w:after="283"/>
              <w:jc w:val="left"/>
              <w:rPr/>
            </w:pPr>
            <w:r>
              <w:rPr/>
              <w:t> </w:t>
            </w:r>
          </w:p>
        </w:tc>
        <w:tc>
          <w:tcPr>
            <w:tcW w:w="1178"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534</w:t>
            </w:r>
          </w:p>
        </w:tc>
        <w:tc>
          <w:tcPr>
            <w:tcW w:w="206" w:type="dxa"/>
            <w:tcBorders/>
            <w:shd w:fill="CCEEFF" w:val="clear"/>
            <w:tcMar>
              <w:bottom w:w="0" w:type="dxa"/>
            </w:tcMar>
            <w:vAlign w:val="bottom"/>
          </w:tcPr>
          <w:p>
            <w:pPr>
              <w:pStyle w:val="TableContents"/>
              <w:spacing w:before="0" w:after="283"/>
              <w:jc w:val="left"/>
              <w:rPr/>
            </w:pPr>
            <w:r>
              <w:rPr/>
              <w:t> </w:t>
            </w:r>
          </w:p>
        </w:tc>
        <w:tc>
          <w:tcPr>
            <w:tcW w:w="127" w:type="dxa"/>
            <w:tcBorders/>
            <w:shd w:fill="CCEEFF" w:val="clear"/>
            <w:tcMar>
              <w:bottom w:w="0" w:type="dxa"/>
            </w:tcMar>
            <w:vAlign w:val="bottom"/>
          </w:tcPr>
          <w:p>
            <w:pPr>
              <w:pStyle w:val="TableContents"/>
              <w:spacing w:before="0" w:after="283"/>
              <w:jc w:val="left"/>
              <w:rPr/>
            </w:pPr>
            <w:r>
              <w:rPr/>
              <w:t> </w:t>
            </w:r>
          </w:p>
        </w:tc>
        <w:tc>
          <w:tcPr>
            <w:tcW w:w="1178"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157</w:t>
            </w:r>
          </w:p>
        </w:tc>
        <w:tc>
          <w:tcPr>
            <w:tcW w:w="120" w:type="dxa"/>
            <w:tcBorders/>
            <w:shd w:fill="CCEEFF" w:val="clear"/>
            <w:tcMar>
              <w:bottom w:w="0" w:type="dxa"/>
            </w:tcMar>
            <w:vAlign w:val="bottom"/>
          </w:tcPr>
          <w:p>
            <w:pPr>
              <w:pStyle w:val="TableContents"/>
              <w:spacing w:before="0" w:after="283"/>
              <w:jc w:val="left"/>
              <w:rPr/>
            </w:pPr>
            <w:r>
              <w:rPr/>
              <w:t> </w:t>
            </w:r>
          </w:p>
        </w:tc>
      </w:tr>
      <w:tr>
        <w:trPr/>
        <w:tc>
          <w:tcPr>
            <w:tcW w:w="7063" w:type="dxa"/>
            <w:tcBorders>
              <w:bottom w:val="single" w:sz="2" w:space="0" w:color="000000"/>
            </w:tcBorders>
            <w:shd w:fill="FFFFFF" w:val="clear"/>
            <w:vAlign w:val="bottom"/>
          </w:tcPr>
          <w:p>
            <w:pPr>
              <w:pStyle w:val="TableContents"/>
              <w:spacing w:lineRule="auto" w:line="300" w:before="0" w:after="0"/>
              <w:ind w:left="180" w:right="0" w:hanging="0"/>
              <w:jc w:val="left"/>
              <w:rPr>
                <w:rFonts w:ascii="Times New Roman" w:hAnsi="Times New Roman"/>
                <w:sz w:val="20"/>
              </w:rPr>
            </w:pPr>
            <w:bookmarkStart w:id="3063" w:name="TAB11424"/>
            <w:bookmarkEnd w:id="3063"/>
            <w:r>
              <w:rPr>
                <w:rFonts w:ascii="Times New Roman" w:hAnsi="Times New Roman"/>
                <w:sz w:val="20"/>
              </w:rPr>
              <w:t>Other</w:t>
            </w:r>
          </w:p>
        </w:tc>
        <w:tc>
          <w:tcPr>
            <w:tcW w:w="206" w:type="dxa"/>
            <w:tcBorders>
              <w:bottom w:val="single" w:sz="2" w:space="0" w:color="FFFFFF"/>
            </w:tcBorders>
            <w:shd w:fill="FFFFFF" w:val="clear"/>
            <w:vAlign w:val="center"/>
          </w:tcPr>
          <w:p>
            <w:pPr>
              <w:pStyle w:val="TableContents"/>
              <w:spacing w:before="0" w:after="283"/>
              <w:rPr/>
            </w:pPr>
            <w:r>
              <w:rPr/>
              <w:t> </w:t>
            </w:r>
          </w:p>
        </w:tc>
        <w:tc>
          <w:tcPr>
            <w:tcW w:w="127" w:type="dxa"/>
            <w:tcBorders>
              <w:bottom w:val="single" w:sz="2" w:space="0" w:color="000000"/>
            </w:tcBorders>
            <w:shd w:fill="FFFFFF" w:val="clear"/>
            <w:vAlign w:val="bottom"/>
          </w:tcPr>
          <w:p>
            <w:pPr>
              <w:pStyle w:val="TableContents"/>
              <w:spacing w:before="0" w:after="283"/>
              <w:jc w:val="left"/>
              <w:rPr/>
            </w:pPr>
            <w:r>
              <w:rPr/>
              <w:t> </w:t>
            </w:r>
          </w:p>
        </w:tc>
        <w:tc>
          <w:tcPr>
            <w:tcW w:w="1178"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289</w:t>
            </w:r>
          </w:p>
        </w:tc>
        <w:tc>
          <w:tcPr>
            <w:tcW w:w="206" w:type="dxa"/>
            <w:tcBorders>
              <w:bottom w:val="single" w:sz="2" w:space="0" w:color="FFFFFF"/>
            </w:tcBorders>
            <w:shd w:fill="FFFFFF" w:val="clear"/>
            <w:vAlign w:val="bottom"/>
          </w:tcPr>
          <w:p>
            <w:pPr>
              <w:pStyle w:val="TableContents"/>
              <w:spacing w:before="0" w:after="283"/>
              <w:jc w:val="left"/>
              <w:rPr/>
            </w:pPr>
            <w:r>
              <w:rPr/>
              <w:t> </w:t>
            </w:r>
          </w:p>
        </w:tc>
        <w:tc>
          <w:tcPr>
            <w:tcW w:w="127" w:type="dxa"/>
            <w:tcBorders>
              <w:bottom w:val="single" w:sz="2" w:space="0" w:color="000000"/>
            </w:tcBorders>
            <w:shd w:fill="FFFFFF" w:val="clear"/>
            <w:vAlign w:val="bottom"/>
          </w:tcPr>
          <w:p>
            <w:pPr>
              <w:pStyle w:val="TableContents"/>
              <w:spacing w:before="0" w:after="283"/>
              <w:jc w:val="left"/>
              <w:rPr/>
            </w:pPr>
            <w:r>
              <w:rPr/>
              <w:t> </w:t>
            </w:r>
          </w:p>
        </w:tc>
        <w:tc>
          <w:tcPr>
            <w:tcW w:w="1178"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223</w:t>
            </w:r>
          </w:p>
        </w:tc>
        <w:tc>
          <w:tcPr>
            <w:tcW w:w="120" w:type="dxa"/>
            <w:tcBorders>
              <w:bottom w:val="single" w:sz="2" w:space="0" w:color="FFFFFF"/>
            </w:tcBorders>
            <w:shd w:fill="FFFFFF" w:val="clear"/>
            <w:vAlign w:val="bottom"/>
          </w:tcPr>
          <w:p>
            <w:pPr>
              <w:pStyle w:val="TableContents"/>
              <w:spacing w:before="0" w:after="283"/>
              <w:jc w:val="left"/>
              <w:rPr/>
            </w:pPr>
            <w:r>
              <w:rPr/>
              <w:t> </w:t>
            </w:r>
          </w:p>
        </w:tc>
      </w:tr>
      <w:tr>
        <w:trPr/>
        <w:tc>
          <w:tcPr>
            <w:tcW w:w="7063" w:type="dxa"/>
            <w:tcBorders>
              <w:bottom w:val="double" w:sz="2" w:space="0" w:color="000000"/>
            </w:tcBorders>
            <w:shd w:fill="CCEEFF" w:val="clear"/>
            <w:vAlign w:val="bottom"/>
          </w:tcPr>
          <w:p>
            <w:pPr>
              <w:pStyle w:val="TableContents"/>
              <w:spacing w:lineRule="auto" w:line="300" w:before="0" w:after="0"/>
              <w:ind w:left="720" w:right="0" w:hanging="0"/>
              <w:jc w:val="left"/>
              <w:rPr>
                <w:rFonts w:ascii="Times New Roman" w:hAnsi="Times New Roman"/>
                <w:sz w:val="20"/>
              </w:rPr>
            </w:pPr>
            <w:bookmarkStart w:id="3064" w:name="TAB11425"/>
            <w:bookmarkEnd w:id="3064"/>
            <w:r>
              <w:rPr>
                <w:rFonts w:ascii="Times New Roman" w:hAnsi="Times New Roman"/>
                <w:sz w:val="20"/>
              </w:rPr>
              <w:t>Total prepaid and other current assets</w:t>
            </w:r>
          </w:p>
        </w:tc>
        <w:tc>
          <w:tcPr>
            <w:tcW w:w="206" w:type="dxa"/>
            <w:tcBorders>
              <w:bottom w:val="single" w:sz="4" w:space="0" w:color="CCEEFF"/>
            </w:tcBorders>
            <w:shd w:fill="CCEEFF" w:val="clear"/>
            <w:vAlign w:val="center"/>
          </w:tcPr>
          <w:p>
            <w:pPr>
              <w:pStyle w:val="TableContents"/>
              <w:spacing w:before="0" w:after="283"/>
              <w:rPr/>
            </w:pPr>
            <w:r>
              <w:rPr/>
              <w:t> </w:t>
            </w:r>
          </w:p>
        </w:tc>
        <w:tc>
          <w:tcPr>
            <w:tcW w:w="127" w:type="dxa"/>
            <w:tcBorders>
              <w:bottom w:val="doub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bookmarkStart w:id="3065" w:name="TAB11426"/>
            <w:bookmarkEnd w:id="3065"/>
            <w:r>
              <w:rPr>
                <w:rFonts w:ascii="Times New Roman" w:hAnsi="Times New Roman"/>
                <w:sz w:val="20"/>
              </w:rPr>
              <w:t>$</w:t>
            </w:r>
          </w:p>
        </w:tc>
        <w:tc>
          <w:tcPr>
            <w:tcW w:w="1178" w:type="dxa"/>
            <w:tcBorders>
              <w:bottom w:val="doub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3066" w:name="TAB11427"/>
            <w:bookmarkEnd w:id="3066"/>
            <w:r>
              <w:rPr>
                <w:rFonts w:ascii="Times New Roman" w:hAnsi="Times New Roman"/>
                <w:sz w:val="20"/>
              </w:rPr>
              <w:t>2,589</w:t>
            </w:r>
          </w:p>
        </w:tc>
        <w:tc>
          <w:tcPr>
            <w:tcW w:w="206" w:type="dxa"/>
            <w:tcBorders>
              <w:bottom w:val="single" w:sz="4" w:space="0" w:color="CCEEFF"/>
            </w:tcBorders>
            <w:shd w:fill="CCEEFF" w:val="clear"/>
            <w:vAlign w:val="bottom"/>
          </w:tcPr>
          <w:p>
            <w:pPr>
              <w:pStyle w:val="TableContents"/>
              <w:spacing w:before="0" w:after="283"/>
              <w:jc w:val="left"/>
              <w:rPr/>
            </w:pPr>
            <w:r>
              <w:rPr/>
              <w:t> </w:t>
            </w:r>
          </w:p>
        </w:tc>
        <w:tc>
          <w:tcPr>
            <w:tcW w:w="127" w:type="dxa"/>
            <w:tcBorders>
              <w:bottom w:val="doub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bookmarkStart w:id="3067" w:name="TAB11428"/>
            <w:bookmarkEnd w:id="3067"/>
            <w:r>
              <w:rPr>
                <w:rFonts w:ascii="Times New Roman" w:hAnsi="Times New Roman"/>
                <w:sz w:val="20"/>
              </w:rPr>
              <w:t>$</w:t>
            </w:r>
          </w:p>
        </w:tc>
        <w:tc>
          <w:tcPr>
            <w:tcW w:w="1178" w:type="dxa"/>
            <w:tcBorders>
              <w:bottom w:val="doub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3068" w:name="TAB11429"/>
            <w:bookmarkEnd w:id="3068"/>
            <w:r>
              <w:rPr>
                <w:rFonts w:ascii="Times New Roman" w:hAnsi="Times New Roman"/>
                <w:sz w:val="20"/>
              </w:rPr>
              <w:t>996</w:t>
            </w:r>
          </w:p>
        </w:tc>
        <w:tc>
          <w:tcPr>
            <w:tcW w:w="120" w:type="dxa"/>
            <w:tcBorders>
              <w:bottom w:val="single" w:sz="4" w:space="0" w:color="CCEEFF"/>
            </w:tcBorders>
            <w:shd w:fill="CCEEFF" w:val="clear"/>
            <w:vAlign w:val="bottom"/>
          </w:tcPr>
          <w:p>
            <w:pPr>
              <w:pStyle w:val="TableContents"/>
              <w:spacing w:before="0" w:after="283"/>
              <w:jc w:val="left"/>
              <w:rPr/>
            </w:pPr>
            <w:r>
              <w:rPr/>
              <w:t> </w:t>
            </w:r>
          </w:p>
        </w:tc>
      </w:tr>
      <w:tr>
        <w:trPr/>
        <w:tc>
          <w:tcPr>
            <w:tcW w:w="7063" w:type="dxa"/>
            <w:tcBorders/>
            <w:shd w:fill="FFFFFF" w:val="clear"/>
            <w:tcMar>
              <w:bottom w:w="0" w:type="dxa"/>
            </w:tcMar>
            <w:vAlign w:val="bottom"/>
          </w:tcPr>
          <w:p>
            <w:pPr>
              <w:pStyle w:val="TableContents"/>
              <w:spacing w:before="0" w:after="283"/>
              <w:jc w:val="left"/>
              <w:rPr/>
            </w:pPr>
            <w:r>
              <w:rPr/>
              <w:t> </w:t>
            </w:r>
          </w:p>
        </w:tc>
        <w:tc>
          <w:tcPr>
            <w:tcW w:w="206" w:type="dxa"/>
            <w:tcBorders/>
            <w:shd w:fill="FFFFFF" w:val="clear"/>
            <w:tcMar>
              <w:bottom w:w="0" w:type="dxa"/>
            </w:tcMar>
            <w:vAlign w:val="center"/>
          </w:tcPr>
          <w:p>
            <w:pPr>
              <w:pStyle w:val="TableContents"/>
              <w:spacing w:before="0" w:after="283"/>
              <w:rPr/>
            </w:pPr>
            <w:r>
              <w:rPr/>
              <w:t> </w:t>
            </w:r>
          </w:p>
        </w:tc>
        <w:tc>
          <w:tcPr>
            <w:tcW w:w="127" w:type="dxa"/>
            <w:tcBorders/>
            <w:shd w:fill="FFFFFF" w:val="clear"/>
            <w:tcMar>
              <w:bottom w:w="0" w:type="dxa"/>
            </w:tcMar>
            <w:vAlign w:val="bottom"/>
          </w:tcPr>
          <w:p>
            <w:pPr>
              <w:pStyle w:val="TableContents"/>
              <w:spacing w:before="0" w:after="283"/>
              <w:jc w:val="left"/>
              <w:rPr/>
            </w:pPr>
            <w:r>
              <w:rPr/>
              <w:t> </w:t>
            </w:r>
          </w:p>
        </w:tc>
        <w:tc>
          <w:tcPr>
            <w:tcW w:w="1178" w:type="dxa"/>
            <w:tcBorders/>
            <w:shd w:fill="FFFFFF" w:val="clear"/>
            <w:tcMar>
              <w:bottom w:w="0" w:type="dxa"/>
            </w:tcMar>
            <w:vAlign w:val="bottom"/>
          </w:tcPr>
          <w:p>
            <w:pPr>
              <w:pStyle w:val="TableContents"/>
              <w:spacing w:before="0" w:after="283"/>
              <w:jc w:val="right"/>
              <w:rPr/>
            </w:pPr>
            <w:r>
              <w:rPr/>
              <w:t> </w:t>
            </w:r>
          </w:p>
        </w:tc>
        <w:tc>
          <w:tcPr>
            <w:tcW w:w="206" w:type="dxa"/>
            <w:tcBorders/>
            <w:shd w:fill="FFFFFF" w:val="clear"/>
            <w:tcMar>
              <w:bottom w:w="0" w:type="dxa"/>
            </w:tcMar>
            <w:vAlign w:val="bottom"/>
          </w:tcPr>
          <w:p>
            <w:pPr>
              <w:pStyle w:val="TableContents"/>
              <w:spacing w:before="0" w:after="283"/>
              <w:jc w:val="left"/>
              <w:rPr/>
            </w:pPr>
            <w:r>
              <w:rPr/>
              <w:t> </w:t>
            </w:r>
          </w:p>
        </w:tc>
        <w:tc>
          <w:tcPr>
            <w:tcW w:w="127" w:type="dxa"/>
            <w:tcBorders/>
            <w:shd w:fill="FFFFFF" w:val="clear"/>
            <w:tcMar>
              <w:bottom w:w="0" w:type="dxa"/>
            </w:tcMar>
            <w:vAlign w:val="bottom"/>
          </w:tcPr>
          <w:p>
            <w:pPr>
              <w:pStyle w:val="TableContents"/>
              <w:spacing w:before="0" w:after="283"/>
              <w:jc w:val="left"/>
              <w:rPr/>
            </w:pPr>
            <w:r>
              <w:rPr/>
              <w:t> </w:t>
            </w:r>
          </w:p>
        </w:tc>
        <w:tc>
          <w:tcPr>
            <w:tcW w:w="1178" w:type="dxa"/>
            <w:tcBorders/>
            <w:shd w:fill="FFFFFF" w:val="clear"/>
            <w:tcMar>
              <w:bottom w:w="0" w:type="dxa"/>
            </w:tcMar>
            <w:vAlign w:val="bottom"/>
          </w:tcPr>
          <w:p>
            <w:pPr>
              <w:pStyle w:val="TableContents"/>
              <w:spacing w:before="0" w:after="283"/>
              <w:jc w:val="right"/>
              <w:rPr/>
            </w:pPr>
            <w:r>
              <w:rPr/>
              <w:t> </w:t>
            </w:r>
          </w:p>
        </w:tc>
        <w:tc>
          <w:tcPr>
            <w:tcW w:w="120" w:type="dxa"/>
            <w:tcBorders/>
            <w:shd w:fill="FFFFFF" w:val="clear"/>
            <w:tcMar>
              <w:bottom w:w="0" w:type="dxa"/>
            </w:tcMar>
            <w:vAlign w:val="bottom"/>
          </w:tcPr>
          <w:p>
            <w:pPr>
              <w:pStyle w:val="TableContents"/>
              <w:spacing w:before="0" w:after="283"/>
              <w:jc w:val="left"/>
              <w:rPr/>
            </w:pPr>
            <w:r>
              <w:rPr/>
              <w:t> </w:t>
            </w:r>
          </w:p>
        </w:tc>
      </w:tr>
      <w:tr>
        <w:trPr/>
        <w:tc>
          <w:tcPr>
            <w:tcW w:w="7063" w:type="dxa"/>
            <w:tcBorders>
              <w:bottom w:val="single" w:sz="2" w:space="0" w:color="000000"/>
            </w:tcBorders>
            <w:shd w:fill="CCEEFF" w:val="clear"/>
            <w:vAlign w:val="bottom"/>
          </w:tcPr>
          <w:p>
            <w:pPr>
              <w:pStyle w:val="TableContents"/>
              <w:spacing w:lineRule="auto" w:line="300" w:before="0" w:after="0"/>
              <w:ind w:left="0" w:right="0" w:hanging="0"/>
              <w:jc w:val="left"/>
              <w:rPr/>
            </w:pPr>
            <w:r>
              <w:rPr>
                <w:rStyle w:val="StrongEmphasis"/>
                <w:rFonts w:ascii="Times New Roman" w:hAnsi="Times New Roman"/>
                <w:sz w:val="20"/>
              </w:rPr>
              <w:t>Other non-current assets</w:t>
            </w:r>
          </w:p>
        </w:tc>
        <w:tc>
          <w:tcPr>
            <w:tcW w:w="206" w:type="dxa"/>
            <w:tcBorders>
              <w:bottom w:val="single" w:sz="2" w:space="0" w:color="CCEEFF"/>
            </w:tcBorders>
            <w:shd w:fill="CCEEFF" w:val="clear"/>
            <w:vAlign w:val="center"/>
          </w:tcPr>
          <w:p>
            <w:pPr>
              <w:pStyle w:val="TableContents"/>
              <w:spacing w:before="0" w:after="283"/>
              <w:rPr/>
            </w:pPr>
            <w:r>
              <w:rPr/>
              <w:t> </w:t>
            </w:r>
          </w:p>
        </w:tc>
        <w:tc>
          <w:tcPr>
            <w:tcW w:w="127" w:type="dxa"/>
            <w:tcBorders>
              <w:bottom w:val="single" w:sz="2" w:space="0" w:color="000000"/>
            </w:tcBorders>
            <w:shd w:fill="CCEEFF" w:val="clear"/>
            <w:vAlign w:val="bottom"/>
          </w:tcPr>
          <w:p>
            <w:pPr>
              <w:pStyle w:val="TableContents"/>
              <w:spacing w:before="0" w:after="283"/>
              <w:jc w:val="left"/>
              <w:rPr/>
            </w:pPr>
            <w:r>
              <w:rPr/>
              <w:t> </w:t>
            </w:r>
          </w:p>
        </w:tc>
        <w:tc>
          <w:tcPr>
            <w:tcW w:w="1178" w:type="dxa"/>
            <w:tcBorders>
              <w:bottom w:val="single" w:sz="2" w:space="0" w:color="000000"/>
            </w:tcBorders>
            <w:shd w:fill="CCEEFF" w:val="clear"/>
            <w:vAlign w:val="bottom"/>
          </w:tcPr>
          <w:p>
            <w:pPr>
              <w:pStyle w:val="TableContents"/>
              <w:spacing w:before="0" w:after="283"/>
              <w:jc w:val="right"/>
              <w:rPr/>
            </w:pPr>
            <w:r>
              <w:rPr/>
              <w:t> </w:t>
            </w:r>
          </w:p>
        </w:tc>
        <w:tc>
          <w:tcPr>
            <w:tcW w:w="206" w:type="dxa"/>
            <w:tcBorders>
              <w:bottom w:val="single" w:sz="2" w:space="0" w:color="CCEEFF"/>
            </w:tcBorders>
            <w:shd w:fill="CCEEFF" w:val="clear"/>
            <w:vAlign w:val="bottom"/>
          </w:tcPr>
          <w:p>
            <w:pPr>
              <w:pStyle w:val="TableContents"/>
              <w:spacing w:before="0" w:after="283"/>
              <w:jc w:val="left"/>
              <w:rPr/>
            </w:pPr>
            <w:r>
              <w:rPr/>
              <w:t> </w:t>
            </w:r>
          </w:p>
        </w:tc>
        <w:tc>
          <w:tcPr>
            <w:tcW w:w="127" w:type="dxa"/>
            <w:tcBorders>
              <w:bottom w:val="single" w:sz="2" w:space="0" w:color="000000"/>
            </w:tcBorders>
            <w:shd w:fill="CCEEFF" w:val="clear"/>
            <w:vAlign w:val="bottom"/>
          </w:tcPr>
          <w:p>
            <w:pPr>
              <w:pStyle w:val="TableContents"/>
              <w:spacing w:before="0" w:after="283"/>
              <w:jc w:val="left"/>
              <w:rPr/>
            </w:pPr>
            <w:r>
              <w:rPr/>
              <w:t> </w:t>
            </w:r>
          </w:p>
        </w:tc>
        <w:tc>
          <w:tcPr>
            <w:tcW w:w="1178" w:type="dxa"/>
            <w:tcBorders>
              <w:bottom w:val="single" w:sz="2" w:space="0" w:color="000000"/>
            </w:tcBorders>
            <w:shd w:fill="CCEEFF" w:val="clear"/>
            <w:vAlign w:val="bottom"/>
          </w:tcPr>
          <w:p>
            <w:pPr>
              <w:pStyle w:val="TableContents"/>
              <w:spacing w:before="0" w:after="283"/>
              <w:jc w:val="right"/>
              <w:rPr/>
            </w:pPr>
            <w:r>
              <w:rPr/>
              <w:t> </w:t>
            </w:r>
          </w:p>
        </w:tc>
        <w:tc>
          <w:tcPr>
            <w:tcW w:w="120" w:type="dxa"/>
            <w:tcBorders>
              <w:bottom w:val="single" w:sz="2" w:space="0" w:color="CCEEFF"/>
            </w:tcBorders>
            <w:shd w:fill="CCEEFF" w:val="clear"/>
            <w:vAlign w:val="bottom"/>
          </w:tcPr>
          <w:p>
            <w:pPr>
              <w:pStyle w:val="TableContents"/>
              <w:spacing w:before="0" w:after="283"/>
              <w:jc w:val="left"/>
              <w:rPr/>
            </w:pPr>
            <w:r>
              <w:rPr/>
              <w:t> </w:t>
            </w:r>
          </w:p>
        </w:tc>
      </w:tr>
      <w:tr>
        <w:trPr/>
        <w:tc>
          <w:tcPr>
            <w:tcW w:w="7063" w:type="dxa"/>
            <w:tcBorders/>
            <w:shd w:fill="FFFFFF" w:val="clear"/>
            <w:tcMar>
              <w:bottom w:w="0" w:type="dxa"/>
            </w:tcMar>
            <w:vAlign w:val="bottom"/>
          </w:tcPr>
          <w:p>
            <w:pPr>
              <w:pStyle w:val="TableContents"/>
              <w:spacing w:lineRule="auto" w:line="300" w:before="0" w:after="0"/>
              <w:ind w:left="180" w:right="0" w:hanging="0"/>
              <w:jc w:val="left"/>
              <w:rPr>
                <w:rFonts w:ascii="Times New Roman" w:hAnsi="Times New Roman"/>
                <w:sz w:val="20"/>
              </w:rPr>
            </w:pPr>
            <w:bookmarkStart w:id="3069" w:name="TAB11430"/>
            <w:bookmarkEnd w:id="3069"/>
            <w:r>
              <w:rPr>
                <w:rFonts w:ascii="Times New Roman" w:hAnsi="Times New Roman"/>
                <w:sz w:val="20"/>
              </w:rPr>
              <w:t>Other non-cinema and non-rental real estate assets</w:t>
            </w:r>
          </w:p>
        </w:tc>
        <w:tc>
          <w:tcPr>
            <w:tcW w:w="206" w:type="dxa"/>
            <w:tcBorders/>
            <w:shd w:fill="FFFFFF" w:val="clear"/>
            <w:tcMar>
              <w:bottom w:w="0" w:type="dxa"/>
            </w:tcMar>
            <w:vAlign w:val="center"/>
          </w:tcPr>
          <w:p>
            <w:pPr>
              <w:pStyle w:val="TableContents"/>
              <w:spacing w:before="0" w:after="283"/>
              <w:rPr/>
            </w:pPr>
            <w:r>
              <w:rPr/>
              <w:t> </w:t>
            </w:r>
          </w:p>
        </w:tc>
        <w:tc>
          <w:tcPr>
            <w:tcW w:w="127"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3070" w:name="TAB11431"/>
            <w:bookmarkEnd w:id="3070"/>
            <w:r>
              <w:rPr>
                <w:rFonts w:ascii="Times New Roman" w:hAnsi="Times New Roman"/>
                <w:sz w:val="20"/>
              </w:rPr>
              <w:t>$</w:t>
            </w:r>
          </w:p>
        </w:tc>
        <w:tc>
          <w:tcPr>
            <w:tcW w:w="1178"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3071" w:name="TAB11432"/>
            <w:bookmarkEnd w:id="3071"/>
            <w:r>
              <w:rPr>
                <w:rFonts w:ascii="Times New Roman" w:hAnsi="Times New Roman"/>
                <w:sz w:val="20"/>
              </w:rPr>
              <w:t>1,270</w:t>
            </w:r>
          </w:p>
        </w:tc>
        <w:tc>
          <w:tcPr>
            <w:tcW w:w="206" w:type="dxa"/>
            <w:tcBorders/>
            <w:shd w:fill="FFFFFF" w:val="clear"/>
            <w:tcMar>
              <w:bottom w:w="0" w:type="dxa"/>
            </w:tcMar>
            <w:vAlign w:val="bottom"/>
          </w:tcPr>
          <w:p>
            <w:pPr>
              <w:pStyle w:val="TableContents"/>
              <w:spacing w:before="0" w:after="283"/>
              <w:jc w:val="left"/>
              <w:rPr/>
            </w:pPr>
            <w:r>
              <w:rPr/>
              <w:t> </w:t>
            </w:r>
          </w:p>
        </w:tc>
        <w:tc>
          <w:tcPr>
            <w:tcW w:w="127"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3072" w:name="TAB11433"/>
            <w:bookmarkEnd w:id="3072"/>
            <w:r>
              <w:rPr>
                <w:rFonts w:ascii="Times New Roman" w:hAnsi="Times New Roman"/>
                <w:sz w:val="20"/>
              </w:rPr>
              <w:t>$</w:t>
            </w:r>
          </w:p>
        </w:tc>
        <w:tc>
          <w:tcPr>
            <w:tcW w:w="1178"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3073" w:name="TAB11434"/>
            <w:bookmarkEnd w:id="3073"/>
            <w:r>
              <w:rPr>
                <w:rFonts w:ascii="Times New Roman" w:hAnsi="Times New Roman"/>
                <w:sz w:val="20"/>
              </w:rPr>
              <w:t>1,314</w:t>
            </w:r>
          </w:p>
        </w:tc>
        <w:tc>
          <w:tcPr>
            <w:tcW w:w="120" w:type="dxa"/>
            <w:tcBorders/>
            <w:shd w:fill="FFFFFF" w:val="clear"/>
            <w:tcMar>
              <w:bottom w:w="0" w:type="dxa"/>
            </w:tcMar>
            <w:vAlign w:val="bottom"/>
          </w:tcPr>
          <w:p>
            <w:pPr>
              <w:pStyle w:val="TableContents"/>
              <w:spacing w:before="0" w:after="283"/>
              <w:jc w:val="left"/>
              <w:rPr/>
            </w:pPr>
            <w:r>
              <w:rPr/>
              <w:t> </w:t>
            </w:r>
          </w:p>
        </w:tc>
      </w:tr>
      <w:tr>
        <w:trPr/>
        <w:tc>
          <w:tcPr>
            <w:tcW w:w="7063" w:type="dxa"/>
            <w:tcBorders/>
            <w:shd w:fill="CCEEFF" w:val="clear"/>
            <w:tcMar>
              <w:bottom w:w="0" w:type="dxa"/>
            </w:tcMar>
            <w:vAlign w:val="bottom"/>
          </w:tcPr>
          <w:p>
            <w:pPr>
              <w:pStyle w:val="TableContents"/>
              <w:spacing w:lineRule="auto" w:line="300" w:before="0" w:after="0"/>
              <w:ind w:left="180" w:right="0" w:hanging="0"/>
              <w:jc w:val="left"/>
              <w:rPr>
                <w:rFonts w:ascii="Times New Roman" w:hAnsi="Times New Roman"/>
                <w:sz w:val="20"/>
              </w:rPr>
            </w:pPr>
            <w:bookmarkStart w:id="3074" w:name="TAB11435"/>
            <w:bookmarkEnd w:id="3074"/>
            <w:r>
              <w:rPr>
                <w:rFonts w:ascii="Times New Roman" w:hAnsi="Times New Roman"/>
                <w:sz w:val="20"/>
              </w:rPr>
              <w:t>Long-term restricted cash</w:t>
            </w:r>
          </w:p>
        </w:tc>
        <w:tc>
          <w:tcPr>
            <w:tcW w:w="206" w:type="dxa"/>
            <w:tcBorders/>
            <w:shd w:fill="CCEEFF" w:val="clear"/>
            <w:tcMar>
              <w:bottom w:w="0" w:type="dxa"/>
            </w:tcMar>
            <w:vAlign w:val="center"/>
          </w:tcPr>
          <w:p>
            <w:pPr>
              <w:pStyle w:val="TableContents"/>
              <w:spacing w:before="0" w:after="283"/>
              <w:rPr/>
            </w:pPr>
            <w:r>
              <w:rPr/>
              <w:t> </w:t>
            </w:r>
          </w:p>
        </w:tc>
        <w:tc>
          <w:tcPr>
            <w:tcW w:w="127" w:type="dxa"/>
            <w:tcBorders/>
            <w:shd w:fill="CCEEFF" w:val="clear"/>
            <w:tcMar>
              <w:bottom w:w="0" w:type="dxa"/>
            </w:tcMar>
            <w:vAlign w:val="bottom"/>
          </w:tcPr>
          <w:p>
            <w:pPr>
              <w:pStyle w:val="TableContents"/>
              <w:spacing w:before="0" w:after="283"/>
              <w:jc w:val="left"/>
              <w:rPr/>
            </w:pPr>
            <w:r>
              <w:rPr/>
              <w:t> </w:t>
            </w:r>
          </w:p>
        </w:tc>
        <w:tc>
          <w:tcPr>
            <w:tcW w:w="1178"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206" w:type="dxa"/>
            <w:tcBorders/>
            <w:shd w:fill="CCEEFF" w:val="clear"/>
            <w:tcMar>
              <w:bottom w:w="0" w:type="dxa"/>
            </w:tcMar>
            <w:vAlign w:val="bottom"/>
          </w:tcPr>
          <w:p>
            <w:pPr>
              <w:pStyle w:val="TableContents"/>
              <w:spacing w:before="0" w:after="283"/>
              <w:jc w:val="left"/>
              <w:rPr/>
            </w:pPr>
            <w:r>
              <w:rPr/>
              <w:t> </w:t>
            </w:r>
          </w:p>
        </w:tc>
        <w:tc>
          <w:tcPr>
            <w:tcW w:w="127" w:type="dxa"/>
            <w:tcBorders/>
            <w:shd w:fill="CCEEFF" w:val="clear"/>
            <w:tcMar>
              <w:bottom w:w="0" w:type="dxa"/>
            </w:tcMar>
            <w:vAlign w:val="bottom"/>
          </w:tcPr>
          <w:p>
            <w:pPr>
              <w:pStyle w:val="TableContents"/>
              <w:spacing w:before="0" w:after="283"/>
              <w:jc w:val="left"/>
              <w:rPr/>
            </w:pPr>
            <w:r>
              <w:rPr/>
              <w:t> </w:t>
            </w:r>
          </w:p>
        </w:tc>
        <w:tc>
          <w:tcPr>
            <w:tcW w:w="1178"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191</w:t>
            </w:r>
          </w:p>
        </w:tc>
        <w:tc>
          <w:tcPr>
            <w:tcW w:w="120" w:type="dxa"/>
            <w:tcBorders/>
            <w:shd w:fill="CCEEFF" w:val="clear"/>
            <w:tcMar>
              <w:bottom w:w="0" w:type="dxa"/>
            </w:tcMar>
            <w:vAlign w:val="bottom"/>
          </w:tcPr>
          <w:p>
            <w:pPr>
              <w:pStyle w:val="TableContents"/>
              <w:spacing w:before="0" w:after="283"/>
              <w:jc w:val="left"/>
              <w:rPr/>
            </w:pPr>
            <w:r>
              <w:rPr/>
              <w:t> </w:t>
            </w:r>
          </w:p>
        </w:tc>
      </w:tr>
      <w:tr>
        <w:trPr/>
        <w:tc>
          <w:tcPr>
            <w:tcW w:w="7063" w:type="dxa"/>
            <w:tcBorders/>
            <w:shd w:fill="FFFFFF" w:val="clear"/>
            <w:tcMar>
              <w:bottom w:w="0" w:type="dxa"/>
            </w:tcMar>
            <w:vAlign w:val="bottom"/>
          </w:tcPr>
          <w:p>
            <w:pPr>
              <w:pStyle w:val="TableContents"/>
              <w:spacing w:lineRule="auto" w:line="300" w:before="0" w:after="0"/>
              <w:ind w:left="180" w:right="0" w:hanging="0"/>
              <w:jc w:val="left"/>
              <w:rPr>
                <w:rFonts w:ascii="Times New Roman" w:hAnsi="Times New Roman"/>
                <w:sz w:val="20"/>
              </w:rPr>
            </w:pPr>
            <w:bookmarkStart w:id="3075" w:name="TAB11436"/>
            <w:bookmarkEnd w:id="3075"/>
            <w:r>
              <w:rPr>
                <w:rFonts w:ascii="Times New Roman" w:hAnsi="Times New Roman"/>
                <w:sz w:val="20"/>
              </w:rPr>
              <w:t>Deferred financing costs, net</w:t>
            </w:r>
          </w:p>
        </w:tc>
        <w:tc>
          <w:tcPr>
            <w:tcW w:w="206" w:type="dxa"/>
            <w:tcBorders/>
            <w:shd w:fill="FFFFFF" w:val="clear"/>
            <w:tcMar>
              <w:bottom w:w="0" w:type="dxa"/>
            </w:tcMar>
            <w:vAlign w:val="center"/>
          </w:tcPr>
          <w:p>
            <w:pPr>
              <w:pStyle w:val="TableContents"/>
              <w:spacing w:before="0" w:after="283"/>
              <w:rPr/>
            </w:pPr>
            <w:r>
              <w:rPr/>
              <w:t> </w:t>
            </w:r>
          </w:p>
        </w:tc>
        <w:tc>
          <w:tcPr>
            <w:tcW w:w="127" w:type="dxa"/>
            <w:tcBorders/>
            <w:shd w:fill="FFFFFF" w:val="clear"/>
            <w:tcMar>
              <w:bottom w:w="0" w:type="dxa"/>
            </w:tcMar>
            <w:vAlign w:val="bottom"/>
          </w:tcPr>
          <w:p>
            <w:pPr>
              <w:pStyle w:val="TableContents"/>
              <w:spacing w:before="0" w:after="283"/>
              <w:jc w:val="left"/>
              <w:rPr/>
            </w:pPr>
            <w:r>
              <w:rPr/>
              <w:t> </w:t>
            </w:r>
          </w:p>
        </w:tc>
        <w:tc>
          <w:tcPr>
            <w:tcW w:w="1178"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898</w:t>
            </w:r>
          </w:p>
        </w:tc>
        <w:tc>
          <w:tcPr>
            <w:tcW w:w="206" w:type="dxa"/>
            <w:tcBorders/>
            <w:shd w:fill="FFFFFF" w:val="clear"/>
            <w:tcMar>
              <w:bottom w:w="0" w:type="dxa"/>
            </w:tcMar>
            <w:vAlign w:val="bottom"/>
          </w:tcPr>
          <w:p>
            <w:pPr>
              <w:pStyle w:val="TableContents"/>
              <w:spacing w:before="0" w:after="283"/>
              <w:jc w:val="left"/>
              <w:rPr/>
            </w:pPr>
            <w:r>
              <w:rPr/>
              <w:t> </w:t>
            </w:r>
          </w:p>
        </w:tc>
        <w:tc>
          <w:tcPr>
            <w:tcW w:w="127" w:type="dxa"/>
            <w:tcBorders/>
            <w:shd w:fill="FFFFFF" w:val="clear"/>
            <w:tcMar>
              <w:bottom w:w="0" w:type="dxa"/>
            </w:tcMar>
            <w:vAlign w:val="bottom"/>
          </w:tcPr>
          <w:p>
            <w:pPr>
              <w:pStyle w:val="TableContents"/>
              <w:spacing w:before="0" w:after="283"/>
              <w:jc w:val="left"/>
              <w:rPr/>
            </w:pPr>
            <w:r>
              <w:rPr/>
              <w:t> </w:t>
            </w:r>
          </w:p>
        </w:tc>
        <w:tc>
          <w:tcPr>
            <w:tcW w:w="1178"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847</w:t>
            </w:r>
          </w:p>
        </w:tc>
        <w:tc>
          <w:tcPr>
            <w:tcW w:w="120" w:type="dxa"/>
            <w:tcBorders/>
            <w:shd w:fill="FFFFFF" w:val="clear"/>
            <w:tcMar>
              <w:bottom w:w="0" w:type="dxa"/>
            </w:tcMar>
            <w:vAlign w:val="bottom"/>
          </w:tcPr>
          <w:p>
            <w:pPr>
              <w:pStyle w:val="TableContents"/>
              <w:spacing w:before="0" w:after="283"/>
              <w:jc w:val="left"/>
              <w:rPr/>
            </w:pPr>
            <w:r>
              <w:rPr/>
              <w:t> </w:t>
            </w:r>
          </w:p>
        </w:tc>
      </w:tr>
      <w:tr>
        <w:trPr/>
        <w:tc>
          <w:tcPr>
            <w:tcW w:w="7063" w:type="dxa"/>
            <w:tcBorders/>
            <w:shd w:fill="CCEEFF" w:val="clear"/>
            <w:tcMar>
              <w:bottom w:w="0" w:type="dxa"/>
            </w:tcMar>
            <w:vAlign w:val="bottom"/>
          </w:tcPr>
          <w:p>
            <w:pPr>
              <w:pStyle w:val="TableContents"/>
              <w:spacing w:lineRule="auto" w:line="300" w:before="0" w:after="0"/>
              <w:ind w:left="180" w:right="0" w:hanging="0"/>
              <w:jc w:val="left"/>
              <w:rPr>
                <w:rFonts w:ascii="Times New Roman" w:hAnsi="Times New Roman"/>
                <w:sz w:val="20"/>
              </w:rPr>
            </w:pPr>
            <w:bookmarkStart w:id="3076" w:name="TAB11437"/>
            <w:bookmarkEnd w:id="3076"/>
            <w:r>
              <w:rPr>
                <w:rFonts w:ascii="Times New Roman" w:hAnsi="Times New Roman"/>
                <w:sz w:val="20"/>
              </w:rPr>
              <w:t>Interest rate swap</w:t>
            </w:r>
          </w:p>
        </w:tc>
        <w:tc>
          <w:tcPr>
            <w:tcW w:w="206" w:type="dxa"/>
            <w:tcBorders/>
            <w:shd w:fill="CCEEFF" w:val="clear"/>
            <w:tcMar>
              <w:bottom w:w="0" w:type="dxa"/>
            </w:tcMar>
            <w:vAlign w:val="center"/>
          </w:tcPr>
          <w:p>
            <w:pPr>
              <w:pStyle w:val="TableContents"/>
              <w:spacing w:before="0" w:after="283"/>
              <w:rPr/>
            </w:pPr>
            <w:r>
              <w:rPr/>
              <w:t> </w:t>
            </w:r>
          </w:p>
        </w:tc>
        <w:tc>
          <w:tcPr>
            <w:tcW w:w="127" w:type="dxa"/>
            <w:tcBorders/>
            <w:shd w:fill="CCEEFF" w:val="clear"/>
            <w:tcMar>
              <w:bottom w:w="0" w:type="dxa"/>
            </w:tcMar>
            <w:vAlign w:val="bottom"/>
          </w:tcPr>
          <w:p>
            <w:pPr>
              <w:pStyle w:val="TableContents"/>
              <w:spacing w:before="0" w:after="283"/>
              <w:jc w:val="left"/>
              <w:rPr/>
            </w:pPr>
            <w:r>
              <w:rPr/>
              <w:t> </w:t>
            </w:r>
          </w:p>
        </w:tc>
        <w:tc>
          <w:tcPr>
            <w:tcW w:w="1178"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206</w:t>
            </w:r>
          </w:p>
        </w:tc>
        <w:tc>
          <w:tcPr>
            <w:tcW w:w="206" w:type="dxa"/>
            <w:tcBorders/>
            <w:shd w:fill="CCEEFF" w:val="clear"/>
            <w:tcMar>
              <w:bottom w:w="0" w:type="dxa"/>
            </w:tcMar>
            <w:vAlign w:val="bottom"/>
          </w:tcPr>
          <w:p>
            <w:pPr>
              <w:pStyle w:val="TableContents"/>
              <w:spacing w:before="0" w:after="283"/>
              <w:jc w:val="left"/>
              <w:rPr/>
            </w:pPr>
            <w:r>
              <w:rPr/>
              <w:t> </w:t>
            </w:r>
          </w:p>
        </w:tc>
        <w:tc>
          <w:tcPr>
            <w:tcW w:w="127" w:type="dxa"/>
            <w:tcBorders/>
            <w:shd w:fill="CCEEFF" w:val="clear"/>
            <w:tcMar>
              <w:bottom w:w="0" w:type="dxa"/>
            </w:tcMar>
            <w:vAlign w:val="bottom"/>
          </w:tcPr>
          <w:p>
            <w:pPr>
              <w:pStyle w:val="TableContents"/>
              <w:spacing w:before="0" w:after="283"/>
              <w:jc w:val="left"/>
              <w:rPr/>
            </w:pPr>
            <w:r>
              <w:rPr/>
              <w:t> </w:t>
            </w:r>
          </w:p>
        </w:tc>
        <w:tc>
          <w:tcPr>
            <w:tcW w:w="1178"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120" w:type="dxa"/>
            <w:tcBorders/>
            <w:shd w:fill="CCEEFF" w:val="clear"/>
            <w:tcMar>
              <w:bottom w:w="0" w:type="dxa"/>
            </w:tcMar>
            <w:vAlign w:val="bottom"/>
          </w:tcPr>
          <w:p>
            <w:pPr>
              <w:pStyle w:val="TableContents"/>
              <w:spacing w:before="0" w:after="283"/>
              <w:jc w:val="left"/>
              <w:rPr/>
            </w:pPr>
            <w:r>
              <w:rPr/>
              <w:t> </w:t>
            </w:r>
          </w:p>
        </w:tc>
      </w:tr>
      <w:tr>
        <w:trPr/>
        <w:tc>
          <w:tcPr>
            <w:tcW w:w="7063" w:type="dxa"/>
            <w:tcBorders>
              <w:bottom w:val="single" w:sz="2" w:space="0" w:color="000000"/>
            </w:tcBorders>
            <w:shd w:fill="FFFFFF" w:val="clear"/>
            <w:vAlign w:val="bottom"/>
          </w:tcPr>
          <w:p>
            <w:pPr>
              <w:pStyle w:val="TableContents"/>
              <w:spacing w:lineRule="auto" w:line="300" w:before="0" w:after="0"/>
              <w:ind w:left="180" w:right="0" w:hanging="0"/>
              <w:jc w:val="left"/>
              <w:rPr>
                <w:rFonts w:ascii="Times New Roman" w:hAnsi="Times New Roman"/>
                <w:sz w:val="20"/>
              </w:rPr>
            </w:pPr>
            <w:bookmarkStart w:id="3077" w:name="TAB11438"/>
            <w:bookmarkEnd w:id="3077"/>
            <w:r>
              <w:rPr>
                <w:rFonts w:ascii="Times New Roman" w:hAnsi="Times New Roman"/>
                <w:sz w:val="20"/>
              </w:rPr>
              <w:t>Other</w:t>
            </w:r>
          </w:p>
        </w:tc>
        <w:tc>
          <w:tcPr>
            <w:tcW w:w="206" w:type="dxa"/>
            <w:tcBorders>
              <w:bottom w:val="single" w:sz="2" w:space="0" w:color="FFFFFF"/>
            </w:tcBorders>
            <w:shd w:fill="FFFFFF" w:val="clear"/>
            <w:vAlign w:val="center"/>
          </w:tcPr>
          <w:p>
            <w:pPr>
              <w:pStyle w:val="TableContents"/>
              <w:spacing w:before="0" w:after="283"/>
              <w:rPr/>
            </w:pPr>
            <w:r>
              <w:rPr/>
              <w:t> </w:t>
            </w:r>
          </w:p>
        </w:tc>
        <w:tc>
          <w:tcPr>
            <w:tcW w:w="127" w:type="dxa"/>
            <w:tcBorders>
              <w:bottom w:val="single" w:sz="2" w:space="0" w:color="000000"/>
            </w:tcBorders>
            <w:shd w:fill="FFFFFF" w:val="clear"/>
            <w:vAlign w:val="bottom"/>
          </w:tcPr>
          <w:p>
            <w:pPr>
              <w:pStyle w:val="TableContents"/>
              <w:spacing w:before="0" w:after="283"/>
              <w:jc w:val="left"/>
              <w:rPr/>
            </w:pPr>
            <w:r>
              <w:rPr/>
              <w:t> </w:t>
            </w:r>
          </w:p>
        </w:tc>
        <w:tc>
          <w:tcPr>
            <w:tcW w:w="1178"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475</w:t>
            </w:r>
          </w:p>
        </w:tc>
        <w:tc>
          <w:tcPr>
            <w:tcW w:w="206" w:type="dxa"/>
            <w:tcBorders>
              <w:bottom w:val="single" w:sz="2" w:space="0" w:color="FFFFFF"/>
            </w:tcBorders>
            <w:shd w:fill="FFFFFF" w:val="clear"/>
            <w:vAlign w:val="bottom"/>
          </w:tcPr>
          <w:p>
            <w:pPr>
              <w:pStyle w:val="TableContents"/>
              <w:spacing w:before="0" w:after="283"/>
              <w:jc w:val="left"/>
              <w:rPr/>
            </w:pPr>
            <w:r>
              <w:rPr/>
              <w:t> </w:t>
            </w:r>
          </w:p>
        </w:tc>
        <w:tc>
          <w:tcPr>
            <w:tcW w:w="127" w:type="dxa"/>
            <w:tcBorders>
              <w:bottom w:val="single" w:sz="2" w:space="0" w:color="000000"/>
            </w:tcBorders>
            <w:shd w:fill="FFFFFF" w:val="clear"/>
            <w:vAlign w:val="bottom"/>
          </w:tcPr>
          <w:p>
            <w:pPr>
              <w:pStyle w:val="TableContents"/>
              <w:spacing w:before="0" w:after="283"/>
              <w:jc w:val="left"/>
              <w:rPr/>
            </w:pPr>
            <w:r>
              <w:rPr/>
              <w:t> </w:t>
            </w:r>
          </w:p>
        </w:tc>
        <w:tc>
          <w:tcPr>
            <w:tcW w:w="1178"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192</w:t>
            </w:r>
          </w:p>
        </w:tc>
        <w:tc>
          <w:tcPr>
            <w:tcW w:w="120" w:type="dxa"/>
            <w:tcBorders>
              <w:bottom w:val="single" w:sz="2" w:space="0" w:color="FFFFFF"/>
            </w:tcBorders>
            <w:shd w:fill="FFFFFF" w:val="clear"/>
            <w:vAlign w:val="bottom"/>
          </w:tcPr>
          <w:p>
            <w:pPr>
              <w:pStyle w:val="TableContents"/>
              <w:spacing w:before="0" w:after="283"/>
              <w:jc w:val="left"/>
              <w:rPr/>
            </w:pPr>
            <w:r>
              <w:rPr/>
              <w:t> </w:t>
            </w:r>
          </w:p>
        </w:tc>
      </w:tr>
      <w:tr>
        <w:trPr/>
        <w:tc>
          <w:tcPr>
            <w:tcW w:w="7063" w:type="dxa"/>
            <w:tcBorders>
              <w:bottom w:val="double" w:sz="2" w:space="0" w:color="000000"/>
            </w:tcBorders>
            <w:shd w:fill="CCEEFF" w:val="clear"/>
            <w:vAlign w:val="bottom"/>
          </w:tcPr>
          <w:p>
            <w:pPr>
              <w:pStyle w:val="TableContents"/>
              <w:spacing w:lineRule="auto" w:line="300" w:before="0" w:after="0"/>
              <w:ind w:left="720" w:right="0" w:hanging="0"/>
              <w:jc w:val="left"/>
              <w:rPr>
                <w:rFonts w:ascii="Times New Roman" w:hAnsi="Times New Roman"/>
                <w:sz w:val="20"/>
              </w:rPr>
            </w:pPr>
            <w:bookmarkStart w:id="3078" w:name="TAB11439"/>
            <w:bookmarkEnd w:id="3078"/>
            <w:r>
              <w:rPr>
                <w:rFonts w:ascii="Times New Roman" w:hAnsi="Times New Roman"/>
                <w:sz w:val="20"/>
              </w:rPr>
              <w:t>Total non-current assets</w:t>
            </w:r>
          </w:p>
        </w:tc>
        <w:tc>
          <w:tcPr>
            <w:tcW w:w="206" w:type="dxa"/>
            <w:tcBorders>
              <w:bottom w:val="single" w:sz="4" w:space="0" w:color="CCEEFF"/>
            </w:tcBorders>
            <w:shd w:fill="CCEEFF" w:val="clear"/>
            <w:vAlign w:val="center"/>
          </w:tcPr>
          <w:p>
            <w:pPr>
              <w:pStyle w:val="TableContents"/>
              <w:spacing w:before="0" w:after="283"/>
              <w:rPr/>
            </w:pPr>
            <w:r>
              <w:rPr/>
              <w:t> </w:t>
            </w:r>
          </w:p>
        </w:tc>
        <w:tc>
          <w:tcPr>
            <w:tcW w:w="127" w:type="dxa"/>
            <w:tcBorders>
              <w:bottom w:val="doub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bookmarkStart w:id="3079" w:name="TAB11440"/>
            <w:bookmarkEnd w:id="3079"/>
            <w:r>
              <w:rPr>
                <w:rFonts w:ascii="Times New Roman" w:hAnsi="Times New Roman"/>
                <w:sz w:val="20"/>
              </w:rPr>
              <w:t>$</w:t>
            </w:r>
          </w:p>
        </w:tc>
        <w:tc>
          <w:tcPr>
            <w:tcW w:w="1178" w:type="dxa"/>
            <w:tcBorders>
              <w:bottom w:val="doub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3080" w:name="TAB11441"/>
            <w:bookmarkEnd w:id="3080"/>
            <w:r>
              <w:rPr>
                <w:rFonts w:ascii="Times New Roman" w:hAnsi="Times New Roman"/>
                <w:sz w:val="20"/>
              </w:rPr>
              <w:t>2,849</w:t>
            </w:r>
          </w:p>
        </w:tc>
        <w:tc>
          <w:tcPr>
            <w:tcW w:w="206" w:type="dxa"/>
            <w:tcBorders>
              <w:bottom w:val="single" w:sz="4" w:space="0" w:color="CCEEFF"/>
            </w:tcBorders>
            <w:shd w:fill="CCEEFF" w:val="clear"/>
            <w:vAlign w:val="bottom"/>
          </w:tcPr>
          <w:p>
            <w:pPr>
              <w:pStyle w:val="TableContents"/>
              <w:spacing w:before="0" w:after="283"/>
              <w:jc w:val="left"/>
              <w:rPr/>
            </w:pPr>
            <w:r>
              <w:rPr/>
              <w:t> </w:t>
            </w:r>
          </w:p>
        </w:tc>
        <w:tc>
          <w:tcPr>
            <w:tcW w:w="127" w:type="dxa"/>
            <w:tcBorders>
              <w:bottom w:val="doub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bookmarkStart w:id="3081" w:name="TAB11442"/>
            <w:bookmarkEnd w:id="3081"/>
            <w:r>
              <w:rPr>
                <w:rFonts w:ascii="Times New Roman" w:hAnsi="Times New Roman"/>
                <w:sz w:val="20"/>
              </w:rPr>
              <w:t>$</w:t>
            </w:r>
          </w:p>
        </w:tc>
        <w:tc>
          <w:tcPr>
            <w:tcW w:w="1178" w:type="dxa"/>
            <w:tcBorders>
              <w:bottom w:val="doub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3082" w:name="TAB11443"/>
            <w:bookmarkEnd w:id="3082"/>
            <w:r>
              <w:rPr>
                <w:rFonts w:ascii="Times New Roman" w:hAnsi="Times New Roman"/>
                <w:sz w:val="20"/>
              </w:rPr>
              <w:t>2,544</w:t>
            </w:r>
          </w:p>
        </w:tc>
        <w:tc>
          <w:tcPr>
            <w:tcW w:w="120" w:type="dxa"/>
            <w:tcBorders>
              <w:bottom w:val="single" w:sz="4" w:space="0" w:color="CCEEFF"/>
            </w:tcBorders>
            <w:shd w:fill="CCEEFF" w:val="clear"/>
            <w:vAlign w:val="bottom"/>
          </w:tcPr>
          <w:p>
            <w:pPr>
              <w:pStyle w:val="TableContents"/>
              <w:spacing w:before="0" w:after="283"/>
              <w:jc w:val="left"/>
              <w:rPr/>
            </w:pPr>
            <w:r>
              <w:rPr/>
              <w:t> </w:t>
            </w:r>
          </w:p>
        </w:tc>
      </w:tr>
    </w:tbl>
    <w:p>
      <w:pPr>
        <w:pStyle w:val="TextBody"/>
        <w:spacing w:lineRule="auto" w:line="300" w:before="0" w:after="0"/>
        <w:ind w:left="0" w:right="0" w:hanging="0"/>
        <w:jc w:val="left"/>
        <w:rPr/>
      </w:pPr>
      <w:r>
        <w:rPr/>
      </w:r>
    </w:p>
    <w:p>
      <w:pPr>
        <w:pStyle w:val="TextBody"/>
        <w:spacing w:lineRule="auto" w:line="300" w:before="0" w:after="0"/>
        <w:ind w:left="0" w:right="0" w:hanging="0"/>
        <w:jc w:val="left"/>
        <w:rPr/>
      </w:pPr>
      <w:r>
        <w:rPr/>
      </w:r>
    </w:p>
    <w:p>
      <w:pPr>
        <w:pStyle w:val="TextBody"/>
        <w:spacing w:lineRule="auto" w:line="300" w:before="0" w:after="0"/>
        <w:ind w:left="0" w:right="0" w:hanging="0"/>
        <w:jc w:val="both"/>
        <w:rPr/>
      </w:pPr>
      <w:r>
        <w:rPr>
          <w:rStyle w:val="StrongEmphasis"/>
          <w:rFonts w:ascii="Times New Roman" w:hAnsi="Times New Roman"/>
          <w:sz w:val="20"/>
          <w:u w:val="single"/>
        </w:rPr>
        <w:t>Note 6 - Property Under Development</w:t>
      </w:r>
    </w:p>
    <w:p>
      <w:pPr>
        <w:pStyle w:val="TextBody"/>
        <w:spacing w:lineRule="auto" w:line="300" w:before="0" w:after="0"/>
        <w:ind w:left="0" w:right="0" w:hanging="0"/>
        <w:jc w:val="both"/>
        <w:rPr/>
      </w:pPr>
      <w:r>
        <w:rPr/>
      </w:r>
    </w:p>
    <w:p>
      <w:pPr>
        <w:pStyle w:val="TextBody"/>
        <w:spacing w:lineRule="auto" w:line="300" w:before="0" w:after="0"/>
        <w:ind w:left="0" w:right="0" w:firstLine="720"/>
        <w:jc w:val="left"/>
        <w:rPr>
          <w:rFonts w:ascii="Times New Roman" w:hAnsi="Times New Roman"/>
          <w:sz w:val="20"/>
        </w:rPr>
      </w:pPr>
      <w:r>
        <w:rPr>
          <w:rFonts w:ascii="Times New Roman" w:hAnsi="Times New Roman"/>
          <w:sz w:val="20"/>
        </w:rPr>
        <w:t>Property under development is summarized as follows (dollars in thousands):</w:t>
      </w:r>
    </w:p>
    <w:p>
      <w:pPr>
        <w:pStyle w:val="TextBody"/>
        <w:spacing w:lineRule="auto" w:line="300" w:before="0" w:after="0"/>
        <w:ind w:left="0" w:right="0" w:hanging="0"/>
        <w:jc w:val="both"/>
        <w:rPr/>
      </w:pPr>
      <w:r>
        <w:rPr/>
      </w:r>
    </w:p>
    <w:p>
      <w:pPr>
        <w:pStyle w:val="Normal"/>
        <w:spacing w:lineRule="auto" w:line="300" w:before="0" w:after="0"/>
        <w:jc w:val="left"/>
        <w:rPr>
          <w:sz w:val="4"/>
          <w:szCs w:val="4"/>
        </w:rPr>
      </w:pPr>
      <w:r>
        <w:rPr>
          <w:sz w:val="4"/>
          <w:szCs w:val="4"/>
        </w:rPr>
      </w:r>
      <w:bookmarkStart w:id="3083" w:name="ftable23"/>
      <w:bookmarkStart w:id="3084" w:name="ftable23"/>
      <w:bookmarkEnd w:id="3084"/>
    </w:p>
    <w:tbl>
      <w:tblPr>
        <w:tblW w:w="5000" w:type="pct"/>
        <w:jc w:val="left"/>
        <w:tblInd w:w="0" w:type="dxa"/>
        <w:tblCellMar>
          <w:top w:w="0" w:type="dxa"/>
          <w:left w:w="0" w:type="dxa"/>
          <w:bottom w:w="28" w:type="dxa"/>
          <w:right w:w="0" w:type="dxa"/>
        </w:tblCellMar>
      </w:tblPr>
      <w:tblGrid>
        <w:gridCol w:w="7091"/>
        <w:gridCol w:w="200"/>
        <w:gridCol w:w="126"/>
        <w:gridCol w:w="1173"/>
        <w:gridCol w:w="200"/>
        <w:gridCol w:w="126"/>
        <w:gridCol w:w="1173"/>
        <w:gridCol w:w="116"/>
      </w:tblGrid>
      <w:tr>
        <w:trPr/>
        <w:tc>
          <w:tcPr>
            <w:tcW w:w="7091" w:type="dxa"/>
            <w:tcBorders>
              <w:bottom w:val="single" w:sz="4" w:space="0" w:color="FFFFFF"/>
            </w:tcBorders>
            <w:shd w:fill="auto" w:val="clear"/>
            <w:vAlign w:val="bottom"/>
          </w:tcPr>
          <w:p>
            <w:pPr>
              <w:pStyle w:val="TableContents"/>
              <w:spacing w:before="0" w:after="283"/>
              <w:jc w:val="left"/>
              <w:rPr/>
            </w:pPr>
            <w:r>
              <w:rPr/>
              <w:t> </w:t>
            </w:r>
          </w:p>
        </w:tc>
        <w:tc>
          <w:tcPr>
            <w:tcW w:w="200" w:type="dxa"/>
            <w:tcBorders>
              <w:bottom w:val="single" w:sz="2" w:space="0" w:color="FFFFFF"/>
            </w:tcBorders>
            <w:shd w:fill="auto" w:val="clear"/>
            <w:vAlign w:val="center"/>
          </w:tcPr>
          <w:p>
            <w:pPr>
              <w:pStyle w:val="TableContents"/>
              <w:spacing w:before="0" w:after="283"/>
              <w:rPr/>
            </w:pPr>
            <w:r>
              <w:rPr/>
              <w:t> </w:t>
            </w:r>
          </w:p>
        </w:tc>
        <w:tc>
          <w:tcPr>
            <w:tcW w:w="2798" w:type="dxa"/>
            <w:gridSpan w:val="5"/>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December 31,</w:t>
            </w:r>
          </w:p>
        </w:tc>
        <w:tc>
          <w:tcPr>
            <w:tcW w:w="116" w:type="dxa"/>
            <w:tcBorders>
              <w:bottom w:val="single" w:sz="2" w:space="0" w:color="FFFFFF"/>
            </w:tcBorders>
            <w:shd w:fill="auto" w:val="clear"/>
            <w:vAlign w:val="bottom"/>
          </w:tcPr>
          <w:p>
            <w:pPr>
              <w:pStyle w:val="TableContents"/>
              <w:spacing w:before="0" w:after="283"/>
              <w:jc w:val="left"/>
              <w:rPr/>
            </w:pPr>
            <w:r>
              <w:rPr/>
              <w:t> </w:t>
            </w:r>
          </w:p>
        </w:tc>
      </w:tr>
      <w:tr>
        <w:trPr/>
        <w:tc>
          <w:tcPr>
            <w:tcW w:w="7091" w:type="dxa"/>
            <w:tcBorders>
              <w:bottom w:val="double" w:sz="2" w:space="0" w:color="000000"/>
            </w:tcBorders>
            <w:shd w:fill="auto" w:val="clear"/>
            <w:vAlign w:val="bottom"/>
          </w:tcPr>
          <w:p>
            <w:pPr>
              <w:pStyle w:val="TableContents"/>
              <w:spacing w:lineRule="auto" w:line="300" w:before="0" w:after="0"/>
              <w:ind w:left="0" w:right="0" w:hanging="0"/>
              <w:jc w:val="left"/>
              <w:rPr/>
            </w:pPr>
            <w:r>
              <w:rPr>
                <w:rStyle w:val="StrongEmphasis"/>
                <w:rFonts w:ascii="Times New Roman" w:hAnsi="Times New Roman"/>
                <w:sz w:val="20"/>
              </w:rPr>
              <w:t>Property Under Development</w:t>
            </w:r>
          </w:p>
        </w:tc>
        <w:tc>
          <w:tcPr>
            <w:tcW w:w="200" w:type="dxa"/>
            <w:tcBorders>
              <w:bottom w:val="single" w:sz="4" w:space="0" w:color="FFFFFF"/>
            </w:tcBorders>
            <w:shd w:fill="auto" w:val="clear"/>
            <w:vAlign w:val="center"/>
          </w:tcPr>
          <w:p>
            <w:pPr>
              <w:pStyle w:val="TableContents"/>
              <w:spacing w:before="0" w:after="283"/>
              <w:rPr/>
            </w:pPr>
            <w:r>
              <w:rPr/>
              <w:t> </w:t>
            </w:r>
          </w:p>
        </w:tc>
        <w:tc>
          <w:tcPr>
            <w:tcW w:w="1299"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2006</w:t>
            </w:r>
          </w:p>
        </w:tc>
        <w:tc>
          <w:tcPr>
            <w:tcW w:w="200" w:type="dxa"/>
            <w:tcBorders>
              <w:bottom w:val="single" w:sz="4" w:space="0" w:color="FFFFFF"/>
            </w:tcBorders>
            <w:shd w:fill="auto" w:val="clear"/>
            <w:vAlign w:val="bottom"/>
          </w:tcPr>
          <w:p>
            <w:pPr>
              <w:pStyle w:val="TableContents"/>
              <w:spacing w:before="0" w:after="283"/>
              <w:jc w:val="left"/>
              <w:rPr/>
            </w:pPr>
            <w:r>
              <w:rPr/>
              <w:t> </w:t>
            </w:r>
          </w:p>
        </w:tc>
        <w:tc>
          <w:tcPr>
            <w:tcW w:w="1299"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2005</w:t>
            </w:r>
          </w:p>
        </w:tc>
        <w:tc>
          <w:tcPr>
            <w:tcW w:w="116" w:type="dxa"/>
            <w:tcBorders>
              <w:bottom w:val="single" w:sz="4" w:space="0" w:color="FFFFFF"/>
            </w:tcBorders>
            <w:shd w:fill="auto" w:val="clear"/>
            <w:vAlign w:val="bottom"/>
          </w:tcPr>
          <w:p>
            <w:pPr>
              <w:pStyle w:val="TableContents"/>
              <w:spacing w:before="0" w:after="283"/>
              <w:jc w:val="left"/>
              <w:rPr/>
            </w:pPr>
            <w:r>
              <w:rPr/>
              <w:t> </w:t>
            </w:r>
          </w:p>
        </w:tc>
      </w:tr>
      <w:tr>
        <w:trPr/>
        <w:tc>
          <w:tcPr>
            <w:tcW w:w="7091" w:type="dxa"/>
            <w:tcBorders/>
            <w:shd w:fill="CCEEFF" w:val="clear"/>
            <w:tcMar>
              <w:bottom w:w="0" w:type="dxa"/>
            </w:tcMar>
            <w:vAlign w:val="bottom"/>
          </w:tcPr>
          <w:p>
            <w:pPr>
              <w:pStyle w:val="TableContents"/>
              <w:spacing w:lineRule="auto" w:line="300" w:before="0" w:after="0"/>
              <w:ind w:left="360" w:right="0" w:hanging="0"/>
              <w:jc w:val="left"/>
              <w:rPr>
                <w:rFonts w:ascii="Times New Roman" w:hAnsi="Times New Roman"/>
                <w:sz w:val="20"/>
              </w:rPr>
            </w:pPr>
            <w:r>
              <w:rPr>
                <w:rFonts w:ascii="Times New Roman" w:hAnsi="Times New Roman"/>
                <w:sz w:val="20"/>
              </w:rPr>
              <w:t>Land</w:t>
            </w:r>
          </w:p>
        </w:tc>
        <w:tc>
          <w:tcPr>
            <w:tcW w:w="200" w:type="dxa"/>
            <w:tcBorders/>
            <w:shd w:fill="CCEEFF" w:val="clear"/>
            <w:tcMar>
              <w:bottom w:w="0" w:type="dxa"/>
            </w:tcMar>
            <w:vAlign w:val="center"/>
          </w:tcPr>
          <w:p>
            <w:pPr>
              <w:pStyle w:val="TableContents"/>
              <w:spacing w:before="0" w:after="283"/>
              <w:rPr/>
            </w:pPr>
            <w:r>
              <w:rPr/>
              <w:t> </w:t>
            </w:r>
          </w:p>
        </w:tc>
        <w:tc>
          <w:tcPr>
            <w:tcW w:w="126"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3085" w:name="TAB11444"/>
            <w:bookmarkEnd w:id="3085"/>
            <w:r>
              <w:rPr>
                <w:rFonts w:ascii="Times New Roman" w:hAnsi="Times New Roman"/>
                <w:sz w:val="20"/>
              </w:rPr>
              <w:t>$</w:t>
            </w:r>
          </w:p>
        </w:tc>
        <w:tc>
          <w:tcPr>
            <w:tcW w:w="1173"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3086" w:name="TAB11445"/>
            <w:bookmarkEnd w:id="3086"/>
            <w:r>
              <w:rPr>
                <w:rFonts w:ascii="Times New Roman" w:hAnsi="Times New Roman"/>
                <w:sz w:val="20"/>
              </w:rPr>
              <w:t xml:space="preserve">30,296 </w:t>
            </w:r>
          </w:p>
        </w:tc>
        <w:tc>
          <w:tcPr>
            <w:tcW w:w="200" w:type="dxa"/>
            <w:tcBorders/>
            <w:shd w:fill="CCEEFF" w:val="clear"/>
            <w:tcMar>
              <w:bottom w:w="0" w:type="dxa"/>
            </w:tcMar>
            <w:vAlign w:val="bottom"/>
          </w:tcPr>
          <w:p>
            <w:pPr>
              <w:pStyle w:val="TableContents"/>
              <w:spacing w:before="0" w:after="283"/>
              <w:jc w:val="left"/>
              <w:rPr/>
            </w:pPr>
            <w:r>
              <w:rPr/>
              <w:t> </w:t>
            </w:r>
          </w:p>
        </w:tc>
        <w:tc>
          <w:tcPr>
            <w:tcW w:w="126"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3087" w:name="TAB11446"/>
            <w:bookmarkEnd w:id="3087"/>
            <w:r>
              <w:rPr>
                <w:rFonts w:ascii="Times New Roman" w:hAnsi="Times New Roman"/>
                <w:sz w:val="20"/>
              </w:rPr>
              <w:t>$</w:t>
            </w:r>
          </w:p>
        </w:tc>
        <w:tc>
          <w:tcPr>
            <w:tcW w:w="1173"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3088" w:name="TAB11447"/>
            <w:bookmarkEnd w:id="3088"/>
            <w:r>
              <w:rPr>
                <w:rFonts w:ascii="Times New Roman" w:hAnsi="Times New Roman"/>
                <w:sz w:val="20"/>
              </w:rPr>
              <w:t xml:space="preserve">18,585 </w:t>
            </w:r>
          </w:p>
        </w:tc>
        <w:tc>
          <w:tcPr>
            <w:tcW w:w="116" w:type="dxa"/>
            <w:tcBorders/>
            <w:shd w:fill="CCEEFF" w:val="clear"/>
            <w:tcMar>
              <w:bottom w:w="0" w:type="dxa"/>
            </w:tcMar>
            <w:vAlign w:val="bottom"/>
          </w:tcPr>
          <w:p>
            <w:pPr>
              <w:pStyle w:val="TableContents"/>
              <w:spacing w:before="0" w:after="283"/>
              <w:jc w:val="left"/>
              <w:rPr/>
            </w:pPr>
            <w:r>
              <w:rPr/>
              <w:t> </w:t>
            </w:r>
          </w:p>
        </w:tc>
      </w:tr>
      <w:tr>
        <w:trPr/>
        <w:tc>
          <w:tcPr>
            <w:tcW w:w="7091" w:type="dxa"/>
            <w:tcBorders>
              <w:bottom w:val="single" w:sz="2" w:space="0" w:color="000000"/>
            </w:tcBorders>
            <w:shd w:fill="FFFFFF" w:val="clear"/>
            <w:vAlign w:val="bottom"/>
          </w:tcPr>
          <w:p>
            <w:pPr>
              <w:pStyle w:val="TableContents"/>
              <w:spacing w:lineRule="auto" w:line="300" w:before="0" w:after="0"/>
              <w:ind w:left="360" w:right="0" w:hanging="0"/>
              <w:jc w:val="left"/>
              <w:rPr>
                <w:rFonts w:ascii="Times New Roman" w:hAnsi="Times New Roman"/>
                <w:sz w:val="20"/>
              </w:rPr>
            </w:pPr>
            <w:bookmarkStart w:id="3089" w:name="TAB11448"/>
            <w:bookmarkEnd w:id="3089"/>
            <w:r>
              <w:rPr>
                <w:rFonts w:ascii="Times New Roman" w:hAnsi="Times New Roman"/>
                <w:sz w:val="20"/>
              </w:rPr>
              <w:t>Construction-in-progress (including capitalized interest)</w:t>
            </w:r>
          </w:p>
        </w:tc>
        <w:tc>
          <w:tcPr>
            <w:tcW w:w="200" w:type="dxa"/>
            <w:tcBorders>
              <w:bottom w:val="single" w:sz="4" w:space="0" w:color="FFFFFF"/>
            </w:tcBorders>
            <w:shd w:fill="FFFFFF" w:val="clear"/>
            <w:vAlign w:val="center"/>
          </w:tcPr>
          <w:p>
            <w:pPr>
              <w:pStyle w:val="TableContents"/>
              <w:spacing w:before="0" w:after="283"/>
              <w:rPr/>
            </w:pPr>
            <w:r>
              <w:rPr/>
              <w:t> </w:t>
            </w:r>
          </w:p>
        </w:tc>
        <w:tc>
          <w:tcPr>
            <w:tcW w:w="126" w:type="dxa"/>
            <w:tcBorders>
              <w:bottom w:val="single" w:sz="2" w:space="0" w:color="000000"/>
            </w:tcBorders>
            <w:shd w:fill="FFFFFF" w:val="clear"/>
            <w:vAlign w:val="bottom"/>
          </w:tcPr>
          <w:p>
            <w:pPr>
              <w:pStyle w:val="TableContents"/>
              <w:spacing w:before="0" w:after="283"/>
              <w:jc w:val="left"/>
              <w:rPr/>
            </w:pPr>
            <w:r>
              <w:rPr/>
              <w:t> </w:t>
            </w:r>
          </w:p>
        </w:tc>
        <w:tc>
          <w:tcPr>
            <w:tcW w:w="1173"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8,580</w:t>
            </w:r>
          </w:p>
        </w:tc>
        <w:tc>
          <w:tcPr>
            <w:tcW w:w="200" w:type="dxa"/>
            <w:tcBorders>
              <w:bottom w:val="single" w:sz="4" w:space="0" w:color="FFFFFF"/>
            </w:tcBorders>
            <w:shd w:fill="FFFFFF" w:val="clear"/>
            <w:vAlign w:val="bottom"/>
          </w:tcPr>
          <w:p>
            <w:pPr>
              <w:pStyle w:val="TableContents"/>
              <w:spacing w:before="0" w:after="283"/>
              <w:jc w:val="left"/>
              <w:rPr/>
            </w:pPr>
            <w:r>
              <w:rPr/>
              <w:t> </w:t>
            </w:r>
          </w:p>
        </w:tc>
        <w:tc>
          <w:tcPr>
            <w:tcW w:w="126" w:type="dxa"/>
            <w:tcBorders>
              <w:bottom w:val="single" w:sz="2" w:space="0" w:color="000000"/>
            </w:tcBorders>
            <w:shd w:fill="FFFFFF" w:val="clear"/>
            <w:vAlign w:val="bottom"/>
          </w:tcPr>
          <w:p>
            <w:pPr>
              <w:pStyle w:val="TableContents"/>
              <w:spacing w:before="0" w:after="283"/>
              <w:jc w:val="left"/>
              <w:rPr/>
            </w:pPr>
            <w:r>
              <w:rPr/>
              <w:t> </w:t>
            </w:r>
          </w:p>
        </w:tc>
        <w:tc>
          <w:tcPr>
            <w:tcW w:w="1173"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4,484</w:t>
            </w:r>
          </w:p>
        </w:tc>
        <w:tc>
          <w:tcPr>
            <w:tcW w:w="116" w:type="dxa"/>
            <w:tcBorders>
              <w:bottom w:val="single" w:sz="4" w:space="0" w:color="FFFFFF"/>
            </w:tcBorders>
            <w:shd w:fill="FFFFFF" w:val="clear"/>
            <w:vAlign w:val="bottom"/>
          </w:tcPr>
          <w:p>
            <w:pPr>
              <w:pStyle w:val="TableContents"/>
              <w:spacing w:before="0" w:after="283"/>
              <w:jc w:val="left"/>
              <w:rPr/>
            </w:pPr>
            <w:r>
              <w:rPr/>
              <w:t> </w:t>
            </w:r>
          </w:p>
        </w:tc>
      </w:tr>
      <w:tr>
        <w:trPr/>
        <w:tc>
          <w:tcPr>
            <w:tcW w:w="7091" w:type="dxa"/>
            <w:tcBorders>
              <w:bottom w:val="doub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Property Under Development</w:t>
            </w:r>
          </w:p>
        </w:tc>
        <w:tc>
          <w:tcPr>
            <w:tcW w:w="200" w:type="dxa"/>
            <w:tcBorders>
              <w:bottom w:val="single" w:sz="4" w:space="0" w:color="CCEEFF"/>
            </w:tcBorders>
            <w:shd w:fill="CCEEFF" w:val="clear"/>
            <w:vAlign w:val="center"/>
          </w:tcPr>
          <w:p>
            <w:pPr>
              <w:pStyle w:val="TableContents"/>
              <w:spacing w:before="0" w:after="283"/>
              <w:rPr/>
            </w:pPr>
            <w:r>
              <w:rPr/>
              <w:t> </w:t>
            </w:r>
          </w:p>
        </w:tc>
        <w:tc>
          <w:tcPr>
            <w:tcW w:w="126" w:type="dxa"/>
            <w:tcBorders>
              <w:bottom w:val="doub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bookmarkStart w:id="3090" w:name="TAB11449"/>
            <w:bookmarkEnd w:id="3090"/>
            <w:r>
              <w:rPr>
                <w:rFonts w:ascii="Times New Roman" w:hAnsi="Times New Roman"/>
                <w:sz w:val="20"/>
              </w:rPr>
              <w:t>$</w:t>
            </w:r>
          </w:p>
        </w:tc>
        <w:tc>
          <w:tcPr>
            <w:tcW w:w="1173" w:type="dxa"/>
            <w:tcBorders>
              <w:bottom w:val="doub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3091" w:name="TAB11450"/>
            <w:bookmarkEnd w:id="3091"/>
            <w:r>
              <w:rPr>
                <w:rFonts w:ascii="Times New Roman" w:hAnsi="Times New Roman"/>
                <w:sz w:val="20"/>
              </w:rPr>
              <w:t>38,876</w:t>
            </w:r>
          </w:p>
        </w:tc>
        <w:tc>
          <w:tcPr>
            <w:tcW w:w="200" w:type="dxa"/>
            <w:tcBorders>
              <w:bottom w:val="single" w:sz="4" w:space="0" w:color="CCEEFF"/>
            </w:tcBorders>
            <w:shd w:fill="CCEEFF" w:val="clear"/>
            <w:vAlign w:val="bottom"/>
          </w:tcPr>
          <w:p>
            <w:pPr>
              <w:pStyle w:val="TableContents"/>
              <w:spacing w:before="0" w:after="283"/>
              <w:jc w:val="left"/>
              <w:rPr/>
            </w:pPr>
            <w:r>
              <w:rPr/>
              <w:t> </w:t>
            </w:r>
          </w:p>
        </w:tc>
        <w:tc>
          <w:tcPr>
            <w:tcW w:w="126" w:type="dxa"/>
            <w:tcBorders>
              <w:bottom w:val="doub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bookmarkStart w:id="3092" w:name="TAB11451"/>
            <w:bookmarkEnd w:id="3092"/>
            <w:r>
              <w:rPr>
                <w:rFonts w:ascii="Times New Roman" w:hAnsi="Times New Roman"/>
                <w:sz w:val="20"/>
              </w:rPr>
              <w:t>$</w:t>
            </w:r>
          </w:p>
        </w:tc>
        <w:tc>
          <w:tcPr>
            <w:tcW w:w="1173" w:type="dxa"/>
            <w:tcBorders>
              <w:bottom w:val="doub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3093" w:name="TAB11452"/>
            <w:bookmarkEnd w:id="3093"/>
            <w:r>
              <w:rPr>
                <w:rFonts w:ascii="Times New Roman" w:hAnsi="Times New Roman"/>
                <w:sz w:val="20"/>
              </w:rPr>
              <w:t>23,069</w:t>
            </w:r>
          </w:p>
        </w:tc>
        <w:tc>
          <w:tcPr>
            <w:tcW w:w="116" w:type="dxa"/>
            <w:tcBorders>
              <w:bottom w:val="single" w:sz="4" w:space="0" w:color="CCEEFF"/>
            </w:tcBorders>
            <w:shd w:fill="CCEEFF" w:val="clear"/>
            <w:vAlign w:val="bottom"/>
          </w:tcPr>
          <w:p>
            <w:pPr>
              <w:pStyle w:val="TableContents"/>
              <w:spacing w:before="0" w:after="283"/>
              <w:jc w:val="left"/>
              <w:rPr/>
            </w:pPr>
            <w:r>
              <w:rPr/>
              <w:t> </w:t>
            </w:r>
          </w:p>
        </w:tc>
      </w:tr>
    </w:tbl>
    <w:p>
      <w:pPr>
        <w:pStyle w:val="TextBody"/>
        <w:spacing w:lineRule="auto" w:line="300" w:before="0" w:after="0"/>
        <w:ind w:left="0" w:right="0" w:hanging="0"/>
        <w:jc w:val="both"/>
        <w:rPr/>
      </w:pPr>
      <w:r>
        <w:rPr/>
        <w:t> </w:t>
      </w:r>
    </w:p>
    <w:p>
      <w:pPr>
        <w:pStyle w:val="TextBody"/>
        <w:spacing w:lineRule="auto" w:line="300" w:before="0" w:after="0"/>
        <w:ind w:left="720" w:right="0" w:hanging="0"/>
        <w:jc w:val="left"/>
        <w:rPr>
          <w:rFonts w:ascii="Times New Roman" w:hAnsi="Times New Roman"/>
          <w:sz w:val="20"/>
        </w:rPr>
      </w:pPr>
      <w:bookmarkStart w:id="3094" w:name="TAB11453"/>
      <w:bookmarkEnd w:id="3094"/>
      <w:r>
        <w:rPr>
          <w:rFonts w:ascii="Times New Roman" w:hAnsi="Times New Roman"/>
          <w:sz w:val="20"/>
        </w:rPr>
        <w:t>The amount of capitalized interest for our properties under development was $1.8 million and $2.6 million for the years ending December 31, 2006 and 2005, respectively.</w:t>
      </w:r>
    </w:p>
    <w:p>
      <w:pPr>
        <w:pStyle w:val="TextBody"/>
        <w:spacing w:lineRule="auto" w:line="300" w:before="0" w:after="0"/>
        <w:ind w:left="0" w:right="0" w:hanging="0"/>
        <w:jc w:val="left"/>
        <w:rPr/>
      </w:pPr>
      <w:r>
        <w:rPr/>
      </w:r>
    </w:p>
    <w:p>
      <w:pPr>
        <w:pStyle w:val="TextBody"/>
        <w:spacing w:lineRule="auto" w:line="300" w:before="0" w:after="0"/>
        <w:ind w:left="0" w:right="0" w:hanging="0"/>
        <w:jc w:val="both"/>
        <w:rPr/>
      </w:pPr>
      <w:r>
        <w:rPr/>
      </w:r>
    </w:p>
    <w:p>
      <w:pPr>
        <w:pStyle w:val="TextBody"/>
        <w:spacing w:lineRule="auto" w:line="300" w:before="0" w:after="0"/>
        <w:ind w:left="0" w:right="0" w:hanging="0"/>
        <w:jc w:val="both"/>
        <w:rPr/>
      </w:pPr>
      <w:r>
        <w:rPr>
          <w:rStyle w:val="StrongEmphasis"/>
          <w:rFonts w:ascii="Times New Roman" w:hAnsi="Times New Roman"/>
          <w:sz w:val="20"/>
          <w:u w:val="single"/>
        </w:rPr>
        <w:t>Note 7 - Property and Equipment</w:t>
      </w:r>
    </w:p>
    <w:p>
      <w:pPr>
        <w:pStyle w:val="TextBody"/>
        <w:spacing w:lineRule="auto" w:line="300" w:before="0" w:after="0"/>
        <w:ind w:left="0" w:right="0" w:hanging="0"/>
        <w:jc w:val="both"/>
        <w:rPr/>
      </w:pPr>
      <w:r>
        <w:rPr/>
      </w:r>
    </w:p>
    <w:p>
      <w:pPr>
        <w:pStyle w:val="TextBody"/>
        <w:spacing w:lineRule="auto" w:line="300" w:before="0" w:after="0"/>
        <w:ind w:left="0" w:right="0" w:firstLine="720"/>
        <w:jc w:val="left"/>
        <w:rPr>
          <w:rFonts w:ascii="Times New Roman" w:hAnsi="Times New Roman"/>
          <w:sz w:val="20"/>
        </w:rPr>
      </w:pPr>
      <w:r>
        <w:rPr>
          <w:rFonts w:ascii="Times New Roman" w:hAnsi="Times New Roman"/>
          <w:sz w:val="20"/>
        </w:rPr>
        <w:t>Property and equipment is summarized as follows (dollars in thousands):</w:t>
      </w:r>
    </w:p>
    <w:p>
      <w:pPr>
        <w:pStyle w:val="TextBody"/>
        <w:spacing w:lineRule="auto" w:line="300" w:before="0" w:after="0"/>
        <w:ind w:left="0" w:right="0" w:hanging="0"/>
        <w:jc w:val="both"/>
        <w:rPr/>
      </w:pPr>
      <w:r>
        <w:rPr/>
      </w:r>
    </w:p>
    <w:p>
      <w:pPr>
        <w:pStyle w:val="Normal"/>
        <w:spacing w:before="0" w:after="0"/>
        <w:rPr>
          <w:sz w:val="4"/>
          <w:szCs w:val="4"/>
        </w:rPr>
      </w:pPr>
      <w:r>
        <w:rPr>
          <w:sz w:val="4"/>
          <w:szCs w:val="4"/>
        </w:rPr>
      </w:r>
      <w:bookmarkStart w:id="3095" w:name="ftable24"/>
      <w:bookmarkStart w:id="3096" w:name="ftable24"/>
      <w:bookmarkEnd w:id="3096"/>
    </w:p>
    <w:tbl>
      <w:tblPr>
        <w:tblW w:w="5000" w:type="pct"/>
        <w:jc w:val="left"/>
        <w:tblInd w:w="0" w:type="dxa"/>
        <w:tblCellMar>
          <w:top w:w="0" w:type="dxa"/>
          <w:left w:w="0" w:type="dxa"/>
          <w:bottom w:w="28" w:type="dxa"/>
          <w:right w:w="0" w:type="dxa"/>
        </w:tblCellMar>
      </w:tblPr>
      <w:tblGrid>
        <w:gridCol w:w="7038"/>
        <w:gridCol w:w="198"/>
        <w:gridCol w:w="125"/>
        <w:gridCol w:w="1197"/>
        <w:gridCol w:w="203"/>
        <w:gridCol w:w="125"/>
        <w:gridCol w:w="1197"/>
        <w:gridCol w:w="122"/>
      </w:tblGrid>
      <w:tr>
        <w:trPr/>
        <w:tc>
          <w:tcPr>
            <w:tcW w:w="7038" w:type="dxa"/>
            <w:tcBorders>
              <w:bottom w:val="single" w:sz="4" w:space="0" w:color="FFFFFF"/>
            </w:tcBorders>
            <w:shd w:fill="auto" w:val="clear"/>
            <w:vAlign w:val="bottom"/>
          </w:tcPr>
          <w:p>
            <w:pPr>
              <w:pStyle w:val="TableContents"/>
              <w:spacing w:before="0" w:after="283"/>
              <w:jc w:val="left"/>
              <w:rPr/>
            </w:pPr>
            <w:r>
              <w:rPr/>
              <w:t> </w:t>
            </w:r>
          </w:p>
        </w:tc>
        <w:tc>
          <w:tcPr>
            <w:tcW w:w="198" w:type="dxa"/>
            <w:tcBorders>
              <w:bottom w:val="single" w:sz="2" w:space="0" w:color="FFFFFF"/>
            </w:tcBorders>
            <w:shd w:fill="auto" w:val="clear"/>
            <w:vAlign w:val="center"/>
          </w:tcPr>
          <w:p>
            <w:pPr>
              <w:pStyle w:val="TableContents"/>
              <w:spacing w:before="0" w:after="283"/>
              <w:rPr/>
            </w:pPr>
            <w:r>
              <w:rPr/>
              <w:t> </w:t>
            </w:r>
          </w:p>
        </w:tc>
        <w:tc>
          <w:tcPr>
            <w:tcW w:w="2847" w:type="dxa"/>
            <w:gridSpan w:val="5"/>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December 31,</w:t>
            </w:r>
          </w:p>
        </w:tc>
        <w:tc>
          <w:tcPr>
            <w:tcW w:w="122" w:type="dxa"/>
            <w:tcBorders>
              <w:bottom w:val="single" w:sz="2" w:space="0" w:color="FFFFFF"/>
            </w:tcBorders>
            <w:shd w:fill="auto" w:val="clear"/>
            <w:vAlign w:val="bottom"/>
          </w:tcPr>
          <w:p>
            <w:pPr>
              <w:pStyle w:val="TableContents"/>
              <w:spacing w:before="0" w:after="283"/>
              <w:jc w:val="left"/>
              <w:rPr/>
            </w:pPr>
            <w:r>
              <w:rPr/>
              <w:t> </w:t>
            </w:r>
          </w:p>
        </w:tc>
      </w:tr>
      <w:tr>
        <w:trPr/>
        <w:tc>
          <w:tcPr>
            <w:tcW w:w="7038" w:type="dxa"/>
            <w:tcBorders>
              <w:bottom w:val="double" w:sz="2" w:space="0" w:color="000000"/>
            </w:tcBorders>
            <w:shd w:fill="auto" w:val="clear"/>
            <w:vAlign w:val="bottom"/>
          </w:tcPr>
          <w:p>
            <w:pPr>
              <w:pStyle w:val="TableContents"/>
              <w:spacing w:lineRule="auto" w:line="300" w:before="0" w:after="0"/>
              <w:ind w:left="0" w:right="0" w:hanging="0"/>
              <w:jc w:val="left"/>
              <w:rPr/>
            </w:pPr>
            <w:r>
              <w:rPr>
                <w:rStyle w:val="StrongEmphasis"/>
                <w:rFonts w:ascii="Times New Roman" w:hAnsi="Times New Roman"/>
                <w:sz w:val="20"/>
              </w:rPr>
              <w:t>Property and Equipment</w:t>
            </w:r>
          </w:p>
        </w:tc>
        <w:tc>
          <w:tcPr>
            <w:tcW w:w="198" w:type="dxa"/>
            <w:tcBorders>
              <w:bottom w:val="single" w:sz="4" w:space="0" w:color="FFFFFF"/>
            </w:tcBorders>
            <w:shd w:fill="auto" w:val="clear"/>
            <w:vAlign w:val="center"/>
          </w:tcPr>
          <w:p>
            <w:pPr>
              <w:pStyle w:val="TableContents"/>
              <w:spacing w:before="0" w:after="283"/>
              <w:rPr/>
            </w:pPr>
            <w:r>
              <w:rPr/>
              <w:t> </w:t>
            </w:r>
          </w:p>
        </w:tc>
        <w:tc>
          <w:tcPr>
            <w:tcW w:w="1322"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2006</w:t>
            </w:r>
          </w:p>
        </w:tc>
        <w:tc>
          <w:tcPr>
            <w:tcW w:w="203" w:type="dxa"/>
            <w:tcBorders>
              <w:bottom w:val="single" w:sz="4" w:space="0" w:color="FFFFFF"/>
            </w:tcBorders>
            <w:shd w:fill="auto" w:val="clear"/>
            <w:vAlign w:val="bottom"/>
          </w:tcPr>
          <w:p>
            <w:pPr>
              <w:pStyle w:val="TableContents"/>
              <w:spacing w:before="0" w:after="283"/>
              <w:jc w:val="left"/>
              <w:rPr/>
            </w:pPr>
            <w:r>
              <w:rPr/>
              <w:t> </w:t>
            </w:r>
          </w:p>
        </w:tc>
        <w:tc>
          <w:tcPr>
            <w:tcW w:w="1322"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2005</w:t>
            </w:r>
          </w:p>
        </w:tc>
        <w:tc>
          <w:tcPr>
            <w:tcW w:w="122" w:type="dxa"/>
            <w:tcBorders>
              <w:bottom w:val="single" w:sz="4" w:space="0" w:color="FFFFFF"/>
            </w:tcBorders>
            <w:shd w:fill="auto" w:val="clear"/>
            <w:vAlign w:val="bottom"/>
          </w:tcPr>
          <w:p>
            <w:pPr>
              <w:pStyle w:val="TableContents"/>
              <w:spacing w:before="0" w:after="283"/>
              <w:jc w:val="left"/>
              <w:rPr/>
            </w:pPr>
            <w:r>
              <w:rPr/>
              <w:t> </w:t>
            </w:r>
          </w:p>
        </w:tc>
      </w:tr>
      <w:tr>
        <w:trPr/>
        <w:tc>
          <w:tcPr>
            <w:tcW w:w="7038" w:type="dxa"/>
            <w:tcBorders/>
            <w:shd w:fill="CCEEFF" w:val="clear"/>
            <w:tcMar>
              <w:bottom w:w="0" w:type="dxa"/>
            </w:tcMar>
            <w:vAlign w:val="bottom"/>
          </w:tcPr>
          <w:p>
            <w:pPr>
              <w:pStyle w:val="TableContents"/>
              <w:spacing w:lineRule="auto" w:line="300" w:before="0" w:after="0"/>
              <w:ind w:left="360" w:right="0" w:hanging="0"/>
              <w:jc w:val="left"/>
              <w:rPr>
                <w:rFonts w:ascii="Times New Roman" w:hAnsi="Times New Roman"/>
                <w:sz w:val="20"/>
              </w:rPr>
            </w:pPr>
            <w:r>
              <w:rPr>
                <w:rFonts w:ascii="Times New Roman" w:hAnsi="Times New Roman"/>
                <w:sz w:val="20"/>
              </w:rPr>
              <w:t>Land</w:t>
            </w:r>
          </w:p>
        </w:tc>
        <w:tc>
          <w:tcPr>
            <w:tcW w:w="198" w:type="dxa"/>
            <w:tcBorders/>
            <w:shd w:fill="CCEEFF" w:val="clear"/>
            <w:tcMar>
              <w:bottom w:w="0" w:type="dxa"/>
            </w:tcMar>
            <w:vAlign w:val="center"/>
          </w:tcPr>
          <w:p>
            <w:pPr>
              <w:pStyle w:val="TableContents"/>
              <w:spacing w:before="0" w:after="283"/>
              <w:rPr/>
            </w:pPr>
            <w:r>
              <w:rPr/>
              <w:t> </w:t>
            </w:r>
          </w:p>
        </w:tc>
        <w:tc>
          <w:tcPr>
            <w:tcW w:w="125"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3097" w:name="TAB11454"/>
            <w:bookmarkEnd w:id="3097"/>
            <w:r>
              <w:rPr>
                <w:rFonts w:ascii="Times New Roman" w:hAnsi="Times New Roman"/>
                <w:sz w:val="20"/>
              </w:rPr>
              <w:t>$</w:t>
            </w:r>
          </w:p>
        </w:tc>
        <w:tc>
          <w:tcPr>
            <w:tcW w:w="1197"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3098" w:name="TAB11455"/>
            <w:bookmarkEnd w:id="3098"/>
            <w:r>
              <w:rPr>
                <w:rFonts w:ascii="Times New Roman" w:hAnsi="Times New Roman"/>
                <w:sz w:val="20"/>
              </w:rPr>
              <w:t>56,830</w:t>
            </w:r>
          </w:p>
        </w:tc>
        <w:tc>
          <w:tcPr>
            <w:tcW w:w="203"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3099" w:name="TAB11456"/>
            <w:bookmarkEnd w:id="3099"/>
            <w:r>
              <w:rPr>
                <w:rFonts w:ascii="Times New Roman" w:hAnsi="Times New Roman"/>
                <w:sz w:val="20"/>
              </w:rPr>
              <w:t>$</w:t>
            </w:r>
          </w:p>
        </w:tc>
        <w:tc>
          <w:tcPr>
            <w:tcW w:w="1197"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3100" w:name="TAB11457"/>
            <w:bookmarkEnd w:id="3100"/>
            <w:r>
              <w:rPr>
                <w:rFonts w:ascii="Times New Roman" w:hAnsi="Times New Roman"/>
                <w:sz w:val="20"/>
              </w:rPr>
              <w:t xml:space="preserve">54,476 </w:t>
            </w:r>
          </w:p>
        </w:tc>
        <w:tc>
          <w:tcPr>
            <w:tcW w:w="122" w:type="dxa"/>
            <w:tcBorders/>
            <w:shd w:fill="CCEEFF" w:val="clear"/>
            <w:tcMar>
              <w:bottom w:w="0" w:type="dxa"/>
            </w:tcMar>
            <w:vAlign w:val="bottom"/>
          </w:tcPr>
          <w:p>
            <w:pPr>
              <w:pStyle w:val="TableContents"/>
              <w:spacing w:before="0" w:after="283"/>
              <w:jc w:val="left"/>
              <w:rPr/>
            </w:pPr>
            <w:r>
              <w:rPr/>
              <w:t> </w:t>
            </w:r>
          </w:p>
        </w:tc>
      </w:tr>
      <w:tr>
        <w:trPr/>
        <w:tc>
          <w:tcPr>
            <w:tcW w:w="7038" w:type="dxa"/>
            <w:tcBorders/>
            <w:shd w:fill="FFFFFF" w:val="clear"/>
            <w:tcMar>
              <w:bottom w:w="0" w:type="dxa"/>
            </w:tcMar>
            <w:vAlign w:val="bottom"/>
          </w:tcPr>
          <w:p>
            <w:pPr>
              <w:pStyle w:val="TableContents"/>
              <w:spacing w:lineRule="auto" w:line="300" w:before="0" w:after="0"/>
              <w:ind w:left="360" w:right="0" w:hanging="0"/>
              <w:jc w:val="left"/>
              <w:rPr>
                <w:rFonts w:ascii="Times New Roman" w:hAnsi="Times New Roman"/>
                <w:sz w:val="20"/>
              </w:rPr>
            </w:pPr>
            <w:r>
              <w:rPr>
                <w:rFonts w:ascii="Times New Roman" w:hAnsi="Times New Roman"/>
                <w:sz w:val="20"/>
              </w:rPr>
              <w:t>Building</w:t>
            </w:r>
          </w:p>
        </w:tc>
        <w:tc>
          <w:tcPr>
            <w:tcW w:w="198" w:type="dxa"/>
            <w:tcBorders/>
            <w:shd w:fill="FFFFFF" w:val="clear"/>
            <w:tcMar>
              <w:bottom w:w="0" w:type="dxa"/>
            </w:tcMar>
            <w:vAlign w:val="center"/>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97"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99,285</w:t>
            </w:r>
          </w:p>
        </w:tc>
        <w:tc>
          <w:tcPr>
            <w:tcW w:w="203"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97"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92,188</w:t>
            </w:r>
          </w:p>
        </w:tc>
        <w:tc>
          <w:tcPr>
            <w:tcW w:w="122" w:type="dxa"/>
            <w:tcBorders/>
            <w:shd w:fill="FFFFFF" w:val="clear"/>
            <w:tcMar>
              <w:bottom w:w="0" w:type="dxa"/>
            </w:tcMar>
            <w:vAlign w:val="bottom"/>
          </w:tcPr>
          <w:p>
            <w:pPr>
              <w:pStyle w:val="TableContents"/>
              <w:spacing w:before="0" w:after="283"/>
              <w:jc w:val="left"/>
              <w:rPr/>
            </w:pPr>
            <w:r>
              <w:rPr/>
              <w:t> </w:t>
            </w:r>
          </w:p>
        </w:tc>
      </w:tr>
      <w:tr>
        <w:trPr/>
        <w:tc>
          <w:tcPr>
            <w:tcW w:w="7038" w:type="dxa"/>
            <w:tcBorders/>
            <w:shd w:fill="CCEEFF" w:val="clear"/>
            <w:tcMar>
              <w:bottom w:w="0" w:type="dxa"/>
            </w:tcMar>
            <w:vAlign w:val="bottom"/>
          </w:tcPr>
          <w:p>
            <w:pPr>
              <w:pStyle w:val="TableContents"/>
              <w:spacing w:lineRule="auto" w:line="300" w:before="0" w:after="0"/>
              <w:ind w:left="360" w:right="0" w:hanging="0"/>
              <w:jc w:val="left"/>
              <w:rPr>
                <w:rFonts w:ascii="Times New Roman" w:hAnsi="Times New Roman"/>
                <w:sz w:val="20"/>
              </w:rPr>
            </w:pPr>
            <w:r>
              <w:rPr>
                <w:rFonts w:ascii="Times New Roman" w:hAnsi="Times New Roman"/>
                <w:sz w:val="20"/>
              </w:rPr>
              <w:t>Leasehold interests</w:t>
            </w:r>
          </w:p>
        </w:tc>
        <w:tc>
          <w:tcPr>
            <w:tcW w:w="198" w:type="dxa"/>
            <w:tcBorders/>
            <w:shd w:fill="CCEEFF" w:val="clear"/>
            <w:tcMar>
              <w:bottom w:w="0" w:type="dxa"/>
            </w:tcMar>
            <w:vAlign w:val="center"/>
          </w:tcPr>
          <w:p>
            <w:pPr>
              <w:pStyle w:val="TableContents"/>
              <w:spacing w:before="0" w:after="283"/>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197"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11,138</w:t>
            </w:r>
          </w:p>
        </w:tc>
        <w:tc>
          <w:tcPr>
            <w:tcW w:w="203"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197"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9,075</w:t>
            </w:r>
          </w:p>
        </w:tc>
        <w:tc>
          <w:tcPr>
            <w:tcW w:w="122" w:type="dxa"/>
            <w:tcBorders/>
            <w:shd w:fill="CCEEFF" w:val="clear"/>
            <w:tcMar>
              <w:bottom w:w="0" w:type="dxa"/>
            </w:tcMar>
            <w:vAlign w:val="bottom"/>
          </w:tcPr>
          <w:p>
            <w:pPr>
              <w:pStyle w:val="TableContents"/>
              <w:spacing w:before="0" w:after="283"/>
              <w:jc w:val="left"/>
              <w:rPr/>
            </w:pPr>
            <w:r>
              <w:rPr/>
              <w:t> </w:t>
            </w:r>
          </w:p>
        </w:tc>
      </w:tr>
      <w:tr>
        <w:trPr/>
        <w:tc>
          <w:tcPr>
            <w:tcW w:w="7038" w:type="dxa"/>
            <w:tcBorders/>
            <w:shd w:fill="FFFFFF" w:val="clear"/>
            <w:tcMar>
              <w:bottom w:w="0" w:type="dxa"/>
            </w:tcMar>
            <w:vAlign w:val="bottom"/>
          </w:tcPr>
          <w:p>
            <w:pPr>
              <w:pStyle w:val="TableContents"/>
              <w:spacing w:lineRule="auto" w:line="300" w:before="0" w:after="0"/>
              <w:ind w:left="360" w:right="0" w:hanging="0"/>
              <w:jc w:val="left"/>
              <w:rPr>
                <w:rFonts w:ascii="Times New Roman" w:hAnsi="Times New Roman"/>
                <w:sz w:val="20"/>
              </w:rPr>
            </w:pPr>
            <w:r>
              <w:rPr>
                <w:rFonts w:ascii="Times New Roman" w:hAnsi="Times New Roman"/>
                <w:sz w:val="20"/>
              </w:rPr>
              <w:t>Construction-in-progress</w:t>
            </w:r>
          </w:p>
        </w:tc>
        <w:tc>
          <w:tcPr>
            <w:tcW w:w="198" w:type="dxa"/>
            <w:tcBorders/>
            <w:shd w:fill="FFFFFF" w:val="clear"/>
            <w:tcMar>
              <w:bottom w:w="0" w:type="dxa"/>
            </w:tcMar>
            <w:vAlign w:val="center"/>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97"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425</w:t>
            </w:r>
          </w:p>
        </w:tc>
        <w:tc>
          <w:tcPr>
            <w:tcW w:w="203"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97"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863</w:t>
            </w:r>
          </w:p>
        </w:tc>
        <w:tc>
          <w:tcPr>
            <w:tcW w:w="122" w:type="dxa"/>
            <w:tcBorders/>
            <w:shd w:fill="FFFFFF" w:val="clear"/>
            <w:tcMar>
              <w:bottom w:w="0" w:type="dxa"/>
            </w:tcMar>
            <w:vAlign w:val="bottom"/>
          </w:tcPr>
          <w:p>
            <w:pPr>
              <w:pStyle w:val="TableContents"/>
              <w:spacing w:before="0" w:after="283"/>
              <w:jc w:val="left"/>
              <w:rPr/>
            </w:pPr>
            <w:r>
              <w:rPr/>
              <w:t> </w:t>
            </w:r>
          </w:p>
        </w:tc>
      </w:tr>
      <w:tr>
        <w:trPr/>
        <w:tc>
          <w:tcPr>
            <w:tcW w:w="7038" w:type="dxa"/>
            <w:tcBorders>
              <w:bottom w:val="single" w:sz="2" w:space="0" w:color="000000"/>
            </w:tcBorders>
            <w:shd w:fill="CCEEFF" w:val="clear"/>
            <w:vAlign w:val="bottom"/>
          </w:tcPr>
          <w:p>
            <w:pPr>
              <w:pStyle w:val="TableContents"/>
              <w:spacing w:lineRule="auto" w:line="300" w:before="0" w:after="0"/>
              <w:ind w:left="360" w:right="0" w:hanging="0"/>
              <w:jc w:val="left"/>
              <w:rPr>
                <w:rFonts w:ascii="Times New Roman" w:hAnsi="Times New Roman"/>
                <w:sz w:val="20"/>
              </w:rPr>
            </w:pPr>
            <w:r>
              <w:rPr>
                <w:rFonts w:ascii="Times New Roman" w:hAnsi="Times New Roman"/>
                <w:sz w:val="20"/>
              </w:rPr>
              <w:t>Fixtures and equipment</w:t>
            </w:r>
          </w:p>
        </w:tc>
        <w:tc>
          <w:tcPr>
            <w:tcW w:w="198" w:type="dxa"/>
            <w:tcBorders>
              <w:bottom w:val="single" w:sz="4" w:space="0" w:color="CCEEFF"/>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vAlign w:val="bottom"/>
          </w:tcPr>
          <w:p>
            <w:pPr>
              <w:pStyle w:val="TableContents"/>
              <w:spacing w:before="0" w:after="283"/>
              <w:jc w:val="left"/>
              <w:rPr/>
            </w:pPr>
            <w:r>
              <w:rPr/>
              <w:t> </w:t>
            </w:r>
          </w:p>
        </w:tc>
        <w:tc>
          <w:tcPr>
            <w:tcW w:w="1197"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58,164</w:t>
            </w:r>
          </w:p>
        </w:tc>
        <w:tc>
          <w:tcPr>
            <w:tcW w:w="203" w:type="dxa"/>
            <w:tcBorders>
              <w:bottom w:val="single" w:sz="4" w:space="0" w:color="CCEEFF"/>
            </w:tcBorders>
            <w:shd w:fill="CCEEFF" w:val="clear"/>
            <w:vAlign w:val="bottom"/>
          </w:tcPr>
          <w:p>
            <w:pPr>
              <w:pStyle w:val="TableContents"/>
              <w:spacing w:before="0" w:after="283"/>
              <w:jc w:val="left"/>
              <w:rPr/>
            </w:pPr>
            <w:r>
              <w:rPr/>
              <w:t> </w:t>
            </w:r>
          </w:p>
        </w:tc>
        <w:tc>
          <w:tcPr>
            <w:tcW w:w="125" w:type="dxa"/>
            <w:tcBorders>
              <w:bottom w:val="single" w:sz="2" w:space="0" w:color="000000"/>
            </w:tcBorders>
            <w:shd w:fill="CCEEFF" w:val="clear"/>
            <w:vAlign w:val="bottom"/>
          </w:tcPr>
          <w:p>
            <w:pPr>
              <w:pStyle w:val="TableContents"/>
              <w:spacing w:before="0" w:after="283"/>
              <w:jc w:val="left"/>
              <w:rPr/>
            </w:pPr>
            <w:r>
              <w:rPr/>
              <w:t> </w:t>
            </w:r>
          </w:p>
        </w:tc>
        <w:tc>
          <w:tcPr>
            <w:tcW w:w="1197"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51,221</w:t>
            </w:r>
          </w:p>
        </w:tc>
        <w:tc>
          <w:tcPr>
            <w:tcW w:w="122" w:type="dxa"/>
            <w:tcBorders>
              <w:bottom w:val="single" w:sz="4" w:space="0" w:color="CCEEFF"/>
            </w:tcBorders>
            <w:shd w:fill="CCEEFF" w:val="clear"/>
            <w:vAlign w:val="bottom"/>
          </w:tcPr>
          <w:p>
            <w:pPr>
              <w:pStyle w:val="TableContents"/>
              <w:spacing w:before="0" w:after="283"/>
              <w:jc w:val="left"/>
              <w:rPr/>
            </w:pPr>
            <w:r>
              <w:rPr/>
              <w:t> </w:t>
            </w:r>
          </w:p>
        </w:tc>
      </w:tr>
      <w:tr>
        <w:trPr/>
        <w:tc>
          <w:tcPr>
            <w:tcW w:w="7038" w:type="dxa"/>
            <w:tcBorders/>
            <w:shd w:fill="FFFFFF" w:val="clear"/>
            <w:tcMar>
              <w:bottom w:w="0" w:type="dxa"/>
            </w:tcMar>
            <w:vAlign w:val="bottom"/>
          </w:tcPr>
          <w:p>
            <w:pPr>
              <w:pStyle w:val="TableContents"/>
              <w:spacing w:lineRule="auto" w:line="300" w:before="0" w:after="0"/>
              <w:ind w:left="360" w:right="0" w:hanging="0"/>
              <w:jc w:val="left"/>
              <w:rPr>
                <w:rFonts w:ascii="Times New Roman" w:hAnsi="Times New Roman"/>
                <w:sz w:val="20"/>
              </w:rPr>
            </w:pPr>
            <w:bookmarkStart w:id="3101" w:name="TAB11458"/>
            <w:bookmarkStart w:id="3102" w:name="TAB11459"/>
            <w:bookmarkEnd w:id="3101"/>
            <w:bookmarkEnd w:id="3102"/>
            <w:r>
              <w:rPr>
                <w:rFonts w:ascii="Times New Roman" w:hAnsi="Times New Roman"/>
                <w:sz w:val="20"/>
              </w:rPr>
              <w:t>Total cost</w:t>
            </w:r>
          </w:p>
        </w:tc>
        <w:tc>
          <w:tcPr>
            <w:tcW w:w="198" w:type="dxa"/>
            <w:tcBorders/>
            <w:shd w:fill="FFFFFF" w:val="clear"/>
            <w:tcMar>
              <w:bottom w:w="0" w:type="dxa"/>
            </w:tcMar>
            <w:vAlign w:val="center"/>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97"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225,842</w:t>
            </w:r>
          </w:p>
        </w:tc>
        <w:tc>
          <w:tcPr>
            <w:tcW w:w="203"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97"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207,823</w:t>
            </w:r>
          </w:p>
        </w:tc>
        <w:tc>
          <w:tcPr>
            <w:tcW w:w="122" w:type="dxa"/>
            <w:tcBorders/>
            <w:shd w:fill="FFFFFF" w:val="clear"/>
            <w:tcMar>
              <w:bottom w:w="0" w:type="dxa"/>
            </w:tcMar>
            <w:vAlign w:val="bottom"/>
          </w:tcPr>
          <w:p>
            <w:pPr>
              <w:pStyle w:val="TableContents"/>
              <w:spacing w:before="0" w:after="283"/>
              <w:jc w:val="left"/>
              <w:rPr/>
            </w:pPr>
            <w:r>
              <w:rPr/>
              <w:t> </w:t>
            </w:r>
          </w:p>
        </w:tc>
      </w:tr>
      <w:tr>
        <w:trPr/>
        <w:tc>
          <w:tcPr>
            <w:tcW w:w="7038" w:type="dxa"/>
            <w:tcBorders>
              <w:bottom w:val="single" w:sz="2" w:space="0" w:color="000000"/>
            </w:tcBorders>
            <w:shd w:fill="CCEEFF" w:val="clear"/>
            <w:vAlign w:val="bottom"/>
          </w:tcPr>
          <w:p>
            <w:pPr>
              <w:pStyle w:val="TableContents"/>
              <w:spacing w:lineRule="auto" w:line="300" w:before="0" w:after="0"/>
              <w:ind w:left="360" w:right="0" w:hanging="0"/>
              <w:jc w:val="left"/>
              <w:rPr>
                <w:rFonts w:ascii="Times New Roman" w:hAnsi="Times New Roman"/>
                <w:sz w:val="20"/>
              </w:rPr>
            </w:pPr>
            <w:r>
              <w:rPr>
                <w:rFonts w:ascii="Times New Roman" w:hAnsi="Times New Roman"/>
                <w:sz w:val="20"/>
              </w:rPr>
              <w:t>Less accumulated depreciation</w:t>
            </w:r>
          </w:p>
        </w:tc>
        <w:tc>
          <w:tcPr>
            <w:tcW w:w="198" w:type="dxa"/>
            <w:tcBorders>
              <w:bottom w:val="single" w:sz="2" w:space="0" w:color="CCEEFF"/>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vAlign w:val="bottom"/>
          </w:tcPr>
          <w:p>
            <w:pPr>
              <w:pStyle w:val="TableContents"/>
              <w:spacing w:before="0" w:after="283"/>
              <w:jc w:val="left"/>
              <w:rPr/>
            </w:pPr>
            <w:r>
              <w:rPr/>
              <w:t> </w:t>
            </w:r>
          </w:p>
        </w:tc>
        <w:tc>
          <w:tcPr>
            <w:tcW w:w="1197"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3103" w:name="TAB11460"/>
            <w:bookmarkStart w:id="3104" w:name="TAB11461"/>
            <w:bookmarkEnd w:id="3103"/>
            <w:bookmarkEnd w:id="3104"/>
            <w:r>
              <w:rPr>
                <w:rFonts w:ascii="Times New Roman" w:hAnsi="Times New Roman"/>
                <w:sz w:val="20"/>
              </w:rPr>
              <w:t>(55,175</w:t>
            </w:r>
          </w:p>
        </w:tc>
        <w:tc>
          <w:tcPr>
            <w:tcW w:w="203" w:type="dxa"/>
            <w:tcBorders>
              <w:bottom w:val="single" w:sz="2" w:space="0" w:color="CCEEFF"/>
            </w:tcBorders>
            <w:shd w:fill="CCEEFF" w:val="clear"/>
            <w:vAlign w:val="bottom"/>
          </w:tcPr>
          <w:p>
            <w:pPr>
              <w:pStyle w:val="TableContents"/>
              <w:spacing w:lineRule="auto" w:line="300" w:before="0" w:after="0"/>
              <w:ind w:left="0" w:right="0" w:hanging="0"/>
              <w:jc w:val="left"/>
              <w:rPr>
                <w:rFonts w:ascii="Times New Roman" w:hAnsi="Times New Roman"/>
                <w:sz w:val="20"/>
              </w:rPr>
            </w:pPr>
            <w:bookmarkStart w:id="3105" w:name="TAB11462"/>
            <w:bookmarkStart w:id="3106" w:name="TAB11463"/>
            <w:bookmarkEnd w:id="3105"/>
            <w:bookmarkEnd w:id="3106"/>
            <w:r>
              <w:rPr>
                <w:rFonts w:ascii="Times New Roman" w:hAnsi="Times New Roman"/>
                <w:sz w:val="20"/>
              </w:rPr>
              <w:t>)</w:t>
            </w:r>
          </w:p>
        </w:tc>
        <w:tc>
          <w:tcPr>
            <w:tcW w:w="125" w:type="dxa"/>
            <w:tcBorders>
              <w:bottom w:val="single" w:sz="2" w:space="0" w:color="000000"/>
            </w:tcBorders>
            <w:shd w:fill="CCEEFF" w:val="clear"/>
            <w:vAlign w:val="bottom"/>
          </w:tcPr>
          <w:p>
            <w:pPr>
              <w:pStyle w:val="TableContents"/>
              <w:spacing w:before="0" w:after="283"/>
              <w:jc w:val="left"/>
              <w:rPr/>
            </w:pPr>
            <w:r>
              <w:rPr/>
              <w:t> </w:t>
            </w:r>
          </w:p>
        </w:tc>
        <w:tc>
          <w:tcPr>
            <w:tcW w:w="1197"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3107" w:name="TAB11464"/>
            <w:bookmarkStart w:id="3108" w:name="TAB11465"/>
            <w:bookmarkEnd w:id="3107"/>
            <w:bookmarkEnd w:id="3108"/>
            <w:r>
              <w:rPr>
                <w:rFonts w:ascii="Times New Roman" w:hAnsi="Times New Roman"/>
                <w:sz w:val="20"/>
              </w:rPr>
              <w:t>(40,434</w:t>
            </w:r>
          </w:p>
        </w:tc>
        <w:tc>
          <w:tcPr>
            <w:tcW w:w="122" w:type="dxa"/>
            <w:tcBorders>
              <w:bottom w:val="single" w:sz="2" w:space="0" w:color="CCEEFF"/>
            </w:tcBorders>
            <w:shd w:fill="CCEEFF" w:val="clear"/>
            <w:vAlign w:val="bottom"/>
          </w:tcPr>
          <w:p>
            <w:pPr>
              <w:pStyle w:val="TableContents"/>
              <w:spacing w:lineRule="auto" w:line="300" w:before="0" w:after="0"/>
              <w:ind w:left="0" w:right="0" w:hanging="0"/>
              <w:jc w:val="left"/>
              <w:rPr>
                <w:rFonts w:ascii="Times New Roman" w:hAnsi="Times New Roman"/>
                <w:sz w:val="20"/>
              </w:rPr>
            </w:pPr>
            <w:bookmarkStart w:id="3109" w:name="TAB11466"/>
            <w:bookmarkStart w:id="3110" w:name="TAB11467"/>
            <w:bookmarkEnd w:id="3109"/>
            <w:bookmarkEnd w:id="3110"/>
            <w:r>
              <w:rPr>
                <w:rFonts w:ascii="Times New Roman" w:hAnsi="Times New Roman"/>
                <w:sz w:val="20"/>
              </w:rPr>
              <w:t>)</w:t>
            </w:r>
          </w:p>
        </w:tc>
      </w:tr>
      <w:tr>
        <w:trPr/>
        <w:tc>
          <w:tcPr>
            <w:tcW w:w="7038" w:type="dxa"/>
            <w:tcBorders>
              <w:bottom w:val="doub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Property and equipment, net</w:t>
            </w:r>
          </w:p>
        </w:tc>
        <w:tc>
          <w:tcPr>
            <w:tcW w:w="198" w:type="dxa"/>
            <w:tcBorders>
              <w:bottom w:val="single" w:sz="4" w:space="0" w:color="FFFFFF"/>
            </w:tcBorders>
            <w:shd w:fill="FFFFFF" w:val="clear"/>
            <w:vAlign w:val="center"/>
          </w:tcPr>
          <w:p>
            <w:pPr>
              <w:pStyle w:val="TableContents"/>
              <w:spacing w:before="0" w:after="283"/>
              <w:rPr/>
            </w:pPr>
            <w:r>
              <w:rPr/>
              <w:t> </w:t>
            </w:r>
          </w:p>
        </w:tc>
        <w:tc>
          <w:tcPr>
            <w:tcW w:w="125" w:type="dxa"/>
            <w:tcBorders>
              <w:bottom w:val="doub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bookmarkStart w:id="3111" w:name="TAB11468"/>
            <w:bookmarkEnd w:id="3111"/>
            <w:r>
              <w:rPr>
                <w:rFonts w:ascii="Times New Roman" w:hAnsi="Times New Roman"/>
                <w:sz w:val="20"/>
              </w:rPr>
              <w:t>$</w:t>
            </w:r>
          </w:p>
        </w:tc>
        <w:tc>
          <w:tcPr>
            <w:tcW w:w="1197"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3112" w:name="TAB11469"/>
            <w:bookmarkEnd w:id="3112"/>
            <w:r>
              <w:rPr>
                <w:rFonts w:ascii="Times New Roman" w:hAnsi="Times New Roman"/>
                <w:sz w:val="20"/>
              </w:rPr>
              <w:t>170,667</w:t>
            </w:r>
          </w:p>
        </w:tc>
        <w:tc>
          <w:tcPr>
            <w:tcW w:w="203" w:type="dxa"/>
            <w:tcBorders>
              <w:bottom w:val="single" w:sz="4" w:space="0" w:color="FFFFFF"/>
            </w:tcBorders>
            <w:shd w:fill="FFFFFF" w:val="clear"/>
            <w:vAlign w:val="bottom"/>
          </w:tcPr>
          <w:p>
            <w:pPr>
              <w:pStyle w:val="TableContents"/>
              <w:spacing w:before="0" w:after="283"/>
              <w:jc w:val="left"/>
              <w:rPr/>
            </w:pPr>
            <w:r>
              <w:rPr/>
              <w:t> </w:t>
            </w:r>
          </w:p>
        </w:tc>
        <w:tc>
          <w:tcPr>
            <w:tcW w:w="125" w:type="dxa"/>
            <w:tcBorders>
              <w:bottom w:val="doub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bookmarkStart w:id="3113" w:name="TAB11470"/>
            <w:bookmarkEnd w:id="3113"/>
            <w:r>
              <w:rPr>
                <w:rFonts w:ascii="Times New Roman" w:hAnsi="Times New Roman"/>
                <w:sz w:val="20"/>
              </w:rPr>
              <w:t>$</w:t>
            </w:r>
          </w:p>
        </w:tc>
        <w:tc>
          <w:tcPr>
            <w:tcW w:w="1197"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3114" w:name="TAB11471"/>
            <w:bookmarkEnd w:id="3114"/>
            <w:r>
              <w:rPr>
                <w:rFonts w:ascii="Times New Roman" w:hAnsi="Times New Roman"/>
                <w:sz w:val="20"/>
              </w:rPr>
              <w:t>167,389</w:t>
            </w:r>
          </w:p>
        </w:tc>
        <w:tc>
          <w:tcPr>
            <w:tcW w:w="122" w:type="dxa"/>
            <w:tcBorders>
              <w:bottom w:val="single" w:sz="4" w:space="0" w:color="FFFFFF"/>
            </w:tcBorders>
            <w:shd w:fill="FFFFFF" w:val="clear"/>
            <w:vAlign w:val="bottom"/>
          </w:tcPr>
          <w:p>
            <w:pPr>
              <w:pStyle w:val="TableContents"/>
              <w:spacing w:before="0" w:after="283"/>
              <w:jc w:val="left"/>
              <w:rPr/>
            </w:pPr>
            <w:r>
              <w:rPr/>
              <w:t> </w:t>
            </w:r>
          </w:p>
        </w:tc>
      </w:tr>
    </w:tbl>
    <w:p>
      <w:pPr>
        <w:pStyle w:val="TextBody"/>
        <w:spacing w:lineRule="auto" w:line="300" w:before="0" w:after="0"/>
        <w:ind w:left="0" w:right="0" w:hanging="0"/>
        <w:jc w:val="both"/>
        <w:rPr/>
      </w:pPr>
      <w:r>
        <w:rPr/>
      </w:r>
    </w:p>
    <w:p>
      <w:pPr>
        <w:pStyle w:val="TextBody"/>
        <w:spacing w:lineRule="auto" w:line="300" w:before="0" w:after="0"/>
        <w:ind w:left="540" w:right="0" w:hanging="0"/>
        <w:jc w:val="both"/>
        <w:rPr>
          <w:rFonts w:ascii="Times New Roman" w:hAnsi="Times New Roman"/>
          <w:sz w:val="20"/>
        </w:rPr>
      </w:pPr>
      <w:bookmarkStart w:id="3115" w:name="TAB11472"/>
      <w:bookmarkStart w:id="3116" w:name="TAB11473"/>
      <w:bookmarkEnd w:id="3115"/>
      <w:bookmarkEnd w:id="3116"/>
      <w:r>
        <w:rPr>
          <w:rFonts w:ascii="Times New Roman" w:hAnsi="Times New Roman"/>
          <w:sz w:val="20"/>
        </w:rPr>
        <w:t>Depreciation expense for property and equipment was $12.3 million, $9.6 million, and $11.6 million for the three years ending December 31, 2006, 2005 and 2004, respectively.</w:t>
      </w:r>
    </w:p>
    <w:p>
      <w:pPr>
        <w:pStyle w:val="TextBody"/>
        <w:spacing w:lineRule="auto" w:line="300"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117" w:name="PGBRK86"/>
      <w:bookmarkStart w:id="3118" w:name="PGBRK86"/>
      <w:bookmarkEnd w:id="311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119" w:name="FTR86"/>
      <w:bookmarkStart w:id="3120" w:name="FTR86"/>
      <w:bookmarkEnd w:id="312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121" w:name="GLFTR86"/>
      <w:bookmarkStart w:id="3122" w:name="GLFTR86"/>
      <w:bookmarkEnd w:id="312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3123" w:name="PN86"/>
      <w:bookmarkEnd w:id="3123"/>
      <w:r>
        <w:rPr>
          <w:rFonts w:ascii="Times New Roman" w:hAnsi="Times New Roman"/>
          <w:sz w:val="16"/>
        </w:rPr>
        <w:t>-86-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124" w:name="HDR86"/>
      <w:bookmarkStart w:id="3125" w:name="HDR86"/>
      <w:bookmarkEnd w:id="31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3126" w:name="GLHDR86"/>
        <w:bookmarkEnd w:id="3126"/>
        <w:r>
          <w:rPr>
            <w:rStyle w:val="Emphasis"/>
            <w:rFonts w:ascii="Times New Roman" w:hAnsi="Times New Roman"/>
            <w:color w:val="000000"/>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300" w:before="0" w:after="0"/>
        <w:ind w:left="0" w:right="144" w:hanging="0"/>
        <w:jc w:val="both"/>
        <w:rPr/>
      </w:pPr>
      <w:r>
        <w:rPr>
          <w:rStyle w:val="StrongEmphasis"/>
          <w:rFonts w:ascii="Times New Roman" w:hAnsi="Times New Roman"/>
          <w:sz w:val="20"/>
          <w:u w:val="single"/>
        </w:rPr>
        <w:t>Note 8 - Acquisitions and Property Development</w:t>
      </w:r>
    </w:p>
    <w:p>
      <w:pPr>
        <w:pStyle w:val="TextBody"/>
        <w:spacing w:lineRule="auto" w:line="300" w:before="0" w:after="0"/>
        <w:ind w:left="0" w:right="144" w:hanging="0"/>
        <w:jc w:val="both"/>
        <w:rPr/>
      </w:pPr>
      <w:r>
        <w:rPr/>
      </w:r>
    </w:p>
    <w:p>
      <w:pPr>
        <w:pStyle w:val="TextBody"/>
        <w:spacing w:lineRule="auto" w:line="300" w:before="0" w:after="0"/>
        <w:ind w:left="0" w:right="0" w:hanging="0"/>
        <w:jc w:val="left"/>
        <w:rPr>
          <w:rFonts w:ascii="Times New Roman" w:hAnsi="Times New Roman"/>
          <w:sz w:val="20"/>
          <w:u w:val="single"/>
        </w:rPr>
      </w:pPr>
      <w:r>
        <w:rPr>
          <w:rFonts w:ascii="Times New Roman" w:hAnsi="Times New Roman"/>
          <w:sz w:val="20"/>
          <w:u w:val="single"/>
        </w:rPr>
        <w:t>2006 Acquisitions and Property Development</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pPr>
      <w:r>
        <w:rPr>
          <w:rStyle w:val="Emphasis"/>
          <w:rFonts w:ascii="Times New Roman" w:hAnsi="Times New Roman"/>
          <w:sz w:val="20"/>
          <w:u w:val="single"/>
        </w:rPr>
        <w:t>Indooroopilly Land</w:t>
      </w:r>
    </w:p>
    <w:p>
      <w:pPr>
        <w:pStyle w:val="TextBody"/>
        <w:spacing w:lineRule="auto" w:line="300" w:before="0" w:after="0"/>
        <w:ind w:left="0" w:right="0" w:hanging="0"/>
        <w:jc w:val="left"/>
        <w:rPr/>
      </w:pPr>
      <w:r>
        <w:rPr/>
      </w:r>
    </w:p>
    <w:p>
      <w:pPr>
        <w:pStyle w:val="TextBody"/>
        <w:spacing w:lineRule="auto" w:line="300" w:before="0" w:after="0"/>
        <w:ind w:left="720" w:right="0" w:hanging="0"/>
        <w:jc w:val="left"/>
        <w:rPr>
          <w:rFonts w:ascii="Times New Roman" w:hAnsi="Times New Roman"/>
          <w:sz w:val="20"/>
        </w:rPr>
      </w:pPr>
      <w:bookmarkStart w:id="3127" w:name="TAB11474"/>
      <w:bookmarkEnd w:id="3127"/>
      <w:r>
        <w:rPr>
          <w:rFonts w:ascii="Times New Roman" w:hAnsi="Times New Roman"/>
          <w:sz w:val="20"/>
        </w:rPr>
        <w:t>On September 18, 2006, we purchased a 0.3 acre property for $1.8 million (AUS$2.3 million) as part of our newly established Landplan Property Partners arrangement with Mr. Doug Osborne.</w:t>
      </w:r>
    </w:p>
    <w:p>
      <w:pPr>
        <w:pStyle w:val="TextBody"/>
        <w:spacing w:lineRule="auto" w:line="300" w:before="0" w:after="0"/>
        <w:ind w:left="0" w:right="0" w:hanging="0"/>
        <w:jc w:val="left"/>
        <w:rPr/>
      </w:pPr>
      <w:r>
        <w:rPr/>
      </w:r>
    </w:p>
    <w:p>
      <w:pPr>
        <w:pStyle w:val="TextBody"/>
        <w:spacing w:lineRule="auto" w:line="300" w:before="0" w:after="0"/>
        <w:ind w:left="720" w:right="0" w:hanging="0"/>
        <w:jc w:val="both"/>
        <w:rPr>
          <w:rFonts w:ascii="Times New Roman" w:hAnsi="Times New Roman"/>
          <w:sz w:val="20"/>
        </w:rPr>
      </w:pPr>
      <w:bookmarkStart w:id="3128" w:name="TAB11475"/>
      <w:bookmarkEnd w:id="3128"/>
      <w:r>
        <w:rPr>
          <w:rFonts w:ascii="Times New Roman" w:hAnsi="Times New Roman"/>
          <w:sz w:val="20"/>
        </w:rPr>
        <w:t xml:space="preserve">In July 2006, we entered into an agreement with Mr. Doug Osborne pursuant to which (i) Mr. Osborne will serve as the chief executive officer of our newly formed Australian subsidiary Landplan Property Partners, Ltd (“LPP”) and (ii) Mr. Osborne’s affiliate, Landplan Property Group, Ltd (“LPG”), will perform certain property management services for LPP. LPP was formed to identify, acquire, develop and operate properties in Australia and New Zealand offering redevelopment possibilities and, ultimately, to sell the resultant redeveloped properties. The agreement provides for a base salary and an equity interest to Mr. Osborne in these properties. Mr. Osborne’s ownership interest in these properties, however, is subordinate to our right to an 11% compounded return on investment and is subject to adjustment depending upon his length of service and the amounts we invest. Generally speaking, his ownership interest will range from 27.5% to 15% based on meeting the defined service requirements and depending on our level of investment. At December 31, 2006, Landplan had acquired one property in Indooroopilly, Brisbane, Australia. With the purchase of the Indooroopilly property, based on SFAS 123(R), we calculated the fair value of Mr. Osborne’s equity interest in the Indooroopilly Trust at the grant date as $77,000 (AUS$98,000) and we have expensed $13,000 (AUS$17,000)of this value during 2006. </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pPr>
      <w:r>
        <w:rPr>
          <w:rStyle w:val="Emphasis"/>
          <w:rFonts w:ascii="Times New Roman" w:hAnsi="Times New Roman"/>
          <w:sz w:val="20"/>
          <w:u w:val="single"/>
        </w:rPr>
        <w:t>Moonee Ponds Land</w:t>
      </w:r>
    </w:p>
    <w:p>
      <w:pPr>
        <w:pStyle w:val="TextBody"/>
        <w:spacing w:lineRule="auto" w:line="300" w:before="0" w:after="0"/>
        <w:ind w:left="0" w:right="0" w:hanging="0"/>
        <w:jc w:val="left"/>
        <w:rPr/>
      </w:pPr>
      <w:r>
        <w:rPr/>
      </w:r>
    </w:p>
    <w:p>
      <w:pPr>
        <w:pStyle w:val="TextBody"/>
        <w:spacing w:lineRule="auto" w:line="300" w:before="0" w:after="0"/>
        <w:ind w:left="720" w:right="0" w:hanging="0"/>
        <w:jc w:val="left"/>
        <w:rPr>
          <w:rFonts w:ascii="Times New Roman" w:hAnsi="Times New Roman"/>
          <w:sz w:val="20"/>
        </w:rPr>
      </w:pPr>
      <w:bookmarkStart w:id="3129" w:name="TAB11476"/>
      <w:bookmarkEnd w:id="3129"/>
      <w:r>
        <w:rPr>
          <w:rFonts w:ascii="Times New Roman" w:hAnsi="Times New Roman"/>
          <w:sz w:val="20"/>
        </w:rPr>
        <w:t>On September 1, 2006, we purchased two parcels of land aggregating 0.4 acres adjacent to our Moonee Ponds property for $2.5 million (AUS$3.3 million). This acquisition increases our holdings at Moonee Ponds to 3.1 acres and gives us frontage facing the principal transit station servicing the area. We are now in the process of developing the entire site and anticipate completion of this project in 2008.</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pPr>
      <w:r>
        <w:rPr>
          <w:rStyle w:val="Emphasis"/>
          <w:rFonts w:ascii="Times New Roman" w:hAnsi="Times New Roman"/>
          <w:sz w:val="20"/>
          <w:u w:val="single"/>
        </w:rPr>
        <w:t xml:space="preserve">Berkeley Cinemas </w:t>
      </w:r>
    </w:p>
    <w:p>
      <w:pPr>
        <w:pStyle w:val="TextBody"/>
        <w:spacing w:lineRule="auto" w:line="300" w:before="0" w:after="0"/>
        <w:ind w:left="0" w:right="0" w:hanging="0"/>
        <w:jc w:val="left"/>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Additionally, effective April 1, 2006, we purchased from our Joint Venture partner the 50% share that we did not already own of the Palms cinema located in Christchurch, New Zealand for cash of $2.6 million (NZ$4.1 million) and the proportionate share of assumed debt which amounted to $987,000 (NZ$1.6 million). This 8-screen, leasehold cinema had previously been included in our Berkeley Cinemas Joint Venture investment and was not previously consolidated for accounting purposes. We drew down $4.8 million (AUS$6.3 million) on our Australian Corporate Credit Facility to purchase the Palms cinema and to payoff its bank debt of $2.0 million (NZ$3.1 million). We have finalized the purchase price allocation of this acquisition, which resulted in a 50% step up in basis of assets and liabilities, in accordance with SFAS No. 141 Business Combinations. A summary of the increased assets and liabilities relating to this acquisition as recorded at estimated fair values is as follows (dollars in thousands):</w:t>
      </w:r>
    </w:p>
    <w:p>
      <w:pPr>
        <w:pStyle w:val="TextBody"/>
        <w:spacing w:lineRule="auto" w:line="300" w:before="0" w:after="0"/>
        <w:ind w:left="0" w:right="0" w:firstLine="720"/>
        <w:jc w:val="both"/>
        <w:rPr/>
      </w:pPr>
      <w:r>
        <w:rPr/>
      </w:r>
    </w:p>
    <w:p>
      <w:pPr>
        <w:pStyle w:val="Normal"/>
        <w:spacing w:before="0" w:after="0"/>
        <w:rPr>
          <w:sz w:val="4"/>
          <w:szCs w:val="4"/>
        </w:rPr>
      </w:pPr>
      <w:r>
        <w:rPr>
          <w:sz w:val="4"/>
          <w:szCs w:val="4"/>
        </w:rPr>
      </w:r>
      <w:bookmarkStart w:id="3130" w:name="ftable25"/>
      <w:bookmarkStart w:id="3131" w:name="ftable25"/>
      <w:bookmarkEnd w:id="3131"/>
    </w:p>
    <w:tbl>
      <w:tblPr>
        <w:tblW w:w="5000" w:type="pct"/>
        <w:jc w:val="left"/>
        <w:tblInd w:w="0" w:type="dxa"/>
        <w:tblCellMar>
          <w:top w:w="0" w:type="dxa"/>
          <w:left w:w="0" w:type="dxa"/>
          <w:bottom w:w="28" w:type="dxa"/>
          <w:right w:w="0" w:type="dxa"/>
        </w:tblCellMar>
      </w:tblPr>
      <w:tblGrid>
        <w:gridCol w:w="8492"/>
        <w:gridCol w:w="212"/>
        <w:gridCol w:w="141"/>
        <w:gridCol w:w="1237"/>
        <w:gridCol w:w="123"/>
      </w:tblGrid>
      <w:tr>
        <w:trPr/>
        <w:tc>
          <w:tcPr>
            <w:tcW w:w="8492" w:type="dxa"/>
            <w:tcBorders>
              <w:bottom w:val="double" w:sz="2" w:space="0" w:color="000000"/>
            </w:tcBorders>
            <w:shd w:fill="auto" w:val="clear"/>
            <w:vAlign w:val="bottom"/>
          </w:tcPr>
          <w:p>
            <w:pPr>
              <w:pStyle w:val="TableContents"/>
              <w:spacing w:before="0" w:after="283"/>
              <w:jc w:val="left"/>
              <w:rPr/>
            </w:pPr>
            <w:r>
              <w:rPr/>
              <w:t> </w:t>
            </w:r>
          </w:p>
        </w:tc>
        <w:tc>
          <w:tcPr>
            <w:tcW w:w="212" w:type="dxa"/>
            <w:tcBorders>
              <w:bottom w:val="single" w:sz="4" w:space="0" w:color="FFFFFF"/>
            </w:tcBorders>
            <w:shd w:fill="auto" w:val="clear"/>
            <w:vAlign w:val="center"/>
          </w:tcPr>
          <w:p>
            <w:pPr>
              <w:pStyle w:val="TableContents"/>
              <w:spacing w:before="0" w:after="283"/>
              <w:rPr/>
            </w:pPr>
            <w:r>
              <w:rPr/>
              <w:t> </w:t>
            </w:r>
          </w:p>
        </w:tc>
        <w:tc>
          <w:tcPr>
            <w:tcW w:w="1378"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Palms Cinema</w:t>
            </w:r>
          </w:p>
        </w:tc>
        <w:tc>
          <w:tcPr>
            <w:tcW w:w="123" w:type="dxa"/>
            <w:tcBorders>
              <w:bottom w:val="single" w:sz="4" w:space="0" w:color="FFFFFF"/>
            </w:tcBorders>
            <w:shd w:fill="auto" w:val="clear"/>
            <w:vAlign w:val="bottom"/>
          </w:tcPr>
          <w:p>
            <w:pPr>
              <w:pStyle w:val="TableContents"/>
              <w:spacing w:before="0" w:after="283"/>
              <w:jc w:val="left"/>
              <w:rPr/>
            </w:pPr>
            <w:r>
              <w:rPr/>
              <w:t> </w:t>
            </w:r>
          </w:p>
        </w:tc>
      </w:tr>
      <w:tr>
        <w:trPr/>
        <w:tc>
          <w:tcPr>
            <w:tcW w:w="8492" w:type="dxa"/>
            <w:tcBorders/>
            <w:shd w:fill="auto" w:val="clear"/>
            <w:tcMar>
              <w:bottom w:w="0" w:type="dxa"/>
            </w:tcMar>
            <w:vAlign w:val="bottom"/>
          </w:tcPr>
          <w:p>
            <w:pPr>
              <w:pStyle w:val="TableContents"/>
              <w:spacing w:lineRule="auto" w:line="300" w:before="0" w:after="0"/>
              <w:ind w:left="0" w:right="0" w:hanging="0"/>
              <w:jc w:val="left"/>
              <w:rPr/>
            </w:pPr>
            <w:r>
              <w:rPr>
                <w:rStyle w:val="StrongEmphasis"/>
                <w:rFonts w:ascii="Times New Roman" w:hAnsi="Times New Roman"/>
                <w:sz w:val="20"/>
              </w:rPr>
              <w:t>Assets</w:t>
            </w:r>
          </w:p>
        </w:tc>
        <w:tc>
          <w:tcPr>
            <w:tcW w:w="212" w:type="dxa"/>
            <w:tcBorders/>
            <w:shd w:fill="auto" w:val="clear"/>
            <w:tcMar>
              <w:bottom w:w="0" w:type="dxa"/>
            </w:tcMar>
            <w:vAlign w:val="center"/>
          </w:tcPr>
          <w:p>
            <w:pPr>
              <w:pStyle w:val="TableContents"/>
              <w:spacing w:before="0" w:after="283"/>
              <w:rPr/>
            </w:pPr>
            <w:r>
              <w:rPr/>
              <w:t> </w:t>
            </w:r>
          </w:p>
        </w:tc>
        <w:tc>
          <w:tcPr>
            <w:tcW w:w="141" w:type="dxa"/>
            <w:tcBorders/>
            <w:shd w:fill="auto" w:val="clear"/>
            <w:tcMar>
              <w:bottom w:w="0" w:type="dxa"/>
            </w:tcMar>
            <w:vAlign w:val="bottom"/>
          </w:tcPr>
          <w:p>
            <w:pPr>
              <w:pStyle w:val="TableContents"/>
              <w:spacing w:before="0" w:after="283"/>
              <w:jc w:val="left"/>
              <w:rPr/>
            </w:pPr>
            <w:r>
              <w:rPr/>
              <w:t> </w:t>
            </w:r>
          </w:p>
        </w:tc>
        <w:tc>
          <w:tcPr>
            <w:tcW w:w="1237" w:type="dxa"/>
            <w:tcBorders/>
            <w:shd w:fill="auto" w:val="clear"/>
            <w:tcMar>
              <w:bottom w:w="0" w:type="dxa"/>
            </w:tcMar>
            <w:vAlign w:val="bottom"/>
          </w:tcPr>
          <w:p>
            <w:pPr>
              <w:pStyle w:val="TableContents"/>
              <w:spacing w:before="0" w:after="283"/>
              <w:jc w:val="right"/>
              <w:rPr/>
            </w:pPr>
            <w:r>
              <w:rPr/>
              <w:t> </w:t>
            </w:r>
          </w:p>
        </w:tc>
        <w:tc>
          <w:tcPr>
            <w:tcW w:w="123" w:type="dxa"/>
            <w:tcBorders/>
            <w:shd w:fill="auto" w:val="clear"/>
            <w:tcMar>
              <w:bottom w:w="0" w:type="dxa"/>
            </w:tcMar>
            <w:vAlign w:val="bottom"/>
          </w:tcPr>
          <w:p>
            <w:pPr>
              <w:pStyle w:val="TableContents"/>
              <w:spacing w:before="0" w:after="283"/>
              <w:jc w:val="left"/>
              <w:rPr/>
            </w:pPr>
            <w:r>
              <w:rPr/>
              <w:t> </w:t>
            </w:r>
          </w:p>
        </w:tc>
      </w:tr>
      <w:tr>
        <w:trPr/>
        <w:tc>
          <w:tcPr>
            <w:tcW w:w="8492"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Accounts receivable</w:t>
            </w:r>
          </w:p>
        </w:tc>
        <w:tc>
          <w:tcPr>
            <w:tcW w:w="212" w:type="dxa"/>
            <w:tcBorders/>
            <w:shd w:fill="CCEEFF" w:val="clear"/>
            <w:tcMar>
              <w:bottom w:w="0" w:type="dxa"/>
            </w:tcMar>
            <w:vAlign w:val="center"/>
          </w:tcPr>
          <w:p>
            <w:pPr>
              <w:pStyle w:val="TableContents"/>
              <w:spacing w:before="0" w:after="283"/>
              <w:rPr/>
            </w:pPr>
            <w:r>
              <w:rPr/>
              <w:t> </w:t>
            </w:r>
          </w:p>
        </w:tc>
        <w:tc>
          <w:tcPr>
            <w:tcW w:w="141"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3132" w:name="TAB11477"/>
            <w:bookmarkEnd w:id="3132"/>
            <w:r>
              <w:rPr>
                <w:rFonts w:ascii="Times New Roman" w:hAnsi="Times New Roman"/>
                <w:sz w:val="20"/>
              </w:rPr>
              <w:t>$</w:t>
            </w:r>
          </w:p>
        </w:tc>
        <w:tc>
          <w:tcPr>
            <w:tcW w:w="1237"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3133" w:name="TAB11478"/>
            <w:bookmarkEnd w:id="3133"/>
            <w:r>
              <w:rPr>
                <w:rFonts w:ascii="Times New Roman" w:hAnsi="Times New Roman"/>
                <w:sz w:val="20"/>
              </w:rPr>
              <w:t>31</w:t>
            </w:r>
          </w:p>
        </w:tc>
        <w:tc>
          <w:tcPr>
            <w:tcW w:w="123" w:type="dxa"/>
            <w:tcBorders/>
            <w:shd w:fill="CCEEFF" w:val="clear"/>
            <w:tcMar>
              <w:bottom w:w="0" w:type="dxa"/>
            </w:tcMar>
            <w:vAlign w:val="bottom"/>
          </w:tcPr>
          <w:p>
            <w:pPr>
              <w:pStyle w:val="TableContents"/>
              <w:spacing w:before="0" w:after="283"/>
              <w:jc w:val="left"/>
              <w:rPr/>
            </w:pPr>
            <w:r>
              <w:rPr/>
              <w:t> </w:t>
            </w:r>
          </w:p>
        </w:tc>
      </w:tr>
      <w:tr>
        <w:trPr/>
        <w:tc>
          <w:tcPr>
            <w:tcW w:w="8492"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Inventory</w:t>
            </w:r>
          </w:p>
        </w:tc>
        <w:tc>
          <w:tcPr>
            <w:tcW w:w="212" w:type="dxa"/>
            <w:tcBorders/>
            <w:shd w:fill="FFFFFF" w:val="clear"/>
            <w:tcMar>
              <w:bottom w:w="0" w:type="dxa"/>
            </w:tcMar>
            <w:vAlign w:val="center"/>
          </w:tcPr>
          <w:p>
            <w:pPr>
              <w:pStyle w:val="TableContents"/>
              <w:spacing w:before="0" w:after="283"/>
              <w:rPr/>
            </w:pPr>
            <w:r>
              <w:rPr/>
              <w:t> </w:t>
            </w:r>
          </w:p>
        </w:tc>
        <w:tc>
          <w:tcPr>
            <w:tcW w:w="141" w:type="dxa"/>
            <w:tcBorders/>
            <w:shd w:fill="FFFFFF" w:val="clear"/>
            <w:tcMar>
              <w:bottom w:w="0" w:type="dxa"/>
            </w:tcMar>
            <w:vAlign w:val="bottom"/>
          </w:tcPr>
          <w:p>
            <w:pPr>
              <w:pStyle w:val="TableContents"/>
              <w:spacing w:before="0" w:after="283"/>
              <w:jc w:val="left"/>
              <w:rPr/>
            </w:pPr>
            <w:r>
              <w:rPr/>
              <w:t> </w:t>
            </w:r>
          </w:p>
        </w:tc>
        <w:tc>
          <w:tcPr>
            <w:tcW w:w="1237"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11</w:t>
            </w:r>
          </w:p>
        </w:tc>
        <w:tc>
          <w:tcPr>
            <w:tcW w:w="123" w:type="dxa"/>
            <w:tcBorders/>
            <w:shd w:fill="FFFFFF" w:val="clear"/>
            <w:tcMar>
              <w:bottom w:w="0" w:type="dxa"/>
            </w:tcMar>
            <w:vAlign w:val="bottom"/>
          </w:tcPr>
          <w:p>
            <w:pPr>
              <w:pStyle w:val="TableContents"/>
              <w:spacing w:before="0" w:after="283"/>
              <w:jc w:val="left"/>
              <w:rPr/>
            </w:pPr>
            <w:r>
              <w:rPr/>
              <w:t> </w:t>
            </w:r>
          </w:p>
        </w:tc>
      </w:tr>
      <w:tr>
        <w:trPr/>
        <w:tc>
          <w:tcPr>
            <w:tcW w:w="8492"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Other assets</w:t>
            </w:r>
          </w:p>
        </w:tc>
        <w:tc>
          <w:tcPr>
            <w:tcW w:w="212" w:type="dxa"/>
            <w:tcBorders/>
            <w:shd w:fill="CCEEFF" w:val="clear"/>
            <w:tcMar>
              <w:bottom w:w="0" w:type="dxa"/>
            </w:tcMar>
            <w:vAlign w:val="center"/>
          </w:tcPr>
          <w:p>
            <w:pPr>
              <w:pStyle w:val="TableContents"/>
              <w:spacing w:before="0" w:after="283"/>
              <w:rPr/>
            </w:pPr>
            <w:r>
              <w:rPr/>
              <w:t> </w:t>
            </w:r>
          </w:p>
        </w:tc>
        <w:tc>
          <w:tcPr>
            <w:tcW w:w="141" w:type="dxa"/>
            <w:tcBorders/>
            <w:shd w:fill="CCEEFF" w:val="clear"/>
            <w:tcMar>
              <w:bottom w:w="0" w:type="dxa"/>
            </w:tcMar>
            <w:vAlign w:val="bottom"/>
          </w:tcPr>
          <w:p>
            <w:pPr>
              <w:pStyle w:val="TableContents"/>
              <w:spacing w:before="0" w:after="283"/>
              <w:jc w:val="left"/>
              <w:rPr/>
            </w:pPr>
            <w:r>
              <w:rPr/>
              <w:t> </w:t>
            </w:r>
          </w:p>
        </w:tc>
        <w:tc>
          <w:tcPr>
            <w:tcW w:w="1237"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8</w:t>
            </w:r>
          </w:p>
        </w:tc>
        <w:tc>
          <w:tcPr>
            <w:tcW w:w="123" w:type="dxa"/>
            <w:tcBorders/>
            <w:shd w:fill="CCEEFF" w:val="clear"/>
            <w:tcMar>
              <w:bottom w:w="0" w:type="dxa"/>
            </w:tcMar>
            <w:vAlign w:val="bottom"/>
          </w:tcPr>
          <w:p>
            <w:pPr>
              <w:pStyle w:val="TableContents"/>
              <w:spacing w:before="0" w:after="283"/>
              <w:jc w:val="left"/>
              <w:rPr/>
            </w:pPr>
            <w:r>
              <w:rPr/>
              <w:t> </w:t>
            </w:r>
          </w:p>
        </w:tc>
      </w:tr>
      <w:tr>
        <w:trPr/>
        <w:tc>
          <w:tcPr>
            <w:tcW w:w="8492"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Property and equipment</w:t>
            </w:r>
          </w:p>
        </w:tc>
        <w:tc>
          <w:tcPr>
            <w:tcW w:w="212" w:type="dxa"/>
            <w:tcBorders/>
            <w:shd w:fill="FFFFFF" w:val="clear"/>
            <w:tcMar>
              <w:bottom w:w="0" w:type="dxa"/>
            </w:tcMar>
            <w:vAlign w:val="center"/>
          </w:tcPr>
          <w:p>
            <w:pPr>
              <w:pStyle w:val="TableContents"/>
              <w:spacing w:before="0" w:after="283"/>
              <w:rPr/>
            </w:pPr>
            <w:r>
              <w:rPr/>
              <w:t> </w:t>
            </w:r>
          </w:p>
        </w:tc>
        <w:tc>
          <w:tcPr>
            <w:tcW w:w="141" w:type="dxa"/>
            <w:tcBorders/>
            <w:shd w:fill="FFFFFF" w:val="clear"/>
            <w:tcMar>
              <w:bottom w:w="0" w:type="dxa"/>
            </w:tcMar>
            <w:vAlign w:val="bottom"/>
          </w:tcPr>
          <w:p>
            <w:pPr>
              <w:pStyle w:val="TableContents"/>
              <w:spacing w:before="0" w:after="283"/>
              <w:jc w:val="left"/>
              <w:rPr/>
            </w:pPr>
            <w:r>
              <w:rPr/>
              <w:t> </w:t>
            </w:r>
          </w:p>
        </w:tc>
        <w:tc>
          <w:tcPr>
            <w:tcW w:w="1237"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1,430</w:t>
            </w:r>
          </w:p>
        </w:tc>
        <w:tc>
          <w:tcPr>
            <w:tcW w:w="123" w:type="dxa"/>
            <w:tcBorders/>
            <w:shd w:fill="FFFFFF" w:val="clear"/>
            <w:tcMar>
              <w:bottom w:w="0" w:type="dxa"/>
            </w:tcMar>
            <w:vAlign w:val="bottom"/>
          </w:tcPr>
          <w:p>
            <w:pPr>
              <w:pStyle w:val="TableContents"/>
              <w:spacing w:before="0" w:after="283"/>
              <w:jc w:val="left"/>
              <w:rPr/>
            </w:pPr>
            <w:r>
              <w:rPr/>
              <w:t> </w:t>
            </w:r>
          </w:p>
        </w:tc>
      </w:tr>
      <w:tr>
        <w:trPr/>
        <w:tc>
          <w:tcPr>
            <w:tcW w:w="8492" w:type="dxa"/>
            <w:tcBorders>
              <w:bottom w:val="sing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Goodwill</w:t>
            </w:r>
          </w:p>
        </w:tc>
        <w:tc>
          <w:tcPr>
            <w:tcW w:w="212" w:type="dxa"/>
            <w:tcBorders>
              <w:bottom w:val="single" w:sz="2" w:space="0" w:color="CCEEFF"/>
            </w:tcBorders>
            <w:shd w:fill="CCEEFF" w:val="clear"/>
            <w:vAlign w:val="center"/>
          </w:tcPr>
          <w:p>
            <w:pPr>
              <w:pStyle w:val="TableContents"/>
              <w:spacing w:before="0" w:after="283"/>
              <w:rPr/>
            </w:pPr>
            <w:r>
              <w:rPr/>
              <w:t> </w:t>
            </w:r>
          </w:p>
        </w:tc>
        <w:tc>
          <w:tcPr>
            <w:tcW w:w="141" w:type="dxa"/>
            <w:tcBorders>
              <w:bottom w:val="single" w:sz="2" w:space="0" w:color="000000"/>
            </w:tcBorders>
            <w:shd w:fill="CCEEFF" w:val="clear"/>
            <w:vAlign w:val="bottom"/>
          </w:tcPr>
          <w:p>
            <w:pPr>
              <w:pStyle w:val="TableContents"/>
              <w:spacing w:before="0" w:after="283"/>
              <w:jc w:val="left"/>
              <w:rPr/>
            </w:pPr>
            <w:r>
              <w:rPr/>
              <w:t> </w:t>
            </w:r>
          </w:p>
        </w:tc>
        <w:tc>
          <w:tcPr>
            <w:tcW w:w="1237"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2,310</w:t>
            </w:r>
          </w:p>
        </w:tc>
        <w:tc>
          <w:tcPr>
            <w:tcW w:w="123" w:type="dxa"/>
            <w:tcBorders>
              <w:bottom w:val="single" w:sz="2" w:space="0" w:color="CCEEFF"/>
            </w:tcBorders>
            <w:shd w:fill="CCEEFF" w:val="clear"/>
            <w:vAlign w:val="bottom"/>
          </w:tcPr>
          <w:p>
            <w:pPr>
              <w:pStyle w:val="TableContents"/>
              <w:spacing w:before="0" w:after="283"/>
              <w:jc w:val="left"/>
              <w:rPr/>
            </w:pPr>
            <w:r>
              <w:rPr/>
              <w:t> </w:t>
            </w:r>
          </w:p>
        </w:tc>
      </w:tr>
      <w:tr>
        <w:trPr/>
        <w:tc>
          <w:tcPr>
            <w:tcW w:w="8492" w:type="dxa"/>
            <w:tcBorders/>
            <w:shd w:fill="FFFFFF" w:val="clear"/>
            <w:tcMar>
              <w:bottom w:w="0" w:type="dxa"/>
            </w:tcMar>
            <w:vAlign w:val="bottom"/>
          </w:tcPr>
          <w:p>
            <w:pPr>
              <w:pStyle w:val="TableContents"/>
              <w:spacing w:lineRule="auto" w:line="300" w:before="0" w:after="0"/>
              <w:ind w:left="360" w:right="0" w:hanging="0"/>
              <w:jc w:val="left"/>
              <w:rPr/>
            </w:pPr>
            <w:bookmarkStart w:id="3134" w:name="TAB11479"/>
            <w:bookmarkEnd w:id="3134"/>
            <w:r>
              <w:rPr>
                <w:rStyle w:val="StrongEmphasis"/>
                <w:rFonts w:ascii="Times New Roman" w:hAnsi="Times New Roman"/>
                <w:sz w:val="20"/>
              </w:rPr>
              <w:t>Total assets</w:t>
            </w:r>
          </w:p>
        </w:tc>
        <w:tc>
          <w:tcPr>
            <w:tcW w:w="212" w:type="dxa"/>
            <w:tcBorders/>
            <w:shd w:fill="FFFFFF" w:val="clear"/>
            <w:tcMar>
              <w:bottom w:w="0" w:type="dxa"/>
            </w:tcMar>
            <w:vAlign w:val="center"/>
          </w:tcPr>
          <w:p>
            <w:pPr>
              <w:pStyle w:val="TableContents"/>
              <w:spacing w:before="0" w:after="283"/>
              <w:rPr/>
            </w:pPr>
            <w:r>
              <w:rPr/>
              <w:t> </w:t>
            </w:r>
          </w:p>
        </w:tc>
        <w:tc>
          <w:tcPr>
            <w:tcW w:w="141" w:type="dxa"/>
            <w:tcBorders/>
            <w:shd w:fill="FFFFFF" w:val="clear"/>
            <w:tcMar>
              <w:bottom w:w="0" w:type="dxa"/>
            </w:tcMar>
            <w:vAlign w:val="bottom"/>
          </w:tcPr>
          <w:p>
            <w:pPr>
              <w:pStyle w:val="TableContents"/>
              <w:spacing w:before="0" w:after="283"/>
              <w:jc w:val="left"/>
              <w:rPr/>
            </w:pPr>
            <w:r>
              <w:rPr/>
              <w:t> </w:t>
            </w:r>
          </w:p>
        </w:tc>
        <w:tc>
          <w:tcPr>
            <w:tcW w:w="1237"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3,790</w:t>
            </w:r>
          </w:p>
        </w:tc>
        <w:tc>
          <w:tcPr>
            <w:tcW w:w="123" w:type="dxa"/>
            <w:tcBorders/>
            <w:shd w:fill="FFFFFF" w:val="clear"/>
            <w:tcMar>
              <w:bottom w:w="0" w:type="dxa"/>
            </w:tcMar>
            <w:vAlign w:val="bottom"/>
          </w:tcPr>
          <w:p>
            <w:pPr>
              <w:pStyle w:val="TableContents"/>
              <w:spacing w:before="0" w:after="283"/>
              <w:jc w:val="left"/>
              <w:rPr/>
            </w:pPr>
            <w:r>
              <w:rPr/>
              <w:t> </w:t>
            </w:r>
          </w:p>
        </w:tc>
      </w:tr>
      <w:tr>
        <w:trPr/>
        <w:tc>
          <w:tcPr>
            <w:tcW w:w="8492" w:type="dxa"/>
            <w:tcBorders/>
            <w:shd w:fill="CCEEFF" w:val="clear"/>
            <w:tcMar>
              <w:bottom w:w="0" w:type="dxa"/>
            </w:tcMar>
            <w:vAlign w:val="bottom"/>
          </w:tcPr>
          <w:p>
            <w:pPr>
              <w:pStyle w:val="TableContents"/>
              <w:spacing w:before="0" w:after="283"/>
              <w:jc w:val="left"/>
              <w:rPr/>
            </w:pPr>
            <w:r>
              <w:rPr/>
              <w:t> </w:t>
            </w:r>
          </w:p>
        </w:tc>
        <w:tc>
          <w:tcPr>
            <w:tcW w:w="212" w:type="dxa"/>
            <w:tcBorders/>
            <w:shd w:fill="CCEEFF" w:val="clear"/>
            <w:tcMar>
              <w:bottom w:w="0" w:type="dxa"/>
            </w:tcMar>
            <w:vAlign w:val="center"/>
          </w:tcPr>
          <w:p>
            <w:pPr>
              <w:pStyle w:val="TableContents"/>
              <w:spacing w:before="0" w:after="283"/>
              <w:rPr/>
            </w:pPr>
            <w:r>
              <w:rPr/>
              <w:t> </w:t>
            </w:r>
          </w:p>
        </w:tc>
        <w:tc>
          <w:tcPr>
            <w:tcW w:w="141" w:type="dxa"/>
            <w:tcBorders/>
            <w:shd w:fill="CCEEFF" w:val="clear"/>
            <w:tcMar>
              <w:bottom w:w="0" w:type="dxa"/>
            </w:tcMar>
            <w:vAlign w:val="bottom"/>
          </w:tcPr>
          <w:p>
            <w:pPr>
              <w:pStyle w:val="TableContents"/>
              <w:spacing w:before="0" w:after="283"/>
              <w:jc w:val="left"/>
              <w:rPr/>
            </w:pPr>
            <w:r>
              <w:rPr/>
              <w:t> </w:t>
            </w:r>
          </w:p>
        </w:tc>
        <w:tc>
          <w:tcPr>
            <w:tcW w:w="1237" w:type="dxa"/>
            <w:tcBorders/>
            <w:shd w:fill="CCEEFF" w:val="clear"/>
            <w:tcMar>
              <w:bottom w:w="0" w:type="dxa"/>
            </w:tcMar>
            <w:vAlign w:val="bottom"/>
          </w:tcPr>
          <w:p>
            <w:pPr>
              <w:pStyle w:val="TableContents"/>
              <w:spacing w:before="0" w:after="283"/>
              <w:jc w:val="right"/>
              <w:rPr/>
            </w:pPr>
            <w:r>
              <w:rPr/>
              <w:t> </w:t>
            </w:r>
          </w:p>
        </w:tc>
        <w:tc>
          <w:tcPr>
            <w:tcW w:w="123" w:type="dxa"/>
            <w:tcBorders/>
            <w:shd w:fill="CCEEFF" w:val="clear"/>
            <w:tcMar>
              <w:bottom w:w="0" w:type="dxa"/>
            </w:tcMar>
            <w:vAlign w:val="bottom"/>
          </w:tcPr>
          <w:p>
            <w:pPr>
              <w:pStyle w:val="TableContents"/>
              <w:spacing w:before="0" w:after="283"/>
              <w:jc w:val="left"/>
              <w:rPr/>
            </w:pPr>
            <w:r>
              <w:rPr/>
              <w:t> </w:t>
            </w:r>
          </w:p>
        </w:tc>
      </w:tr>
      <w:tr>
        <w:trPr/>
        <w:tc>
          <w:tcPr>
            <w:tcW w:w="8492" w:type="dxa"/>
            <w:tcBorders/>
            <w:shd w:fill="FFFFFF" w:val="clear"/>
            <w:tcMar>
              <w:bottom w:w="0" w:type="dxa"/>
            </w:tcMar>
            <w:vAlign w:val="bottom"/>
          </w:tcPr>
          <w:p>
            <w:pPr>
              <w:pStyle w:val="TableContents"/>
              <w:spacing w:lineRule="auto" w:line="300" w:before="0" w:after="0"/>
              <w:ind w:left="0" w:right="0" w:hanging="0"/>
              <w:jc w:val="left"/>
              <w:rPr/>
            </w:pPr>
            <w:r>
              <w:rPr>
                <w:rStyle w:val="StrongEmphasis"/>
                <w:rFonts w:ascii="Times New Roman" w:hAnsi="Times New Roman"/>
                <w:sz w:val="20"/>
              </w:rPr>
              <w:t>Liabilities</w:t>
            </w:r>
          </w:p>
        </w:tc>
        <w:tc>
          <w:tcPr>
            <w:tcW w:w="212" w:type="dxa"/>
            <w:tcBorders/>
            <w:shd w:fill="FFFFFF" w:val="clear"/>
            <w:tcMar>
              <w:bottom w:w="0" w:type="dxa"/>
            </w:tcMar>
            <w:vAlign w:val="center"/>
          </w:tcPr>
          <w:p>
            <w:pPr>
              <w:pStyle w:val="TableContents"/>
              <w:spacing w:before="0" w:after="283"/>
              <w:rPr/>
            </w:pPr>
            <w:r>
              <w:rPr/>
              <w:t> </w:t>
            </w:r>
          </w:p>
        </w:tc>
        <w:tc>
          <w:tcPr>
            <w:tcW w:w="141" w:type="dxa"/>
            <w:tcBorders/>
            <w:shd w:fill="FFFFFF" w:val="clear"/>
            <w:tcMar>
              <w:bottom w:w="0" w:type="dxa"/>
            </w:tcMar>
            <w:vAlign w:val="bottom"/>
          </w:tcPr>
          <w:p>
            <w:pPr>
              <w:pStyle w:val="TableContents"/>
              <w:spacing w:before="0" w:after="283"/>
              <w:jc w:val="left"/>
              <w:rPr/>
            </w:pPr>
            <w:r>
              <w:rPr/>
              <w:t> </w:t>
            </w:r>
          </w:p>
        </w:tc>
        <w:tc>
          <w:tcPr>
            <w:tcW w:w="1237" w:type="dxa"/>
            <w:tcBorders/>
            <w:shd w:fill="FFFFFF" w:val="clear"/>
            <w:tcMar>
              <w:bottom w:w="0" w:type="dxa"/>
            </w:tcMar>
            <w:vAlign w:val="bottom"/>
          </w:tcPr>
          <w:p>
            <w:pPr>
              <w:pStyle w:val="TableContents"/>
              <w:spacing w:before="0" w:after="283"/>
              <w:jc w:val="right"/>
              <w:rPr/>
            </w:pPr>
            <w:r>
              <w:rPr/>
              <w:t> </w:t>
            </w:r>
          </w:p>
        </w:tc>
        <w:tc>
          <w:tcPr>
            <w:tcW w:w="123" w:type="dxa"/>
            <w:tcBorders/>
            <w:shd w:fill="FFFFFF" w:val="clear"/>
            <w:tcMar>
              <w:bottom w:w="0" w:type="dxa"/>
            </w:tcMar>
            <w:vAlign w:val="bottom"/>
          </w:tcPr>
          <w:p>
            <w:pPr>
              <w:pStyle w:val="TableContents"/>
              <w:spacing w:before="0" w:after="283"/>
              <w:jc w:val="left"/>
              <w:rPr/>
            </w:pPr>
            <w:r>
              <w:rPr/>
              <w:t> </w:t>
            </w:r>
          </w:p>
        </w:tc>
      </w:tr>
      <w:tr>
        <w:trPr/>
        <w:tc>
          <w:tcPr>
            <w:tcW w:w="8492"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Accounts payable and accrued liabilities</w:t>
            </w:r>
          </w:p>
        </w:tc>
        <w:tc>
          <w:tcPr>
            <w:tcW w:w="212" w:type="dxa"/>
            <w:tcBorders/>
            <w:shd w:fill="CCEEFF" w:val="clear"/>
            <w:tcMar>
              <w:bottom w:w="0" w:type="dxa"/>
            </w:tcMar>
            <w:vAlign w:val="center"/>
          </w:tcPr>
          <w:p>
            <w:pPr>
              <w:pStyle w:val="TableContents"/>
              <w:spacing w:before="0" w:after="283"/>
              <w:rPr/>
            </w:pPr>
            <w:r>
              <w:rPr/>
              <w:t> </w:t>
            </w:r>
          </w:p>
        </w:tc>
        <w:tc>
          <w:tcPr>
            <w:tcW w:w="141" w:type="dxa"/>
            <w:tcBorders/>
            <w:shd w:fill="CCEEFF" w:val="clear"/>
            <w:tcMar>
              <w:bottom w:w="0" w:type="dxa"/>
            </w:tcMar>
            <w:vAlign w:val="bottom"/>
          </w:tcPr>
          <w:p>
            <w:pPr>
              <w:pStyle w:val="TableContents"/>
              <w:spacing w:before="0" w:after="283"/>
              <w:jc w:val="left"/>
              <w:rPr/>
            </w:pPr>
            <w:r>
              <w:rPr/>
              <w:t> </w:t>
            </w:r>
          </w:p>
        </w:tc>
        <w:tc>
          <w:tcPr>
            <w:tcW w:w="1237"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178</w:t>
            </w:r>
          </w:p>
        </w:tc>
        <w:tc>
          <w:tcPr>
            <w:tcW w:w="123" w:type="dxa"/>
            <w:tcBorders/>
            <w:shd w:fill="CCEEFF" w:val="clear"/>
            <w:tcMar>
              <w:bottom w:w="0" w:type="dxa"/>
            </w:tcMar>
            <w:vAlign w:val="bottom"/>
          </w:tcPr>
          <w:p>
            <w:pPr>
              <w:pStyle w:val="TableContents"/>
              <w:spacing w:before="0" w:after="283"/>
              <w:jc w:val="left"/>
              <w:rPr/>
            </w:pPr>
            <w:r>
              <w:rPr/>
              <w:t> </w:t>
            </w:r>
          </w:p>
        </w:tc>
      </w:tr>
      <w:tr>
        <w:trPr/>
        <w:tc>
          <w:tcPr>
            <w:tcW w:w="8492"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Note payable</w:t>
            </w:r>
          </w:p>
        </w:tc>
        <w:tc>
          <w:tcPr>
            <w:tcW w:w="212" w:type="dxa"/>
            <w:tcBorders/>
            <w:shd w:fill="FFFFFF" w:val="clear"/>
            <w:tcMar>
              <w:bottom w:w="0" w:type="dxa"/>
            </w:tcMar>
            <w:vAlign w:val="center"/>
          </w:tcPr>
          <w:p>
            <w:pPr>
              <w:pStyle w:val="TableContents"/>
              <w:spacing w:before="0" w:after="283"/>
              <w:rPr/>
            </w:pPr>
            <w:r>
              <w:rPr/>
              <w:t> </w:t>
            </w:r>
          </w:p>
        </w:tc>
        <w:tc>
          <w:tcPr>
            <w:tcW w:w="141" w:type="dxa"/>
            <w:tcBorders/>
            <w:shd w:fill="FFFFFF" w:val="clear"/>
            <w:tcMar>
              <w:bottom w:w="0" w:type="dxa"/>
            </w:tcMar>
            <w:vAlign w:val="bottom"/>
          </w:tcPr>
          <w:p>
            <w:pPr>
              <w:pStyle w:val="TableContents"/>
              <w:spacing w:before="0" w:after="283"/>
              <w:jc w:val="left"/>
              <w:rPr/>
            </w:pPr>
            <w:r>
              <w:rPr/>
              <w:t> </w:t>
            </w:r>
          </w:p>
        </w:tc>
        <w:tc>
          <w:tcPr>
            <w:tcW w:w="1237"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987</w:t>
            </w:r>
          </w:p>
        </w:tc>
        <w:tc>
          <w:tcPr>
            <w:tcW w:w="123" w:type="dxa"/>
            <w:tcBorders/>
            <w:shd w:fill="FFFFFF" w:val="clear"/>
            <w:tcMar>
              <w:bottom w:w="0" w:type="dxa"/>
            </w:tcMar>
            <w:vAlign w:val="bottom"/>
          </w:tcPr>
          <w:p>
            <w:pPr>
              <w:pStyle w:val="TableContents"/>
              <w:spacing w:before="0" w:after="283"/>
              <w:jc w:val="left"/>
              <w:rPr/>
            </w:pPr>
            <w:r>
              <w:rPr/>
              <w:t> </w:t>
            </w:r>
          </w:p>
        </w:tc>
      </w:tr>
      <w:tr>
        <w:trPr/>
        <w:tc>
          <w:tcPr>
            <w:tcW w:w="8492" w:type="dxa"/>
            <w:tcBorders>
              <w:bottom w:val="sing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Other liabilities</w:t>
            </w:r>
          </w:p>
        </w:tc>
        <w:tc>
          <w:tcPr>
            <w:tcW w:w="212" w:type="dxa"/>
            <w:tcBorders>
              <w:bottom w:val="single" w:sz="2" w:space="0" w:color="CCEEFF"/>
            </w:tcBorders>
            <w:shd w:fill="CCEEFF" w:val="clear"/>
            <w:vAlign w:val="center"/>
          </w:tcPr>
          <w:p>
            <w:pPr>
              <w:pStyle w:val="TableContents"/>
              <w:spacing w:before="0" w:after="283"/>
              <w:rPr/>
            </w:pPr>
            <w:r>
              <w:rPr/>
              <w:t> </w:t>
            </w:r>
          </w:p>
        </w:tc>
        <w:tc>
          <w:tcPr>
            <w:tcW w:w="141" w:type="dxa"/>
            <w:tcBorders>
              <w:bottom w:val="single" w:sz="2" w:space="0" w:color="000000"/>
            </w:tcBorders>
            <w:shd w:fill="CCEEFF" w:val="clear"/>
            <w:vAlign w:val="bottom"/>
          </w:tcPr>
          <w:p>
            <w:pPr>
              <w:pStyle w:val="TableContents"/>
              <w:spacing w:before="0" w:after="283"/>
              <w:jc w:val="left"/>
              <w:rPr/>
            </w:pPr>
            <w:r>
              <w:rPr/>
              <w:t> </w:t>
            </w:r>
          </w:p>
        </w:tc>
        <w:tc>
          <w:tcPr>
            <w:tcW w:w="1237"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12</w:t>
            </w:r>
          </w:p>
        </w:tc>
        <w:tc>
          <w:tcPr>
            <w:tcW w:w="123" w:type="dxa"/>
            <w:tcBorders>
              <w:bottom w:val="single" w:sz="2" w:space="0" w:color="CCEEFF"/>
            </w:tcBorders>
            <w:shd w:fill="CCEEFF" w:val="clear"/>
            <w:vAlign w:val="bottom"/>
          </w:tcPr>
          <w:p>
            <w:pPr>
              <w:pStyle w:val="TableContents"/>
              <w:spacing w:before="0" w:after="283"/>
              <w:jc w:val="left"/>
              <w:rPr/>
            </w:pPr>
            <w:r>
              <w:rPr/>
              <w:t> </w:t>
            </w:r>
          </w:p>
        </w:tc>
      </w:tr>
      <w:tr>
        <w:trPr/>
        <w:tc>
          <w:tcPr>
            <w:tcW w:w="8492" w:type="dxa"/>
            <w:tcBorders>
              <w:bottom w:val="single" w:sz="2" w:space="0" w:color="FFFFFF"/>
            </w:tcBorders>
            <w:shd w:fill="FFFFFF" w:val="clear"/>
            <w:vAlign w:val="bottom"/>
          </w:tcPr>
          <w:p>
            <w:pPr>
              <w:pStyle w:val="TableContents"/>
              <w:spacing w:lineRule="auto" w:line="300" w:before="0" w:after="0"/>
              <w:ind w:left="360" w:right="0" w:hanging="0"/>
              <w:jc w:val="left"/>
              <w:rPr/>
            </w:pPr>
            <w:bookmarkStart w:id="3135" w:name="TAB11480"/>
            <w:bookmarkEnd w:id="3135"/>
            <w:r>
              <w:rPr>
                <w:rStyle w:val="StrongEmphasis"/>
                <w:rFonts w:ascii="Times New Roman" w:hAnsi="Times New Roman"/>
                <w:sz w:val="20"/>
              </w:rPr>
              <w:t>Total liabilities</w:t>
            </w:r>
          </w:p>
        </w:tc>
        <w:tc>
          <w:tcPr>
            <w:tcW w:w="212" w:type="dxa"/>
            <w:tcBorders>
              <w:bottom w:val="single" w:sz="4" w:space="0" w:color="FFFFFF"/>
            </w:tcBorders>
            <w:shd w:fill="FFFFFF" w:val="clear"/>
            <w:vAlign w:val="center"/>
          </w:tcPr>
          <w:p>
            <w:pPr>
              <w:pStyle w:val="TableContents"/>
              <w:spacing w:before="0" w:after="283"/>
              <w:rPr/>
            </w:pPr>
            <w:r>
              <w:rPr/>
              <w:t> </w:t>
            </w:r>
          </w:p>
        </w:tc>
        <w:tc>
          <w:tcPr>
            <w:tcW w:w="141" w:type="dxa"/>
            <w:tcBorders>
              <w:bottom w:val="single" w:sz="2" w:space="0" w:color="FFFFFF"/>
            </w:tcBorders>
            <w:shd w:fill="FFFFFF" w:val="clear"/>
            <w:vAlign w:val="bottom"/>
          </w:tcPr>
          <w:p>
            <w:pPr>
              <w:pStyle w:val="TableContents"/>
              <w:spacing w:before="0" w:after="283"/>
              <w:jc w:val="left"/>
              <w:rPr/>
            </w:pPr>
            <w:r>
              <w:rPr/>
              <w:t> </w:t>
            </w:r>
          </w:p>
        </w:tc>
        <w:tc>
          <w:tcPr>
            <w:tcW w:w="1237" w:type="dxa"/>
            <w:tcBorders>
              <w:bottom w:val="single" w:sz="2" w:space="0" w:color="FFFFFF"/>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1,177</w:t>
            </w:r>
          </w:p>
        </w:tc>
        <w:tc>
          <w:tcPr>
            <w:tcW w:w="123" w:type="dxa"/>
            <w:tcBorders>
              <w:bottom w:val="single" w:sz="4" w:space="0" w:color="FFFFFF"/>
            </w:tcBorders>
            <w:shd w:fill="FFFFFF" w:val="clear"/>
            <w:vAlign w:val="bottom"/>
          </w:tcPr>
          <w:p>
            <w:pPr>
              <w:pStyle w:val="TableContents"/>
              <w:spacing w:before="0" w:after="283"/>
              <w:jc w:val="left"/>
              <w:rPr/>
            </w:pPr>
            <w:r>
              <w:rPr/>
              <w:t> </w:t>
            </w:r>
          </w:p>
        </w:tc>
      </w:tr>
      <w:tr>
        <w:trPr/>
        <w:tc>
          <w:tcPr>
            <w:tcW w:w="8492" w:type="dxa"/>
            <w:tcBorders>
              <w:bottom w:val="single" w:sz="2" w:space="0" w:color="000000"/>
            </w:tcBorders>
            <w:shd w:fill="CCEEFF" w:val="clear"/>
            <w:vAlign w:val="bottom"/>
          </w:tcPr>
          <w:p>
            <w:pPr>
              <w:pStyle w:val="TableContents"/>
              <w:spacing w:before="0" w:after="283"/>
              <w:jc w:val="left"/>
              <w:rPr/>
            </w:pPr>
            <w:r>
              <w:rPr/>
              <w:t> </w:t>
            </w:r>
          </w:p>
        </w:tc>
        <w:tc>
          <w:tcPr>
            <w:tcW w:w="212" w:type="dxa"/>
            <w:tcBorders>
              <w:bottom w:val="single" w:sz="4" w:space="0" w:color="CCEEFF"/>
            </w:tcBorders>
            <w:shd w:fill="CCEEFF" w:val="clear"/>
            <w:vAlign w:val="center"/>
          </w:tcPr>
          <w:p>
            <w:pPr>
              <w:pStyle w:val="TableContents"/>
              <w:spacing w:before="0" w:after="283"/>
              <w:rPr/>
            </w:pPr>
            <w:r>
              <w:rPr/>
              <w:t> </w:t>
            </w:r>
          </w:p>
        </w:tc>
        <w:tc>
          <w:tcPr>
            <w:tcW w:w="141" w:type="dxa"/>
            <w:tcBorders>
              <w:bottom w:val="single" w:sz="2" w:space="0" w:color="000000"/>
            </w:tcBorders>
            <w:shd w:fill="CCEEFF" w:val="clear"/>
            <w:vAlign w:val="bottom"/>
          </w:tcPr>
          <w:p>
            <w:pPr>
              <w:pStyle w:val="TableContents"/>
              <w:spacing w:before="0" w:after="283"/>
              <w:jc w:val="left"/>
              <w:rPr/>
            </w:pPr>
            <w:r>
              <w:rPr/>
              <w:t> </w:t>
            </w:r>
          </w:p>
        </w:tc>
        <w:tc>
          <w:tcPr>
            <w:tcW w:w="1237" w:type="dxa"/>
            <w:tcBorders>
              <w:bottom w:val="single" w:sz="2" w:space="0" w:color="000000"/>
            </w:tcBorders>
            <w:shd w:fill="CCEEFF" w:val="clear"/>
            <w:vAlign w:val="bottom"/>
          </w:tcPr>
          <w:p>
            <w:pPr>
              <w:pStyle w:val="TableContents"/>
              <w:spacing w:before="0" w:after="283"/>
              <w:jc w:val="right"/>
              <w:rPr/>
            </w:pPr>
            <w:r>
              <w:rPr/>
              <w:t> </w:t>
            </w:r>
          </w:p>
        </w:tc>
        <w:tc>
          <w:tcPr>
            <w:tcW w:w="123" w:type="dxa"/>
            <w:tcBorders>
              <w:bottom w:val="single" w:sz="4" w:space="0" w:color="CCEEFF"/>
            </w:tcBorders>
            <w:shd w:fill="CCEEFF" w:val="clear"/>
            <w:vAlign w:val="bottom"/>
          </w:tcPr>
          <w:p>
            <w:pPr>
              <w:pStyle w:val="TableContents"/>
              <w:spacing w:before="0" w:after="283"/>
              <w:jc w:val="left"/>
              <w:rPr/>
            </w:pPr>
            <w:r>
              <w:rPr/>
              <w:t> </w:t>
            </w:r>
          </w:p>
        </w:tc>
      </w:tr>
      <w:tr>
        <w:trPr/>
        <w:tc>
          <w:tcPr>
            <w:tcW w:w="8492" w:type="dxa"/>
            <w:tcBorders>
              <w:bottom w:val="double" w:sz="2" w:space="0" w:color="000000"/>
            </w:tcBorders>
            <w:shd w:fill="FFFFFF" w:val="clear"/>
            <w:vAlign w:val="bottom"/>
          </w:tcPr>
          <w:p>
            <w:pPr>
              <w:pStyle w:val="TableContents"/>
              <w:spacing w:lineRule="auto" w:line="300" w:before="0" w:after="0"/>
              <w:ind w:left="0" w:right="0" w:hanging="0"/>
              <w:jc w:val="left"/>
              <w:rPr/>
            </w:pPr>
            <w:r>
              <w:rPr>
                <w:rStyle w:val="StrongEmphasis"/>
                <w:rFonts w:ascii="Times New Roman" w:hAnsi="Times New Roman"/>
                <w:sz w:val="20"/>
              </w:rPr>
              <w:t>Total net assets</w:t>
            </w:r>
          </w:p>
        </w:tc>
        <w:tc>
          <w:tcPr>
            <w:tcW w:w="212" w:type="dxa"/>
            <w:tcBorders>
              <w:bottom w:val="single" w:sz="4" w:space="0" w:color="FFFFFF"/>
            </w:tcBorders>
            <w:shd w:fill="FFFFFF" w:val="clear"/>
            <w:vAlign w:val="center"/>
          </w:tcPr>
          <w:p>
            <w:pPr>
              <w:pStyle w:val="TableContents"/>
              <w:spacing w:before="0" w:after="283"/>
              <w:rPr/>
            </w:pPr>
            <w:r>
              <w:rPr/>
              <w:t> </w:t>
            </w:r>
          </w:p>
        </w:tc>
        <w:tc>
          <w:tcPr>
            <w:tcW w:w="141" w:type="dxa"/>
            <w:tcBorders>
              <w:bottom w:val="doub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bookmarkStart w:id="3136" w:name="TAB11481"/>
            <w:bookmarkEnd w:id="3136"/>
            <w:r>
              <w:rPr>
                <w:rFonts w:ascii="Times New Roman" w:hAnsi="Times New Roman"/>
                <w:sz w:val="20"/>
              </w:rPr>
              <w:t>$</w:t>
            </w:r>
          </w:p>
        </w:tc>
        <w:tc>
          <w:tcPr>
            <w:tcW w:w="1237"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3137" w:name="TAB11482"/>
            <w:bookmarkEnd w:id="3137"/>
            <w:r>
              <w:rPr>
                <w:rFonts w:ascii="Times New Roman" w:hAnsi="Times New Roman"/>
                <w:sz w:val="20"/>
              </w:rPr>
              <w:t>2,613</w:t>
            </w:r>
          </w:p>
        </w:tc>
        <w:tc>
          <w:tcPr>
            <w:tcW w:w="123" w:type="dxa"/>
            <w:tcBorders>
              <w:bottom w:val="single" w:sz="4" w:space="0" w:color="FFFFFF"/>
            </w:tcBorders>
            <w:shd w:fill="FFFFFF" w:val="clear"/>
            <w:vAlign w:val="bottom"/>
          </w:tcPr>
          <w:p>
            <w:pPr>
              <w:pStyle w:val="TableContents"/>
              <w:spacing w:before="0" w:after="283"/>
              <w:jc w:val="left"/>
              <w:rPr/>
            </w:pPr>
            <w:r>
              <w:rPr/>
              <w:t> </w:t>
            </w:r>
          </w:p>
        </w:tc>
      </w:tr>
    </w:tbl>
    <w:p>
      <w:pPr>
        <w:pStyle w:val="TextBody"/>
        <w:spacing w:lineRule="auto" w:line="300"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138" w:name="PGBRK87"/>
      <w:bookmarkStart w:id="3139" w:name="PGBRK87"/>
      <w:bookmarkEnd w:id="313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140" w:name="FTR87"/>
      <w:bookmarkStart w:id="3141" w:name="FTR87"/>
      <w:bookmarkEnd w:id="314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142" w:name="GLFTR87"/>
      <w:bookmarkStart w:id="3143" w:name="GLFTR87"/>
      <w:bookmarkEnd w:id="314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3144" w:name="PN87"/>
      <w:bookmarkEnd w:id="3144"/>
      <w:r>
        <w:rPr>
          <w:rFonts w:ascii="Times New Roman" w:hAnsi="Times New Roman"/>
          <w:sz w:val="16"/>
        </w:rPr>
        <w:t>-87-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145" w:name="HDR87"/>
      <w:bookmarkStart w:id="3146" w:name="HDR87"/>
      <w:bookmarkEnd w:id="314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3147" w:name="GLHDR87"/>
        <w:bookmarkEnd w:id="3147"/>
        <w:r>
          <w:rPr>
            <w:rStyle w:val="Emphasis"/>
            <w:rFonts w:ascii="Times New Roman" w:hAnsi="Times New Roman"/>
            <w:color w:val="000000"/>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pStyle w:val="TextBody"/>
        <w:spacing w:lineRule="auto" w:line="300" w:before="0" w:after="0"/>
        <w:ind w:left="0" w:right="0" w:firstLine="720"/>
        <w:jc w:val="left"/>
        <w:rPr>
          <w:rFonts w:ascii="Times New Roman" w:hAnsi="Times New Roman"/>
          <w:sz w:val="20"/>
        </w:rPr>
      </w:pPr>
      <w:r>
        <w:rPr>
          <w:rFonts w:ascii="Times New Roman" w:hAnsi="Times New Roman"/>
          <w:sz w:val="20"/>
        </w:rPr>
        <w:t>As a result of these transactions, the only cinema held in the Berkeley Joint Venture at December 31, 2006 was the Botany Downs cinema in suburban Auckland.</w:t>
      </w:r>
    </w:p>
    <w:p>
      <w:pPr>
        <w:pStyle w:val="TextBody"/>
        <w:spacing w:lineRule="auto" w:line="300" w:before="0" w:after="0"/>
        <w:ind w:left="0" w:right="0" w:hanging="0"/>
        <w:jc w:val="left"/>
        <w:rPr/>
      </w:pPr>
      <w:r>
        <w:rPr/>
        <w:t> </w:t>
      </w:r>
    </w:p>
    <w:p>
      <w:pPr>
        <w:pStyle w:val="TextBody"/>
        <w:spacing w:lineRule="auto" w:line="300" w:before="0" w:after="0"/>
        <w:ind w:left="0" w:right="0" w:hanging="0"/>
        <w:jc w:val="left"/>
        <w:rPr/>
      </w:pPr>
      <w:r>
        <w:rPr>
          <w:rStyle w:val="Emphasis"/>
          <w:rFonts w:ascii="Times New Roman" w:hAnsi="Times New Roman"/>
          <w:sz w:val="20"/>
          <w:u w:val="single"/>
        </w:rPr>
        <w:t>Malulani Investments, Ltd.</w:t>
      </w:r>
    </w:p>
    <w:p>
      <w:pPr>
        <w:pStyle w:val="TextBody"/>
        <w:spacing w:lineRule="auto" w:line="300" w:before="0" w:after="0"/>
        <w:ind w:left="0" w:right="0" w:hanging="0"/>
        <w:jc w:val="left"/>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On June 26, 2006, we acquired for $1.8 million, an 18.4% interest in a private real estate company with holdings principally in California, Texas and Hawaii, including the Guenoc Winery and other land located in Northern California.</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pPr>
      <w:r>
        <w:rPr>
          <w:rStyle w:val="Emphasis"/>
          <w:rFonts w:ascii="Times New Roman" w:hAnsi="Times New Roman"/>
          <w:sz w:val="20"/>
          <w:u w:val="single"/>
        </w:rPr>
        <w:t>Queenstown Cinema</w:t>
      </w:r>
    </w:p>
    <w:p>
      <w:pPr>
        <w:pStyle w:val="TextBody"/>
        <w:spacing w:lineRule="auto" w:line="300" w:before="0" w:after="0"/>
        <w:ind w:left="0" w:right="0" w:hanging="0"/>
        <w:jc w:val="left"/>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Effective February 23, 2006, we purchased a 3-screen leasehold cinema in Queenstown, New Zealand for $939,000 (NZ$1.4 million). Of this purchase price, $647,000 (NZ$977,000) was allocated to the acquired fixed assets and $297,000 (NZ$448,000) was allocated to goodwill. We funded this acquisition through internal sources.</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pPr>
      <w:r>
        <w:rPr>
          <w:rStyle w:val="Emphasis"/>
          <w:rFonts w:ascii="Times New Roman" w:hAnsi="Times New Roman"/>
          <w:sz w:val="20"/>
          <w:u w:val="single"/>
        </w:rPr>
        <w:t>Newmarket ETRC</w:t>
      </w:r>
    </w:p>
    <w:p>
      <w:pPr>
        <w:pStyle w:val="TextBody"/>
        <w:spacing w:lineRule="auto" w:line="300" w:before="0" w:after="0"/>
        <w:ind w:left="0" w:right="0" w:hanging="0"/>
        <w:jc w:val="left"/>
        <w:rPr/>
      </w:pPr>
      <w:r>
        <w:rPr/>
      </w:r>
    </w:p>
    <w:p>
      <w:pPr>
        <w:pStyle w:val="TextBody"/>
        <w:spacing w:lineRule="auto" w:line="300" w:before="0" w:after="0"/>
        <w:ind w:left="720" w:right="0" w:hanging="0"/>
        <w:jc w:val="both"/>
        <w:rPr>
          <w:rFonts w:ascii="Times New Roman" w:hAnsi="Times New Roman"/>
          <w:sz w:val="20"/>
        </w:rPr>
      </w:pPr>
      <w:bookmarkStart w:id="3148" w:name="TAB11483"/>
      <w:bookmarkEnd w:id="3148"/>
      <w:r>
        <w:rPr>
          <w:rFonts w:ascii="Times New Roman" w:hAnsi="Times New Roman"/>
          <w:sz w:val="20"/>
        </w:rPr>
        <w:t>During the first quarter of 2006, we completed the development and opened the remaining retail portion of an ETRC on our 177,497 square foot parcel in Newmarket, a suburb of Brisbane, in Queensland, Australia. The total construction costs for the site were $26.7 million (AUS$34.2 million) including $1.4 million (AUS$1.9 million) of capitalized interest. This project was primarily funded through our $78.8 million (AUS$100.0 million) Australian Corporate Credit Facility with the Bank of Western Australia, Ltd.</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rFonts w:ascii="Times New Roman" w:hAnsi="Times New Roman"/>
          <w:sz w:val="20"/>
          <w:u w:val="single"/>
        </w:rPr>
      </w:pPr>
      <w:r>
        <w:rPr>
          <w:rFonts w:ascii="Times New Roman" w:hAnsi="Times New Roman"/>
          <w:sz w:val="20"/>
          <w:u w:val="single"/>
        </w:rPr>
        <w:t>2005 Acquisitions and Property Development</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pPr>
      <w:r>
        <w:rPr>
          <w:rStyle w:val="Emphasis"/>
          <w:rFonts w:ascii="Times New Roman" w:hAnsi="Times New Roman"/>
          <w:sz w:val="20"/>
          <w:u w:val="single"/>
        </w:rPr>
        <w:t>Newmarket ETRC</w:t>
      </w:r>
    </w:p>
    <w:p>
      <w:pPr>
        <w:pStyle w:val="TextBody"/>
        <w:spacing w:lineRule="auto" w:line="300" w:before="0" w:after="0"/>
        <w:ind w:left="0" w:right="0" w:hanging="0"/>
        <w:jc w:val="left"/>
        <w:rPr/>
      </w:pPr>
      <w:r>
        <w:rPr/>
      </w:r>
    </w:p>
    <w:p>
      <w:pPr>
        <w:pStyle w:val="TextBody"/>
        <w:spacing w:lineRule="auto" w:line="300" w:before="0" w:after="0"/>
        <w:ind w:left="720" w:right="0" w:hanging="0"/>
        <w:jc w:val="both"/>
        <w:rPr>
          <w:rFonts w:ascii="Times New Roman" w:hAnsi="Times New Roman"/>
          <w:sz w:val="20"/>
        </w:rPr>
      </w:pPr>
      <w:bookmarkStart w:id="3149" w:name="TAB11484"/>
      <w:bookmarkEnd w:id="3149"/>
      <w:r>
        <w:rPr>
          <w:rFonts w:ascii="Times New Roman" w:hAnsi="Times New Roman"/>
          <w:sz w:val="20"/>
        </w:rPr>
        <w:t>During 2005, we developed and partially opened the retail portion of an ETRC on our 177,497 square foot parcel in Newmarket, a suburb of Brisbane, in Queensland, Australia. At December 31, 2005, the remaining tenants were scheduled to take occupancy by April 2006. Through December 31, 2005, the construction costs of the site were $24.2 million (AUS$32.5 million) including $1.4 million (AUS$1.9 million) of capitalized interest. Most of this project was funded by a $23.8 million (AUS$32.7 million) construction loan with the Bank of Western Australia, Ltd. As of December 31, 2005, we had drawn $21.7 million (AUS$29.6 million) on this loan related to the construction on this property.</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pPr>
      <w:r>
        <w:rPr>
          <w:rStyle w:val="Emphasis"/>
          <w:rFonts w:ascii="Times New Roman" w:hAnsi="Times New Roman"/>
          <w:sz w:val="20"/>
          <w:u w:val="single"/>
        </w:rPr>
        <w:t>Elizabeth Cinema</w:t>
      </w:r>
    </w:p>
    <w:p>
      <w:pPr>
        <w:pStyle w:val="TextBody"/>
        <w:spacing w:lineRule="auto" w:line="300" w:before="0" w:after="0"/>
        <w:ind w:left="0" w:right="0" w:hanging="0"/>
        <w:jc w:val="both"/>
        <w:rPr/>
      </w:pPr>
      <w:r>
        <w:rPr/>
      </w:r>
    </w:p>
    <w:p>
      <w:pPr>
        <w:pStyle w:val="TextBody"/>
        <w:spacing w:lineRule="auto" w:line="300" w:before="0" w:after="0"/>
        <w:ind w:left="720" w:right="0" w:hanging="0"/>
        <w:jc w:val="both"/>
        <w:rPr>
          <w:rFonts w:ascii="Times New Roman" w:hAnsi="Times New Roman"/>
          <w:sz w:val="20"/>
        </w:rPr>
      </w:pPr>
      <w:bookmarkStart w:id="3150" w:name="TAB11485"/>
      <w:bookmarkEnd w:id="3150"/>
      <w:r>
        <w:rPr>
          <w:rFonts w:ascii="Times New Roman" w:hAnsi="Times New Roman"/>
          <w:sz w:val="20"/>
        </w:rPr>
        <w:t>During 2005, we developed the leasehold interest in an 8-screen cinema in Adelaide, Australia. The cost to us of the leasehold development was $2.2 million (AUS$2.9 million) and was funded from internal sources.</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pPr>
      <w:r>
        <w:rPr>
          <w:rStyle w:val="Emphasis"/>
          <w:rFonts w:ascii="Times New Roman" w:hAnsi="Times New Roman"/>
          <w:sz w:val="20"/>
          <w:u w:val="single"/>
        </w:rPr>
        <w:t>Rialto Cinemas</w:t>
      </w:r>
    </w:p>
    <w:p>
      <w:pPr>
        <w:pStyle w:val="TextBody"/>
        <w:spacing w:lineRule="auto" w:line="300" w:before="0" w:after="0"/>
        <w:ind w:left="0" w:right="0" w:firstLine="72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Effective October 1, 2005, we purchased, indirectly, a beneficial ownership of 100% in the stock of Rialto Entertainment for $4.8 million (NZ$6.9 million). Rialto Entertainment is a 50% joint venture partner with Village Roadshow Ltd (“Village”) and SkyCity Leisure Ltd (“Sky”) in Rialto Cinemas the largest art cinema circuit in New Zealand. The joint venture owns or manages five cinemas with 22 screens in the New Zealand cities of Auckland, Christchurch, Wellington, Dunedin and Hamilton.</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pPr>
      <w:r>
        <w:rPr>
          <w:rStyle w:val="Emphasis"/>
          <w:rFonts w:ascii="Times New Roman" w:hAnsi="Times New Roman"/>
          <w:sz w:val="20"/>
          <w:u w:val="single"/>
        </w:rPr>
        <w:t>Rialto Distribution</w:t>
      </w:r>
    </w:p>
    <w:p>
      <w:pPr>
        <w:pStyle w:val="TextBody"/>
        <w:spacing w:lineRule="auto" w:line="300" w:before="0" w:after="0"/>
        <w:ind w:left="0" w:right="0" w:hanging="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Effective October 1, 2005, we purchased for $694,000 (NZ$1.0 million) a 1/3 interest in Rialto Distribution which we funded from internal sources. Rialto Distribution, an unincorporated joint venture, is engaged in the business of distributing art film in New Zealand and Australia.</w:t>
      </w:r>
    </w:p>
    <w:p>
      <w:pPr>
        <w:pStyle w:val="TextBody"/>
        <w:spacing w:lineRule="auto" w:line="300" w:before="0" w:after="0"/>
        <w:ind w:left="0" w:right="0" w:firstLine="72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151" w:name="PGBRK88"/>
      <w:bookmarkStart w:id="3152" w:name="PGBRK88"/>
      <w:bookmarkEnd w:id="315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153" w:name="FTR88"/>
      <w:bookmarkStart w:id="3154" w:name="FTR88"/>
      <w:bookmarkEnd w:id="315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155" w:name="GLFTR88"/>
      <w:bookmarkStart w:id="3156" w:name="GLFTR88"/>
      <w:bookmarkEnd w:id="315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3157" w:name="PN88"/>
      <w:bookmarkEnd w:id="3157"/>
      <w:r>
        <w:rPr>
          <w:rFonts w:ascii="Times New Roman" w:hAnsi="Times New Roman"/>
          <w:sz w:val="16"/>
        </w:rPr>
        <w:t>-88-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158" w:name="HDR88"/>
      <w:bookmarkStart w:id="3159" w:name="HDR88"/>
      <w:bookmarkEnd w:id="315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3160" w:name="GLHDR88"/>
        <w:bookmarkEnd w:id="3160"/>
        <w:r>
          <w:rPr>
            <w:rStyle w:val="Emphasis"/>
            <w:rFonts w:ascii="Times New Roman" w:hAnsi="Times New Roman"/>
            <w:color w:val="000000"/>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300" w:before="0" w:after="0"/>
        <w:ind w:left="0" w:right="0" w:hanging="0"/>
        <w:jc w:val="both"/>
        <w:rPr/>
      </w:pPr>
      <w:r>
        <w:rPr>
          <w:rStyle w:val="Emphasis"/>
          <w:rFonts w:ascii="Times New Roman" w:hAnsi="Times New Roman"/>
          <w:sz w:val="20"/>
          <w:u w:val="single"/>
        </w:rPr>
        <w:t>Melbourne Office Building</w:t>
      </w:r>
    </w:p>
    <w:p>
      <w:pPr>
        <w:pStyle w:val="TextBody"/>
        <w:spacing w:lineRule="auto" w:line="300" w:before="0" w:after="0"/>
        <w:ind w:left="0" w:right="0" w:hanging="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On September 29, 2005, we purchased an office building in Melbourne, Australia for $2.0 million (AUS$2.6 million) to serve as our Australia headquarters. We fully financed this property by drawing on our Australian Corporate Credit Facility.</w:t>
      </w:r>
    </w:p>
    <w:p>
      <w:pPr>
        <w:pStyle w:val="TextBody"/>
        <w:spacing w:lineRule="auto" w:line="300" w:before="0" w:after="0"/>
        <w:ind w:left="0" w:right="0" w:firstLine="720"/>
        <w:jc w:val="both"/>
        <w:rPr/>
      </w:pPr>
      <w:r>
        <w:rPr/>
      </w:r>
    </w:p>
    <w:p>
      <w:pPr>
        <w:pStyle w:val="TextBody"/>
        <w:spacing w:lineRule="auto" w:line="300" w:before="0" w:after="0"/>
        <w:ind w:left="0" w:right="0" w:hanging="0"/>
        <w:jc w:val="both"/>
        <w:rPr/>
      </w:pPr>
      <w:r>
        <w:rPr>
          <w:rStyle w:val="Emphasis"/>
          <w:rFonts w:ascii="Times New Roman" w:hAnsi="Times New Roman"/>
          <w:sz w:val="20"/>
          <w:u w:val="single"/>
        </w:rPr>
        <w:t>Cinemas 1, 2 &amp; 3 Ground Lease</w:t>
      </w:r>
    </w:p>
    <w:p>
      <w:pPr>
        <w:pStyle w:val="TextBody"/>
        <w:spacing w:lineRule="auto" w:line="300" w:before="0" w:after="0"/>
        <w:ind w:left="0" w:right="0" w:hanging="0"/>
        <w:jc w:val="both"/>
        <w:rPr/>
      </w:pPr>
      <w:r>
        <w:rPr/>
      </w:r>
    </w:p>
    <w:p>
      <w:pPr>
        <w:pStyle w:val="TextBody"/>
        <w:spacing w:lineRule="auto" w:line="300" w:before="0" w:after="0"/>
        <w:ind w:left="0" w:right="0" w:firstLine="720"/>
        <w:jc w:val="both"/>
        <w:rPr/>
      </w:pPr>
      <w:r>
        <w:rPr>
          <w:rFonts w:ascii="Times New Roman" w:hAnsi="Times New Roman"/>
          <w:sz w:val="20"/>
        </w:rPr>
        <w:t xml:space="preserve">On September 19, 2005, we acquired the tenant’s interest in the ground lease estate that is currently between (i) our fee ownership of the underlying land and (ii) our current possessory interest as the tenant in the building and improvements constituting the Cinemas 1, 2 &amp; 3 in Manhattan. This tenant’s ground lease interest was purchased from Sutton Hill Capital LLC (“SHC”) for a $9.0 million promissory note, bearing interest at a fixed rate of 8.25% and maturing on December 31, 2010. As SHC is a related party to our corporation, our Board’s Audit and Conflicts Committee, comprised entirely of outside independent directors, and subsequently our entire Board of Directors unanimously approved the purchase of the property (see Note 25 - </w:t>
      </w:r>
      <w:r>
        <w:rPr>
          <w:rStyle w:val="Emphasis"/>
          <w:rFonts w:ascii="Times New Roman" w:hAnsi="Times New Roman"/>
          <w:sz w:val="20"/>
        </w:rPr>
        <w:t>Related Parties and Transactions</w:t>
      </w:r>
      <w:r>
        <w:rPr>
          <w:rFonts w:ascii="Times New Roman" w:hAnsi="Times New Roman"/>
          <w:sz w:val="20"/>
        </w:rPr>
        <w:t>). The Cinemas 1, 2 &amp; 3 is located on 3</w:t>
      </w:r>
      <w:r>
        <w:rPr>
          <w:rFonts w:ascii="Times New Roman" w:hAnsi="Times New Roman"/>
          <w:position w:val="7"/>
          <w:sz w:val="16"/>
          <w:sz w:val="20"/>
        </w:rPr>
        <w:t>rd</w:t>
      </w:r>
      <w:r>
        <w:rPr/>
        <w:t xml:space="preserve"> </w:t>
      </w:r>
      <w:r>
        <w:rPr>
          <w:rFonts w:ascii="Times New Roman" w:hAnsi="Times New Roman"/>
          <w:sz w:val="20"/>
        </w:rPr>
        <w:t>Avenue between 59</w:t>
      </w:r>
      <w:r>
        <w:rPr>
          <w:rFonts w:ascii="Times New Roman" w:hAnsi="Times New Roman"/>
          <w:position w:val="7"/>
          <w:sz w:val="16"/>
          <w:sz w:val="20"/>
        </w:rPr>
        <w:t>th</w:t>
      </w:r>
      <w:r>
        <w:rPr/>
        <w:t xml:space="preserve"> </w:t>
      </w:r>
      <w:r>
        <w:rPr>
          <w:rFonts w:ascii="Times New Roman" w:hAnsi="Times New Roman"/>
          <w:sz w:val="20"/>
        </w:rPr>
        <w:t>and 60</w:t>
      </w:r>
      <w:r>
        <w:rPr>
          <w:rFonts w:ascii="Times New Roman" w:hAnsi="Times New Roman"/>
          <w:position w:val="7"/>
          <w:sz w:val="16"/>
          <w:sz w:val="20"/>
        </w:rPr>
        <w:t>th</w:t>
      </w:r>
      <w:r>
        <w:rPr/>
        <w:t xml:space="preserve"> </w:t>
      </w:r>
      <w:r>
        <w:rPr>
          <w:rFonts w:ascii="Times New Roman" w:hAnsi="Times New Roman"/>
          <w:sz w:val="20"/>
        </w:rPr>
        <w:t>Streets.</w:t>
      </w:r>
    </w:p>
    <w:p>
      <w:pPr>
        <w:pStyle w:val="TextBody"/>
        <w:spacing w:lineRule="auto" w:line="300" w:before="0" w:after="0"/>
        <w:ind w:left="0" w:right="0" w:firstLine="720"/>
        <w:jc w:val="both"/>
        <w:rPr/>
      </w:pPr>
      <w:r>
        <w:rPr/>
      </w:r>
    </w:p>
    <w:p>
      <w:pPr>
        <w:pStyle w:val="TextBody"/>
        <w:spacing w:lineRule="auto" w:line="300" w:before="0" w:after="0"/>
        <w:ind w:left="0" w:right="0" w:firstLine="720"/>
        <w:jc w:val="both"/>
        <w:rPr/>
      </w:pPr>
      <w:r>
        <w:rPr>
          <w:rFonts w:ascii="Times New Roman" w:hAnsi="Times New Roman"/>
          <w:sz w:val="20"/>
        </w:rPr>
        <w:t xml:space="preserve">The acquisition of the tenant’s ground lease interest finalized the acquisition side of a tax deferred exchange under Section 1031 of the Internal Revenue Code designed to exchange our interest in our only non-entertainment oriented fee property in the United States for the fee interest underlying our leasehold estate in the Cinemas 1, 2 &amp; 3. The acquisition of this tenant’s ground lease interest and the Cinemas 1, 2, 3 Fee Interest described below have resulted in a book value of approximately $23.9 million and a tax basis of $10.4 million (which includes $1.3 million of option fees paid in 2000 as part of the City Cinemas Master Lease Agreement, see Note 10 - </w:t>
      </w:r>
      <w:r>
        <w:rPr>
          <w:rStyle w:val="Emphasis"/>
          <w:rFonts w:ascii="Times New Roman" w:hAnsi="Times New Roman"/>
          <w:sz w:val="20"/>
        </w:rPr>
        <w:t>Goodwill and Intangible Assets</w:t>
      </w:r>
      <w:r>
        <w:rPr>
          <w:rFonts w:ascii="Times New Roman" w:hAnsi="Times New Roman"/>
          <w:sz w:val="20"/>
        </w:rPr>
        <w:t xml:space="preserve">). </w:t>
      </w:r>
    </w:p>
    <w:p>
      <w:pPr>
        <w:pStyle w:val="TextBody"/>
        <w:spacing w:lineRule="auto" w:line="300" w:before="0" w:after="0"/>
        <w:ind w:left="0" w:right="0" w:firstLine="720"/>
        <w:jc w:val="both"/>
        <w:rPr/>
      </w:pPr>
      <w:r>
        <w:rPr/>
      </w:r>
    </w:p>
    <w:p>
      <w:pPr>
        <w:pStyle w:val="TextBody"/>
        <w:spacing w:lineRule="auto" w:line="300" w:before="0" w:after="0"/>
        <w:ind w:left="0" w:right="0" w:hanging="0"/>
        <w:jc w:val="both"/>
        <w:rPr/>
      </w:pPr>
      <w:r>
        <w:rPr>
          <w:rStyle w:val="Emphasis"/>
          <w:rFonts w:ascii="Times New Roman" w:hAnsi="Times New Roman"/>
          <w:sz w:val="20"/>
          <w:u w:val="single"/>
        </w:rPr>
        <w:t xml:space="preserve">Cinemas 1, 2 &amp; 3 Fee Interest </w:t>
      </w:r>
    </w:p>
    <w:p>
      <w:pPr>
        <w:pStyle w:val="TextBody"/>
        <w:spacing w:lineRule="auto" w:line="300" w:before="0" w:after="0"/>
        <w:ind w:left="0" w:right="0" w:hanging="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On June 1, 2005, we acquired for $12.6 million the fee interest and the landlord’s ground lease interest underlying our Cinemas 1, 2 &amp; 3 property in Manhattan, as a part of a tax deferred exchange under Section 1031 of the Internal Revenue Code. The funds used for the acquisition came primarily from the sale proceeds of our Glendale, California office building. As a result of the acquisition of this fee interest, the landlord’s interest in the ground lease and the tenant’s interest in the ground lease, our effective rental expense with respect to the Cinemas 1, 2 &amp; 3 and the Village East cinema has decreased by approximately $1.0 million annually beginning September 30, 2005.</w:t>
      </w:r>
    </w:p>
    <w:p>
      <w:pPr>
        <w:pStyle w:val="TextBody"/>
        <w:spacing w:lineRule="auto" w:line="300" w:before="0" w:after="0"/>
        <w:ind w:left="0" w:right="0" w:firstLine="720"/>
        <w:jc w:val="both"/>
        <w:rPr/>
      </w:pPr>
      <w:r>
        <w:rPr/>
      </w:r>
    </w:p>
    <w:p>
      <w:pPr>
        <w:pStyle w:val="TextBody"/>
        <w:spacing w:lineRule="auto" w:line="300" w:before="0" w:after="0"/>
        <w:ind w:left="0" w:right="0" w:firstLine="720"/>
        <w:jc w:val="both"/>
        <w:rPr/>
      </w:pPr>
      <w:r>
        <w:rPr>
          <w:rFonts w:ascii="Times New Roman" w:hAnsi="Times New Roman"/>
          <w:sz w:val="20"/>
        </w:rPr>
        <w:t xml:space="preserve">As part of the purchase of this ground lease interest, we have agreed in principal, as a part of our negotiations to acquire the land and the SHC interests in the Cinemas 1, 2 &amp; 3, to grant an option to Sutton Hill Capital, LLC, a limited liability company beneficially owned in equal 50/50 shares by Messrs. James J. Cotter and Michael Forman (see Note 25 - </w:t>
      </w:r>
      <w:r>
        <w:rPr>
          <w:rStyle w:val="Emphasis"/>
          <w:rFonts w:ascii="Times New Roman" w:hAnsi="Times New Roman"/>
          <w:sz w:val="20"/>
        </w:rPr>
        <w:t>Related Parties and Transactions</w:t>
      </w:r>
      <w:r>
        <w:rPr>
          <w:rFonts w:ascii="Times New Roman" w:hAnsi="Times New Roman"/>
          <w:sz w:val="20"/>
        </w:rPr>
        <w:t xml:space="preserve">) to acquire, at cost, up to a 25% non-managing membership interest in the limited liability company that we formed to acquire these interests. In relation to this option, we recorded $3.7 million and $1.0 million as call option liabilities in our other liabilities at December 31, 2006 and 2005, respectively. In accordance with SFAS No. 141 - </w:t>
      </w:r>
      <w:r>
        <w:rPr>
          <w:rStyle w:val="Emphasis"/>
          <w:rFonts w:ascii="Times New Roman" w:hAnsi="Times New Roman"/>
          <w:sz w:val="20"/>
        </w:rPr>
        <w:t>Business Combinations</w:t>
      </w:r>
      <w:r>
        <w:rPr>
          <w:rFonts w:ascii="Times New Roman" w:hAnsi="Times New Roman"/>
          <w:sz w:val="20"/>
        </w:rPr>
        <w:t>, the purchase price allocation was finalized in the first quarter of 2006.</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u w:val="single"/>
        </w:rPr>
      </w:pPr>
      <w:r>
        <w:rPr>
          <w:rFonts w:ascii="Times New Roman" w:hAnsi="Times New Roman"/>
          <w:sz w:val="20"/>
          <w:u w:val="single"/>
        </w:rPr>
        <w:t>2004 Acquisitions and Property Development</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pPr>
      <w:r>
        <w:rPr>
          <w:rStyle w:val="Emphasis"/>
          <w:rFonts w:ascii="Times New Roman" w:hAnsi="Times New Roman"/>
          <w:sz w:val="20"/>
          <w:u w:val="single"/>
        </w:rPr>
        <w:t>Botany Downs</w:t>
      </w:r>
    </w:p>
    <w:p>
      <w:pPr>
        <w:pStyle w:val="TextBody"/>
        <w:spacing w:lineRule="auto" w:line="300" w:before="0" w:after="0"/>
        <w:ind w:left="0" w:right="0" w:hanging="0"/>
        <w:jc w:val="both"/>
        <w:rPr/>
      </w:pPr>
      <w:r>
        <w:rPr/>
      </w:r>
    </w:p>
    <w:p>
      <w:pPr>
        <w:pStyle w:val="TextBody"/>
        <w:spacing w:lineRule="auto" w:line="300" w:before="0" w:after="0"/>
        <w:ind w:left="720" w:right="0" w:hanging="0"/>
        <w:jc w:val="both"/>
        <w:rPr>
          <w:rFonts w:ascii="Times New Roman" w:hAnsi="Times New Roman"/>
          <w:sz w:val="20"/>
        </w:rPr>
      </w:pPr>
      <w:bookmarkStart w:id="3161" w:name="TAB11486"/>
      <w:bookmarkEnd w:id="3161"/>
      <w:r>
        <w:rPr>
          <w:rFonts w:ascii="Times New Roman" w:hAnsi="Times New Roman"/>
          <w:sz w:val="20"/>
        </w:rPr>
        <w:t>On December 24, 2004, we opened an additional 8-screen cinema, this one located in a suburb of Auckland, New Zealand and owned in an unincorporated joint venture with our partner in the Berkeley Cinemas chain in New Zealand.</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pPr>
      <w:r>
        <w:rPr>
          <w:rStyle w:val="Emphasis"/>
          <w:rFonts w:ascii="Times New Roman" w:hAnsi="Times New Roman"/>
          <w:sz w:val="20"/>
          <w:u w:val="single"/>
        </w:rPr>
        <w:t>West Lakes and Rhodes</w:t>
      </w:r>
    </w:p>
    <w:p>
      <w:pPr>
        <w:pStyle w:val="TextBody"/>
        <w:spacing w:lineRule="auto" w:line="300" w:before="0" w:after="0"/>
        <w:ind w:left="0" w:right="0" w:hanging="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In December 2004, we completed the fit outs of the two cinemas with 15 screens. The leases and development rights for the two cinemas were acquired as part of the Anderson acquisition.</w:t>
      </w:r>
    </w:p>
    <w:p>
      <w:pPr>
        <w:pStyle w:val="TextBody"/>
        <w:spacing w:lineRule="auto" w:line="300"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162" w:name="PGBRK89"/>
      <w:bookmarkStart w:id="3163" w:name="PGBRK89"/>
      <w:bookmarkEnd w:id="316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164" w:name="FTR89"/>
      <w:bookmarkStart w:id="3165" w:name="FTR89"/>
      <w:bookmarkEnd w:id="316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166" w:name="GLFTR89"/>
      <w:bookmarkStart w:id="3167" w:name="GLFTR89"/>
      <w:bookmarkEnd w:id="316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3168" w:name="PN89"/>
      <w:bookmarkEnd w:id="3168"/>
      <w:r>
        <w:rPr>
          <w:rFonts w:ascii="Times New Roman" w:hAnsi="Times New Roman"/>
          <w:sz w:val="16"/>
        </w:rPr>
        <w:t>-89-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169" w:name="HDR89"/>
      <w:bookmarkStart w:id="3170" w:name="HDR89"/>
      <w:bookmarkEnd w:id="317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3171" w:name="GLHDR89"/>
        <w:bookmarkEnd w:id="3171"/>
        <w:r>
          <w:rPr>
            <w:rStyle w:val="Emphasis"/>
            <w:rFonts w:ascii="Times New Roman" w:hAnsi="Times New Roman"/>
            <w:color w:val="000000"/>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300" w:before="0" w:after="0"/>
        <w:ind w:left="0" w:right="0" w:hanging="0"/>
        <w:jc w:val="both"/>
        <w:rPr/>
      </w:pPr>
      <w:r>
        <w:rPr>
          <w:rStyle w:val="Emphasis"/>
          <w:rFonts w:ascii="Times New Roman" w:hAnsi="Times New Roman"/>
          <w:sz w:val="20"/>
          <w:u w:val="single"/>
        </w:rPr>
        <w:t>Sutton Redevelopment Investment</w:t>
      </w:r>
    </w:p>
    <w:p>
      <w:pPr>
        <w:pStyle w:val="TextBody"/>
        <w:spacing w:lineRule="auto" w:line="300" w:before="0" w:after="0"/>
        <w:ind w:left="0" w:right="0" w:hanging="0"/>
        <w:jc w:val="both"/>
        <w:rPr/>
      </w:pPr>
      <w:r>
        <w:rPr/>
      </w:r>
    </w:p>
    <w:p>
      <w:pPr>
        <w:pStyle w:val="TextBody"/>
        <w:spacing w:lineRule="auto" w:line="300" w:before="0" w:after="0"/>
        <w:ind w:left="720" w:right="0" w:hanging="0"/>
        <w:jc w:val="both"/>
        <w:rPr/>
      </w:pPr>
      <w:bookmarkStart w:id="3172" w:name="TAB11487"/>
      <w:bookmarkEnd w:id="3172"/>
      <w:r>
        <w:rPr>
          <w:rFonts w:ascii="Times New Roman" w:hAnsi="Times New Roman"/>
          <w:sz w:val="20"/>
        </w:rPr>
        <w:t>On September 14, 2004, we acquired for $2.3 million a non-managing membership interest in 205-209 East 57</w:t>
      </w:r>
      <w:r>
        <w:rPr>
          <w:rFonts w:ascii="Times New Roman" w:hAnsi="Times New Roman"/>
          <w:position w:val="7"/>
          <w:sz w:val="16"/>
          <w:sz w:val="20"/>
        </w:rPr>
        <w:t>th</w:t>
      </w:r>
      <w:r>
        <w:rPr/>
        <w:t xml:space="preserve"> </w:t>
      </w:r>
      <w:r>
        <w:rPr>
          <w:rFonts w:ascii="Times New Roman" w:hAnsi="Times New Roman"/>
          <w:sz w:val="20"/>
        </w:rPr>
        <w:t>Street Associates, LLC a limited liability company formed to redevelop our former cinema site at 205 East 57</w:t>
      </w:r>
      <w:r>
        <w:rPr>
          <w:rFonts w:ascii="Times New Roman" w:hAnsi="Times New Roman"/>
          <w:position w:val="7"/>
          <w:sz w:val="16"/>
          <w:sz w:val="20"/>
        </w:rPr>
        <w:t>th</w:t>
      </w:r>
      <w:r>
        <w:rPr/>
        <w:t xml:space="preserve"> </w:t>
      </w:r>
      <w:r>
        <w:rPr>
          <w:rFonts w:ascii="Times New Roman" w:hAnsi="Times New Roman"/>
          <w:sz w:val="20"/>
        </w:rPr>
        <w:t>Street in Manhattan. Our membership interest represents a 25% interest in the LLC, and was issued to us by 205-209 East 57</w:t>
      </w:r>
      <w:r>
        <w:rPr>
          <w:rFonts w:ascii="Times New Roman" w:hAnsi="Times New Roman"/>
          <w:position w:val="7"/>
          <w:sz w:val="16"/>
          <w:sz w:val="20"/>
        </w:rPr>
        <w:t>th</w:t>
      </w:r>
      <w:r>
        <w:rPr/>
        <w:t xml:space="preserve"> </w:t>
      </w:r>
      <w:r>
        <w:rPr>
          <w:rFonts w:ascii="Times New Roman" w:hAnsi="Times New Roman"/>
          <w:sz w:val="20"/>
        </w:rPr>
        <w:t xml:space="preserve">Street Associates, LLC in consideration of a capital contribution equal to 25% of its total book capital, calculated after taking into account the effect of our capital contribution. During the first quarter of 2005, we increased our investment by $719,000 in the 205-209 East 57th Street Associates, LLC to maintain our 25% equity ownership in the joint venture in light of increased budgeted construction costs. </w:t>
      </w:r>
    </w:p>
    <w:p>
      <w:pPr>
        <w:pStyle w:val="TextBody"/>
        <w:spacing w:lineRule="auto" w:line="300" w:before="0" w:after="0"/>
        <w:ind w:left="0" w:right="0" w:hanging="0"/>
        <w:jc w:val="both"/>
        <w:rPr/>
      </w:pPr>
      <w:r>
        <w:rPr/>
      </w:r>
    </w:p>
    <w:p>
      <w:pPr>
        <w:pStyle w:val="TextBody"/>
        <w:spacing w:lineRule="auto" w:line="300" w:before="0" w:after="0"/>
        <w:ind w:left="720" w:right="0" w:hanging="0"/>
        <w:jc w:val="both"/>
        <w:rPr>
          <w:rFonts w:ascii="Times New Roman" w:hAnsi="Times New Roman"/>
          <w:sz w:val="20"/>
        </w:rPr>
      </w:pPr>
      <w:bookmarkStart w:id="3173" w:name="TAB11488"/>
      <w:bookmarkEnd w:id="3173"/>
      <w:r>
        <w:rPr>
          <w:rFonts w:ascii="Times New Roman" w:hAnsi="Times New Roman"/>
          <w:sz w:val="20"/>
        </w:rPr>
        <w:t>Also during 2004, we made various investments of capital to purchase and/or develop various existing or new assets. A summary of the assets acquired and liabilities assumed on the acquisition dates in 2004 (valued at the foreign currency exchange rates at the time of acquisition) and an explanation relating to these acquisitions is as follows:</w:t>
      </w:r>
    </w:p>
    <w:p>
      <w:pPr>
        <w:pStyle w:val="TextBody"/>
        <w:spacing w:lineRule="auto" w:line="300" w:before="0" w:after="0"/>
        <w:ind w:left="0" w:right="0" w:hanging="0"/>
        <w:jc w:val="both"/>
        <w:rPr/>
      </w:pPr>
      <w:r>
        <w:rPr/>
      </w:r>
    </w:p>
    <w:p>
      <w:pPr>
        <w:pStyle w:val="Normal"/>
        <w:spacing w:before="0" w:after="0"/>
        <w:rPr>
          <w:sz w:val="4"/>
          <w:szCs w:val="4"/>
        </w:rPr>
      </w:pPr>
      <w:r>
        <w:rPr>
          <w:sz w:val="4"/>
          <w:szCs w:val="4"/>
        </w:rPr>
      </w:r>
      <w:bookmarkStart w:id="3174" w:name="ftable26"/>
      <w:bookmarkStart w:id="3175" w:name="ftable26"/>
      <w:bookmarkEnd w:id="3175"/>
    </w:p>
    <w:tbl>
      <w:tblPr>
        <w:tblW w:w="5000" w:type="pct"/>
        <w:jc w:val="left"/>
        <w:tblInd w:w="0" w:type="dxa"/>
        <w:tblCellMar>
          <w:top w:w="0" w:type="dxa"/>
          <w:left w:w="0" w:type="dxa"/>
          <w:bottom w:w="28" w:type="dxa"/>
          <w:right w:w="0" w:type="dxa"/>
        </w:tblCellMar>
      </w:tblPr>
      <w:tblGrid>
        <w:gridCol w:w="3666"/>
        <w:gridCol w:w="176"/>
        <w:gridCol w:w="201"/>
        <w:gridCol w:w="1269"/>
        <w:gridCol w:w="176"/>
        <w:gridCol w:w="181"/>
        <w:gridCol w:w="1288"/>
        <w:gridCol w:w="176"/>
        <w:gridCol w:w="203"/>
        <w:gridCol w:w="1277"/>
        <w:gridCol w:w="176"/>
        <w:gridCol w:w="151"/>
        <w:gridCol w:w="1143"/>
        <w:gridCol w:w="122"/>
      </w:tblGrid>
      <w:tr>
        <w:trPr/>
        <w:tc>
          <w:tcPr>
            <w:tcW w:w="3666" w:type="dxa"/>
            <w:tcBorders>
              <w:bottom w:val="double" w:sz="2" w:space="0" w:color="000000"/>
            </w:tcBorders>
            <w:shd w:fill="auto" w:val="clear"/>
            <w:vAlign w:val="bottom"/>
          </w:tcPr>
          <w:p>
            <w:pPr>
              <w:pStyle w:val="TableContents"/>
              <w:spacing w:lineRule="auto" w:line="300" w:before="0" w:after="0"/>
              <w:ind w:left="0" w:right="0" w:hanging="0"/>
              <w:jc w:val="left"/>
              <w:rPr/>
            </w:pPr>
            <w:r>
              <w:rPr>
                <w:rStyle w:val="StrongEmphasis"/>
                <w:rFonts w:ascii="Times New Roman" w:hAnsi="Times New Roman"/>
                <w:sz w:val="20"/>
              </w:rPr>
              <w:t>Assets Acquired</w:t>
            </w:r>
          </w:p>
        </w:tc>
        <w:tc>
          <w:tcPr>
            <w:tcW w:w="176" w:type="dxa"/>
            <w:tcBorders>
              <w:bottom w:val="single" w:sz="4" w:space="0" w:color="FFFFFF"/>
            </w:tcBorders>
            <w:shd w:fill="auto" w:val="clear"/>
            <w:vAlign w:val="center"/>
          </w:tcPr>
          <w:p>
            <w:pPr>
              <w:pStyle w:val="TableContents"/>
              <w:spacing w:before="0" w:after="283"/>
              <w:rPr/>
            </w:pPr>
            <w:r>
              <w:rPr/>
              <w:t> </w:t>
            </w:r>
          </w:p>
        </w:tc>
        <w:tc>
          <w:tcPr>
            <w:tcW w:w="1470"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Anderson Acquisition</w:t>
            </w:r>
          </w:p>
        </w:tc>
        <w:tc>
          <w:tcPr>
            <w:tcW w:w="176" w:type="dxa"/>
            <w:tcBorders>
              <w:bottom w:val="single" w:sz="4" w:space="0" w:color="FFFFFF"/>
            </w:tcBorders>
            <w:shd w:fill="auto" w:val="clear"/>
            <w:vAlign w:val="bottom"/>
          </w:tcPr>
          <w:p>
            <w:pPr>
              <w:pStyle w:val="TableContents"/>
              <w:spacing w:before="0" w:after="283"/>
              <w:jc w:val="left"/>
              <w:rPr/>
            </w:pPr>
            <w:r>
              <w:rPr/>
              <w:t> </w:t>
            </w:r>
          </w:p>
        </w:tc>
        <w:tc>
          <w:tcPr>
            <w:tcW w:w="1469"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Movieland Acquisition</w:t>
            </w:r>
          </w:p>
        </w:tc>
        <w:tc>
          <w:tcPr>
            <w:tcW w:w="176" w:type="dxa"/>
            <w:tcBorders>
              <w:bottom w:val="single" w:sz="4" w:space="0" w:color="FFFFFF"/>
            </w:tcBorders>
            <w:shd w:fill="auto" w:val="clear"/>
            <w:vAlign w:val="bottom"/>
          </w:tcPr>
          <w:p>
            <w:pPr>
              <w:pStyle w:val="TableContents"/>
              <w:spacing w:before="0" w:after="283"/>
              <w:jc w:val="left"/>
              <w:rPr/>
            </w:pPr>
            <w:r>
              <w:rPr/>
              <w:t> </w:t>
            </w:r>
          </w:p>
        </w:tc>
        <w:tc>
          <w:tcPr>
            <w:tcW w:w="1480"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Newmarket Acquisition</w:t>
            </w:r>
          </w:p>
        </w:tc>
        <w:tc>
          <w:tcPr>
            <w:tcW w:w="176" w:type="dxa"/>
            <w:tcBorders>
              <w:bottom w:val="single" w:sz="4" w:space="0" w:color="FFFFFF"/>
            </w:tcBorders>
            <w:shd w:fill="auto" w:val="clear"/>
            <w:vAlign w:val="bottom"/>
          </w:tcPr>
          <w:p>
            <w:pPr>
              <w:pStyle w:val="TableContents"/>
              <w:spacing w:before="0" w:after="283"/>
              <w:jc w:val="left"/>
              <w:rPr/>
            </w:pPr>
            <w:r>
              <w:rPr/>
              <w:t> </w:t>
            </w:r>
          </w:p>
        </w:tc>
        <w:tc>
          <w:tcPr>
            <w:tcW w:w="1294"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Total</w:t>
            </w:r>
          </w:p>
        </w:tc>
        <w:tc>
          <w:tcPr>
            <w:tcW w:w="122" w:type="dxa"/>
            <w:tcBorders>
              <w:bottom w:val="single" w:sz="4" w:space="0" w:color="FFFFFF"/>
            </w:tcBorders>
            <w:shd w:fill="auto" w:val="clear"/>
            <w:vAlign w:val="bottom"/>
          </w:tcPr>
          <w:p>
            <w:pPr>
              <w:pStyle w:val="TableContents"/>
              <w:spacing w:before="0" w:after="283"/>
              <w:jc w:val="left"/>
              <w:rPr/>
            </w:pPr>
            <w:r>
              <w:rPr/>
              <w:t> </w:t>
            </w:r>
          </w:p>
        </w:tc>
      </w:tr>
      <w:tr>
        <w:trPr/>
        <w:tc>
          <w:tcPr>
            <w:tcW w:w="3666"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Cash</w:t>
            </w:r>
          </w:p>
        </w:tc>
        <w:tc>
          <w:tcPr>
            <w:tcW w:w="176" w:type="dxa"/>
            <w:tcBorders/>
            <w:shd w:fill="CCEEFF" w:val="clear"/>
            <w:tcMar>
              <w:bottom w:w="0" w:type="dxa"/>
            </w:tcMar>
            <w:vAlign w:val="center"/>
          </w:tcPr>
          <w:p>
            <w:pPr>
              <w:pStyle w:val="TableContents"/>
              <w:spacing w:before="0" w:after="283"/>
              <w:rPr/>
            </w:pPr>
            <w:r>
              <w:rPr/>
              <w:t> </w:t>
            </w:r>
          </w:p>
        </w:tc>
        <w:tc>
          <w:tcPr>
            <w:tcW w:w="201"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3176" w:name="TAB11489"/>
            <w:bookmarkEnd w:id="3176"/>
            <w:r>
              <w:rPr>
                <w:rFonts w:ascii="Times New Roman" w:hAnsi="Times New Roman"/>
                <w:sz w:val="20"/>
              </w:rPr>
              <w:t>$</w:t>
            </w:r>
          </w:p>
        </w:tc>
        <w:tc>
          <w:tcPr>
            <w:tcW w:w="1269"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3177" w:name="TAB11490"/>
            <w:bookmarkEnd w:id="3177"/>
            <w:r>
              <w:rPr>
                <w:rFonts w:ascii="Times New Roman" w:hAnsi="Times New Roman"/>
                <w:sz w:val="20"/>
              </w:rPr>
              <w:t>135</w:t>
            </w:r>
          </w:p>
        </w:tc>
        <w:tc>
          <w:tcPr>
            <w:tcW w:w="176" w:type="dxa"/>
            <w:tcBorders/>
            <w:shd w:fill="CCEEFF" w:val="clear"/>
            <w:tcMar>
              <w:bottom w:w="0" w:type="dxa"/>
            </w:tcMar>
            <w:vAlign w:val="bottom"/>
          </w:tcPr>
          <w:p>
            <w:pPr>
              <w:pStyle w:val="TableContents"/>
              <w:spacing w:before="0" w:after="283"/>
              <w:jc w:val="left"/>
              <w:rPr/>
            </w:pPr>
            <w:r>
              <w:rPr/>
              <w:t> </w:t>
            </w:r>
          </w:p>
        </w:tc>
        <w:tc>
          <w:tcPr>
            <w:tcW w:w="181"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3178" w:name="TAB11491"/>
            <w:bookmarkEnd w:id="3178"/>
            <w:r>
              <w:rPr>
                <w:rFonts w:ascii="Times New Roman" w:hAnsi="Times New Roman"/>
                <w:sz w:val="20"/>
              </w:rPr>
              <w:t>$</w:t>
            </w:r>
          </w:p>
        </w:tc>
        <w:tc>
          <w:tcPr>
            <w:tcW w:w="1288"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3179" w:name="TAB11492"/>
            <w:bookmarkEnd w:id="3179"/>
            <w:r>
              <w:rPr>
                <w:rFonts w:ascii="Times New Roman" w:hAnsi="Times New Roman"/>
                <w:sz w:val="20"/>
              </w:rPr>
              <w:t>18</w:t>
            </w:r>
          </w:p>
        </w:tc>
        <w:tc>
          <w:tcPr>
            <w:tcW w:w="176" w:type="dxa"/>
            <w:tcBorders/>
            <w:shd w:fill="CCEEFF" w:val="clear"/>
            <w:tcMar>
              <w:bottom w:w="0" w:type="dxa"/>
            </w:tcMar>
            <w:vAlign w:val="bottom"/>
          </w:tcPr>
          <w:p>
            <w:pPr>
              <w:pStyle w:val="TableContents"/>
              <w:spacing w:before="0" w:after="283"/>
              <w:jc w:val="left"/>
              <w:rPr/>
            </w:pPr>
            <w:r>
              <w:rPr/>
              <w:t> </w:t>
            </w:r>
          </w:p>
        </w:tc>
        <w:tc>
          <w:tcPr>
            <w:tcW w:w="203"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3180" w:name="TAB11493"/>
            <w:bookmarkEnd w:id="3180"/>
            <w:r>
              <w:rPr>
                <w:rFonts w:ascii="Times New Roman" w:hAnsi="Times New Roman"/>
                <w:sz w:val="20"/>
              </w:rPr>
              <w:t>$</w:t>
            </w:r>
          </w:p>
        </w:tc>
        <w:tc>
          <w:tcPr>
            <w:tcW w:w="1277"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3181" w:name="TAB11494"/>
            <w:bookmarkEnd w:id="3181"/>
            <w:r>
              <w:rPr>
                <w:rFonts w:ascii="Times New Roman" w:hAnsi="Times New Roman"/>
                <w:sz w:val="20"/>
              </w:rPr>
              <w:t>--</w:t>
            </w:r>
          </w:p>
        </w:tc>
        <w:tc>
          <w:tcPr>
            <w:tcW w:w="176" w:type="dxa"/>
            <w:tcBorders/>
            <w:shd w:fill="CCEEFF" w:val="clear"/>
            <w:tcMar>
              <w:bottom w:w="0" w:type="dxa"/>
            </w:tcMar>
            <w:vAlign w:val="bottom"/>
          </w:tcPr>
          <w:p>
            <w:pPr>
              <w:pStyle w:val="TableContents"/>
              <w:spacing w:before="0" w:after="283"/>
              <w:jc w:val="left"/>
              <w:rPr/>
            </w:pPr>
            <w:r>
              <w:rPr/>
              <w:t> </w:t>
            </w:r>
          </w:p>
        </w:tc>
        <w:tc>
          <w:tcPr>
            <w:tcW w:w="151"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3182" w:name="TAB11495"/>
            <w:bookmarkEnd w:id="3182"/>
            <w:r>
              <w:rPr>
                <w:rFonts w:ascii="Times New Roman" w:hAnsi="Times New Roman"/>
                <w:sz w:val="20"/>
              </w:rPr>
              <w:t>$</w:t>
            </w:r>
          </w:p>
        </w:tc>
        <w:tc>
          <w:tcPr>
            <w:tcW w:w="1143"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3183" w:name="TAB11496"/>
            <w:bookmarkEnd w:id="3183"/>
            <w:r>
              <w:rPr>
                <w:rFonts w:ascii="Times New Roman" w:hAnsi="Times New Roman"/>
                <w:sz w:val="20"/>
              </w:rPr>
              <w:t>153</w:t>
            </w:r>
          </w:p>
        </w:tc>
        <w:tc>
          <w:tcPr>
            <w:tcW w:w="122" w:type="dxa"/>
            <w:tcBorders/>
            <w:shd w:fill="CCEEFF" w:val="clear"/>
            <w:tcMar>
              <w:bottom w:w="0" w:type="dxa"/>
            </w:tcMar>
            <w:vAlign w:val="bottom"/>
          </w:tcPr>
          <w:p>
            <w:pPr>
              <w:pStyle w:val="TableContents"/>
              <w:spacing w:before="0" w:after="283"/>
              <w:jc w:val="left"/>
              <w:rPr/>
            </w:pPr>
            <w:r>
              <w:rPr/>
              <w:t> </w:t>
            </w:r>
          </w:p>
        </w:tc>
      </w:tr>
      <w:tr>
        <w:trPr/>
        <w:tc>
          <w:tcPr>
            <w:tcW w:w="3666"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Receivables</w:t>
            </w:r>
          </w:p>
        </w:tc>
        <w:tc>
          <w:tcPr>
            <w:tcW w:w="176" w:type="dxa"/>
            <w:tcBorders/>
            <w:shd w:fill="FFFFFF" w:val="clear"/>
            <w:tcMar>
              <w:bottom w:w="0" w:type="dxa"/>
            </w:tcMar>
            <w:vAlign w:val="center"/>
          </w:tcPr>
          <w:p>
            <w:pPr>
              <w:pStyle w:val="TableContents"/>
              <w:spacing w:before="0" w:after="283"/>
              <w:rPr/>
            </w:pPr>
            <w:r>
              <w:rPr/>
              <w:t> </w:t>
            </w:r>
          </w:p>
        </w:tc>
        <w:tc>
          <w:tcPr>
            <w:tcW w:w="201" w:type="dxa"/>
            <w:tcBorders/>
            <w:shd w:fill="FFFFFF" w:val="clear"/>
            <w:tcMar>
              <w:bottom w:w="0" w:type="dxa"/>
            </w:tcMar>
            <w:vAlign w:val="bottom"/>
          </w:tcPr>
          <w:p>
            <w:pPr>
              <w:pStyle w:val="TableContents"/>
              <w:spacing w:before="0" w:after="283"/>
              <w:jc w:val="left"/>
              <w:rPr/>
            </w:pPr>
            <w:r>
              <w:rPr/>
              <w:t> </w:t>
            </w:r>
          </w:p>
        </w:tc>
        <w:tc>
          <w:tcPr>
            <w:tcW w:w="1269"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99</w:t>
            </w:r>
          </w:p>
        </w:tc>
        <w:tc>
          <w:tcPr>
            <w:tcW w:w="176" w:type="dxa"/>
            <w:tcBorders/>
            <w:shd w:fill="FFFFFF" w:val="clear"/>
            <w:tcMar>
              <w:bottom w:w="0" w:type="dxa"/>
            </w:tcMar>
            <w:vAlign w:val="bottom"/>
          </w:tcPr>
          <w:p>
            <w:pPr>
              <w:pStyle w:val="TableContents"/>
              <w:spacing w:before="0" w:after="283"/>
              <w:jc w:val="left"/>
              <w:rPr/>
            </w:pPr>
            <w:r>
              <w:rPr/>
              <w:t> </w:t>
            </w:r>
          </w:p>
        </w:tc>
        <w:tc>
          <w:tcPr>
            <w:tcW w:w="181" w:type="dxa"/>
            <w:tcBorders/>
            <w:shd w:fill="FFFFFF" w:val="clear"/>
            <w:tcMar>
              <w:bottom w:w="0" w:type="dxa"/>
            </w:tcMar>
            <w:vAlign w:val="bottom"/>
          </w:tcPr>
          <w:p>
            <w:pPr>
              <w:pStyle w:val="TableContents"/>
              <w:spacing w:before="0" w:after="283"/>
              <w:jc w:val="left"/>
              <w:rPr/>
            </w:pPr>
            <w:r>
              <w:rPr/>
              <w:t> </w:t>
            </w:r>
          </w:p>
        </w:tc>
        <w:tc>
          <w:tcPr>
            <w:tcW w:w="1288"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48</w:t>
            </w:r>
          </w:p>
        </w:tc>
        <w:tc>
          <w:tcPr>
            <w:tcW w:w="176" w:type="dxa"/>
            <w:tcBorders/>
            <w:shd w:fill="FFFFFF" w:val="clear"/>
            <w:tcMar>
              <w:bottom w:w="0" w:type="dxa"/>
            </w:tcMar>
            <w:vAlign w:val="bottom"/>
          </w:tcPr>
          <w:p>
            <w:pPr>
              <w:pStyle w:val="TableContents"/>
              <w:spacing w:before="0" w:after="283"/>
              <w:jc w:val="left"/>
              <w:rPr/>
            </w:pPr>
            <w:r>
              <w:rPr/>
              <w:t> </w:t>
            </w:r>
          </w:p>
        </w:tc>
        <w:tc>
          <w:tcPr>
            <w:tcW w:w="203" w:type="dxa"/>
            <w:tcBorders/>
            <w:shd w:fill="FFFFFF" w:val="clear"/>
            <w:tcMar>
              <w:bottom w:w="0" w:type="dxa"/>
            </w:tcMar>
            <w:vAlign w:val="bottom"/>
          </w:tcPr>
          <w:p>
            <w:pPr>
              <w:pStyle w:val="TableContents"/>
              <w:spacing w:before="0" w:after="283"/>
              <w:jc w:val="left"/>
              <w:rPr/>
            </w:pPr>
            <w:r>
              <w:rPr/>
              <w:t> </w:t>
            </w:r>
          </w:p>
        </w:tc>
        <w:tc>
          <w:tcPr>
            <w:tcW w:w="1277"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176" w:type="dxa"/>
            <w:tcBorders/>
            <w:shd w:fill="FFFFFF" w:val="clear"/>
            <w:tcMar>
              <w:bottom w:w="0" w:type="dxa"/>
            </w:tcMar>
            <w:vAlign w:val="bottom"/>
          </w:tcPr>
          <w:p>
            <w:pPr>
              <w:pStyle w:val="TableContents"/>
              <w:spacing w:before="0" w:after="283"/>
              <w:jc w:val="left"/>
              <w:rPr/>
            </w:pPr>
            <w:r>
              <w:rPr/>
              <w:t> </w:t>
            </w:r>
          </w:p>
        </w:tc>
        <w:tc>
          <w:tcPr>
            <w:tcW w:w="151" w:type="dxa"/>
            <w:tcBorders/>
            <w:shd w:fill="FFFFFF" w:val="clear"/>
            <w:tcMar>
              <w:bottom w:w="0" w:type="dxa"/>
            </w:tcMar>
            <w:vAlign w:val="bottom"/>
          </w:tcPr>
          <w:p>
            <w:pPr>
              <w:pStyle w:val="TableContents"/>
              <w:spacing w:before="0" w:after="283"/>
              <w:jc w:val="left"/>
              <w:rPr/>
            </w:pPr>
            <w:r>
              <w:rPr/>
              <w:t> </w:t>
            </w:r>
          </w:p>
        </w:tc>
        <w:tc>
          <w:tcPr>
            <w:tcW w:w="1143"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147</w:t>
            </w:r>
          </w:p>
        </w:tc>
        <w:tc>
          <w:tcPr>
            <w:tcW w:w="122" w:type="dxa"/>
            <w:tcBorders/>
            <w:shd w:fill="FFFFFF" w:val="clear"/>
            <w:tcMar>
              <w:bottom w:w="0" w:type="dxa"/>
            </w:tcMar>
            <w:vAlign w:val="bottom"/>
          </w:tcPr>
          <w:p>
            <w:pPr>
              <w:pStyle w:val="TableContents"/>
              <w:spacing w:before="0" w:after="283"/>
              <w:jc w:val="left"/>
              <w:rPr/>
            </w:pPr>
            <w:r>
              <w:rPr/>
              <w:t> </w:t>
            </w:r>
          </w:p>
        </w:tc>
      </w:tr>
      <w:tr>
        <w:trPr/>
        <w:tc>
          <w:tcPr>
            <w:tcW w:w="3666"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Inventory</w:t>
            </w:r>
          </w:p>
        </w:tc>
        <w:tc>
          <w:tcPr>
            <w:tcW w:w="176" w:type="dxa"/>
            <w:tcBorders/>
            <w:shd w:fill="CCEEFF" w:val="clear"/>
            <w:tcMar>
              <w:bottom w:w="0" w:type="dxa"/>
            </w:tcMar>
            <w:vAlign w:val="center"/>
          </w:tcPr>
          <w:p>
            <w:pPr>
              <w:pStyle w:val="TableContents"/>
              <w:spacing w:before="0" w:after="283"/>
              <w:rPr/>
            </w:pPr>
            <w:r>
              <w:rPr/>
              <w:t> </w:t>
            </w:r>
          </w:p>
        </w:tc>
        <w:tc>
          <w:tcPr>
            <w:tcW w:w="201" w:type="dxa"/>
            <w:tcBorders/>
            <w:shd w:fill="CCEEFF" w:val="clear"/>
            <w:tcMar>
              <w:bottom w:w="0" w:type="dxa"/>
            </w:tcMar>
            <w:vAlign w:val="bottom"/>
          </w:tcPr>
          <w:p>
            <w:pPr>
              <w:pStyle w:val="TableContents"/>
              <w:spacing w:before="0" w:after="283"/>
              <w:jc w:val="left"/>
              <w:rPr/>
            </w:pPr>
            <w:r>
              <w:rPr/>
              <w:t> </w:t>
            </w:r>
          </w:p>
        </w:tc>
        <w:tc>
          <w:tcPr>
            <w:tcW w:w="1269"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25</w:t>
            </w:r>
          </w:p>
        </w:tc>
        <w:tc>
          <w:tcPr>
            <w:tcW w:w="176" w:type="dxa"/>
            <w:tcBorders/>
            <w:shd w:fill="CCEEFF" w:val="clear"/>
            <w:tcMar>
              <w:bottom w:w="0" w:type="dxa"/>
            </w:tcMar>
            <w:vAlign w:val="bottom"/>
          </w:tcPr>
          <w:p>
            <w:pPr>
              <w:pStyle w:val="TableContents"/>
              <w:spacing w:before="0" w:after="283"/>
              <w:jc w:val="left"/>
              <w:rPr/>
            </w:pPr>
            <w:r>
              <w:rPr/>
              <w:t> </w:t>
            </w:r>
          </w:p>
        </w:tc>
        <w:tc>
          <w:tcPr>
            <w:tcW w:w="181" w:type="dxa"/>
            <w:tcBorders/>
            <w:shd w:fill="CCEEFF" w:val="clear"/>
            <w:tcMar>
              <w:bottom w:w="0" w:type="dxa"/>
            </w:tcMar>
            <w:vAlign w:val="bottom"/>
          </w:tcPr>
          <w:p>
            <w:pPr>
              <w:pStyle w:val="TableContents"/>
              <w:spacing w:before="0" w:after="283"/>
              <w:jc w:val="left"/>
              <w:rPr/>
            </w:pPr>
            <w:r>
              <w:rPr/>
              <w:t> </w:t>
            </w:r>
          </w:p>
        </w:tc>
        <w:tc>
          <w:tcPr>
            <w:tcW w:w="1288"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176" w:type="dxa"/>
            <w:tcBorders/>
            <w:shd w:fill="CCEEFF" w:val="clear"/>
            <w:tcMar>
              <w:bottom w:w="0" w:type="dxa"/>
            </w:tcMar>
            <w:vAlign w:val="bottom"/>
          </w:tcPr>
          <w:p>
            <w:pPr>
              <w:pStyle w:val="TableContents"/>
              <w:spacing w:before="0" w:after="283"/>
              <w:jc w:val="left"/>
              <w:rPr/>
            </w:pPr>
            <w:r>
              <w:rPr/>
              <w:t> </w:t>
            </w:r>
          </w:p>
        </w:tc>
        <w:tc>
          <w:tcPr>
            <w:tcW w:w="203" w:type="dxa"/>
            <w:tcBorders/>
            <w:shd w:fill="CCEEFF" w:val="clear"/>
            <w:tcMar>
              <w:bottom w:w="0" w:type="dxa"/>
            </w:tcMar>
            <w:vAlign w:val="bottom"/>
          </w:tcPr>
          <w:p>
            <w:pPr>
              <w:pStyle w:val="TableContents"/>
              <w:spacing w:before="0" w:after="283"/>
              <w:jc w:val="left"/>
              <w:rPr/>
            </w:pPr>
            <w:r>
              <w:rPr/>
              <w:t> </w:t>
            </w:r>
          </w:p>
        </w:tc>
        <w:tc>
          <w:tcPr>
            <w:tcW w:w="1277"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176" w:type="dxa"/>
            <w:tcBorders/>
            <w:shd w:fill="CCEEFF" w:val="clear"/>
            <w:tcMar>
              <w:bottom w:w="0" w:type="dxa"/>
            </w:tcMar>
            <w:vAlign w:val="bottom"/>
          </w:tcPr>
          <w:p>
            <w:pPr>
              <w:pStyle w:val="TableContents"/>
              <w:spacing w:before="0" w:after="283"/>
              <w:jc w:val="left"/>
              <w:rPr/>
            </w:pPr>
            <w:r>
              <w:rPr/>
              <w:t> </w:t>
            </w:r>
          </w:p>
        </w:tc>
        <w:tc>
          <w:tcPr>
            <w:tcW w:w="151" w:type="dxa"/>
            <w:tcBorders/>
            <w:shd w:fill="CCEEFF" w:val="clear"/>
            <w:tcMar>
              <w:bottom w:w="0" w:type="dxa"/>
            </w:tcMar>
            <w:vAlign w:val="bottom"/>
          </w:tcPr>
          <w:p>
            <w:pPr>
              <w:pStyle w:val="TableContents"/>
              <w:spacing w:before="0" w:after="283"/>
              <w:jc w:val="left"/>
              <w:rPr/>
            </w:pPr>
            <w:r>
              <w:rPr/>
              <w:t> </w:t>
            </w:r>
          </w:p>
        </w:tc>
        <w:tc>
          <w:tcPr>
            <w:tcW w:w="1143"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25</w:t>
            </w:r>
          </w:p>
        </w:tc>
        <w:tc>
          <w:tcPr>
            <w:tcW w:w="122" w:type="dxa"/>
            <w:tcBorders/>
            <w:shd w:fill="CCEEFF" w:val="clear"/>
            <w:tcMar>
              <w:bottom w:w="0" w:type="dxa"/>
            </w:tcMar>
            <w:vAlign w:val="bottom"/>
          </w:tcPr>
          <w:p>
            <w:pPr>
              <w:pStyle w:val="TableContents"/>
              <w:spacing w:before="0" w:after="283"/>
              <w:jc w:val="left"/>
              <w:rPr/>
            </w:pPr>
            <w:r>
              <w:rPr/>
              <w:t> </w:t>
            </w:r>
          </w:p>
        </w:tc>
      </w:tr>
      <w:tr>
        <w:trPr/>
        <w:tc>
          <w:tcPr>
            <w:tcW w:w="3666"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Prepayments</w:t>
            </w:r>
          </w:p>
        </w:tc>
        <w:tc>
          <w:tcPr>
            <w:tcW w:w="176" w:type="dxa"/>
            <w:tcBorders/>
            <w:shd w:fill="FFFFFF" w:val="clear"/>
            <w:tcMar>
              <w:bottom w:w="0" w:type="dxa"/>
            </w:tcMar>
            <w:vAlign w:val="center"/>
          </w:tcPr>
          <w:p>
            <w:pPr>
              <w:pStyle w:val="TableContents"/>
              <w:spacing w:before="0" w:after="283"/>
              <w:rPr/>
            </w:pPr>
            <w:r>
              <w:rPr/>
              <w:t> </w:t>
            </w:r>
          </w:p>
        </w:tc>
        <w:tc>
          <w:tcPr>
            <w:tcW w:w="201" w:type="dxa"/>
            <w:tcBorders/>
            <w:shd w:fill="FFFFFF" w:val="clear"/>
            <w:tcMar>
              <w:bottom w:w="0" w:type="dxa"/>
            </w:tcMar>
            <w:vAlign w:val="bottom"/>
          </w:tcPr>
          <w:p>
            <w:pPr>
              <w:pStyle w:val="TableContents"/>
              <w:spacing w:before="0" w:after="283"/>
              <w:jc w:val="left"/>
              <w:rPr/>
            </w:pPr>
            <w:r>
              <w:rPr/>
              <w:t> </w:t>
            </w:r>
          </w:p>
        </w:tc>
        <w:tc>
          <w:tcPr>
            <w:tcW w:w="1269"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56</w:t>
            </w:r>
          </w:p>
        </w:tc>
        <w:tc>
          <w:tcPr>
            <w:tcW w:w="176" w:type="dxa"/>
            <w:tcBorders/>
            <w:shd w:fill="FFFFFF" w:val="clear"/>
            <w:tcMar>
              <w:bottom w:w="0" w:type="dxa"/>
            </w:tcMar>
            <w:vAlign w:val="bottom"/>
          </w:tcPr>
          <w:p>
            <w:pPr>
              <w:pStyle w:val="TableContents"/>
              <w:spacing w:before="0" w:after="283"/>
              <w:jc w:val="left"/>
              <w:rPr/>
            </w:pPr>
            <w:r>
              <w:rPr/>
              <w:t> </w:t>
            </w:r>
          </w:p>
        </w:tc>
        <w:tc>
          <w:tcPr>
            <w:tcW w:w="181" w:type="dxa"/>
            <w:tcBorders/>
            <w:shd w:fill="FFFFFF" w:val="clear"/>
            <w:tcMar>
              <w:bottom w:w="0" w:type="dxa"/>
            </w:tcMar>
            <w:vAlign w:val="bottom"/>
          </w:tcPr>
          <w:p>
            <w:pPr>
              <w:pStyle w:val="TableContents"/>
              <w:spacing w:before="0" w:after="283"/>
              <w:jc w:val="left"/>
              <w:rPr/>
            </w:pPr>
            <w:r>
              <w:rPr/>
              <w:t> </w:t>
            </w:r>
          </w:p>
        </w:tc>
        <w:tc>
          <w:tcPr>
            <w:tcW w:w="1288"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176" w:type="dxa"/>
            <w:tcBorders/>
            <w:shd w:fill="FFFFFF" w:val="clear"/>
            <w:tcMar>
              <w:bottom w:w="0" w:type="dxa"/>
            </w:tcMar>
            <w:vAlign w:val="bottom"/>
          </w:tcPr>
          <w:p>
            <w:pPr>
              <w:pStyle w:val="TableContents"/>
              <w:spacing w:before="0" w:after="283"/>
              <w:jc w:val="left"/>
              <w:rPr/>
            </w:pPr>
            <w:r>
              <w:rPr/>
              <w:t> </w:t>
            </w:r>
          </w:p>
        </w:tc>
        <w:tc>
          <w:tcPr>
            <w:tcW w:w="203" w:type="dxa"/>
            <w:tcBorders/>
            <w:shd w:fill="FFFFFF" w:val="clear"/>
            <w:tcMar>
              <w:bottom w:w="0" w:type="dxa"/>
            </w:tcMar>
            <w:vAlign w:val="bottom"/>
          </w:tcPr>
          <w:p>
            <w:pPr>
              <w:pStyle w:val="TableContents"/>
              <w:spacing w:before="0" w:after="283"/>
              <w:jc w:val="left"/>
              <w:rPr/>
            </w:pPr>
            <w:r>
              <w:rPr/>
              <w:t> </w:t>
            </w:r>
          </w:p>
        </w:tc>
        <w:tc>
          <w:tcPr>
            <w:tcW w:w="1277"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176" w:type="dxa"/>
            <w:tcBorders/>
            <w:shd w:fill="FFFFFF" w:val="clear"/>
            <w:tcMar>
              <w:bottom w:w="0" w:type="dxa"/>
            </w:tcMar>
            <w:vAlign w:val="bottom"/>
          </w:tcPr>
          <w:p>
            <w:pPr>
              <w:pStyle w:val="TableContents"/>
              <w:spacing w:before="0" w:after="283"/>
              <w:jc w:val="left"/>
              <w:rPr/>
            </w:pPr>
            <w:r>
              <w:rPr/>
              <w:t> </w:t>
            </w:r>
          </w:p>
        </w:tc>
        <w:tc>
          <w:tcPr>
            <w:tcW w:w="151" w:type="dxa"/>
            <w:tcBorders/>
            <w:shd w:fill="FFFFFF" w:val="clear"/>
            <w:tcMar>
              <w:bottom w:w="0" w:type="dxa"/>
            </w:tcMar>
            <w:vAlign w:val="bottom"/>
          </w:tcPr>
          <w:p>
            <w:pPr>
              <w:pStyle w:val="TableContents"/>
              <w:spacing w:before="0" w:after="283"/>
              <w:jc w:val="left"/>
              <w:rPr/>
            </w:pPr>
            <w:r>
              <w:rPr/>
              <w:t> </w:t>
            </w:r>
          </w:p>
        </w:tc>
        <w:tc>
          <w:tcPr>
            <w:tcW w:w="1143"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56</w:t>
            </w:r>
          </w:p>
        </w:tc>
        <w:tc>
          <w:tcPr>
            <w:tcW w:w="122" w:type="dxa"/>
            <w:tcBorders/>
            <w:shd w:fill="FFFFFF" w:val="clear"/>
            <w:tcMar>
              <w:bottom w:w="0" w:type="dxa"/>
            </w:tcMar>
            <w:vAlign w:val="bottom"/>
          </w:tcPr>
          <w:p>
            <w:pPr>
              <w:pStyle w:val="TableContents"/>
              <w:spacing w:before="0" w:after="283"/>
              <w:jc w:val="left"/>
              <w:rPr/>
            </w:pPr>
            <w:r>
              <w:rPr/>
              <w:t> </w:t>
            </w:r>
          </w:p>
        </w:tc>
      </w:tr>
      <w:tr>
        <w:trPr/>
        <w:tc>
          <w:tcPr>
            <w:tcW w:w="3666"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 xml:space="preserve">Land </w:t>
            </w:r>
          </w:p>
        </w:tc>
        <w:tc>
          <w:tcPr>
            <w:tcW w:w="176" w:type="dxa"/>
            <w:tcBorders/>
            <w:shd w:fill="CCEEFF" w:val="clear"/>
            <w:tcMar>
              <w:bottom w:w="0" w:type="dxa"/>
            </w:tcMar>
            <w:vAlign w:val="center"/>
          </w:tcPr>
          <w:p>
            <w:pPr>
              <w:pStyle w:val="TableContents"/>
              <w:spacing w:before="0" w:after="283"/>
              <w:rPr/>
            </w:pPr>
            <w:r>
              <w:rPr/>
              <w:t> </w:t>
            </w:r>
          </w:p>
        </w:tc>
        <w:tc>
          <w:tcPr>
            <w:tcW w:w="201" w:type="dxa"/>
            <w:tcBorders/>
            <w:shd w:fill="CCEEFF" w:val="clear"/>
            <w:tcMar>
              <w:bottom w:w="0" w:type="dxa"/>
            </w:tcMar>
            <w:vAlign w:val="bottom"/>
          </w:tcPr>
          <w:p>
            <w:pPr>
              <w:pStyle w:val="TableContents"/>
              <w:spacing w:before="0" w:after="283"/>
              <w:jc w:val="left"/>
              <w:rPr/>
            </w:pPr>
            <w:r>
              <w:rPr/>
              <w:t> </w:t>
            </w:r>
          </w:p>
        </w:tc>
        <w:tc>
          <w:tcPr>
            <w:tcW w:w="1269"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176" w:type="dxa"/>
            <w:tcBorders/>
            <w:shd w:fill="CCEEFF" w:val="clear"/>
            <w:tcMar>
              <w:bottom w:w="0" w:type="dxa"/>
            </w:tcMar>
            <w:vAlign w:val="bottom"/>
          </w:tcPr>
          <w:p>
            <w:pPr>
              <w:pStyle w:val="TableContents"/>
              <w:spacing w:before="0" w:after="283"/>
              <w:jc w:val="left"/>
              <w:rPr/>
            </w:pPr>
            <w:r>
              <w:rPr/>
              <w:t> </w:t>
            </w:r>
          </w:p>
        </w:tc>
        <w:tc>
          <w:tcPr>
            <w:tcW w:w="181" w:type="dxa"/>
            <w:tcBorders/>
            <w:shd w:fill="CCEEFF" w:val="clear"/>
            <w:tcMar>
              <w:bottom w:w="0" w:type="dxa"/>
            </w:tcMar>
            <w:vAlign w:val="bottom"/>
          </w:tcPr>
          <w:p>
            <w:pPr>
              <w:pStyle w:val="TableContents"/>
              <w:spacing w:before="0" w:after="283"/>
              <w:jc w:val="left"/>
              <w:rPr/>
            </w:pPr>
            <w:r>
              <w:rPr/>
              <w:t> </w:t>
            </w:r>
          </w:p>
        </w:tc>
        <w:tc>
          <w:tcPr>
            <w:tcW w:w="1288"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992</w:t>
            </w:r>
          </w:p>
        </w:tc>
        <w:tc>
          <w:tcPr>
            <w:tcW w:w="176" w:type="dxa"/>
            <w:tcBorders/>
            <w:shd w:fill="CCEEFF" w:val="clear"/>
            <w:tcMar>
              <w:bottom w:w="0" w:type="dxa"/>
            </w:tcMar>
            <w:vAlign w:val="bottom"/>
          </w:tcPr>
          <w:p>
            <w:pPr>
              <w:pStyle w:val="TableContents"/>
              <w:spacing w:before="0" w:after="283"/>
              <w:jc w:val="left"/>
              <w:rPr/>
            </w:pPr>
            <w:r>
              <w:rPr/>
              <w:t> </w:t>
            </w:r>
          </w:p>
        </w:tc>
        <w:tc>
          <w:tcPr>
            <w:tcW w:w="203" w:type="dxa"/>
            <w:tcBorders/>
            <w:shd w:fill="CCEEFF" w:val="clear"/>
            <w:tcMar>
              <w:bottom w:w="0" w:type="dxa"/>
            </w:tcMar>
            <w:vAlign w:val="bottom"/>
          </w:tcPr>
          <w:p>
            <w:pPr>
              <w:pStyle w:val="TableContents"/>
              <w:spacing w:before="0" w:after="283"/>
              <w:jc w:val="left"/>
              <w:rPr/>
            </w:pPr>
            <w:r>
              <w:rPr/>
              <w:t> </w:t>
            </w:r>
          </w:p>
        </w:tc>
        <w:tc>
          <w:tcPr>
            <w:tcW w:w="1277"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176" w:type="dxa"/>
            <w:tcBorders/>
            <w:shd w:fill="CCEEFF" w:val="clear"/>
            <w:tcMar>
              <w:bottom w:w="0" w:type="dxa"/>
            </w:tcMar>
            <w:vAlign w:val="bottom"/>
          </w:tcPr>
          <w:p>
            <w:pPr>
              <w:pStyle w:val="TableContents"/>
              <w:spacing w:before="0" w:after="283"/>
              <w:jc w:val="left"/>
              <w:rPr/>
            </w:pPr>
            <w:r>
              <w:rPr/>
              <w:t> </w:t>
            </w:r>
          </w:p>
        </w:tc>
        <w:tc>
          <w:tcPr>
            <w:tcW w:w="151" w:type="dxa"/>
            <w:tcBorders/>
            <w:shd w:fill="CCEEFF" w:val="clear"/>
            <w:tcMar>
              <w:bottom w:w="0" w:type="dxa"/>
            </w:tcMar>
            <w:vAlign w:val="bottom"/>
          </w:tcPr>
          <w:p>
            <w:pPr>
              <w:pStyle w:val="TableContents"/>
              <w:spacing w:before="0" w:after="283"/>
              <w:jc w:val="left"/>
              <w:rPr/>
            </w:pPr>
            <w:r>
              <w:rPr/>
              <w:t> </w:t>
            </w:r>
          </w:p>
        </w:tc>
        <w:tc>
          <w:tcPr>
            <w:tcW w:w="1143"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992</w:t>
            </w:r>
          </w:p>
        </w:tc>
        <w:tc>
          <w:tcPr>
            <w:tcW w:w="122" w:type="dxa"/>
            <w:tcBorders/>
            <w:shd w:fill="CCEEFF" w:val="clear"/>
            <w:tcMar>
              <w:bottom w:w="0" w:type="dxa"/>
            </w:tcMar>
            <w:vAlign w:val="bottom"/>
          </w:tcPr>
          <w:p>
            <w:pPr>
              <w:pStyle w:val="TableContents"/>
              <w:spacing w:before="0" w:after="283"/>
              <w:jc w:val="left"/>
              <w:rPr/>
            </w:pPr>
            <w:r>
              <w:rPr/>
              <w:t> </w:t>
            </w:r>
          </w:p>
        </w:tc>
      </w:tr>
      <w:tr>
        <w:trPr/>
        <w:tc>
          <w:tcPr>
            <w:tcW w:w="3666" w:type="dxa"/>
            <w:tcBorders/>
            <w:shd w:fill="FFFFFF" w:val="clear"/>
            <w:tcMar>
              <w:bottom w:w="0" w:type="dxa"/>
            </w:tcMar>
            <w:vAlign w:val="bottom"/>
          </w:tcPr>
          <w:p>
            <w:pPr>
              <w:pStyle w:val="TableContents"/>
              <w:spacing w:lineRule="auto" w:line="300" w:before="0" w:after="0"/>
              <w:ind w:left="0" w:right="0" w:hanging="0"/>
              <w:jc w:val="left"/>
              <w:rPr/>
            </w:pPr>
            <w:r>
              <w:rPr>
                <w:rFonts w:ascii="Times New Roman" w:hAnsi="Times New Roman"/>
                <w:sz w:val="20"/>
              </w:rPr>
              <w:t>Building</w:t>
            </w:r>
            <w:bookmarkStart w:id="3184" w:name="TAB2124"/>
            <w:bookmarkEnd w:id="3184"/>
            <w:r>
              <w:rPr>
                <w:color w:val="000000"/>
                <w:spacing w:val="162"/>
              </w:rPr>
              <w:t> </w:t>
            </w:r>
            <w:bookmarkStart w:id="3185" w:name="TAB2123"/>
            <w:bookmarkEnd w:id="3185"/>
            <w:r>
              <w:rPr>
                <w:color w:val="000000"/>
                <w:spacing w:val="180"/>
              </w:rPr>
              <w:t> </w:t>
            </w:r>
          </w:p>
        </w:tc>
        <w:tc>
          <w:tcPr>
            <w:tcW w:w="176" w:type="dxa"/>
            <w:tcBorders/>
            <w:shd w:fill="FFFFFF" w:val="clear"/>
            <w:tcMar>
              <w:bottom w:w="0" w:type="dxa"/>
            </w:tcMar>
            <w:vAlign w:val="center"/>
          </w:tcPr>
          <w:p>
            <w:pPr>
              <w:pStyle w:val="TableContents"/>
              <w:spacing w:before="0" w:after="283"/>
              <w:rPr/>
            </w:pPr>
            <w:r>
              <w:rPr/>
              <w:t> </w:t>
            </w:r>
          </w:p>
        </w:tc>
        <w:tc>
          <w:tcPr>
            <w:tcW w:w="201" w:type="dxa"/>
            <w:tcBorders/>
            <w:shd w:fill="FFFFFF" w:val="clear"/>
            <w:tcMar>
              <w:bottom w:w="0" w:type="dxa"/>
            </w:tcMar>
            <w:vAlign w:val="bottom"/>
          </w:tcPr>
          <w:p>
            <w:pPr>
              <w:pStyle w:val="TableContents"/>
              <w:spacing w:before="0" w:after="283"/>
              <w:jc w:val="left"/>
              <w:rPr/>
            </w:pPr>
            <w:r>
              <w:rPr/>
              <w:t> </w:t>
            </w:r>
          </w:p>
        </w:tc>
        <w:tc>
          <w:tcPr>
            <w:tcW w:w="1269"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176" w:type="dxa"/>
            <w:tcBorders/>
            <w:shd w:fill="FFFFFF" w:val="clear"/>
            <w:tcMar>
              <w:bottom w:w="0" w:type="dxa"/>
            </w:tcMar>
            <w:vAlign w:val="bottom"/>
          </w:tcPr>
          <w:p>
            <w:pPr>
              <w:pStyle w:val="TableContents"/>
              <w:spacing w:before="0" w:after="283"/>
              <w:jc w:val="left"/>
              <w:rPr/>
            </w:pPr>
            <w:r>
              <w:rPr/>
              <w:t> </w:t>
            </w:r>
          </w:p>
        </w:tc>
        <w:tc>
          <w:tcPr>
            <w:tcW w:w="181" w:type="dxa"/>
            <w:tcBorders/>
            <w:shd w:fill="FFFFFF" w:val="clear"/>
            <w:tcMar>
              <w:bottom w:w="0" w:type="dxa"/>
            </w:tcMar>
            <w:vAlign w:val="bottom"/>
          </w:tcPr>
          <w:p>
            <w:pPr>
              <w:pStyle w:val="TableContents"/>
              <w:spacing w:before="0" w:after="283"/>
              <w:jc w:val="left"/>
              <w:rPr/>
            </w:pPr>
            <w:r>
              <w:rPr/>
              <w:t> </w:t>
            </w:r>
          </w:p>
        </w:tc>
        <w:tc>
          <w:tcPr>
            <w:tcW w:w="1288"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6,083</w:t>
            </w:r>
          </w:p>
        </w:tc>
        <w:tc>
          <w:tcPr>
            <w:tcW w:w="176" w:type="dxa"/>
            <w:tcBorders/>
            <w:shd w:fill="FFFFFF" w:val="clear"/>
            <w:tcMar>
              <w:bottom w:w="0" w:type="dxa"/>
            </w:tcMar>
            <w:vAlign w:val="bottom"/>
          </w:tcPr>
          <w:p>
            <w:pPr>
              <w:pStyle w:val="TableContents"/>
              <w:spacing w:before="0" w:after="283"/>
              <w:jc w:val="left"/>
              <w:rPr/>
            </w:pPr>
            <w:r>
              <w:rPr/>
              <w:t> </w:t>
            </w:r>
          </w:p>
        </w:tc>
        <w:tc>
          <w:tcPr>
            <w:tcW w:w="203" w:type="dxa"/>
            <w:tcBorders/>
            <w:shd w:fill="FFFFFF" w:val="clear"/>
            <w:tcMar>
              <w:bottom w:w="0" w:type="dxa"/>
            </w:tcMar>
            <w:vAlign w:val="bottom"/>
          </w:tcPr>
          <w:p>
            <w:pPr>
              <w:pStyle w:val="TableContents"/>
              <w:spacing w:before="0" w:after="283"/>
              <w:jc w:val="left"/>
              <w:rPr/>
            </w:pPr>
            <w:r>
              <w:rPr/>
              <w:t> </w:t>
            </w:r>
          </w:p>
        </w:tc>
        <w:tc>
          <w:tcPr>
            <w:tcW w:w="1277"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176" w:type="dxa"/>
            <w:tcBorders/>
            <w:shd w:fill="FFFFFF" w:val="clear"/>
            <w:tcMar>
              <w:bottom w:w="0" w:type="dxa"/>
            </w:tcMar>
            <w:vAlign w:val="bottom"/>
          </w:tcPr>
          <w:p>
            <w:pPr>
              <w:pStyle w:val="TableContents"/>
              <w:spacing w:before="0" w:after="283"/>
              <w:jc w:val="left"/>
              <w:rPr/>
            </w:pPr>
            <w:r>
              <w:rPr/>
              <w:t> </w:t>
            </w:r>
          </w:p>
        </w:tc>
        <w:tc>
          <w:tcPr>
            <w:tcW w:w="151" w:type="dxa"/>
            <w:tcBorders/>
            <w:shd w:fill="FFFFFF" w:val="clear"/>
            <w:tcMar>
              <w:bottom w:w="0" w:type="dxa"/>
            </w:tcMar>
            <w:vAlign w:val="bottom"/>
          </w:tcPr>
          <w:p>
            <w:pPr>
              <w:pStyle w:val="TableContents"/>
              <w:spacing w:before="0" w:after="283"/>
              <w:jc w:val="left"/>
              <w:rPr/>
            </w:pPr>
            <w:r>
              <w:rPr/>
              <w:t> </w:t>
            </w:r>
          </w:p>
        </w:tc>
        <w:tc>
          <w:tcPr>
            <w:tcW w:w="1143"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6,083</w:t>
            </w:r>
          </w:p>
        </w:tc>
        <w:tc>
          <w:tcPr>
            <w:tcW w:w="122" w:type="dxa"/>
            <w:tcBorders/>
            <w:shd w:fill="FFFFFF" w:val="clear"/>
            <w:tcMar>
              <w:bottom w:w="0" w:type="dxa"/>
            </w:tcMar>
            <w:vAlign w:val="bottom"/>
          </w:tcPr>
          <w:p>
            <w:pPr>
              <w:pStyle w:val="TableContents"/>
              <w:spacing w:before="0" w:after="283"/>
              <w:jc w:val="left"/>
              <w:rPr/>
            </w:pPr>
            <w:r>
              <w:rPr/>
              <w:t> </w:t>
            </w:r>
          </w:p>
        </w:tc>
      </w:tr>
      <w:tr>
        <w:trPr/>
        <w:tc>
          <w:tcPr>
            <w:tcW w:w="3666"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Lease agreements</w:t>
            </w:r>
          </w:p>
        </w:tc>
        <w:tc>
          <w:tcPr>
            <w:tcW w:w="176" w:type="dxa"/>
            <w:tcBorders/>
            <w:shd w:fill="CCEEFF" w:val="clear"/>
            <w:tcMar>
              <w:bottom w:w="0" w:type="dxa"/>
            </w:tcMar>
            <w:vAlign w:val="center"/>
          </w:tcPr>
          <w:p>
            <w:pPr>
              <w:pStyle w:val="TableContents"/>
              <w:spacing w:before="0" w:after="283"/>
              <w:rPr/>
            </w:pPr>
            <w:r>
              <w:rPr/>
              <w:t> </w:t>
            </w:r>
          </w:p>
        </w:tc>
        <w:tc>
          <w:tcPr>
            <w:tcW w:w="201" w:type="dxa"/>
            <w:tcBorders/>
            <w:shd w:fill="CCEEFF" w:val="clear"/>
            <w:tcMar>
              <w:bottom w:w="0" w:type="dxa"/>
            </w:tcMar>
            <w:vAlign w:val="bottom"/>
          </w:tcPr>
          <w:p>
            <w:pPr>
              <w:pStyle w:val="TableContents"/>
              <w:spacing w:before="0" w:after="283"/>
              <w:jc w:val="left"/>
              <w:rPr/>
            </w:pPr>
            <w:r>
              <w:rPr/>
              <w:t> </w:t>
            </w:r>
          </w:p>
        </w:tc>
        <w:tc>
          <w:tcPr>
            <w:tcW w:w="1269"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282</w:t>
            </w:r>
          </w:p>
        </w:tc>
        <w:tc>
          <w:tcPr>
            <w:tcW w:w="176" w:type="dxa"/>
            <w:tcBorders/>
            <w:shd w:fill="CCEEFF" w:val="clear"/>
            <w:tcMar>
              <w:bottom w:w="0" w:type="dxa"/>
            </w:tcMar>
            <w:vAlign w:val="bottom"/>
          </w:tcPr>
          <w:p>
            <w:pPr>
              <w:pStyle w:val="TableContents"/>
              <w:spacing w:before="0" w:after="283"/>
              <w:jc w:val="left"/>
              <w:rPr/>
            </w:pPr>
            <w:r>
              <w:rPr/>
              <w:t> </w:t>
            </w:r>
          </w:p>
        </w:tc>
        <w:tc>
          <w:tcPr>
            <w:tcW w:w="181" w:type="dxa"/>
            <w:tcBorders/>
            <w:shd w:fill="CCEEFF" w:val="clear"/>
            <w:tcMar>
              <w:bottom w:w="0" w:type="dxa"/>
            </w:tcMar>
            <w:vAlign w:val="bottom"/>
          </w:tcPr>
          <w:p>
            <w:pPr>
              <w:pStyle w:val="TableContents"/>
              <w:spacing w:before="0" w:after="283"/>
              <w:jc w:val="left"/>
              <w:rPr/>
            </w:pPr>
            <w:r>
              <w:rPr/>
              <w:t> </w:t>
            </w:r>
          </w:p>
        </w:tc>
        <w:tc>
          <w:tcPr>
            <w:tcW w:w="1288"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593</w:t>
            </w:r>
          </w:p>
        </w:tc>
        <w:tc>
          <w:tcPr>
            <w:tcW w:w="176" w:type="dxa"/>
            <w:tcBorders/>
            <w:shd w:fill="CCEEFF" w:val="clear"/>
            <w:tcMar>
              <w:bottom w:w="0" w:type="dxa"/>
            </w:tcMar>
            <w:vAlign w:val="bottom"/>
          </w:tcPr>
          <w:p>
            <w:pPr>
              <w:pStyle w:val="TableContents"/>
              <w:spacing w:before="0" w:after="283"/>
              <w:jc w:val="left"/>
              <w:rPr/>
            </w:pPr>
            <w:r>
              <w:rPr/>
              <w:t> </w:t>
            </w:r>
          </w:p>
        </w:tc>
        <w:tc>
          <w:tcPr>
            <w:tcW w:w="203" w:type="dxa"/>
            <w:tcBorders/>
            <w:shd w:fill="CCEEFF" w:val="clear"/>
            <w:tcMar>
              <w:bottom w:w="0" w:type="dxa"/>
            </w:tcMar>
            <w:vAlign w:val="bottom"/>
          </w:tcPr>
          <w:p>
            <w:pPr>
              <w:pStyle w:val="TableContents"/>
              <w:spacing w:before="0" w:after="283"/>
              <w:jc w:val="left"/>
              <w:rPr/>
            </w:pPr>
            <w:r>
              <w:rPr/>
              <w:t> </w:t>
            </w:r>
          </w:p>
        </w:tc>
        <w:tc>
          <w:tcPr>
            <w:tcW w:w="1277"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176" w:type="dxa"/>
            <w:tcBorders/>
            <w:shd w:fill="CCEEFF" w:val="clear"/>
            <w:tcMar>
              <w:bottom w:w="0" w:type="dxa"/>
            </w:tcMar>
            <w:vAlign w:val="bottom"/>
          </w:tcPr>
          <w:p>
            <w:pPr>
              <w:pStyle w:val="TableContents"/>
              <w:spacing w:before="0" w:after="283"/>
              <w:jc w:val="left"/>
              <w:rPr/>
            </w:pPr>
            <w:r>
              <w:rPr/>
              <w:t> </w:t>
            </w:r>
          </w:p>
        </w:tc>
        <w:tc>
          <w:tcPr>
            <w:tcW w:w="151" w:type="dxa"/>
            <w:tcBorders/>
            <w:shd w:fill="CCEEFF" w:val="clear"/>
            <w:tcMar>
              <w:bottom w:w="0" w:type="dxa"/>
            </w:tcMar>
            <w:vAlign w:val="bottom"/>
          </w:tcPr>
          <w:p>
            <w:pPr>
              <w:pStyle w:val="TableContents"/>
              <w:spacing w:before="0" w:after="283"/>
              <w:jc w:val="left"/>
              <w:rPr/>
            </w:pPr>
            <w:r>
              <w:rPr/>
              <w:t> </w:t>
            </w:r>
          </w:p>
        </w:tc>
        <w:tc>
          <w:tcPr>
            <w:tcW w:w="1143"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875</w:t>
            </w:r>
          </w:p>
        </w:tc>
        <w:tc>
          <w:tcPr>
            <w:tcW w:w="122" w:type="dxa"/>
            <w:tcBorders/>
            <w:shd w:fill="CCEEFF" w:val="clear"/>
            <w:tcMar>
              <w:bottom w:w="0" w:type="dxa"/>
            </w:tcMar>
            <w:vAlign w:val="bottom"/>
          </w:tcPr>
          <w:p>
            <w:pPr>
              <w:pStyle w:val="TableContents"/>
              <w:spacing w:before="0" w:after="283"/>
              <w:jc w:val="left"/>
              <w:rPr/>
            </w:pPr>
            <w:r>
              <w:rPr/>
              <w:t> </w:t>
            </w:r>
          </w:p>
        </w:tc>
      </w:tr>
      <w:tr>
        <w:trPr/>
        <w:tc>
          <w:tcPr>
            <w:tcW w:w="3666"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Fixtures and equipment</w:t>
            </w:r>
          </w:p>
        </w:tc>
        <w:tc>
          <w:tcPr>
            <w:tcW w:w="176" w:type="dxa"/>
            <w:tcBorders/>
            <w:shd w:fill="FFFFFF" w:val="clear"/>
            <w:tcMar>
              <w:bottom w:w="0" w:type="dxa"/>
            </w:tcMar>
            <w:vAlign w:val="center"/>
          </w:tcPr>
          <w:p>
            <w:pPr>
              <w:pStyle w:val="TableContents"/>
              <w:spacing w:before="0" w:after="283"/>
              <w:rPr/>
            </w:pPr>
            <w:r>
              <w:rPr/>
              <w:t> </w:t>
            </w:r>
          </w:p>
        </w:tc>
        <w:tc>
          <w:tcPr>
            <w:tcW w:w="201" w:type="dxa"/>
            <w:tcBorders/>
            <w:shd w:fill="FFFFFF" w:val="clear"/>
            <w:tcMar>
              <w:bottom w:w="0" w:type="dxa"/>
            </w:tcMar>
            <w:vAlign w:val="bottom"/>
          </w:tcPr>
          <w:p>
            <w:pPr>
              <w:pStyle w:val="TableContents"/>
              <w:spacing w:before="0" w:after="283"/>
              <w:jc w:val="left"/>
              <w:rPr/>
            </w:pPr>
            <w:r>
              <w:rPr/>
              <w:t> </w:t>
            </w:r>
          </w:p>
        </w:tc>
        <w:tc>
          <w:tcPr>
            <w:tcW w:w="1269"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3,237</w:t>
            </w:r>
          </w:p>
        </w:tc>
        <w:tc>
          <w:tcPr>
            <w:tcW w:w="176" w:type="dxa"/>
            <w:tcBorders/>
            <w:shd w:fill="FFFFFF" w:val="clear"/>
            <w:tcMar>
              <w:bottom w:w="0" w:type="dxa"/>
            </w:tcMar>
            <w:vAlign w:val="bottom"/>
          </w:tcPr>
          <w:p>
            <w:pPr>
              <w:pStyle w:val="TableContents"/>
              <w:spacing w:before="0" w:after="283"/>
              <w:jc w:val="left"/>
              <w:rPr/>
            </w:pPr>
            <w:r>
              <w:rPr/>
              <w:t> </w:t>
            </w:r>
          </w:p>
        </w:tc>
        <w:tc>
          <w:tcPr>
            <w:tcW w:w="181" w:type="dxa"/>
            <w:tcBorders/>
            <w:shd w:fill="FFFFFF" w:val="clear"/>
            <w:tcMar>
              <w:bottom w:w="0" w:type="dxa"/>
            </w:tcMar>
            <w:vAlign w:val="bottom"/>
          </w:tcPr>
          <w:p>
            <w:pPr>
              <w:pStyle w:val="TableContents"/>
              <w:spacing w:before="0" w:after="283"/>
              <w:jc w:val="left"/>
              <w:rPr/>
            </w:pPr>
            <w:r>
              <w:rPr/>
              <w:t> </w:t>
            </w:r>
          </w:p>
        </w:tc>
        <w:tc>
          <w:tcPr>
            <w:tcW w:w="1288"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2,157</w:t>
            </w:r>
          </w:p>
        </w:tc>
        <w:tc>
          <w:tcPr>
            <w:tcW w:w="176" w:type="dxa"/>
            <w:tcBorders/>
            <w:shd w:fill="FFFFFF" w:val="clear"/>
            <w:tcMar>
              <w:bottom w:w="0" w:type="dxa"/>
            </w:tcMar>
            <w:vAlign w:val="bottom"/>
          </w:tcPr>
          <w:p>
            <w:pPr>
              <w:pStyle w:val="TableContents"/>
              <w:spacing w:before="0" w:after="283"/>
              <w:jc w:val="left"/>
              <w:rPr/>
            </w:pPr>
            <w:r>
              <w:rPr/>
              <w:t> </w:t>
            </w:r>
          </w:p>
        </w:tc>
        <w:tc>
          <w:tcPr>
            <w:tcW w:w="203" w:type="dxa"/>
            <w:tcBorders/>
            <w:shd w:fill="FFFFFF" w:val="clear"/>
            <w:tcMar>
              <w:bottom w:w="0" w:type="dxa"/>
            </w:tcMar>
            <w:vAlign w:val="bottom"/>
          </w:tcPr>
          <w:p>
            <w:pPr>
              <w:pStyle w:val="TableContents"/>
              <w:spacing w:before="0" w:after="283"/>
              <w:jc w:val="left"/>
              <w:rPr/>
            </w:pPr>
            <w:r>
              <w:rPr/>
              <w:t> </w:t>
            </w:r>
          </w:p>
        </w:tc>
        <w:tc>
          <w:tcPr>
            <w:tcW w:w="1277"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176" w:type="dxa"/>
            <w:tcBorders/>
            <w:shd w:fill="FFFFFF" w:val="clear"/>
            <w:tcMar>
              <w:bottom w:w="0" w:type="dxa"/>
            </w:tcMar>
            <w:vAlign w:val="bottom"/>
          </w:tcPr>
          <w:p>
            <w:pPr>
              <w:pStyle w:val="TableContents"/>
              <w:spacing w:before="0" w:after="283"/>
              <w:jc w:val="left"/>
              <w:rPr/>
            </w:pPr>
            <w:r>
              <w:rPr/>
              <w:t> </w:t>
            </w:r>
          </w:p>
        </w:tc>
        <w:tc>
          <w:tcPr>
            <w:tcW w:w="151" w:type="dxa"/>
            <w:tcBorders/>
            <w:shd w:fill="FFFFFF" w:val="clear"/>
            <w:tcMar>
              <w:bottom w:w="0" w:type="dxa"/>
            </w:tcMar>
            <w:vAlign w:val="bottom"/>
          </w:tcPr>
          <w:p>
            <w:pPr>
              <w:pStyle w:val="TableContents"/>
              <w:spacing w:before="0" w:after="283"/>
              <w:jc w:val="left"/>
              <w:rPr/>
            </w:pPr>
            <w:r>
              <w:rPr/>
              <w:t> </w:t>
            </w:r>
          </w:p>
        </w:tc>
        <w:tc>
          <w:tcPr>
            <w:tcW w:w="1143"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5,394</w:t>
            </w:r>
          </w:p>
        </w:tc>
        <w:tc>
          <w:tcPr>
            <w:tcW w:w="122" w:type="dxa"/>
            <w:tcBorders/>
            <w:shd w:fill="FFFFFF" w:val="clear"/>
            <w:tcMar>
              <w:bottom w:w="0" w:type="dxa"/>
            </w:tcMar>
            <w:vAlign w:val="bottom"/>
          </w:tcPr>
          <w:p>
            <w:pPr>
              <w:pStyle w:val="TableContents"/>
              <w:spacing w:before="0" w:after="283"/>
              <w:jc w:val="left"/>
              <w:rPr/>
            </w:pPr>
            <w:r>
              <w:rPr/>
              <w:t> </w:t>
            </w:r>
          </w:p>
        </w:tc>
      </w:tr>
      <w:tr>
        <w:trPr/>
        <w:tc>
          <w:tcPr>
            <w:tcW w:w="3666"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Property held for development</w:t>
            </w:r>
          </w:p>
        </w:tc>
        <w:tc>
          <w:tcPr>
            <w:tcW w:w="176" w:type="dxa"/>
            <w:tcBorders/>
            <w:shd w:fill="CCEEFF" w:val="clear"/>
            <w:tcMar>
              <w:bottom w:w="0" w:type="dxa"/>
            </w:tcMar>
            <w:vAlign w:val="center"/>
          </w:tcPr>
          <w:p>
            <w:pPr>
              <w:pStyle w:val="TableContents"/>
              <w:spacing w:before="0" w:after="283"/>
              <w:rPr/>
            </w:pPr>
            <w:r>
              <w:rPr/>
              <w:t> </w:t>
            </w:r>
          </w:p>
        </w:tc>
        <w:tc>
          <w:tcPr>
            <w:tcW w:w="201" w:type="dxa"/>
            <w:tcBorders/>
            <w:shd w:fill="CCEEFF" w:val="clear"/>
            <w:tcMar>
              <w:bottom w:w="0" w:type="dxa"/>
            </w:tcMar>
            <w:vAlign w:val="bottom"/>
          </w:tcPr>
          <w:p>
            <w:pPr>
              <w:pStyle w:val="TableContents"/>
              <w:spacing w:before="0" w:after="283"/>
              <w:jc w:val="left"/>
              <w:rPr/>
            </w:pPr>
            <w:r>
              <w:rPr/>
              <w:t> </w:t>
            </w:r>
          </w:p>
        </w:tc>
        <w:tc>
          <w:tcPr>
            <w:tcW w:w="1269"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176" w:type="dxa"/>
            <w:tcBorders/>
            <w:shd w:fill="CCEEFF" w:val="clear"/>
            <w:tcMar>
              <w:bottom w:w="0" w:type="dxa"/>
            </w:tcMar>
            <w:vAlign w:val="bottom"/>
          </w:tcPr>
          <w:p>
            <w:pPr>
              <w:pStyle w:val="TableContents"/>
              <w:spacing w:before="0" w:after="283"/>
              <w:jc w:val="left"/>
              <w:rPr/>
            </w:pPr>
            <w:r>
              <w:rPr/>
              <w:t> </w:t>
            </w:r>
          </w:p>
        </w:tc>
        <w:tc>
          <w:tcPr>
            <w:tcW w:w="181" w:type="dxa"/>
            <w:tcBorders/>
            <w:shd w:fill="CCEEFF" w:val="clear"/>
            <w:tcMar>
              <w:bottom w:w="0" w:type="dxa"/>
            </w:tcMar>
            <w:vAlign w:val="bottom"/>
          </w:tcPr>
          <w:p>
            <w:pPr>
              <w:pStyle w:val="TableContents"/>
              <w:spacing w:before="0" w:after="283"/>
              <w:jc w:val="left"/>
              <w:rPr/>
            </w:pPr>
            <w:r>
              <w:rPr/>
              <w:t> </w:t>
            </w:r>
          </w:p>
        </w:tc>
        <w:tc>
          <w:tcPr>
            <w:tcW w:w="1288"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176" w:type="dxa"/>
            <w:tcBorders/>
            <w:shd w:fill="CCEEFF" w:val="clear"/>
            <w:tcMar>
              <w:bottom w:w="0" w:type="dxa"/>
            </w:tcMar>
            <w:vAlign w:val="bottom"/>
          </w:tcPr>
          <w:p>
            <w:pPr>
              <w:pStyle w:val="TableContents"/>
              <w:spacing w:before="0" w:after="283"/>
              <w:jc w:val="left"/>
              <w:rPr/>
            </w:pPr>
            <w:r>
              <w:rPr/>
              <w:t> </w:t>
            </w:r>
          </w:p>
        </w:tc>
        <w:tc>
          <w:tcPr>
            <w:tcW w:w="203" w:type="dxa"/>
            <w:tcBorders/>
            <w:shd w:fill="CCEEFF" w:val="clear"/>
            <w:tcMar>
              <w:bottom w:w="0" w:type="dxa"/>
            </w:tcMar>
            <w:vAlign w:val="bottom"/>
          </w:tcPr>
          <w:p>
            <w:pPr>
              <w:pStyle w:val="TableContents"/>
              <w:spacing w:before="0" w:after="283"/>
              <w:jc w:val="left"/>
              <w:rPr/>
            </w:pPr>
            <w:r>
              <w:rPr/>
              <w:t> </w:t>
            </w:r>
          </w:p>
        </w:tc>
        <w:tc>
          <w:tcPr>
            <w:tcW w:w="1277"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1,042</w:t>
            </w:r>
          </w:p>
        </w:tc>
        <w:tc>
          <w:tcPr>
            <w:tcW w:w="176" w:type="dxa"/>
            <w:tcBorders/>
            <w:shd w:fill="CCEEFF" w:val="clear"/>
            <w:tcMar>
              <w:bottom w:w="0" w:type="dxa"/>
            </w:tcMar>
            <w:vAlign w:val="bottom"/>
          </w:tcPr>
          <w:p>
            <w:pPr>
              <w:pStyle w:val="TableContents"/>
              <w:spacing w:before="0" w:after="283"/>
              <w:jc w:val="left"/>
              <w:rPr/>
            </w:pPr>
            <w:r>
              <w:rPr/>
              <w:t> </w:t>
            </w:r>
          </w:p>
        </w:tc>
        <w:tc>
          <w:tcPr>
            <w:tcW w:w="151" w:type="dxa"/>
            <w:tcBorders/>
            <w:shd w:fill="CCEEFF" w:val="clear"/>
            <w:tcMar>
              <w:bottom w:w="0" w:type="dxa"/>
            </w:tcMar>
            <w:vAlign w:val="bottom"/>
          </w:tcPr>
          <w:p>
            <w:pPr>
              <w:pStyle w:val="TableContents"/>
              <w:spacing w:before="0" w:after="283"/>
              <w:jc w:val="left"/>
              <w:rPr/>
            </w:pPr>
            <w:r>
              <w:rPr/>
              <w:t> </w:t>
            </w:r>
          </w:p>
        </w:tc>
        <w:tc>
          <w:tcPr>
            <w:tcW w:w="1143"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1,042</w:t>
            </w:r>
          </w:p>
        </w:tc>
        <w:tc>
          <w:tcPr>
            <w:tcW w:w="122" w:type="dxa"/>
            <w:tcBorders/>
            <w:shd w:fill="CCEEFF" w:val="clear"/>
            <w:tcMar>
              <w:bottom w:w="0" w:type="dxa"/>
            </w:tcMar>
            <w:vAlign w:val="bottom"/>
          </w:tcPr>
          <w:p>
            <w:pPr>
              <w:pStyle w:val="TableContents"/>
              <w:spacing w:before="0" w:after="283"/>
              <w:jc w:val="left"/>
              <w:rPr/>
            </w:pPr>
            <w:r>
              <w:rPr/>
              <w:t> </w:t>
            </w:r>
          </w:p>
        </w:tc>
      </w:tr>
      <w:tr>
        <w:trPr/>
        <w:tc>
          <w:tcPr>
            <w:tcW w:w="3666"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Plans and permits</w:t>
            </w:r>
          </w:p>
        </w:tc>
        <w:tc>
          <w:tcPr>
            <w:tcW w:w="176" w:type="dxa"/>
            <w:tcBorders/>
            <w:shd w:fill="FFFFFF" w:val="clear"/>
            <w:tcMar>
              <w:bottom w:w="0" w:type="dxa"/>
            </w:tcMar>
            <w:vAlign w:val="center"/>
          </w:tcPr>
          <w:p>
            <w:pPr>
              <w:pStyle w:val="TableContents"/>
              <w:spacing w:before="0" w:after="283"/>
              <w:rPr/>
            </w:pPr>
            <w:r>
              <w:rPr/>
              <w:t> </w:t>
            </w:r>
          </w:p>
        </w:tc>
        <w:tc>
          <w:tcPr>
            <w:tcW w:w="201" w:type="dxa"/>
            <w:tcBorders/>
            <w:shd w:fill="FFFFFF" w:val="clear"/>
            <w:tcMar>
              <w:bottom w:w="0" w:type="dxa"/>
            </w:tcMar>
            <w:vAlign w:val="bottom"/>
          </w:tcPr>
          <w:p>
            <w:pPr>
              <w:pStyle w:val="TableContents"/>
              <w:spacing w:before="0" w:after="283"/>
              <w:jc w:val="left"/>
              <w:rPr/>
            </w:pPr>
            <w:r>
              <w:rPr/>
              <w:t> </w:t>
            </w:r>
          </w:p>
        </w:tc>
        <w:tc>
          <w:tcPr>
            <w:tcW w:w="1269"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176" w:type="dxa"/>
            <w:tcBorders/>
            <w:shd w:fill="FFFFFF" w:val="clear"/>
            <w:tcMar>
              <w:bottom w:w="0" w:type="dxa"/>
            </w:tcMar>
            <w:vAlign w:val="bottom"/>
          </w:tcPr>
          <w:p>
            <w:pPr>
              <w:pStyle w:val="TableContents"/>
              <w:spacing w:before="0" w:after="283"/>
              <w:jc w:val="left"/>
              <w:rPr/>
            </w:pPr>
            <w:r>
              <w:rPr/>
              <w:t> </w:t>
            </w:r>
          </w:p>
        </w:tc>
        <w:tc>
          <w:tcPr>
            <w:tcW w:w="181" w:type="dxa"/>
            <w:tcBorders/>
            <w:shd w:fill="FFFFFF" w:val="clear"/>
            <w:tcMar>
              <w:bottom w:w="0" w:type="dxa"/>
            </w:tcMar>
            <w:vAlign w:val="bottom"/>
          </w:tcPr>
          <w:p>
            <w:pPr>
              <w:pStyle w:val="TableContents"/>
              <w:spacing w:before="0" w:after="283"/>
              <w:jc w:val="left"/>
              <w:rPr/>
            </w:pPr>
            <w:r>
              <w:rPr/>
              <w:t> </w:t>
            </w:r>
          </w:p>
        </w:tc>
        <w:tc>
          <w:tcPr>
            <w:tcW w:w="1288"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162</w:t>
            </w:r>
          </w:p>
        </w:tc>
        <w:tc>
          <w:tcPr>
            <w:tcW w:w="176" w:type="dxa"/>
            <w:tcBorders/>
            <w:shd w:fill="FFFFFF" w:val="clear"/>
            <w:tcMar>
              <w:bottom w:w="0" w:type="dxa"/>
            </w:tcMar>
            <w:vAlign w:val="bottom"/>
          </w:tcPr>
          <w:p>
            <w:pPr>
              <w:pStyle w:val="TableContents"/>
              <w:spacing w:before="0" w:after="283"/>
              <w:jc w:val="left"/>
              <w:rPr/>
            </w:pPr>
            <w:r>
              <w:rPr/>
              <w:t> </w:t>
            </w:r>
          </w:p>
        </w:tc>
        <w:tc>
          <w:tcPr>
            <w:tcW w:w="203" w:type="dxa"/>
            <w:tcBorders/>
            <w:shd w:fill="FFFFFF" w:val="clear"/>
            <w:tcMar>
              <w:bottom w:w="0" w:type="dxa"/>
            </w:tcMar>
            <w:vAlign w:val="bottom"/>
          </w:tcPr>
          <w:p>
            <w:pPr>
              <w:pStyle w:val="TableContents"/>
              <w:spacing w:before="0" w:after="283"/>
              <w:jc w:val="left"/>
              <w:rPr/>
            </w:pPr>
            <w:r>
              <w:rPr/>
              <w:t> </w:t>
            </w:r>
          </w:p>
        </w:tc>
        <w:tc>
          <w:tcPr>
            <w:tcW w:w="1277"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176" w:type="dxa"/>
            <w:tcBorders/>
            <w:shd w:fill="FFFFFF" w:val="clear"/>
            <w:tcMar>
              <w:bottom w:w="0" w:type="dxa"/>
            </w:tcMar>
            <w:vAlign w:val="bottom"/>
          </w:tcPr>
          <w:p>
            <w:pPr>
              <w:pStyle w:val="TableContents"/>
              <w:spacing w:before="0" w:after="283"/>
              <w:jc w:val="left"/>
              <w:rPr/>
            </w:pPr>
            <w:r>
              <w:rPr/>
              <w:t> </w:t>
            </w:r>
          </w:p>
        </w:tc>
        <w:tc>
          <w:tcPr>
            <w:tcW w:w="151" w:type="dxa"/>
            <w:tcBorders/>
            <w:shd w:fill="FFFFFF" w:val="clear"/>
            <w:tcMar>
              <w:bottom w:w="0" w:type="dxa"/>
            </w:tcMar>
            <w:vAlign w:val="bottom"/>
          </w:tcPr>
          <w:p>
            <w:pPr>
              <w:pStyle w:val="TableContents"/>
              <w:spacing w:before="0" w:after="283"/>
              <w:jc w:val="left"/>
              <w:rPr/>
            </w:pPr>
            <w:r>
              <w:rPr/>
              <w:t> </w:t>
            </w:r>
          </w:p>
        </w:tc>
        <w:tc>
          <w:tcPr>
            <w:tcW w:w="1143"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162</w:t>
            </w:r>
          </w:p>
        </w:tc>
        <w:tc>
          <w:tcPr>
            <w:tcW w:w="122" w:type="dxa"/>
            <w:tcBorders/>
            <w:shd w:fill="FFFFFF" w:val="clear"/>
            <w:tcMar>
              <w:bottom w:w="0" w:type="dxa"/>
            </w:tcMar>
            <w:vAlign w:val="bottom"/>
          </w:tcPr>
          <w:p>
            <w:pPr>
              <w:pStyle w:val="TableContents"/>
              <w:spacing w:before="0" w:after="283"/>
              <w:jc w:val="left"/>
              <w:rPr/>
            </w:pPr>
            <w:r>
              <w:rPr/>
              <w:t> </w:t>
            </w:r>
          </w:p>
        </w:tc>
      </w:tr>
      <w:tr>
        <w:trPr/>
        <w:tc>
          <w:tcPr>
            <w:tcW w:w="3666"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Deferred tax asset</w:t>
            </w:r>
          </w:p>
        </w:tc>
        <w:tc>
          <w:tcPr>
            <w:tcW w:w="176" w:type="dxa"/>
            <w:tcBorders/>
            <w:shd w:fill="CCEEFF" w:val="clear"/>
            <w:tcMar>
              <w:bottom w:w="0" w:type="dxa"/>
            </w:tcMar>
            <w:vAlign w:val="center"/>
          </w:tcPr>
          <w:p>
            <w:pPr>
              <w:pStyle w:val="TableContents"/>
              <w:spacing w:before="0" w:after="283"/>
              <w:rPr/>
            </w:pPr>
            <w:r>
              <w:rPr/>
              <w:t> </w:t>
            </w:r>
          </w:p>
        </w:tc>
        <w:tc>
          <w:tcPr>
            <w:tcW w:w="201" w:type="dxa"/>
            <w:tcBorders/>
            <w:shd w:fill="CCEEFF" w:val="clear"/>
            <w:tcMar>
              <w:bottom w:w="0" w:type="dxa"/>
            </w:tcMar>
            <w:vAlign w:val="bottom"/>
          </w:tcPr>
          <w:p>
            <w:pPr>
              <w:pStyle w:val="TableContents"/>
              <w:spacing w:before="0" w:after="283"/>
              <w:jc w:val="left"/>
              <w:rPr/>
            </w:pPr>
            <w:r>
              <w:rPr/>
              <w:t> </w:t>
            </w:r>
          </w:p>
        </w:tc>
        <w:tc>
          <w:tcPr>
            <w:tcW w:w="1269"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9</w:t>
            </w:r>
          </w:p>
        </w:tc>
        <w:tc>
          <w:tcPr>
            <w:tcW w:w="176" w:type="dxa"/>
            <w:tcBorders/>
            <w:shd w:fill="CCEEFF" w:val="clear"/>
            <w:tcMar>
              <w:bottom w:w="0" w:type="dxa"/>
            </w:tcMar>
            <w:vAlign w:val="bottom"/>
          </w:tcPr>
          <w:p>
            <w:pPr>
              <w:pStyle w:val="TableContents"/>
              <w:spacing w:before="0" w:after="283"/>
              <w:jc w:val="left"/>
              <w:rPr/>
            </w:pPr>
            <w:r>
              <w:rPr/>
              <w:t> </w:t>
            </w:r>
          </w:p>
        </w:tc>
        <w:tc>
          <w:tcPr>
            <w:tcW w:w="181" w:type="dxa"/>
            <w:tcBorders/>
            <w:shd w:fill="CCEEFF" w:val="clear"/>
            <w:tcMar>
              <w:bottom w:w="0" w:type="dxa"/>
            </w:tcMar>
            <w:vAlign w:val="bottom"/>
          </w:tcPr>
          <w:p>
            <w:pPr>
              <w:pStyle w:val="TableContents"/>
              <w:spacing w:before="0" w:after="283"/>
              <w:jc w:val="left"/>
              <w:rPr/>
            </w:pPr>
            <w:r>
              <w:rPr/>
              <w:t> </w:t>
            </w:r>
          </w:p>
        </w:tc>
        <w:tc>
          <w:tcPr>
            <w:tcW w:w="1288"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176" w:type="dxa"/>
            <w:tcBorders/>
            <w:shd w:fill="CCEEFF" w:val="clear"/>
            <w:tcMar>
              <w:bottom w:w="0" w:type="dxa"/>
            </w:tcMar>
            <w:vAlign w:val="bottom"/>
          </w:tcPr>
          <w:p>
            <w:pPr>
              <w:pStyle w:val="TableContents"/>
              <w:spacing w:before="0" w:after="283"/>
              <w:jc w:val="left"/>
              <w:rPr/>
            </w:pPr>
            <w:r>
              <w:rPr/>
              <w:t> </w:t>
            </w:r>
          </w:p>
        </w:tc>
        <w:tc>
          <w:tcPr>
            <w:tcW w:w="203" w:type="dxa"/>
            <w:tcBorders/>
            <w:shd w:fill="CCEEFF" w:val="clear"/>
            <w:tcMar>
              <w:bottom w:w="0" w:type="dxa"/>
            </w:tcMar>
            <w:vAlign w:val="bottom"/>
          </w:tcPr>
          <w:p>
            <w:pPr>
              <w:pStyle w:val="TableContents"/>
              <w:spacing w:before="0" w:after="283"/>
              <w:jc w:val="left"/>
              <w:rPr/>
            </w:pPr>
            <w:r>
              <w:rPr/>
              <w:t> </w:t>
            </w:r>
          </w:p>
        </w:tc>
        <w:tc>
          <w:tcPr>
            <w:tcW w:w="1277"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176" w:type="dxa"/>
            <w:tcBorders/>
            <w:shd w:fill="CCEEFF" w:val="clear"/>
            <w:tcMar>
              <w:bottom w:w="0" w:type="dxa"/>
            </w:tcMar>
            <w:vAlign w:val="bottom"/>
          </w:tcPr>
          <w:p>
            <w:pPr>
              <w:pStyle w:val="TableContents"/>
              <w:spacing w:before="0" w:after="283"/>
              <w:jc w:val="left"/>
              <w:rPr/>
            </w:pPr>
            <w:r>
              <w:rPr/>
              <w:t> </w:t>
            </w:r>
          </w:p>
        </w:tc>
        <w:tc>
          <w:tcPr>
            <w:tcW w:w="151" w:type="dxa"/>
            <w:tcBorders/>
            <w:shd w:fill="CCEEFF" w:val="clear"/>
            <w:tcMar>
              <w:bottom w:w="0" w:type="dxa"/>
            </w:tcMar>
            <w:vAlign w:val="bottom"/>
          </w:tcPr>
          <w:p>
            <w:pPr>
              <w:pStyle w:val="TableContents"/>
              <w:spacing w:before="0" w:after="283"/>
              <w:jc w:val="left"/>
              <w:rPr/>
            </w:pPr>
            <w:r>
              <w:rPr/>
              <w:t> </w:t>
            </w:r>
          </w:p>
        </w:tc>
        <w:tc>
          <w:tcPr>
            <w:tcW w:w="1143"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9</w:t>
            </w:r>
          </w:p>
        </w:tc>
        <w:tc>
          <w:tcPr>
            <w:tcW w:w="122" w:type="dxa"/>
            <w:tcBorders/>
            <w:shd w:fill="CCEEFF" w:val="clear"/>
            <w:tcMar>
              <w:bottom w:w="0" w:type="dxa"/>
            </w:tcMar>
            <w:vAlign w:val="bottom"/>
          </w:tcPr>
          <w:p>
            <w:pPr>
              <w:pStyle w:val="TableContents"/>
              <w:spacing w:before="0" w:after="283"/>
              <w:jc w:val="left"/>
              <w:rPr/>
            </w:pPr>
            <w:r>
              <w:rPr/>
              <w:t> </w:t>
            </w:r>
          </w:p>
        </w:tc>
      </w:tr>
      <w:tr>
        <w:trPr/>
        <w:tc>
          <w:tcPr>
            <w:tcW w:w="3666" w:type="dxa"/>
            <w:tcBorders>
              <w:bottom w:val="sing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Goodwill</w:t>
            </w:r>
          </w:p>
        </w:tc>
        <w:tc>
          <w:tcPr>
            <w:tcW w:w="176" w:type="dxa"/>
            <w:tcBorders>
              <w:bottom w:val="single" w:sz="2" w:space="0" w:color="FFFFFF"/>
            </w:tcBorders>
            <w:shd w:fill="FFFFFF" w:val="clear"/>
            <w:vAlign w:val="center"/>
          </w:tcPr>
          <w:p>
            <w:pPr>
              <w:pStyle w:val="TableContents"/>
              <w:spacing w:before="0" w:after="283"/>
              <w:rPr/>
            </w:pPr>
            <w:r>
              <w:rPr/>
              <w:t> </w:t>
            </w:r>
          </w:p>
        </w:tc>
        <w:tc>
          <w:tcPr>
            <w:tcW w:w="201" w:type="dxa"/>
            <w:tcBorders>
              <w:bottom w:val="single" w:sz="2" w:space="0" w:color="000000"/>
            </w:tcBorders>
            <w:shd w:fill="FFFFFF" w:val="clear"/>
            <w:vAlign w:val="bottom"/>
          </w:tcPr>
          <w:p>
            <w:pPr>
              <w:pStyle w:val="TableContents"/>
              <w:spacing w:before="0" w:after="283"/>
              <w:jc w:val="left"/>
              <w:rPr/>
            </w:pPr>
            <w:r>
              <w:rPr/>
              <w:t> </w:t>
            </w:r>
          </w:p>
        </w:tc>
        <w:tc>
          <w:tcPr>
            <w:tcW w:w="1269"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3,129</w:t>
            </w:r>
          </w:p>
        </w:tc>
        <w:tc>
          <w:tcPr>
            <w:tcW w:w="176" w:type="dxa"/>
            <w:tcBorders>
              <w:bottom w:val="single" w:sz="2" w:space="0" w:color="FFFFFF"/>
            </w:tcBorders>
            <w:shd w:fill="FFFFFF" w:val="clear"/>
            <w:vAlign w:val="bottom"/>
          </w:tcPr>
          <w:p>
            <w:pPr>
              <w:pStyle w:val="TableContents"/>
              <w:spacing w:before="0" w:after="283"/>
              <w:jc w:val="left"/>
              <w:rPr/>
            </w:pPr>
            <w:r>
              <w:rPr/>
              <w:t> </w:t>
            </w:r>
          </w:p>
        </w:tc>
        <w:tc>
          <w:tcPr>
            <w:tcW w:w="181" w:type="dxa"/>
            <w:tcBorders>
              <w:bottom w:val="single" w:sz="2" w:space="0" w:color="000000"/>
            </w:tcBorders>
            <w:shd w:fill="FFFFFF" w:val="clear"/>
            <w:vAlign w:val="bottom"/>
          </w:tcPr>
          <w:p>
            <w:pPr>
              <w:pStyle w:val="TableContents"/>
              <w:spacing w:before="0" w:after="283"/>
              <w:jc w:val="left"/>
              <w:rPr/>
            </w:pPr>
            <w:r>
              <w:rPr/>
              <w:t> </w:t>
            </w:r>
          </w:p>
        </w:tc>
        <w:tc>
          <w:tcPr>
            <w:tcW w:w="1288"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5,415</w:t>
            </w:r>
          </w:p>
        </w:tc>
        <w:tc>
          <w:tcPr>
            <w:tcW w:w="176" w:type="dxa"/>
            <w:tcBorders>
              <w:bottom w:val="single" w:sz="2" w:space="0" w:color="FFFFFF"/>
            </w:tcBorders>
            <w:shd w:fill="FFFFFF" w:val="clear"/>
            <w:vAlign w:val="bottom"/>
          </w:tcPr>
          <w:p>
            <w:pPr>
              <w:pStyle w:val="TableContents"/>
              <w:spacing w:before="0" w:after="283"/>
              <w:jc w:val="left"/>
              <w:rPr/>
            </w:pPr>
            <w:r>
              <w:rPr/>
              <w:t> </w:t>
            </w:r>
          </w:p>
        </w:tc>
        <w:tc>
          <w:tcPr>
            <w:tcW w:w="203" w:type="dxa"/>
            <w:tcBorders>
              <w:bottom w:val="single" w:sz="2" w:space="0" w:color="000000"/>
            </w:tcBorders>
            <w:shd w:fill="FFFFFF" w:val="clear"/>
            <w:vAlign w:val="bottom"/>
          </w:tcPr>
          <w:p>
            <w:pPr>
              <w:pStyle w:val="TableContents"/>
              <w:spacing w:before="0" w:after="283"/>
              <w:jc w:val="left"/>
              <w:rPr/>
            </w:pPr>
            <w:r>
              <w:rPr/>
              <w:t> </w:t>
            </w:r>
          </w:p>
        </w:tc>
        <w:tc>
          <w:tcPr>
            <w:tcW w:w="1277"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176" w:type="dxa"/>
            <w:tcBorders>
              <w:bottom w:val="single" w:sz="2" w:space="0" w:color="FFFFFF"/>
            </w:tcBorders>
            <w:shd w:fill="FFFFFF" w:val="clear"/>
            <w:vAlign w:val="bottom"/>
          </w:tcPr>
          <w:p>
            <w:pPr>
              <w:pStyle w:val="TableContents"/>
              <w:spacing w:before="0" w:after="283"/>
              <w:jc w:val="left"/>
              <w:rPr/>
            </w:pPr>
            <w:r>
              <w:rPr/>
              <w:t> </w:t>
            </w:r>
          </w:p>
        </w:tc>
        <w:tc>
          <w:tcPr>
            <w:tcW w:w="151" w:type="dxa"/>
            <w:tcBorders>
              <w:bottom w:val="single" w:sz="2" w:space="0" w:color="000000"/>
            </w:tcBorders>
            <w:shd w:fill="FFFFFF" w:val="clear"/>
            <w:vAlign w:val="bottom"/>
          </w:tcPr>
          <w:p>
            <w:pPr>
              <w:pStyle w:val="TableContents"/>
              <w:spacing w:before="0" w:after="283"/>
              <w:jc w:val="left"/>
              <w:rPr/>
            </w:pPr>
            <w:r>
              <w:rPr/>
              <w:t> </w:t>
            </w:r>
          </w:p>
        </w:tc>
        <w:tc>
          <w:tcPr>
            <w:tcW w:w="1143"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8,544</w:t>
            </w:r>
          </w:p>
        </w:tc>
        <w:tc>
          <w:tcPr>
            <w:tcW w:w="122" w:type="dxa"/>
            <w:tcBorders>
              <w:bottom w:val="single" w:sz="2" w:space="0" w:color="FFFFFF"/>
            </w:tcBorders>
            <w:shd w:fill="FFFFFF" w:val="clear"/>
            <w:vAlign w:val="bottom"/>
          </w:tcPr>
          <w:p>
            <w:pPr>
              <w:pStyle w:val="TableContents"/>
              <w:spacing w:before="0" w:after="283"/>
              <w:jc w:val="left"/>
              <w:rPr/>
            </w:pPr>
            <w:r>
              <w:rPr/>
              <w:t> </w:t>
            </w:r>
          </w:p>
        </w:tc>
      </w:tr>
      <w:tr>
        <w:trPr/>
        <w:tc>
          <w:tcPr>
            <w:tcW w:w="3666"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Total Acquired Assets</w:t>
            </w:r>
          </w:p>
        </w:tc>
        <w:tc>
          <w:tcPr>
            <w:tcW w:w="176" w:type="dxa"/>
            <w:tcBorders/>
            <w:shd w:fill="CCEEFF" w:val="clear"/>
            <w:tcMar>
              <w:bottom w:w="0" w:type="dxa"/>
            </w:tcMar>
            <w:vAlign w:val="center"/>
          </w:tcPr>
          <w:p>
            <w:pPr>
              <w:pStyle w:val="TableContents"/>
              <w:spacing w:before="0" w:after="283"/>
              <w:rPr/>
            </w:pPr>
            <w:r>
              <w:rPr/>
              <w:t> </w:t>
            </w:r>
          </w:p>
        </w:tc>
        <w:tc>
          <w:tcPr>
            <w:tcW w:w="201"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3186" w:name="TAB11497"/>
            <w:bookmarkEnd w:id="3186"/>
            <w:r>
              <w:rPr>
                <w:rFonts w:ascii="Times New Roman" w:hAnsi="Times New Roman"/>
                <w:sz w:val="20"/>
              </w:rPr>
              <w:t>$</w:t>
            </w:r>
          </w:p>
        </w:tc>
        <w:tc>
          <w:tcPr>
            <w:tcW w:w="1269"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3187" w:name="TAB11498"/>
            <w:bookmarkEnd w:id="3187"/>
            <w:r>
              <w:rPr>
                <w:rFonts w:ascii="Times New Roman" w:hAnsi="Times New Roman"/>
                <w:sz w:val="20"/>
              </w:rPr>
              <w:t>6,972</w:t>
            </w:r>
          </w:p>
        </w:tc>
        <w:tc>
          <w:tcPr>
            <w:tcW w:w="176" w:type="dxa"/>
            <w:tcBorders/>
            <w:shd w:fill="CCEEFF" w:val="clear"/>
            <w:tcMar>
              <w:bottom w:w="0" w:type="dxa"/>
            </w:tcMar>
            <w:vAlign w:val="bottom"/>
          </w:tcPr>
          <w:p>
            <w:pPr>
              <w:pStyle w:val="TableContents"/>
              <w:spacing w:before="0" w:after="283"/>
              <w:jc w:val="left"/>
              <w:rPr/>
            </w:pPr>
            <w:r>
              <w:rPr/>
              <w:t> </w:t>
            </w:r>
          </w:p>
        </w:tc>
        <w:tc>
          <w:tcPr>
            <w:tcW w:w="181"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3188" w:name="TAB11499"/>
            <w:bookmarkEnd w:id="3188"/>
            <w:r>
              <w:rPr>
                <w:rFonts w:ascii="Times New Roman" w:hAnsi="Times New Roman"/>
                <w:sz w:val="20"/>
              </w:rPr>
              <w:t>$</w:t>
            </w:r>
          </w:p>
        </w:tc>
        <w:tc>
          <w:tcPr>
            <w:tcW w:w="1288"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3189" w:name="TAB11500"/>
            <w:bookmarkEnd w:id="3189"/>
            <w:r>
              <w:rPr>
                <w:rFonts w:ascii="Times New Roman" w:hAnsi="Times New Roman"/>
                <w:sz w:val="20"/>
              </w:rPr>
              <w:t>15,468</w:t>
            </w:r>
          </w:p>
        </w:tc>
        <w:tc>
          <w:tcPr>
            <w:tcW w:w="176" w:type="dxa"/>
            <w:tcBorders/>
            <w:shd w:fill="CCEEFF" w:val="clear"/>
            <w:tcMar>
              <w:bottom w:w="0" w:type="dxa"/>
            </w:tcMar>
            <w:vAlign w:val="bottom"/>
          </w:tcPr>
          <w:p>
            <w:pPr>
              <w:pStyle w:val="TableContents"/>
              <w:spacing w:before="0" w:after="283"/>
              <w:jc w:val="left"/>
              <w:rPr/>
            </w:pPr>
            <w:r>
              <w:rPr/>
              <w:t> </w:t>
            </w:r>
          </w:p>
        </w:tc>
        <w:tc>
          <w:tcPr>
            <w:tcW w:w="203"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3190" w:name="TAB11501"/>
            <w:bookmarkEnd w:id="3190"/>
            <w:r>
              <w:rPr>
                <w:rFonts w:ascii="Times New Roman" w:hAnsi="Times New Roman"/>
                <w:sz w:val="20"/>
              </w:rPr>
              <w:t>$</w:t>
            </w:r>
          </w:p>
        </w:tc>
        <w:tc>
          <w:tcPr>
            <w:tcW w:w="1277"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3191" w:name="TAB11502"/>
            <w:bookmarkEnd w:id="3191"/>
            <w:r>
              <w:rPr>
                <w:rFonts w:ascii="Times New Roman" w:hAnsi="Times New Roman"/>
                <w:sz w:val="20"/>
              </w:rPr>
              <w:t>1,042</w:t>
            </w:r>
          </w:p>
        </w:tc>
        <w:tc>
          <w:tcPr>
            <w:tcW w:w="176" w:type="dxa"/>
            <w:tcBorders/>
            <w:shd w:fill="CCEEFF" w:val="clear"/>
            <w:tcMar>
              <w:bottom w:w="0" w:type="dxa"/>
            </w:tcMar>
            <w:vAlign w:val="bottom"/>
          </w:tcPr>
          <w:p>
            <w:pPr>
              <w:pStyle w:val="TableContents"/>
              <w:spacing w:before="0" w:after="283"/>
              <w:jc w:val="left"/>
              <w:rPr/>
            </w:pPr>
            <w:r>
              <w:rPr/>
              <w:t> </w:t>
            </w:r>
          </w:p>
        </w:tc>
        <w:tc>
          <w:tcPr>
            <w:tcW w:w="151"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3192" w:name="TAB11503"/>
            <w:bookmarkEnd w:id="3192"/>
            <w:r>
              <w:rPr>
                <w:rFonts w:ascii="Times New Roman" w:hAnsi="Times New Roman"/>
                <w:sz w:val="20"/>
              </w:rPr>
              <w:t>$</w:t>
            </w:r>
          </w:p>
        </w:tc>
        <w:tc>
          <w:tcPr>
            <w:tcW w:w="1143"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3193" w:name="TAB11504"/>
            <w:bookmarkEnd w:id="3193"/>
            <w:r>
              <w:rPr>
                <w:rFonts w:ascii="Times New Roman" w:hAnsi="Times New Roman"/>
                <w:sz w:val="20"/>
              </w:rPr>
              <w:t>23,482</w:t>
            </w:r>
          </w:p>
        </w:tc>
        <w:tc>
          <w:tcPr>
            <w:tcW w:w="122" w:type="dxa"/>
            <w:tcBorders/>
            <w:shd w:fill="CCEEFF" w:val="clear"/>
            <w:tcMar>
              <w:bottom w:w="0" w:type="dxa"/>
            </w:tcMar>
            <w:vAlign w:val="bottom"/>
          </w:tcPr>
          <w:p>
            <w:pPr>
              <w:pStyle w:val="TableContents"/>
              <w:spacing w:before="0" w:after="283"/>
              <w:jc w:val="left"/>
              <w:rPr/>
            </w:pPr>
            <w:r>
              <w:rPr/>
              <w:t> </w:t>
            </w:r>
          </w:p>
        </w:tc>
      </w:tr>
      <w:tr>
        <w:trPr/>
        <w:tc>
          <w:tcPr>
            <w:tcW w:w="3666" w:type="dxa"/>
            <w:tcBorders/>
            <w:shd w:fill="FFFFFF" w:val="clear"/>
            <w:tcMar>
              <w:bottom w:w="0" w:type="dxa"/>
            </w:tcMar>
            <w:vAlign w:val="bottom"/>
          </w:tcPr>
          <w:p>
            <w:pPr>
              <w:pStyle w:val="TableContents"/>
              <w:spacing w:before="0" w:after="283"/>
              <w:jc w:val="left"/>
              <w:rPr/>
            </w:pPr>
            <w:r>
              <w:rPr/>
              <w:t> </w:t>
            </w:r>
          </w:p>
        </w:tc>
        <w:tc>
          <w:tcPr>
            <w:tcW w:w="176" w:type="dxa"/>
            <w:tcBorders/>
            <w:shd w:fill="FFFFFF" w:val="clear"/>
            <w:tcMar>
              <w:bottom w:w="0" w:type="dxa"/>
            </w:tcMar>
            <w:vAlign w:val="center"/>
          </w:tcPr>
          <w:p>
            <w:pPr>
              <w:pStyle w:val="TableContents"/>
              <w:spacing w:before="0" w:after="283"/>
              <w:rPr/>
            </w:pPr>
            <w:r>
              <w:rPr/>
              <w:t> </w:t>
            </w:r>
          </w:p>
        </w:tc>
        <w:tc>
          <w:tcPr>
            <w:tcW w:w="201" w:type="dxa"/>
            <w:tcBorders/>
            <w:shd w:fill="FFFFFF" w:val="clear"/>
            <w:tcMar>
              <w:bottom w:w="0" w:type="dxa"/>
            </w:tcMar>
            <w:vAlign w:val="bottom"/>
          </w:tcPr>
          <w:p>
            <w:pPr>
              <w:pStyle w:val="TableContents"/>
              <w:spacing w:before="0" w:after="283"/>
              <w:jc w:val="left"/>
              <w:rPr/>
            </w:pPr>
            <w:r>
              <w:rPr/>
              <w:t> </w:t>
            </w:r>
          </w:p>
        </w:tc>
        <w:tc>
          <w:tcPr>
            <w:tcW w:w="1269" w:type="dxa"/>
            <w:tcBorders/>
            <w:shd w:fill="FFFFFF" w:val="clear"/>
            <w:tcMar>
              <w:bottom w:w="0" w:type="dxa"/>
            </w:tcMar>
            <w:vAlign w:val="bottom"/>
          </w:tcPr>
          <w:p>
            <w:pPr>
              <w:pStyle w:val="TableContents"/>
              <w:spacing w:before="0" w:after="283"/>
              <w:jc w:val="right"/>
              <w:rPr/>
            </w:pPr>
            <w:r>
              <w:rPr/>
              <w:t> </w:t>
            </w:r>
          </w:p>
        </w:tc>
        <w:tc>
          <w:tcPr>
            <w:tcW w:w="176" w:type="dxa"/>
            <w:tcBorders/>
            <w:shd w:fill="FFFFFF" w:val="clear"/>
            <w:tcMar>
              <w:bottom w:w="0" w:type="dxa"/>
            </w:tcMar>
            <w:vAlign w:val="bottom"/>
          </w:tcPr>
          <w:p>
            <w:pPr>
              <w:pStyle w:val="TableContents"/>
              <w:spacing w:before="0" w:after="283"/>
              <w:jc w:val="left"/>
              <w:rPr/>
            </w:pPr>
            <w:r>
              <w:rPr/>
              <w:t> </w:t>
            </w:r>
          </w:p>
        </w:tc>
        <w:tc>
          <w:tcPr>
            <w:tcW w:w="181" w:type="dxa"/>
            <w:tcBorders/>
            <w:shd w:fill="FFFFFF" w:val="clear"/>
            <w:tcMar>
              <w:bottom w:w="0" w:type="dxa"/>
            </w:tcMar>
            <w:vAlign w:val="bottom"/>
          </w:tcPr>
          <w:p>
            <w:pPr>
              <w:pStyle w:val="TableContents"/>
              <w:spacing w:before="0" w:after="283"/>
              <w:jc w:val="left"/>
              <w:rPr/>
            </w:pPr>
            <w:r>
              <w:rPr/>
              <w:t> </w:t>
            </w:r>
          </w:p>
        </w:tc>
        <w:tc>
          <w:tcPr>
            <w:tcW w:w="1288" w:type="dxa"/>
            <w:tcBorders/>
            <w:shd w:fill="FFFFFF" w:val="clear"/>
            <w:tcMar>
              <w:bottom w:w="0" w:type="dxa"/>
            </w:tcMar>
            <w:vAlign w:val="bottom"/>
          </w:tcPr>
          <w:p>
            <w:pPr>
              <w:pStyle w:val="TableContents"/>
              <w:spacing w:before="0" w:after="283"/>
              <w:jc w:val="right"/>
              <w:rPr/>
            </w:pPr>
            <w:r>
              <w:rPr/>
              <w:t> </w:t>
            </w:r>
          </w:p>
        </w:tc>
        <w:tc>
          <w:tcPr>
            <w:tcW w:w="176" w:type="dxa"/>
            <w:tcBorders/>
            <w:shd w:fill="FFFFFF" w:val="clear"/>
            <w:tcMar>
              <w:bottom w:w="0" w:type="dxa"/>
            </w:tcMar>
            <w:vAlign w:val="bottom"/>
          </w:tcPr>
          <w:p>
            <w:pPr>
              <w:pStyle w:val="TableContents"/>
              <w:spacing w:before="0" w:after="283"/>
              <w:jc w:val="left"/>
              <w:rPr/>
            </w:pPr>
            <w:r>
              <w:rPr/>
              <w:t> </w:t>
            </w:r>
          </w:p>
        </w:tc>
        <w:tc>
          <w:tcPr>
            <w:tcW w:w="203" w:type="dxa"/>
            <w:tcBorders/>
            <w:shd w:fill="FFFFFF" w:val="clear"/>
            <w:tcMar>
              <w:bottom w:w="0" w:type="dxa"/>
            </w:tcMar>
            <w:vAlign w:val="bottom"/>
          </w:tcPr>
          <w:p>
            <w:pPr>
              <w:pStyle w:val="TableContents"/>
              <w:spacing w:before="0" w:after="283"/>
              <w:jc w:val="left"/>
              <w:rPr/>
            </w:pPr>
            <w:r>
              <w:rPr/>
              <w:t> </w:t>
            </w:r>
          </w:p>
        </w:tc>
        <w:tc>
          <w:tcPr>
            <w:tcW w:w="1277" w:type="dxa"/>
            <w:tcBorders/>
            <w:shd w:fill="FFFFFF" w:val="clear"/>
            <w:tcMar>
              <w:bottom w:w="0" w:type="dxa"/>
            </w:tcMar>
            <w:vAlign w:val="bottom"/>
          </w:tcPr>
          <w:p>
            <w:pPr>
              <w:pStyle w:val="TableContents"/>
              <w:spacing w:before="0" w:after="283"/>
              <w:jc w:val="right"/>
              <w:rPr/>
            </w:pPr>
            <w:r>
              <w:rPr/>
              <w:t> </w:t>
            </w:r>
          </w:p>
        </w:tc>
        <w:tc>
          <w:tcPr>
            <w:tcW w:w="176" w:type="dxa"/>
            <w:tcBorders/>
            <w:shd w:fill="FFFFFF" w:val="clear"/>
            <w:tcMar>
              <w:bottom w:w="0" w:type="dxa"/>
            </w:tcMar>
            <w:vAlign w:val="bottom"/>
          </w:tcPr>
          <w:p>
            <w:pPr>
              <w:pStyle w:val="TableContents"/>
              <w:spacing w:before="0" w:after="283"/>
              <w:jc w:val="left"/>
              <w:rPr/>
            </w:pPr>
            <w:r>
              <w:rPr/>
              <w:t> </w:t>
            </w:r>
          </w:p>
        </w:tc>
        <w:tc>
          <w:tcPr>
            <w:tcW w:w="151" w:type="dxa"/>
            <w:tcBorders/>
            <w:shd w:fill="FFFFFF" w:val="clear"/>
            <w:tcMar>
              <w:bottom w:w="0" w:type="dxa"/>
            </w:tcMar>
            <w:vAlign w:val="bottom"/>
          </w:tcPr>
          <w:p>
            <w:pPr>
              <w:pStyle w:val="TableContents"/>
              <w:spacing w:before="0" w:after="283"/>
              <w:jc w:val="left"/>
              <w:rPr/>
            </w:pPr>
            <w:r>
              <w:rPr/>
              <w:t> </w:t>
            </w:r>
          </w:p>
        </w:tc>
        <w:tc>
          <w:tcPr>
            <w:tcW w:w="1143" w:type="dxa"/>
            <w:tcBorders/>
            <w:shd w:fill="FFFFFF" w:val="clear"/>
            <w:tcMar>
              <w:bottom w:w="0" w:type="dxa"/>
            </w:tcMar>
            <w:vAlign w:val="bottom"/>
          </w:tcPr>
          <w:p>
            <w:pPr>
              <w:pStyle w:val="TableContents"/>
              <w:spacing w:before="0" w:after="283"/>
              <w:jc w:val="right"/>
              <w:rPr/>
            </w:pPr>
            <w:r>
              <w:rPr/>
              <w:t> </w:t>
            </w:r>
          </w:p>
        </w:tc>
        <w:tc>
          <w:tcPr>
            <w:tcW w:w="122" w:type="dxa"/>
            <w:tcBorders/>
            <w:shd w:fill="FFFFFF" w:val="clear"/>
            <w:tcMar>
              <w:bottom w:w="0" w:type="dxa"/>
            </w:tcMar>
            <w:vAlign w:val="bottom"/>
          </w:tcPr>
          <w:p>
            <w:pPr>
              <w:pStyle w:val="TableContents"/>
              <w:spacing w:before="0" w:after="283"/>
              <w:jc w:val="left"/>
              <w:rPr/>
            </w:pPr>
            <w:r>
              <w:rPr/>
              <w:t> </w:t>
            </w:r>
          </w:p>
        </w:tc>
      </w:tr>
      <w:tr>
        <w:trPr/>
        <w:tc>
          <w:tcPr>
            <w:tcW w:w="3666" w:type="dxa"/>
            <w:tcBorders>
              <w:bottom w:val="single" w:sz="2" w:space="0" w:color="000000"/>
            </w:tcBorders>
            <w:shd w:fill="CCEEFF" w:val="clear"/>
            <w:vAlign w:val="bottom"/>
          </w:tcPr>
          <w:p>
            <w:pPr>
              <w:pStyle w:val="TableContents"/>
              <w:spacing w:lineRule="auto" w:line="300" w:before="0" w:after="0"/>
              <w:ind w:left="0" w:right="0" w:hanging="0"/>
              <w:jc w:val="left"/>
              <w:rPr/>
            </w:pPr>
            <w:r>
              <w:rPr>
                <w:rStyle w:val="StrongEmphasis"/>
                <w:rFonts w:ascii="Times New Roman" w:hAnsi="Times New Roman"/>
                <w:sz w:val="20"/>
              </w:rPr>
              <w:t>Liabilities Assumed</w:t>
            </w:r>
          </w:p>
        </w:tc>
        <w:tc>
          <w:tcPr>
            <w:tcW w:w="176" w:type="dxa"/>
            <w:tcBorders>
              <w:bottom w:val="single" w:sz="2" w:space="0" w:color="CCEEFF"/>
            </w:tcBorders>
            <w:shd w:fill="CCEEFF" w:val="clear"/>
            <w:vAlign w:val="center"/>
          </w:tcPr>
          <w:p>
            <w:pPr>
              <w:pStyle w:val="TableContents"/>
              <w:spacing w:before="0" w:after="283"/>
              <w:rPr/>
            </w:pPr>
            <w:r>
              <w:rPr/>
              <w:t> </w:t>
            </w:r>
          </w:p>
        </w:tc>
        <w:tc>
          <w:tcPr>
            <w:tcW w:w="201" w:type="dxa"/>
            <w:tcBorders>
              <w:bottom w:val="single" w:sz="2" w:space="0" w:color="000000"/>
            </w:tcBorders>
            <w:shd w:fill="CCEEFF" w:val="clear"/>
            <w:vAlign w:val="bottom"/>
          </w:tcPr>
          <w:p>
            <w:pPr>
              <w:pStyle w:val="TableContents"/>
              <w:spacing w:before="0" w:after="283"/>
              <w:jc w:val="left"/>
              <w:rPr/>
            </w:pPr>
            <w:r>
              <w:rPr/>
              <w:t> </w:t>
            </w:r>
          </w:p>
        </w:tc>
        <w:tc>
          <w:tcPr>
            <w:tcW w:w="1269" w:type="dxa"/>
            <w:tcBorders>
              <w:bottom w:val="single" w:sz="2" w:space="0" w:color="000000"/>
            </w:tcBorders>
            <w:shd w:fill="CCEEFF" w:val="clear"/>
            <w:vAlign w:val="bottom"/>
          </w:tcPr>
          <w:p>
            <w:pPr>
              <w:pStyle w:val="TableContents"/>
              <w:spacing w:before="0" w:after="283"/>
              <w:jc w:val="right"/>
              <w:rPr/>
            </w:pPr>
            <w:r>
              <w:rPr/>
              <w:t> </w:t>
            </w:r>
          </w:p>
        </w:tc>
        <w:tc>
          <w:tcPr>
            <w:tcW w:w="176" w:type="dxa"/>
            <w:tcBorders>
              <w:bottom w:val="single" w:sz="2" w:space="0" w:color="CCEEFF"/>
            </w:tcBorders>
            <w:shd w:fill="CCEEFF" w:val="clear"/>
            <w:vAlign w:val="bottom"/>
          </w:tcPr>
          <w:p>
            <w:pPr>
              <w:pStyle w:val="TableContents"/>
              <w:spacing w:before="0" w:after="283"/>
              <w:jc w:val="left"/>
              <w:rPr/>
            </w:pPr>
            <w:r>
              <w:rPr/>
              <w:t> </w:t>
            </w:r>
          </w:p>
        </w:tc>
        <w:tc>
          <w:tcPr>
            <w:tcW w:w="181" w:type="dxa"/>
            <w:tcBorders>
              <w:bottom w:val="single" w:sz="2" w:space="0" w:color="000000"/>
            </w:tcBorders>
            <w:shd w:fill="CCEEFF" w:val="clear"/>
            <w:vAlign w:val="bottom"/>
          </w:tcPr>
          <w:p>
            <w:pPr>
              <w:pStyle w:val="TableContents"/>
              <w:spacing w:before="0" w:after="283"/>
              <w:jc w:val="left"/>
              <w:rPr/>
            </w:pPr>
            <w:r>
              <w:rPr/>
              <w:t> </w:t>
            </w:r>
          </w:p>
        </w:tc>
        <w:tc>
          <w:tcPr>
            <w:tcW w:w="1288" w:type="dxa"/>
            <w:tcBorders>
              <w:bottom w:val="single" w:sz="2" w:space="0" w:color="000000"/>
            </w:tcBorders>
            <w:shd w:fill="CCEEFF" w:val="clear"/>
            <w:vAlign w:val="bottom"/>
          </w:tcPr>
          <w:p>
            <w:pPr>
              <w:pStyle w:val="TableContents"/>
              <w:spacing w:before="0" w:after="283"/>
              <w:jc w:val="right"/>
              <w:rPr/>
            </w:pPr>
            <w:r>
              <w:rPr/>
              <w:t> </w:t>
            </w:r>
          </w:p>
        </w:tc>
        <w:tc>
          <w:tcPr>
            <w:tcW w:w="176" w:type="dxa"/>
            <w:tcBorders>
              <w:bottom w:val="single" w:sz="2" w:space="0" w:color="CCEEFF"/>
            </w:tcBorders>
            <w:shd w:fill="CCEEFF" w:val="clear"/>
            <w:vAlign w:val="bottom"/>
          </w:tcPr>
          <w:p>
            <w:pPr>
              <w:pStyle w:val="TableContents"/>
              <w:spacing w:before="0" w:after="283"/>
              <w:jc w:val="left"/>
              <w:rPr/>
            </w:pPr>
            <w:r>
              <w:rPr/>
              <w:t> </w:t>
            </w:r>
          </w:p>
        </w:tc>
        <w:tc>
          <w:tcPr>
            <w:tcW w:w="203" w:type="dxa"/>
            <w:tcBorders>
              <w:bottom w:val="single" w:sz="2" w:space="0" w:color="000000"/>
            </w:tcBorders>
            <w:shd w:fill="CCEEFF" w:val="clear"/>
            <w:vAlign w:val="bottom"/>
          </w:tcPr>
          <w:p>
            <w:pPr>
              <w:pStyle w:val="TableContents"/>
              <w:spacing w:before="0" w:after="283"/>
              <w:jc w:val="left"/>
              <w:rPr/>
            </w:pPr>
            <w:r>
              <w:rPr/>
              <w:t> </w:t>
            </w:r>
          </w:p>
        </w:tc>
        <w:tc>
          <w:tcPr>
            <w:tcW w:w="1277" w:type="dxa"/>
            <w:tcBorders>
              <w:bottom w:val="single" w:sz="2" w:space="0" w:color="000000"/>
            </w:tcBorders>
            <w:shd w:fill="CCEEFF" w:val="clear"/>
            <w:vAlign w:val="bottom"/>
          </w:tcPr>
          <w:p>
            <w:pPr>
              <w:pStyle w:val="TableContents"/>
              <w:spacing w:before="0" w:after="283"/>
              <w:jc w:val="right"/>
              <w:rPr/>
            </w:pPr>
            <w:r>
              <w:rPr/>
              <w:t> </w:t>
            </w:r>
          </w:p>
        </w:tc>
        <w:tc>
          <w:tcPr>
            <w:tcW w:w="176" w:type="dxa"/>
            <w:tcBorders>
              <w:bottom w:val="single" w:sz="2" w:space="0" w:color="CCEEFF"/>
            </w:tcBorders>
            <w:shd w:fill="CCEEFF" w:val="clear"/>
            <w:vAlign w:val="bottom"/>
          </w:tcPr>
          <w:p>
            <w:pPr>
              <w:pStyle w:val="TableContents"/>
              <w:spacing w:before="0" w:after="283"/>
              <w:jc w:val="left"/>
              <w:rPr/>
            </w:pPr>
            <w:r>
              <w:rPr/>
              <w:t> </w:t>
            </w:r>
          </w:p>
        </w:tc>
        <w:tc>
          <w:tcPr>
            <w:tcW w:w="151" w:type="dxa"/>
            <w:tcBorders>
              <w:bottom w:val="single" w:sz="2" w:space="0" w:color="000000"/>
            </w:tcBorders>
            <w:shd w:fill="CCEEFF" w:val="clear"/>
            <w:vAlign w:val="bottom"/>
          </w:tcPr>
          <w:p>
            <w:pPr>
              <w:pStyle w:val="TableContents"/>
              <w:spacing w:before="0" w:after="283"/>
              <w:jc w:val="left"/>
              <w:rPr/>
            </w:pPr>
            <w:r>
              <w:rPr/>
              <w:t> </w:t>
            </w:r>
          </w:p>
        </w:tc>
        <w:tc>
          <w:tcPr>
            <w:tcW w:w="1143" w:type="dxa"/>
            <w:tcBorders>
              <w:bottom w:val="single" w:sz="2" w:space="0" w:color="000000"/>
            </w:tcBorders>
            <w:shd w:fill="CCEEFF" w:val="clear"/>
            <w:vAlign w:val="bottom"/>
          </w:tcPr>
          <w:p>
            <w:pPr>
              <w:pStyle w:val="TableContents"/>
              <w:spacing w:before="0" w:after="283"/>
              <w:jc w:val="right"/>
              <w:rPr/>
            </w:pPr>
            <w:r>
              <w:rPr/>
              <w:t> </w:t>
            </w:r>
          </w:p>
        </w:tc>
        <w:tc>
          <w:tcPr>
            <w:tcW w:w="122" w:type="dxa"/>
            <w:tcBorders>
              <w:bottom w:val="single" w:sz="2" w:space="0" w:color="CCEEFF"/>
            </w:tcBorders>
            <w:shd w:fill="CCEEFF" w:val="clear"/>
            <w:vAlign w:val="bottom"/>
          </w:tcPr>
          <w:p>
            <w:pPr>
              <w:pStyle w:val="TableContents"/>
              <w:spacing w:before="0" w:after="283"/>
              <w:jc w:val="left"/>
              <w:rPr/>
            </w:pPr>
            <w:r>
              <w:rPr/>
              <w:t> </w:t>
            </w:r>
          </w:p>
        </w:tc>
      </w:tr>
      <w:tr>
        <w:trPr/>
        <w:tc>
          <w:tcPr>
            <w:tcW w:w="3666"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Creditors</w:t>
            </w:r>
          </w:p>
        </w:tc>
        <w:tc>
          <w:tcPr>
            <w:tcW w:w="176" w:type="dxa"/>
            <w:tcBorders/>
            <w:shd w:fill="FFFFFF" w:val="clear"/>
            <w:tcMar>
              <w:bottom w:w="0" w:type="dxa"/>
            </w:tcMar>
            <w:vAlign w:val="center"/>
          </w:tcPr>
          <w:p>
            <w:pPr>
              <w:pStyle w:val="TableContents"/>
              <w:spacing w:before="0" w:after="283"/>
              <w:rPr/>
            </w:pPr>
            <w:r>
              <w:rPr/>
              <w:t> </w:t>
            </w:r>
          </w:p>
        </w:tc>
        <w:tc>
          <w:tcPr>
            <w:tcW w:w="201"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3194" w:name="TAB11505"/>
            <w:bookmarkEnd w:id="3194"/>
            <w:r>
              <w:rPr>
                <w:rFonts w:ascii="Times New Roman" w:hAnsi="Times New Roman"/>
                <w:sz w:val="20"/>
              </w:rPr>
              <w:t>$</w:t>
            </w:r>
          </w:p>
        </w:tc>
        <w:tc>
          <w:tcPr>
            <w:tcW w:w="1269"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3195" w:name="TAB11506"/>
            <w:bookmarkEnd w:id="3195"/>
            <w:r>
              <w:rPr>
                <w:rFonts w:ascii="Times New Roman" w:hAnsi="Times New Roman"/>
                <w:sz w:val="20"/>
              </w:rPr>
              <w:t>433</w:t>
            </w:r>
          </w:p>
        </w:tc>
        <w:tc>
          <w:tcPr>
            <w:tcW w:w="176" w:type="dxa"/>
            <w:tcBorders/>
            <w:shd w:fill="FFFFFF" w:val="clear"/>
            <w:tcMar>
              <w:bottom w:w="0" w:type="dxa"/>
            </w:tcMar>
            <w:vAlign w:val="bottom"/>
          </w:tcPr>
          <w:p>
            <w:pPr>
              <w:pStyle w:val="TableContents"/>
              <w:spacing w:before="0" w:after="283"/>
              <w:jc w:val="left"/>
              <w:rPr/>
            </w:pPr>
            <w:r>
              <w:rPr/>
              <w:t> </w:t>
            </w:r>
          </w:p>
        </w:tc>
        <w:tc>
          <w:tcPr>
            <w:tcW w:w="181"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3196" w:name="TAB11507"/>
            <w:bookmarkEnd w:id="3196"/>
            <w:r>
              <w:rPr>
                <w:rFonts w:ascii="Times New Roman" w:hAnsi="Times New Roman"/>
                <w:sz w:val="20"/>
              </w:rPr>
              <w:t>$</w:t>
            </w:r>
          </w:p>
        </w:tc>
        <w:tc>
          <w:tcPr>
            <w:tcW w:w="1288"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3197" w:name="TAB11508"/>
            <w:bookmarkEnd w:id="3197"/>
            <w:r>
              <w:rPr>
                <w:rFonts w:ascii="Times New Roman" w:hAnsi="Times New Roman"/>
                <w:sz w:val="20"/>
              </w:rPr>
              <w:t>--</w:t>
            </w:r>
          </w:p>
        </w:tc>
        <w:tc>
          <w:tcPr>
            <w:tcW w:w="176" w:type="dxa"/>
            <w:tcBorders/>
            <w:shd w:fill="FFFFFF" w:val="clear"/>
            <w:tcMar>
              <w:bottom w:w="0" w:type="dxa"/>
            </w:tcMar>
            <w:vAlign w:val="bottom"/>
          </w:tcPr>
          <w:p>
            <w:pPr>
              <w:pStyle w:val="TableContents"/>
              <w:spacing w:before="0" w:after="283"/>
              <w:jc w:val="left"/>
              <w:rPr/>
            </w:pPr>
            <w:r>
              <w:rPr/>
              <w:t> </w:t>
            </w:r>
          </w:p>
        </w:tc>
        <w:tc>
          <w:tcPr>
            <w:tcW w:w="203"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3198" w:name="TAB11509"/>
            <w:bookmarkEnd w:id="3198"/>
            <w:r>
              <w:rPr>
                <w:rFonts w:ascii="Times New Roman" w:hAnsi="Times New Roman"/>
                <w:sz w:val="20"/>
              </w:rPr>
              <w:t>$</w:t>
            </w:r>
          </w:p>
        </w:tc>
        <w:tc>
          <w:tcPr>
            <w:tcW w:w="1277"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3199" w:name="TAB11510"/>
            <w:bookmarkEnd w:id="3199"/>
            <w:r>
              <w:rPr>
                <w:rFonts w:ascii="Times New Roman" w:hAnsi="Times New Roman"/>
                <w:sz w:val="20"/>
              </w:rPr>
              <w:t>--</w:t>
            </w:r>
          </w:p>
        </w:tc>
        <w:tc>
          <w:tcPr>
            <w:tcW w:w="176" w:type="dxa"/>
            <w:tcBorders/>
            <w:shd w:fill="FFFFFF" w:val="clear"/>
            <w:tcMar>
              <w:bottom w:w="0" w:type="dxa"/>
            </w:tcMar>
            <w:vAlign w:val="bottom"/>
          </w:tcPr>
          <w:p>
            <w:pPr>
              <w:pStyle w:val="TableContents"/>
              <w:spacing w:before="0" w:after="283"/>
              <w:jc w:val="left"/>
              <w:rPr/>
            </w:pPr>
            <w:r>
              <w:rPr/>
              <w:t> </w:t>
            </w:r>
          </w:p>
        </w:tc>
        <w:tc>
          <w:tcPr>
            <w:tcW w:w="151"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3200" w:name="TAB11511"/>
            <w:bookmarkEnd w:id="3200"/>
            <w:r>
              <w:rPr>
                <w:rFonts w:ascii="Times New Roman" w:hAnsi="Times New Roman"/>
                <w:sz w:val="20"/>
              </w:rPr>
              <w:t>$</w:t>
            </w:r>
          </w:p>
        </w:tc>
        <w:tc>
          <w:tcPr>
            <w:tcW w:w="1143"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3201" w:name="TAB11512"/>
            <w:bookmarkEnd w:id="3201"/>
            <w:r>
              <w:rPr>
                <w:rFonts w:ascii="Times New Roman" w:hAnsi="Times New Roman"/>
                <w:sz w:val="20"/>
              </w:rPr>
              <w:t>433</w:t>
            </w:r>
          </w:p>
        </w:tc>
        <w:tc>
          <w:tcPr>
            <w:tcW w:w="122" w:type="dxa"/>
            <w:tcBorders/>
            <w:shd w:fill="FFFFFF" w:val="clear"/>
            <w:tcMar>
              <w:bottom w:w="0" w:type="dxa"/>
            </w:tcMar>
            <w:vAlign w:val="bottom"/>
          </w:tcPr>
          <w:p>
            <w:pPr>
              <w:pStyle w:val="TableContents"/>
              <w:spacing w:before="0" w:after="283"/>
              <w:jc w:val="left"/>
              <w:rPr/>
            </w:pPr>
            <w:r>
              <w:rPr/>
              <w:t> </w:t>
            </w:r>
          </w:p>
        </w:tc>
      </w:tr>
      <w:tr>
        <w:trPr/>
        <w:tc>
          <w:tcPr>
            <w:tcW w:w="3666"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Prepaid revenue</w:t>
            </w:r>
          </w:p>
        </w:tc>
        <w:tc>
          <w:tcPr>
            <w:tcW w:w="176" w:type="dxa"/>
            <w:tcBorders/>
            <w:shd w:fill="CCEEFF" w:val="clear"/>
            <w:tcMar>
              <w:bottom w:w="0" w:type="dxa"/>
            </w:tcMar>
            <w:vAlign w:val="center"/>
          </w:tcPr>
          <w:p>
            <w:pPr>
              <w:pStyle w:val="TableContents"/>
              <w:spacing w:before="0" w:after="283"/>
              <w:rPr/>
            </w:pPr>
            <w:r>
              <w:rPr/>
              <w:t> </w:t>
            </w:r>
          </w:p>
        </w:tc>
        <w:tc>
          <w:tcPr>
            <w:tcW w:w="201" w:type="dxa"/>
            <w:tcBorders/>
            <w:shd w:fill="CCEEFF" w:val="clear"/>
            <w:tcMar>
              <w:bottom w:w="0" w:type="dxa"/>
            </w:tcMar>
            <w:vAlign w:val="bottom"/>
          </w:tcPr>
          <w:p>
            <w:pPr>
              <w:pStyle w:val="TableContents"/>
              <w:spacing w:before="0" w:after="283"/>
              <w:jc w:val="left"/>
              <w:rPr/>
            </w:pPr>
            <w:r>
              <w:rPr/>
              <w:t> </w:t>
            </w:r>
          </w:p>
        </w:tc>
        <w:tc>
          <w:tcPr>
            <w:tcW w:w="1269"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8</w:t>
            </w:r>
          </w:p>
        </w:tc>
        <w:tc>
          <w:tcPr>
            <w:tcW w:w="176" w:type="dxa"/>
            <w:tcBorders/>
            <w:shd w:fill="CCEEFF" w:val="clear"/>
            <w:tcMar>
              <w:bottom w:w="0" w:type="dxa"/>
            </w:tcMar>
            <w:vAlign w:val="bottom"/>
          </w:tcPr>
          <w:p>
            <w:pPr>
              <w:pStyle w:val="TableContents"/>
              <w:spacing w:before="0" w:after="283"/>
              <w:jc w:val="left"/>
              <w:rPr/>
            </w:pPr>
            <w:r>
              <w:rPr/>
              <w:t> </w:t>
            </w:r>
          </w:p>
        </w:tc>
        <w:tc>
          <w:tcPr>
            <w:tcW w:w="181" w:type="dxa"/>
            <w:tcBorders/>
            <w:shd w:fill="CCEEFF" w:val="clear"/>
            <w:tcMar>
              <w:bottom w:w="0" w:type="dxa"/>
            </w:tcMar>
            <w:vAlign w:val="bottom"/>
          </w:tcPr>
          <w:p>
            <w:pPr>
              <w:pStyle w:val="TableContents"/>
              <w:spacing w:before="0" w:after="283"/>
              <w:jc w:val="left"/>
              <w:rPr/>
            </w:pPr>
            <w:r>
              <w:rPr/>
              <w:t> </w:t>
            </w:r>
          </w:p>
        </w:tc>
        <w:tc>
          <w:tcPr>
            <w:tcW w:w="1288"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176" w:type="dxa"/>
            <w:tcBorders/>
            <w:shd w:fill="CCEEFF" w:val="clear"/>
            <w:tcMar>
              <w:bottom w:w="0" w:type="dxa"/>
            </w:tcMar>
            <w:vAlign w:val="bottom"/>
          </w:tcPr>
          <w:p>
            <w:pPr>
              <w:pStyle w:val="TableContents"/>
              <w:spacing w:before="0" w:after="283"/>
              <w:jc w:val="left"/>
              <w:rPr/>
            </w:pPr>
            <w:r>
              <w:rPr/>
              <w:t> </w:t>
            </w:r>
          </w:p>
        </w:tc>
        <w:tc>
          <w:tcPr>
            <w:tcW w:w="203" w:type="dxa"/>
            <w:tcBorders/>
            <w:shd w:fill="CCEEFF" w:val="clear"/>
            <w:tcMar>
              <w:bottom w:w="0" w:type="dxa"/>
            </w:tcMar>
            <w:vAlign w:val="bottom"/>
          </w:tcPr>
          <w:p>
            <w:pPr>
              <w:pStyle w:val="TableContents"/>
              <w:spacing w:before="0" w:after="283"/>
              <w:jc w:val="left"/>
              <w:rPr/>
            </w:pPr>
            <w:r>
              <w:rPr/>
              <w:t> </w:t>
            </w:r>
          </w:p>
        </w:tc>
        <w:tc>
          <w:tcPr>
            <w:tcW w:w="1277"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176" w:type="dxa"/>
            <w:tcBorders/>
            <w:shd w:fill="CCEEFF" w:val="clear"/>
            <w:tcMar>
              <w:bottom w:w="0" w:type="dxa"/>
            </w:tcMar>
            <w:vAlign w:val="bottom"/>
          </w:tcPr>
          <w:p>
            <w:pPr>
              <w:pStyle w:val="TableContents"/>
              <w:spacing w:before="0" w:after="283"/>
              <w:jc w:val="left"/>
              <w:rPr/>
            </w:pPr>
            <w:r>
              <w:rPr/>
              <w:t> </w:t>
            </w:r>
          </w:p>
        </w:tc>
        <w:tc>
          <w:tcPr>
            <w:tcW w:w="151" w:type="dxa"/>
            <w:tcBorders/>
            <w:shd w:fill="CCEEFF" w:val="clear"/>
            <w:tcMar>
              <w:bottom w:w="0" w:type="dxa"/>
            </w:tcMar>
            <w:vAlign w:val="bottom"/>
          </w:tcPr>
          <w:p>
            <w:pPr>
              <w:pStyle w:val="TableContents"/>
              <w:spacing w:before="0" w:after="283"/>
              <w:jc w:val="left"/>
              <w:rPr/>
            </w:pPr>
            <w:r>
              <w:rPr/>
              <w:t> </w:t>
            </w:r>
          </w:p>
        </w:tc>
        <w:tc>
          <w:tcPr>
            <w:tcW w:w="1143"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8</w:t>
            </w:r>
          </w:p>
        </w:tc>
        <w:tc>
          <w:tcPr>
            <w:tcW w:w="122" w:type="dxa"/>
            <w:tcBorders/>
            <w:shd w:fill="CCEEFF" w:val="clear"/>
            <w:tcMar>
              <w:bottom w:w="0" w:type="dxa"/>
            </w:tcMar>
            <w:vAlign w:val="bottom"/>
          </w:tcPr>
          <w:p>
            <w:pPr>
              <w:pStyle w:val="TableContents"/>
              <w:spacing w:before="0" w:after="283"/>
              <w:jc w:val="left"/>
              <w:rPr/>
            </w:pPr>
            <w:r>
              <w:rPr/>
              <w:t> </w:t>
            </w:r>
          </w:p>
        </w:tc>
      </w:tr>
      <w:tr>
        <w:trPr/>
        <w:tc>
          <w:tcPr>
            <w:tcW w:w="3666"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Accruals</w:t>
            </w:r>
          </w:p>
        </w:tc>
        <w:tc>
          <w:tcPr>
            <w:tcW w:w="176" w:type="dxa"/>
            <w:tcBorders/>
            <w:shd w:fill="FFFFFF" w:val="clear"/>
            <w:tcMar>
              <w:bottom w:w="0" w:type="dxa"/>
            </w:tcMar>
            <w:vAlign w:val="center"/>
          </w:tcPr>
          <w:p>
            <w:pPr>
              <w:pStyle w:val="TableContents"/>
              <w:spacing w:before="0" w:after="283"/>
              <w:rPr/>
            </w:pPr>
            <w:r>
              <w:rPr/>
              <w:t> </w:t>
            </w:r>
          </w:p>
        </w:tc>
        <w:tc>
          <w:tcPr>
            <w:tcW w:w="201" w:type="dxa"/>
            <w:tcBorders/>
            <w:shd w:fill="FFFFFF" w:val="clear"/>
            <w:tcMar>
              <w:bottom w:w="0" w:type="dxa"/>
            </w:tcMar>
            <w:vAlign w:val="bottom"/>
          </w:tcPr>
          <w:p>
            <w:pPr>
              <w:pStyle w:val="TableContents"/>
              <w:spacing w:before="0" w:after="283"/>
              <w:jc w:val="left"/>
              <w:rPr/>
            </w:pPr>
            <w:r>
              <w:rPr/>
              <w:t> </w:t>
            </w:r>
          </w:p>
        </w:tc>
        <w:tc>
          <w:tcPr>
            <w:tcW w:w="1269"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71</w:t>
            </w:r>
          </w:p>
        </w:tc>
        <w:tc>
          <w:tcPr>
            <w:tcW w:w="176" w:type="dxa"/>
            <w:tcBorders/>
            <w:shd w:fill="FFFFFF" w:val="clear"/>
            <w:tcMar>
              <w:bottom w:w="0" w:type="dxa"/>
            </w:tcMar>
            <w:vAlign w:val="bottom"/>
          </w:tcPr>
          <w:p>
            <w:pPr>
              <w:pStyle w:val="TableContents"/>
              <w:spacing w:before="0" w:after="283"/>
              <w:jc w:val="left"/>
              <w:rPr/>
            </w:pPr>
            <w:r>
              <w:rPr/>
              <w:t> </w:t>
            </w:r>
          </w:p>
        </w:tc>
        <w:tc>
          <w:tcPr>
            <w:tcW w:w="181" w:type="dxa"/>
            <w:tcBorders/>
            <w:shd w:fill="FFFFFF" w:val="clear"/>
            <w:tcMar>
              <w:bottom w:w="0" w:type="dxa"/>
            </w:tcMar>
            <w:vAlign w:val="bottom"/>
          </w:tcPr>
          <w:p>
            <w:pPr>
              <w:pStyle w:val="TableContents"/>
              <w:spacing w:before="0" w:after="283"/>
              <w:jc w:val="left"/>
              <w:rPr/>
            </w:pPr>
            <w:r>
              <w:rPr/>
              <w:t> </w:t>
            </w:r>
          </w:p>
        </w:tc>
        <w:tc>
          <w:tcPr>
            <w:tcW w:w="1288"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176" w:type="dxa"/>
            <w:tcBorders/>
            <w:shd w:fill="FFFFFF" w:val="clear"/>
            <w:tcMar>
              <w:bottom w:w="0" w:type="dxa"/>
            </w:tcMar>
            <w:vAlign w:val="bottom"/>
          </w:tcPr>
          <w:p>
            <w:pPr>
              <w:pStyle w:val="TableContents"/>
              <w:spacing w:before="0" w:after="283"/>
              <w:jc w:val="left"/>
              <w:rPr/>
            </w:pPr>
            <w:r>
              <w:rPr/>
              <w:t> </w:t>
            </w:r>
          </w:p>
        </w:tc>
        <w:tc>
          <w:tcPr>
            <w:tcW w:w="203" w:type="dxa"/>
            <w:tcBorders/>
            <w:shd w:fill="FFFFFF" w:val="clear"/>
            <w:tcMar>
              <w:bottom w:w="0" w:type="dxa"/>
            </w:tcMar>
            <w:vAlign w:val="bottom"/>
          </w:tcPr>
          <w:p>
            <w:pPr>
              <w:pStyle w:val="TableContents"/>
              <w:spacing w:before="0" w:after="283"/>
              <w:jc w:val="left"/>
              <w:rPr/>
            </w:pPr>
            <w:r>
              <w:rPr/>
              <w:t> </w:t>
            </w:r>
          </w:p>
        </w:tc>
        <w:tc>
          <w:tcPr>
            <w:tcW w:w="1277"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176" w:type="dxa"/>
            <w:tcBorders/>
            <w:shd w:fill="FFFFFF" w:val="clear"/>
            <w:tcMar>
              <w:bottom w:w="0" w:type="dxa"/>
            </w:tcMar>
            <w:vAlign w:val="bottom"/>
          </w:tcPr>
          <w:p>
            <w:pPr>
              <w:pStyle w:val="TableContents"/>
              <w:spacing w:before="0" w:after="283"/>
              <w:jc w:val="left"/>
              <w:rPr/>
            </w:pPr>
            <w:r>
              <w:rPr/>
              <w:t> </w:t>
            </w:r>
          </w:p>
        </w:tc>
        <w:tc>
          <w:tcPr>
            <w:tcW w:w="151" w:type="dxa"/>
            <w:tcBorders/>
            <w:shd w:fill="FFFFFF" w:val="clear"/>
            <w:tcMar>
              <w:bottom w:w="0" w:type="dxa"/>
            </w:tcMar>
            <w:vAlign w:val="bottom"/>
          </w:tcPr>
          <w:p>
            <w:pPr>
              <w:pStyle w:val="TableContents"/>
              <w:spacing w:before="0" w:after="283"/>
              <w:jc w:val="left"/>
              <w:rPr/>
            </w:pPr>
            <w:r>
              <w:rPr/>
              <w:t> </w:t>
            </w:r>
          </w:p>
        </w:tc>
        <w:tc>
          <w:tcPr>
            <w:tcW w:w="1143"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71</w:t>
            </w:r>
          </w:p>
        </w:tc>
        <w:tc>
          <w:tcPr>
            <w:tcW w:w="122" w:type="dxa"/>
            <w:tcBorders/>
            <w:shd w:fill="FFFFFF" w:val="clear"/>
            <w:tcMar>
              <w:bottom w:w="0" w:type="dxa"/>
            </w:tcMar>
            <w:vAlign w:val="bottom"/>
          </w:tcPr>
          <w:p>
            <w:pPr>
              <w:pStyle w:val="TableContents"/>
              <w:spacing w:before="0" w:after="283"/>
              <w:jc w:val="left"/>
              <w:rPr/>
            </w:pPr>
            <w:r>
              <w:rPr/>
              <w:t> </w:t>
            </w:r>
          </w:p>
        </w:tc>
      </w:tr>
      <w:tr>
        <w:trPr/>
        <w:tc>
          <w:tcPr>
            <w:tcW w:w="3666"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Other payables</w:t>
            </w:r>
          </w:p>
        </w:tc>
        <w:tc>
          <w:tcPr>
            <w:tcW w:w="176" w:type="dxa"/>
            <w:tcBorders/>
            <w:shd w:fill="CCEEFF" w:val="clear"/>
            <w:tcMar>
              <w:bottom w:w="0" w:type="dxa"/>
            </w:tcMar>
            <w:vAlign w:val="center"/>
          </w:tcPr>
          <w:p>
            <w:pPr>
              <w:pStyle w:val="TableContents"/>
              <w:spacing w:before="0" w:after="283"/>
              <w:rPr/>
            </w:pPr>
            <w:r>
              <w:rPr/>
              <w:t> </w:t>
            </w:r>
          </w:p>
        </w:tc>
        <w:tc>
          <w:tcPr>
            <w:tcW w:w="201" w:type="dxa"/>
            <w:tcBorders/>
            <w:shd w:fill="CCEEFF" w:val="clear"/>
            <w:tcMar>
              <w:bottom w:w="0" w:type="dxa"/>
            </w:tcMar>
            <w:vAlign w:val="bottom"/>
          </w:tcPr>
          <w:p>
            <w:pPr>
              <w:pStyle w:val="TableContents"/>
              <w:spacing w:before="0" w:after="283"/>
              <w:jc w:val="left"/>
              <w:rPr/>
            </w:pPr>
            <w:r>
              <w:rPr/>
              <w:t> </w:t>
            </w:r>
          </w:p>
        </w:tc>
        <w:tc>
          <w:tcPr>
            <w:tcW w:w="1269"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62</w:t>
            </w:r>
          </w:p>
        </w:tc>
        <w:tc>
          <w:tcPr>
            <w:tcW w:w="176" w:type="dxa"/>
            <w:tcBorders/>
            <w:shd w:fill="CCEEFF" w:val="clear"/>
            <w:tcMar>
              <w:bottom w:w="0" w:type="dxa"/>
            </w:tcMar>
            <w:vAlign w:val="bottom"/>
          </w:tcPr>
          <w:p>
            <w:pPr>
              <w:pStyle w:val="TableContents"/>
              <w:spacing w:before="0" w:after="283"/>
              <w:jc w:val="left"/>
              <w:rPr/>
            </w:pPr>
            <w:r>
              <w:rPr/>
              <w:t> </w:t>
            </w:r>
          </w:p>
        </w:tc>
        <w:tc>
          <w:tcPr>
            <w:tcW w:w="181" w:type="dxa"/>
            <w:tcBorders/>
            <w:shd w:fill="CCEEFF" w:val="clear"/>
            <w:tcMar>
              <w:bottom w:w="0" w:type="dxa"/>
            </w:tcMar>
            <w:vAlign w:val="bottom"/>
          </w:tcPr>
          <w:p>
            <w:pPr>
              <w:pStyle w:val="TableContents"/>
              <w:spacing w:before="0" w:after="283"/>
              <w:jc w:val="left"/>
              <w:rPr/>
            </w:pPr>
            <w:r>
              <w:rPr/>
              <w:t> </w:t>
            </w:r>
          </w:p>
        </w:tc>
        <w:tc>
          <w:tcPr>
            <w:tcW w:w="1288"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176" w:type="dxa"/>
            <w:tcBorders/>
            <w:shd w:fill="CCEEFF" w:val="clear"/>
            <w:tcMar>
              <w:bottom w:w="0" w:type="dxa"/>
            </w:tcMar>
            <w:vAlign w:val="bottom"/>
          </w:tcPr>
          <w:p>
            <w:pPr>
              <w:pStyle w:val="TableContents"/>
              <w:spacing w:before="0" w:after="283"/>
              <w:jc w:val="left"/>
              <w:rPr/>
            </w:pPr>
            <w:r>
              <w:rPr/>
              <w:t> </w:t>
            </w:r>
          </w:p>
        </w:tc>
        <w:tc>
          <w:tcPr>
            <w:tcW w:w="203" w:type="dxa"/>
            <w:tcBorders/>
            <w:shd w:fill="CCEEFF" w:val="clear"/>
            <w:tcMar>
              <w:bottom w:w="0" w:type="dxa"/>
            </w:tcMar>
            <w:vAlign w:val="bottom"/>
          </w:tcPr>
          <w:p>
            <w:pPr>
              <w:pStyle w:val="TableContents"/>
              <w:spacing w:before="0" w:after="283"/>
              <w:jc w:val="left"/>
              <w:rPr/>
            </w:pPr>
            <w:r>
              <w:rPr/>
              <w:t> </w:t>
            </w:r>
          </w:p>
        </w:tc>
        <w:tc>
          <w:tcPr>
            <w:tcW w:w="1277"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176" w:type="dxa"/>
            <w:tcBorders/>
            <w:shd w:fill="CCEEFF" w:val="clear"/>
            <w:tcMar>
              <w:bottom w:w="0" w:type="dxa"/>
            </w:tcMar>
            <w:vAlign w:val="bottom"/>
          </w:tcPr>
          <w:p>
            <w:pPr>
              <w:pStyle w:val="TableContents"/>
              <w:spacing w:before="0" w:after="283"/>
              <w:jc w:val="left"/>
              <w:rPr/>
            </w:pPr>
            <w:r>
              <w:rPr/>
              <w:t> </w:t>
            </w:r>
          </w:p>
        </w:tc>
        <w:tc>
          <w:tcPr>
            <w:tcW w:w="151" w:type="dxa"/>
            <w:tcBorders/>
            <w:shd w:fill="CCEEFF" w:val="clear"/>
            <w:tcMar>
              <w:bottom w:w="0" w:type="dxa"/>
            </w:tcMar>
            <w:vAlign w:val="bottom"/>
          </w:tcPr>
          <w:p>
            <w:pPr>
              <w:pStyle w:val="TableContents"/>
              <w:spacing w:before="0" w:after="283"/>
              <w:jc w:val="left"/>
              <w:rPr/>
            </w:pPr>
            <w:r>
              <w:rPr/>
              <w:t> </w:t>
            </w:r>
          </w:p>
        </w:tc>
        <w:tc>
          <w:tcPr>
            <w:tcW w:w="1143"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62</w:t>
            </w:r>
          </w:p>
        </w:tc>
        <w:tc>
          <w:tcPr>
            <w:tcW w:w="122" w:type="dxa"/>
            <w:tcBorders/>
            <w:shd w:fill="CCEEFF" w:val="clear"/>
            <w:tcMar>
              <w:bottom w:w="0" w:type="dxa"/>
            </w:tcMar>
            <w:vAlign w:val="bottom"/>
          </w:tcPr>
          <w:p>
            <w:pPr>
              <w:pStyle w:val="TableContents"/>
              <w:spacing w:before="0" w:after="283"/>
              <w:jc w:val="left"/>
              <w:rPr/>
            </w:pPr>
            <w:r>
              <w:rPr/>
              <w:t> </w:t>
            </w:r>
          </w:p>
        </w:tc>
      </w:tr>
      <w:tr>
        <w:trPr/>
        <w:tc>
          <w:tcPr>
            <w:tcW w:w="3666"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Provisions</w:t>
            </w:r>
          </w:p>
        </w:tc>
        <w:tc>
          <w:tcPr>
            <w:tcW w:w="176" w:type="dxa"/>
            <w:tcBorders/>
            <w:shd w:fill="FFFFFF" w:val="clear"/>
            <w:tcMar>
              <w:bottom w:w="0" w:type="dxa"/>
            </w:tcMar>
            <w:vAlign w:val="center"/>
          </w:tcPr>
          <w:p>
            <w:pPr>
              <w:pStyle w:val="TableContents"/>
              <w:spacing w:before="0" w:after="283"/>
              <w:rPr/>
            </w:pPr>
            <w:r>
              <w:rPr/>
              <w:t> </w:t>
            </w:r>
          </w:p>
        </w:tc>
        <w:tc>
          <w:tcPr>
            <w:tcW w:w="201" w:type="dxa"/>
            <w:tcBorders/>
            <w:shd w:fill="FFFFFF" w:val="clear"/>
            <w:tcMar>
              <w:bottom w:w="0" w:type="dxa"/>
            </w:tcMar>
            <w:vAlign w:val="bottom"/>
          </w:tcPr>
          <w:p>
            <w:pPr>
              <w:pStyle w:val="TableContents"/>
              <w:spacing w:before="0" w:after="283"/>
              <w:jc w:val="left"/>
              <w:rPr/>
            </w:pPr>
            <w:r>
              <w:rPr/>
              <w:t> </w:t>
            </w:r>
          </w:p>
        </w:tc>
        <w:tc>
          <w:tcPr>
            <w:tcW w:w="1269"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95</w:t>
            </w:r>
          </w:p>
        </w:tc>
        <w:tc>
          <w:tcPr>
            <w:tcW w:w="176" w:type="dxa"/>
            <w:tcBorders/>
            <w:shd w:fill="FFFFFF" w:val="clear"/>
            <w:tcMar>
              <w:bottom w:w="0" w:type="dxa"/>
            </w:tcMar>
            <w:vAlign w:val="bottom"/>
          </w:tcPr>
          <w:p>
            <w:pPr>
              <w:pStyle w:val="TableContents"/>
              <w:spacing w:before="0" w:after="283"/>
              <w:jc w:val="left"/>
              <w:rPr/>
            </w:pPr>
            <w:r>
              <w:rPr/>
              <w:t> </w:t>
            </w:r>
          </w:p>
        </w:tc>
        <w:tc>
          <w:tcPr>
            <w:tcW w:w="181" w:type="dxa"/>
            <w:tcBorders/>
            <w:shd w:fill="FFFFFF" w:val="clear"/>
            <w:tcMar>
              <w:bottom w:w="0" w:type="dxa"/>
            </w:tcMar>
            <w:vAlign w:val="bottom"/>
          </w:tcPr>
          <w:p>
            <w:pPr>
              <w:pStyle w:val="TableContents"/>
              <w:spacing w:before="0" w:after="283"/>
              <w:jc w:val="left"/>
              <w:rPr/>
            </w:pPr>
            <w:r>
              <w:rPr/>
              <w:t> </w:t>
            </w:r>
          </w:p>
        </w:tc>
        <w:tc>
          <w:tcPr>
            <w:tcW w:w="1288"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176" w:type="dxa"/>
            <w:tcBorders/>
            <w:shd w:fill="FFFFFF" w:val="clear"/>
            <w:tcMar>
              <w:bottom w:w="0" w:type="dxa"/>
            </w:tcMar>
            <w:vAlign w:val="bottom"/>
          </w:tcPr>
          <w:p>
            <w:pPr>
              <w:pStyle w:val="TableContents"/>
              <w:spacing w:before="0" w:after="283"/>
              <w:jc w:val="left"/>
              <w:rPr/>
            </w:pPr>
            <w:r>
              <w:rPr/>
              <w:t> </w:t>
            </w:r>
          </w:p>
        </w:tc>
        <w:tc>
          <w:tcPr>
            <w:tcW w:w="203" w:type="dxa"/>
            <w:tcBorders/>
            <w:shd w:fill="FFFFFF" w:val="clear"/>
            <w:tcMar>
              <w:bottom w:w="0" w:type="dxa"/>
            </w:tcMar>
            <w:vAlign w:val="bottom"/>
          </w:tcPr>
          <w:p>
            <w:pPr>
              <w:pStyle w:val="TableContents"/>
              <w:spacing w:before="0" w:after="283"/>
              <w:jc w:val="left"/>
              <w:rPr/>
            </w:pPr>
            <w:r>
              <w:rPr/>
              <w:t> </w:t>
            </w:r>
          </w:p>
        </w:tc>
        <w:tc>
          <w:tcPr>
            <w:tcW w:w="1277"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176" w:type="dxa"/>
            <w:tcBorders/>
            <w:shd w:fill="FFFFFF" w:val="clear"/>
            <w:tcMar>
              <w:bottom w:w="0" w:type="dxa"/>
            </w:tcMar>
            <w:vAlign w:val="bottom"/>
          </w:tcPr>
          <w:p>
            <w:pPr>
              <w:pStyle w:val="TableContents"/>
              <w:spacing w:before="0" w:after="283"/>
              <w:jc w:val="left"/>
              <w:rPr/>
            </w:pPr>
            <w:r>
              <w:rPr/>
              <w:t> </w:t>
            </w:r>
          </w:p>
        </w:tc>
        <w:tc>
          <w:tcPr>
            <w:tcW w:w="151" w:type="dxa"/>
            <w:tcBorders/>
            <w:shd w:fill="FFFFFF" w:val="clear"/>
            <w:tcMar>
              <w:bottom w:w="0" w:type="dxa"/>
            </w:tcMar>
            <w:vAlign w:val="bottom"/>
          </w:tcPr>
          <w:p>
            <w:pPr>
              <w:pStyle w:val="TableContents"/>
              <w:spacing w:before="0" w:after="283"/>
              <w:jc w:val="left"/>
              <w:rPr/>
            </w:pPr>
            <w:r>
              <w:rPr/>
              <w:t> </w:t>
            </w:r>
          </w:p>
        </w:tc>
        <w:tc>
          <w:tcPr>
            <w:tcW w:w="1143"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95</w:t>
            </w:r>
          </w:p>
        </w:tc>
        <w:tc>
          <w:tcPr>
            <w:tcW w:w="122" w:type="dxa"/>
            <w:tcBorders/>
            <w:shd w:fill="FFFFFF" w:val="clear"/>
            <w:tcMar>
              <w:bottom w:w="0" w:type="dxa"/>
            </w:tcMar>
            <w:vAlign w:val="bottom"/>
          </w:tcPr>
          <w:p>
            <w:pPr>
              <w:pStyle w:val="TableContents"/>
              <w:spacing w:before="0" w:after="283"/>
              <w:jc w:val="left"/>
              <w:rPr/>
            </w:pPr>
            <w:r>
              <w:rPr/>
              <w:t> </w:t>
            </w:r>
          </w:p>
        </w:tc>
      </w:tr>
      <w:tr>
        <w:trPr/>
        <w:tc>
          <w:tcPr>
            <w:tcW w:w="3666"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Lease agreements</w:t>
            </w:r>
          </w:p>
        </w:tc>
        <w:tc>
          <w:tcPr>
            <w:tcW w:w="176" w:type="dxa"/>
            <w:tcBorders/>
            <w:shd w:fill="CCEEFF" w:val="clear"/>
            <w:tcMar>
              <w:bottom w:w="0" w:type="dxa"/>
            </w:tcMar>
            <w:vAlign w:val="center"/>
          </w:tcPr>
          <w:p>
            <w:pPr>
              <w:pStyle w:val="TableContents"/>
              <w:spacing w:before="0" w:after="283"/>
              <w:rPr/>
            </w:pPr>
            <w:r>
              <w:rPr/>
              <w:t> </w:t>
            </w:r>
          </w:p>
        </w:tc>
        <w:tc>
          <w:tcPr>
            <w:tcW w:w="201" w:type="dxa"/>
            <w:tcBorders/>
            <w:shd w:fill="CCEEFF" w:val="clear"/>
            <w:tcMar>
              <w:bottom w:w="0" w:type="dxa"/>
            </w:tcMar>
            <w:vAlign w:val="bottom"/>
          </w:tcPr>
          <w:p>
            <w:pPr>
              <w:pStyle w:val="TableContents"/>
              <w:spacing w:before="0" w:after="283"/>
              <w:jc w:val="left"/>
              <w:rPr/>
            </w:pPr>
            <w:r>
              <w:rPr/>
              <w:t> </w:t>
            </w:r>
          </w:p>
        </w:tc>
        <w:tc>
          <w:tcPr>
            <w:tcW w:w="1269"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450</w:t>
            </w:r>
          </w:p>
        </w:tc>
        <w:tc>
          <w:tcPr>
            <w:tcW w:w="176" w:type="dxa"/>
            <w:tcBorders/>
            <w:shd w:fill="CCEEFF" w:val="clear"/>
            <w:tcMar>
              <w:bottom w:w="0" w:type="dxa"/>
            </w:tcMar>
            <w:vAlign w:val="bottom"/>
          </w:tcPr>
          <w:p>
            <w:pPr>
              <w:pStyle w:val="TableContents"/>
              <w:spacing w:before="0" w:after="283"/>
              <w:jc w:val="left"/>
              <w:rPr/>
            </w:pPr>
            <w:r>
              <w:rPr/>
              <w:t> </w:t>
            </w:r>
          </w:p>
        </w:tc>
        <w:tc>
          <w:tcPr>
            <w:tcW w:w="181" w:type="dxa"/>
            <w:tcBorders/>
            <w:shd w:fill="CCEEFF" w:val="clear"/>
            <w:tcMar>
              <w:bottom w:w="0" w:type="dxa"/>
            </w:tcMar>
            <w:vAlign w:val="bottom"/>
          </w:tcPr>
          <w:p>
            <w:pPr>
              <w:pStyle w:val="TableContents"/>
              <w:spacing w:before="0" w:after="283"/>
              <w:jc w:val="left"/>
              <w:rPr/>
            </w:pPr>
            <w:r>
              <w:rPr/>
              <w:t> </w:t>
            </w:r>
          </w:p>
        </w:tc>
        <w:tc>
          <w:tcPr>
            <w:tcW w:w="1288"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666</w:t>
            </w:r>
          </w:p>
        </w:tc>
        <w:tc>
          <w:tcPr>
            <w:tcW w:w="176" w:type="dxa"/>
            <w:tcBorders/>
            <w:shd w:fill="CCEEFF" w:val="clear"/>
            <w:tcMar>
              <w:bottom w:w="0" w:type="dxa"/>
            </w:tcMar>
            <w:vAlign w:val="bottom"/>
          </w:tcPr>
          <w:p>
            <w:pPr>
              <w:pStyle w:val="TableContents"/>
              <w:spacing w:before="0" w:after="283"/>
              <w:jc w:val="left"/>
              <w:rPr/>
            </w:pPr>
            <w:r>
              <w:rPr/>
              <w:t> </w:t>
            </w:r>
          </w:p>
        </w:tc>
        <w:tc>
          <w:tcPr>
            <w:tcW w:w="203" w:type="dxa"/>
            <w:tcBorders/>
            <w:shd w:fill="CCEEFF" w:val="clear"/>
            <w:tcMar>
              <w:bottom w:w="0" w:type="dxa"/>
            </w:tcMar>
            <w:vAlign w:val="bottom"/>
          </w:tcPr>
          <w:p>
            <w:pPr>
              <w:pStyle w:val="TableContents"/>
              <w:spacing w:before="0" w:after="283"/>
              <w:jc w:val="left"/>
              <w:rPr/>
            </w:pPr>
            <w:r>
              <w:rPr/>
              <w:t> </w:t>
            </w:r>
          </w:p>
        </w:tc>
        <w:tc>
          <w:tcPr>
            <w:tcW w:w="1277"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176" w:type="dxa"/>
            <w:tcBorders/>
            <w:shd w:fill="CCEEFF" w:val="clear"/>
            <w:tcMar>
              <w:bottom w:w="0" w:type="dxa"/>
            </w:tcMar>
            <w:vAlign w:val="bottom"/>
          </w:tcPr>
          <w:p>
            <w:pPr>
              <w:pStyle w:val="TableContents"/>
              <w:spacing w:before="0" w:after="283"/>
              <w:jc w:val="left"/>
              <w:rPr/>
            </w:pPr>
            <w:r>
              <w:rPr/>
              <w:t> </w:t>
            </w:r>
          </w:p>
        </w:tc>
        <w:tc>
          <w:tcPr>
            <w:tcW w:w="151" w:type="dxa"/>
            <w:tcBorders/>
            <w:shd w:fill="CCEEFF" w:val="clear"/>
            <w:tcMar>
              <w:bottom w:w="0" w:type="dxa"/>
            </w:tcMar>
            <w:vAlign w:val="bottom"/>
          </w:tcPr>
          <w:p>
            <w:pPr>
              <w:pStyle w:val="TableContents"/>
              <w:spacing w:before="0" w:after="283"/>
              <w:jc w:val="left"/>
              <w:rPr/>
            </w:pPr>
            <w:r>
              <w:rPr/>
              <w:t> </w:t>
            </w:r>
          </w:p>
        </w:tc>
        <w:tc>
          <w:tcPr>
            <w:tcW w:w="1143"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1,116</w:t>
            </w:r>
          </w:p>
        </w:tc>
        <w:tc>
          <w:tcPr>
            <w:tcW w:w="122" w:type="dxa"/>
            <w:tcBorders/>
            <w:shd w:fill="CCEEFF" w:val="clear"/>
            <w:tcMar>
              <w:bottom w:w="0" w:type="dxa"/>
            </w:tcMar>
            <w:vAlign w:val="bottom"/>
          </w:tcPr>
          <w:p>
            <w:pPr>
              <w:pStyle w:val="TableContents"/>
              <w:spacing w:before="0" w:after="283"/>
              <w:jc w:val="left"/>
              <w:rPr/>
            </w:pPr>
            <w:r>
              <w:rPr/>
              <w:t> </w:t>
            </w:r>
          </w:p>
        </w:tc>
      </w:tr>
      <w:tr>
        <w:trPr/>
        <w:tc>
          <w:tcPr>
            <w:tcW w:w="3666"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Loans</w:t>
            </w:r>
          </w:p>
        </w:tc>
        <w:tc>
          <w:tcPr>
            <w:tcW w:w="176" w:type="dxa"/>
            <w:tcBorders/>
            <w:shd w:fill="FFFFFF" w:val="clear"/>
            <w:tcMar>
              <w:bottom w:w="0" w:type="dxa"/>
            </w:tcMar>
            <w:vAlign w:val="center"/>
          </w:tcPr>
          <w:p>
            <w:pPr>
              <w:pStyle w:val="TableContents"/>
              <w:spacing w:before="0" w:after="283"/>
              <w:rPr/>
            </w:pPr>
            <w:r>
              <w:rPr/>
              <w:t> </w:t>
            </w:r>
          </w:p>
        </w:tc>
        <w:tc>
          <w:tcPr>
            <w:tcW w:w="201" w:type="dxa"/>
            <w:tcBorders/>
            <w:shd w:fill="FFFFFF" w:val="clear"/>
            <w:tcMar>
              <w:bottom w:w="0" w:type="dxa"/>
            </w:tcMar>
            <w:vAlign w:val="bottom"/>
          </w:tcPr>
          <w:p>
            <w:pPr>
              <w:pStyle w:val="TableContents"/>
              <w:spacing w:before="0" w:after="283"/>
              <w:jc w:val="left"/>
              <w:rPr/>
            </w:pPr>
            <w:r>
              <w:rPr/>
              <w:t> </w:t>
            </w:r>
          </w:p>
        </w:tc>
        <w:tc>
          <w:tcPr>
            <w:tcW w:w="1269"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661</w:t>
            </w:r>
          </w:p>
        </w:tc>
        <w:tc>
          <w:tcPr>
            <w:tcW w:w="176" w:type="dxa"/>
            <w:tcBorders/>
            <w:shd w:fill="FFFFFF" w:val="clear"/>
            <w:tcMar>
              <w:bottom w:w="0" w:type="dxa"/>
            </w:tcMar>
            <w:vAlign w:val="bottom"/>
          </w:tcPr>
          <w:p>
            <w:pPr>
              <w:pStyle w:val="TableContents"/>
              <w:spacing w:before="0" w:after="283"/>
              <w:jc w:val="left"/>
              <w:rPr/>
            </w:pPr>
            <w:r>
              <w:rPr/>
              <w:t> </w:t>
            </w:r>
          </w:p>
        </w:tc>
        <w:tc>
          <w:tcPr>
            <w:tcW w:w="181" w:type="dxa"/>
            <w:tcBorders/>
            <w:shd w:fill="FFFFFF" w:val="clear"/>
            <w:tcMar>
              <w:bottom w:w="0" w:type="dxa"/>
            </w:tcMar>
            <w:vAlign w:val="bottom"/>
          </w:tcPr>
          <w:p>
            <w:pPr>
              <w:pStyle w:val="TableContents"/>
              <w:spacing w:before="0" w:after="283"/>
              <w:jc w:val="left"/>
              <w:rPr/>
            </w:pPr>
            <w:r>
              <w:rPr/>
              <w:t> </w:t>
            </w:r>
          </w:p>
        </w:tc>
        <w:tc>
          <w:tcPr>
            <w:tcW w:w="1288"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176" w:type="dxa"/>
            <w:tcBorders/>
            <w:shd w:fill="FFFFFF" w:val="clear"/>
            <w:tcMar>
              <w:bottom w:w="0" w:type="dxa"/>
            </w:tcMar>
            <w:vAlign w:val="bottom"/>
          </w:tcPr>
          <w:p>
            <w:pPr>
              <w:pStyle w:val="TableContents"/>
              <w:spacing w:before="0" w:after="283"/>
              <w:jc w:val="left"/>
              <w:rPr/>
            </w:pPr>
            <w:r>
              <w:rPr/>
              <w:t> </w:t>
            </w:r>
          </w:p>
        </w:tc>
        <w:tc>
          <w:tcPr>
            <w:tcW w:w="203" w:type="dxa"/>
            <w:tcBorders/>
            <w:shd w:fill="FFFFFF" w:val="clear"/>
            <w:tcMar>
              <w:bottom w:w="0" w:type="dxa"/>
            </w:tcMar>
            <w:vAlign w:val="bottom"/>
          </w:tcPr>
          <w:p>
            <w:pPr>
              <w:pStyle w:val="TableContents"/>
              <w:spacing w:before="0" w:after="283"/>
              <w:jc w:val="left"/>
              <w:rPr/>
            </w:pPr>
            <w:r>
              <w:rPr/>
              <w:t> </w:t>
            </w:r>
          </w:p>
        </w:tc>
        <w:tc>
          <w:tcPr>
            <w:tcW w:w="1277"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176" w:type="dxa"/>
            <w:tcBorders/>
            <w:shd w:fill="FFFFFF" w:val="clear"/>
            <w:tcMar>
              <w:bottom w:w="0" w:type="dxa"/>
            </w:tcMar>
            <w:vAlign w:val="bottom"/>
          </w:tcPr>
          <w:p>
            <w:pPr>
              <w:pStyle w:val="TableContents"/>
              <w:spacing w:before="0" w:after="283"/>
              <w:jc w:val="left"/>
              <w:rPr/>
            </w:pPr>
            <w:r>
              <w:rPr/>
              <w:t> </w:t>
            </w:r>
          </w:p>
        </w:tc>
        <w:tc>
          <w:tcPr>
            <w:tcW w:w="151" w:type="dxa"/>
            <w:tcBorders/>
            <w:shd w:fill="FFFFFF" w:val="clear"/>
            <w:tcMar>
              <w:bottom w:w="0" w:type="dxa"/>
            </w:tcMar>
            <w:vAlign w:val="bottom"/>
          </w:tcPr>
          <w:p>
            <w:pPr>
              <w:pStyle w:val="TableContents"/>
              <w:spacing w:before="0" w:after="283"/>
              <w:jc w:val="left"/>
              <w:rPr/>
            </w:pPr>
            <w:r>
              <w:rPr/>
              <w:t> </w:t>
            </w:r>
          </w:p>
        </w:tc>
        <w:tc>
          <w:tcPr>
            <w:tcW w:w="1143"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661</w:t>
            </w:r>
          </w:p>
        </w:tc>
        <w:tc>
          <w:tcPr>
            <w:tcW w:w="122" w:type="dxa"/>
            <w:tcBorders/>
            <w:shd w:fill="FFFFFF" w:val="clear"/>
            <w:tcMar>
              <w:bottom w:w="0" w:type="dxa"/>
            </w:tcMar>
            <w:vAlign w:val="bottom"/>
          </w:tcPr>
          <w:p>
            <w:pPr>
              <w:pStyle w:val="TableContents"/>
              <w:spacing w:before="0" w:after="283"/>
              <w:jc w:val="left"/>
              <w:rPr/>
            </w:pPr>
            <w:r>
              <w:rPr/>
              <w:t> </w:t>
            </w:r>
          </w:p>
        </w:tc>
      </w:tr>
      <w:tr>
        <w:trPr/>
        <w:tc>
          <w:tcPr>
            <w:tcW w:w="3666" w:type="dxa"/>
            <w:tcBorders>
              <w:bottom w:val="sing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Put Option</w:t>
            </w:r>
          </w:p>
        </w:tc>
        <w:tc>
          <w:tcPr>
            <w:tcW w:w="176" w:type="dxa"/>
            <w:tcBorders>
              <w:bottom w:val="single" w:sz="2" w:space="0" w:color="CCEEFF"/>
            </w:tcBorders>
            <w:shd w:fill="CCEEFF" w:val="clear"/>
            <w:vAlign w:val="center"/>
          </w:tcPr>
          <w:p>
            <w:pPr>
              <w:pStyle w:val="TableContents"/>
              <w:spacing w:before="0" w:after="283"/>
              <w:rPr/>
            </w:pPr>
            <w:r>
              <w:rPr/>
              <w:t> </w:t>
            </w:r>
          </w:p>
        </w:tc>
        <w:tc>
          <w:tcPr>
            <w:tcW w:w="201" w:type="dxa"/>
            <w:tcBorders>
              <w:bottom w:val="single" w:sz="2" w:space="0" w:color="000000"/>
            </w:tcBorders>
            <w:shd w:fill="CCEEFF" w:val="clear"/>
            <w:vAlign w:val="bottom"/>
          </w:tcPr>
          <w:p>
            <w:pPr>
              <w:pStyle w:val="TableContents"/>
              <w:spacing w:before="0" w:after="283"/>
              <w:jc w:val="left"/>
              <w:rPr/>
            </w:pPr>
            <w:r>
              <w:rPr/>
              <w:t> </w:t>
            </w:r>
          </w:p>
        </w:tc>
        <w:tc>
          <w:tcPr>
            <w:tcW w:w="1269"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176" w:type="dxa"/>
            <w:tcBorders>
              <w:bottom w:val="single" w:sz="2" w:space="0" w:color="CCEEFF"/>
            </w:tcBorders>
            <w:shd w:fill="CCEEFF" w:val="clear"/>
            <w:vAlign w:val="bottom"/>
          </w:tcPr>
          <w:p>
            <w:pPr>
              <w:pStyle w:val="TableContents"/>
              <w:spacing w:before="0" w:after="283"/>
              <w:jc w:val="left"/>
              <w:rPr/>
            </w:pPr>
            <w:r>
              <w:rPr/>
              <w:t> </w:t>
            </w:r>
          </w:p>
        </w:tc>
        <w:tc>
          <w:tcPr>
            <w:tcW w:w="181" w:type="dxa"/>
            <w:tcBorders>
              <w:bottom w:val="single" w:sz="2" w:space="0" w:color="000000"/>
            </w:tcBorders>
            <w:shd w:fill="CCEEFF" w:val="clear"/>
            <w:vAlign w:val="bottom"/>
          </w:tcPr>
          <w:p>
            <w:pPr>
              <w:pStyle w:val="TableContents"/>
              <w:spacing w:before="0" w:after="283"/>
              <w:jc w:val="left"/>
              <w:rPr/>
            </w:pPr>
            <w:r>
              <w:rPr/>
              <w:t> </w:t>
            </w:r>
          </w:p>
        </w:tc>
        <w:tc>
          <w:tcPr>
            <w:tcW w:w="1288"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175</w:t>
            </w:r>
          </w:p>
        </w:tc>
        <w:tc>
          <w:tcPr>
            <w:tcW w:w="176" w:type="dxa"/>
            <w:tcBorders>
              <w:bottom w:val="single" w:sz="2" w:space="0" w:color="CCEEFF"/>
            </w:tcBorders>
            <w:shd w:fill="CCEEFF" w:val="clear"/>
            <w:vAlign w:val="bottom"/>
          </w:tcPr>
          <w:p>
            <w:pPr>
              <w:pStyle w:val="TableContents"/>
              <w:spacing w:before="0" w:after="283"/>
              <w:jc w:val="left"/>
              <w:rPr/>
            </w:pPr>
            <w:r>
              <w:rPr/>
              <w:t> </w:t>
            </w:r>
          </w:p>
        </w:tc>
        <w:tc>
          <w:tcPr>
            <w:tcW w:w="203" w:type="dxa"/>
            <w:tcBorders>
              <w:bottom w:val="single" w:sz="2" w:space="0" w:color="000000"/>
            </w:tcBorders>
            <w:shd w:fill="CCEEFF" w:val="clear"/>
            <w:vAlign w:val="bottom"/>
          </w:tcPr>
          <w:p>
            <w:pPr>
              <w:pStyle w:val="TableContents"/>
              <w:spacing w:before="0" w:after="283"/>
              <w:jc w:val="left"/>
              <w:rPr/>
            </w:pPr>
            <w:r>
              <w:rPr/>
              <w:t> </w:t>
            </w:r>
          </w:p>
        </w:tc>
        <w:tc>
          <w:tcPr>
            <w:tcW w:w="1277"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176" w:type="dxa"/>
            <w:tcBorders>
              <w:bottom w:val="single" w:sz="2" w:space="0" w:color="CCEEFF"/>
            </w:tcBorders>
            <w:shd w:fill="CCEEFF" w:val="clear"/>
            <w:vAlign w:val="bottom"/>
          </w:tcPr>
          <w:p>
            <w:pPr>
              <w:pStyle w:val="TableContents"/>
              <w:spacing w:before="0" w:after="283"/>
              <w:jc w:val="left"/>
              <w:rPr/>
            </w:pPr>
            <w:r>
              <w:rPr/>
              <w:t> </w:t>
            </w:r>
          </w:p>
        </w:tc>
        <w:tc>
          <w:tcPr>
            <w:tcW w:w="151" w:type="dxa"/>
            <w:tcBorders>
              <w:bottom w:val="single" w:sz="2" w:space="0" w:color="000000"/>
            </w:tcBorders>
            <w:shd w:fill="CCEEFF" w:val="clear"/>
            <w:vAlign w:val="bottom"/>
          </w:tcPr>
          <w:p>
            <w:pPr>
              <w:pStyle w:val="TableContents"/>
              <w:spacing w:before="0" w:after="283"/>
              <w:jc w:val="left"/>
              <w:rPr/>
            </w:pPr>
            <w:r>
              <w:rPr/>
              <w:t> </w:t>
            </w:r>
          </w:p>
        </w:tc>
        <w:tc>
          <w:tcPr>
            <w:tcW w:w="1143"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175</w:t>
            </w:r>
          </w:p>
        </w:tc>
        <w:tc>
          <w:tcPr>
            <w:tcW w:w="122" w:type="dxa"/>
            <w:tcBorders>
              <w:bottom w:val="single" w:sz="2" w:space="0" w:color="CCEEFF"/>
            </w:tcBorders>
            <w:shd w:fill="CCEEFF" w:val="clear"/>
            <w:vAlign w:val="bottom"/>
          </w:tcPr>
          <w:p>
            <w:pPr>
              <w:pStyle w:val="TableContents"/>
              <w:spacing w:before="0" w:after="283"/>
              <w:jc w:val="left"/>
              <w:rPr/>
            </w:pPr>
            <w:r>
              <w:rPr/>
              <w:t> </w:t>
            </w:r>
          </w:p>
        </w:tc>
      </w:tr>
      <w:tr>
        <w:trPr/>
        <w:tc>
          <w:tcPr>
            <w:tcW w:w="3666"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Total Liabilities Assumed</w:t>
            </w:r>
          </w:p>
        </w:tc>
        <w:tc>
          <w:tcPr>
            <w:tcW w:w="176" w:type="dxa"/>
            <w:tcBorders/>
            <w:shd w:fill="FFFFFF" w:val="clear"/>
            <w:tcMar>
              <w:bottom w:w="0" w:type="dxa"/>
            </w:tcMar>
            <w:vAlign w:val="center"/>
          </w:tcPr>
          <w:p>
            <w:pPr>
              <w:pStyle w:val="TableContents"/>
              <w:spacing w:before="0" w:after="283"/>
              <w:rPr/>
            </w:pPr>
            <w:r>
              <w:rPr/>
              <w:t> </w:t>
            </w:r>
          </w:p>
        </w:tc>
        <w:tc>
          <w:tcPr>
            <w:tcW w:w="201"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3202" w:name="TAB11513"/>
            <w:bookmarkEnd w:id="3202"/>
            <w:r>
              <w:rPr>
                <w:rFonts w:ascii="Times New Roman" w:hAnsi="Times New Roman"/>
                <w:sz w:val="20"/>
              </w:rPr>
              <w:t>$</w:t>
            </w:r>
          </w:p>
        </w:tc>
        <w:tc>
          <w:tcPr>
            <w:tcW w:w="1269"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3203" w:name="TAB11514"/>
            <w:bookmarkEnd w:id="3203"/>
            <w:r>
              <w:rPr>
                <w:rFonts w:ascii="Times New Roman" w:hAnsi="Times New Roman"/>
                <w:sz w:val="20"/>
              </w:rPr>
              <w:t>1,780</w:t>
            </w:r>
          </w:p>
        </w:tc>
        <w:tc>
          <w:tcPr>
            <w:tcW w:w="176" w:type="dxa"/>
            <w:tcBorders/>
            <w:shd w:fill="FFFFFF" w:val="clear"/>
            <w:tcMar>
              <w:bottom w:w="0" w:type="dxa"/>
            </w:tcMar>
            <w:vAlign w:val="bottom"/>
          </w:tcPr>
          <w:p>
            <w:pPr>
              <w:pStyle w:val="TableContents"/>
              <w:spacing w:before="0" w:after="283"/>
              <w:jc w:val="left"/>
              <w:rPr/>
            </w:pPr>
            <w:r>
              <w:rPr/>
              <w:t> </w:t>
            </w:r>
          </w:p>
        </w:tc>
        <w:tc>
          <w:tcPr>
            <w:tcW w:w="181"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3204" w:name="TAB11515"/>
            <w:bookmarkEnd w:id="3204"/>
            <w:r>
              <w:rPr>
                <w:rFonts w:ascii="Times New Roman" w:hAnsi="Times New Roman"/>
                <w:sz w:val="20"/>
              </w:rPr>
              <w:t>$</w:t>
            </w:r>
          </w:p>
        </w:tc>
        <w:tc>
          <w:tcPr>
            <w:tcW w:w="1288"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3205" w:name="TAB11516"/>
            <w:bookmarkEnd w:id="3205"/>
            <w:r>
              <w:rPr>
                <w:rFonts w:ascii="Times New Roman" w:hAnsi="Times New Roman"/>
                <w:sz w:val="20"/>
              </w:rPr>
              <w:t>841</w:t>
            </w:r>
          </w:p>
        </w:tc>
        <w:tc>
          <w:tcPr>
            <w:tcW w:w="176" w:type="dxa"/>
            <w:tcBorders/>
            <w:shd w:fill="FFFFFF" w:val="clear"/>
            <w:tcMar>
              <w:bottom w:w="0" w:type="dxa"/>
            </w:tcMar>
            <w:vAlign w:val="bottom"/>
          </w:tcPr>
          <w:p>
            <w:pPr>
              <w:pStyle w:val="TableContents"/>
              <w:spacing w:before="0" w:after="283"/>
              <w:jc w:val="left"/>
              <w:rPr/>
            </w:pPr>
            <w:r>
              <w:rPr/>
              <w:t> </w:t>
            </w:r>
          </w:p>
        </w:tc>
        <w:tc>
          <w:tcPr>
            <w:tcW w:w="203"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3206" w:name="TAB11517"/>
            <w:bookmarkEnd w:id="3206"/>
            <w:r>
              <w:rPr>
                <w:rFonts w:ascii="Times New Roman" w:hAnsi="Times New Roman"/>
                <w:sz w:val="20"/>
              </w:rPr>
              <w:t>$</w:t>
            </w:r>
          </w:p>
        </w:tc>
        <w:tc>
          <w:tcPr>
            <w:tcW w:w="1277"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3207" w:name="TAB11518"/>
            <w:bookmarkEnd w:id="3207"/>
            <w:r>
              <w:rPr>
                <w:rFonts w:ascii="Times New Roman" w:hAnsi="Times New Roman"/>
                <w:sz w:val="20"/>
              </w:rPr>
              <w:t>--</w:t>
            </w:r>
          </w:p>
        </w:tc>
        <w:tc>
          <w:tcPr>
            <w:tcW w:w="176" w:type="dxa"/>
            <w:tcBorders/>
            <w:shd w:fill="FFFFFF" w:val="clear"/>
            <w:tcMar>
              <w:bottom w:w="0" w:type="dxa"/>
            </w:tcMar>
            <w:vAlign w:val="bottom"/>
          </w:tcPr>
          <w:p>
            <w:pPr>
              <w:pStyle w:val="TableContents"/>
              <w:spacing w:before="0" w:after="283"/>
              <w:jc w:val="left"/>
              <w:rPr/>
            </w:pPr>
            <w:r>
              <w:rPr/>
              <w:t> </w:t>
            </w:r>
          </w:p>
        </w:tc>
        <w:tc>
          <w:tcPr>
            <w:tcW w:w="151"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3208" w:name="TAB11519"/>
            <w:bookmarkEnd w:id="3208"/>
            <w:r>
              <w:rPr>
                <w:rFonts w:ascii="Times New Roman" w:hAnsi="Times New Roman"/>
                <w:sz w:val="20"/>
              </w:rPr>
              <w:t>$</w:t>
            </w:r>
          </w:p>
        </w:tc>
        <w:tc>
          <w:tcPr>
            <w:tcW w:w="1143"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3209" w:name="TAB11520"/>
            <w:bookmarkEnd w:id="3209"/>
            <w:r>
              <w:rPr>
                <w:rFonts w:ascii="Times New Roman" w:hAnsi="Times New Roman"/>
                <w:sz w:val="20"/>
              </w:rPr>
              <w:t>2,621</w:t>
            </w:r>
          </w:p>
        </w:tc>
        <w:tc>
          <w:tcPr>
            <w:tcW w:w="122" w:type="dxa"/>
            <w:tcBorders/>
            <w:shd w:fill="FFFFFF" w:val="clear"/>
            <w:tcMar>
              <w:bottom w:w="0" w:type="dxa"/>
            </w:tcMar>
            <w:vAlign w:val="bottom"/>
          </w:tcPr>
          <w:p>
            <w:pPr>
              <w:pStyle w:val="TableContents"/>
              <w:spacing w:before="0" w:after="283"/>
              <w:jc w:val="left"/>
              <w:rPr/>
            </w:pPr>
            <w:r>
              <w:rPr/>
              <w:t> </w:t>
            </w:r>
          </w:p>
        </w:tc>
      </w:tr>
      <w:tr>
        <w:trPr/>
        <w:tc>
          <w:tcPr>
            <w:tcW w:w="3666" w:type="dxa"/>
            <w:tcBorders>
              <w:bottom w:val="single" w:sz="2" w:space="0" w:color="000000"/>
            </w:tcBorders>
            <w:shd w:fill="CCEEFF" w:val="clear"/>
            <w:vAlign w:val="bottom"/>
          </w:tcPr>
          <w:p>
            <w:pPr>
              <w:pStyle w:val="TableContents"/>
              <w:spacing w:before="0" w:after="283"/>
              <w:jc w:val="left"/>
              <w:rPr/>
            </w:pPr>
            <w:r>
              <w:rPr/>
              <w:t> </w:t>
            </w:r>
          </w:p>
        </w:tc>
        <w:tc>
          <w:tcPr>
            <w:tcW w:w="176" w:type="dxa"/>
            <w:tcBorders>
              <w:bottom w:val="single" w:sz="2" w:space="0" w:color="CCEEFF"/>
            </w:tcBorders>
            <w:shd w:fill="CCEEFF" w:val="clear"/>
            <w:vAlign w:val="center"/>
          </w:tcPr>
          <w:p>
            <w:pPr>
              <w:pStyle w:val="TableContents"/>
              <w:spacing w:before="0" w:after="283"/>
              <w:rPr/>
            </w:pPr>
            <w:r>
              <w:rPr/>
              <w:t> </w:t>
            </w:r>
          </w:p>
        </w:tc>
        <w:tc>
          <w:tcPr>
            <w:tcW w:w="201" w:type="dxa"/>
            <w:tcBorders>
              <w:bottom w:val="single" w:sz="2" w:space="0" w:color="000000"/>
            </w:tcBorders>
            <w:shd w:fill="CCEEFF" w:val="clear"/>
            <w:vAlign w:val="bottom"/>
          </w:tcPr>
          <w:p>
            <w:pPr>
              <w:pStyle w:val="TableContents"/>
              <w:spacing w:before="0" w:after="283"/>
              <w:jc w:val="left"/>
              <w:rPr/>
            </w:pPr>
            <w:r>
              <w:rPr/>
              <w:t> </w:t>
            </w:r>
          </w:p>
        </w:tc>
        <w:tc>
          <w:tcPr>
            <w:tcW w:w="1269" w:type="dxa"/>
            <w:tcBorders>
              <w:bottom w:val="single" w:sz="2" w:space="0" w:color="000000"/>
            </w:tcBorders>
            <w:shd w:fill="CCEEFF" w:val="clear"/>
            <w:vAlign w:val="bottom"/>
          </w:tcPr>
          <w:p>
            <w:pPr>
              <w:pStyle w:val="TableContents"/>
              <w:spacing w:before="0" w:after="283"/>
              <w:jc w:val="right"/>
              <w:rPr/>
            </w:pPr>
            <w:r>
              <w:rPr/>
              <w:t> </w:t>
            </w:r>
          </w:p>
        </w:tc>
        <w:tc>
          <w:tcPr>
            <w:tcW w:w="176" w:type="dxa"/>
            <w:tcBorders>
              <w:bottom w:val="single" w:sz="2" w:space="0" w:color="CCEEFF"/>
            </w:tcBorders>
            <w:shd w:fill="CCEEFF" w:val="clear"/>
            <w:vAlign w:val="bottom"/>
          </w:tcPr>
          <w:p>
            <w:pPr>
              <w:pStyle w:val="TableContents"/>
              <w:spacing w:before="0" w:after="283"/>
              <w:jc w:val="left"/>
              <w:rPr/>
            </w:pPr>
            <w:r>
              <w:rPr/>
              <w:t> </w:t>
            </w:r>
          </w:p>
        </w:tc>
        <w:tc>
          <w:tcPr>
            <w:tcW w:w="181" w:type="dxa"/>
            <w:tcBorders>
              <w:bottom w:val="single" w:sz="2" w:space="0" w:color="000000"/>
            </w:tcBorders>
            <w:shd w:fill="CCEEFF" w:val="clear"/>
            <w:vAlign w:val="bottom"/>
          </w:tcPr>
          <w:p>
            <w:pPr>
              <w:pStyle w:val="TableContents"/>
              <w:spacing w:before="0" w:after="283"/>
              <w:jc w:val="left"/>
              <w:rPr/>
            </w:pPr>
            <w:r>
              <w:rPr/>
              <w:t> </w:t>
            </w:r>
          </w:p>
        </w:tc>
        <w:tc>
          <w:tcPr>
            <w:tcW w:w="1288" w:type="dxa"/>
            <w:tcBorders>
              <w:bottom w:val="single" w:sz="2" w:space="0" w:color="000000"/>
            </w:tcBorders>
            <w:shd w:fill="CCEEFF" w:val="clear"/>
            <w:vAlign w:val="bottom"/>
          </w:tcPr>
          <w:p>
            <w:pPr>
              <w:pStyle w:val="TableContents"/>
              <w:spacing w:before="0" w:after="283"/>
              <w:jc w:val="right"/>
              <w:rPr/>
            </w:pPr>
            <w:r>
              <w:rPr/>
              <w:t> </w:t>
            </w:r>
          </w:p>
        </w:tc>
        <w:tc>
          <w:tcPr>
            <w:tcW w:w="176" w:type="dxa"/>
            <w:tcBorders>
              <w:bottom w:val="single" w:sz="2" w:space="0" w:color="CCEEFF"/>
            </w:tcBorders>
            <w:shd w:fill="CCEEFF" w:val="clear"/>
            <w:vAlign w:val="bottom"/>
          </w:tcPr>
          <w:p>
            <w:pPr>
              <w:pStyle w:val="TableContents"/>
              <w:spacing w:before="0" w:after="283"/>
              <w:jc w:val="left"/>
              <w:rPr/>
            </w:pPr>
            <w:r>
              <w:rPr/>
              <w:t> </w:t>
            </w:r>
          </w:p>
        </w:tc>
        <w:tc>
          <w:tcPr>
            <w:tcW w:w="203" w:type="dxa"/>
            <w:tcBorders>
              <w:bottom w:val="single" w:sz="2" w:space="0" w:color="000000"/>
            </w:tcBorders>
            <w:shd w:fill="CCEEFF" w:val="clear"/>
            <w:vAlign w:val="bottom"/>
          </w:tcPr>
          <w:p>
            <w:pPr>
              <w:pStyle w:val="TableContents"/>
              <w:spacing w:before="0" w:after="283"/>
              <w:jc w:val="left"/>
              <w:rPr/>
            </w:pPr>
            <w:r>
              <w:rPr/>
              <w:t> </w:t>
            </w:r>
          </w:p>
        </w:tc>
        <w:tc>
          <w:tcPr>
            <w:tcW w:w="1277" w:type="dxa"/>
            <w:tcBorders>
              <w:bottom w:val="single" w:sz="2" w:space="0" w:color="000000"/>
            </w:tcBorders>
            <w:shd w:fill="CCEEFF" w:val="clear"/>
            <w:vAlign w:val="bottom"/>
          </w:tcPr>
          <w:p>
            <w:pPr>
              <w:pStyle w:val="TableContents"/>
              <w:spacing w:before="0" w:after="283"/>
              <w:jc w:val="right"/>
              <w:rPr/>
            </w:pPr>
            <w:r>
              <w:rPr/>
              <w:t> </w:t>
            </w:r>
          </w:p>
        </w:tc>
        <w:tc>
          <w:tcPr>
            <w:tcW w:w="176" w:type="dxa"/>
            <w:tcBorders>
              <w:bottom w:val="single" w:sz="2" w:space="0" w:color="CCEEFF"/>
            </w:tcBorders>
            <w:shd w:fill="CCEEFF" w:val="clear"/>
            <w:vAlign w:val="bottom"/>
          </w:tcPr>
          <w:p>
            <w:pPr>
              <w:pStyle w:val="TableContents"/>
              <w:spacing w:before="0" w:after="283"/>
              <w:jc w:val="left"/>
              <w:rPr/>
            </w:pPr>
            <w:r>
              <w:rPr/>
              <w:t> </w:t>
            </w:r>
          </w:p>
        </w:tc>
        <w:tc>
          <w:tcPr>
            <w:tcW w:w="151" w:type="dxa"/>
            <w:tcBorders>
              <w:bottom w:val="single" w:sz="2" w:space="0" w:color="000000"/>
            </w:tcBorders>
            <w:shd w:fill="CCEEFF" w:val="clear"/>
            <w:vAlign w:val="bottom"/>
          </w:tcPr>
          <w:p>
            <w:pPr>
              <w:pStyle w:val="TableContents"/>
              <w:spacing w:before="0" w:after="283"/>
              <w:jc w:val="left"/>
              <w:rPr/>
            </w:pPr>
            <w:r>
              <w:rPr/>
              <w:t> </w:t>
            </w:r>
          </w:p>
        </w:tc>
        <w:tc>
          <w:tcPr>
            <w:tcW w:w="1143" w:type="dxa"/>
            <w:tcBorders>
              <w:bottom w:val="single" w:sz="2" w:space="0" w:color="000000"/>
            </w:tcBorders>
            <w:shd w:fill="CCEEFF" w:val="clear"/>
            <w:vAlign w:val="bottom"/>
          </w:tcPr>
          <w:p>
            <w:pPr>
              <w:pStyle w:val="TableContents"/>
              <w:spacing w:before="0" w:after="283"/>
              <w:jc w:val="right"/>
              <w:rPr/>
            </w:pPr>
            <w:r>
              <w:rPr/>
              <w:t> </w:t>
            </w:r>
          </w:p>
        </w:tc>
        <w:tc>
          <w:tcPr>
            <w:tcW w:w="122" w:type="dxa"/>
            <w:tcBorders>
              <w:bottom w:val="single" w:sz="2" w:space="0" w:color="CCEEFF"/>
            </w:tcBorders>
            <w:shd w:fill="CCEEFF" w:val="clear"/>
            <w:vAlign w:val="bottom"/>
          </w:tcPr>
          <w:p>
            <w:pPr>
              <w:pStyle w:val="TableContents"/>
              <w:spacing w:before="0" w:after="283"/>
              <w:jc w:val="left"/>
              <w:rPr/>
            </w:pPr>
            <w:r>
              <w:rPr/>
              <w:t> </w:t>
            </w:r>
          </w:p>
        </w:tc>
      </w:tr>
      <w:tr>
        <w:trPr/>
        <w:tc>
          <w:tcPr>
            <w:tcW w:w="3666" w:type="dxa"/>
            <w:tcBorders>
              <w:bottom w:val="double" w:sz="2" w:space="0" w:color="000000"/>
            </w:tcBorders>
            <w:shd w:fill="FFFFFF" w:val="clear"/>
            <w:vAlign w:val="bottom"/>
          </w:tcPr>
          <w:p>
            <w:pPr>
              <w:pStyle w:val="TableContents"/>
              <w:spacing w:lineRule="auto" w:line="300" w:before="0" w:after="0"/>
              <w:ind w:left="0" w:right="0" w:hanging="0"/>
              <w:jc w:val="left"/>
              <w:rPr/>
            </w:pPr>
            <w:r>
              <w:rPr>
                <w:rStyle w:val="StrongEmphasis"/>
                <w:rFonts w:ascii="Times New Roman" w:hAnsi="Times New Roman"/>
                <w:sz w:val="20"/>
              </w:rPr>
              <w:t>Total Net Assets</w:t>
            </w:r>
          </w:p>
        </w:tc>
        <w:tc>
          <w:tcPr>
            <w:tcW w:w="176" w:type="dxa"/>
            <w:tcBorders>
              <w:bottom w:val="single" w:sz="4" w:space="0" w:color="FFFFFF"/>
            </w:tcBorders>
            <w:shd w:fill="FFFFFF" w:val="clear"/>
            <w:vAlign w:val="center"/>
          </w:tcPr>
          <w:p>
            <w:pPr>
              <w:pStyle w:val="TableContents"/>
              <w:spacing w:before="0" w:after="283"/>
              <w:rPr/>
            </w:pPr>
            <w:r>
              <w:rPr/>
              <w:t> </w:t>
            </w:r>
          </w:p>
        </w:tc>
        <w:tc>
          <w:tcPr>
            <w:tcW w:w="201" w:type="dxa"/>
            <w:tcBorders>
              <w:bottom w:val="doub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bookmarkStart w:id="3210" w:name="TAB11521"/>
            <w:bookmarkEnd w:id="3210"/>
            <w:r>
              <w:rPr>
                <w:rFonts w:ascii="Times New Roman" w:hAnsi="Times New Roman"/>
                <w:sz w:val="20"/>
              </w:rPr>
              <w:t>$</w:t>
            </w:r>
          </w:p>
        </w:tc>
        <w:tc>
          <w:tcPr>
            <w:tcW w:w="1269"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3211" w:name="TAB11522"/>
            <w:bookmarkEnd w:id="3211"/>
            <w:r>
              <w:rPr>
                <w:rFonts w:ascii="Times New Roman" w:hAnsi="Times New Roman"/>
                <w:sz w:val="20"/>
              </w:rPr>
              <w:t>5,192</w:t>
            </w:r>
          </w:p>
        </w:tc>
        <w:tc>
          <w:tcPr>
            <w:tcW w:w="176" w:type="dxa"/>
            <w:tcBorders>
              <w:bottom w:val="single" w:sz="4" w:space="0" w:color="FFFFFF"/>
            </w:tcBorders>
            <w:shd w:fill="FFFFFF" w:val="clear"/>
            <w:vAlign w:val="bottom"/>
          </w:tcPr>
          <w:p>
            <w:pPr>
              <w:pStyle w:val="TableContents"/>
              <w:spacing w:before="0" w:after="283"/>
              <w:jc w:val="left"/>
              <w:rPr/>
            </w:pPr>
            <w:r>
              <w:rPr/>
              <w:t> </w:t>
            </w:r>
          </w:p>
        </w:tc>
        <w:tc>
          <w:tcPr>
            <w:tcW w:w="181" w:type="dxa"/>
            <w:tcBorders>
              <w:bottom w:val="doub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bookmarkStart w:id="3212" w:name="TAB11523"/>
            <w:bookmarkEnd w:id="3212"/>
            <w:r>
              <w:rPr>
                <w:rFonts w:ascii="Times New Roman" w:hAnsi="Times New Roman"/>
                <w:sz w:val="20"/>
              </w:rPr>
              <w:t>$</w:t>
            </w:r>
          </w:p>
        </w:tc>
        <w:tc>
          <w:tcPr>
            <w:tcW w:w="1288"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3213" w:name="TAB11524"/>
            <w:bookmarkEnd w:id="3213"/>
            <w:r>
              <w:rPr>
                <w:rFonts w:ascii="Times New Roman" w:hAnsi="Times New Roman"/>
                <w:sz w:val="20"/>
              </w:rPr>
              <w:t>14,627</w:t>
            </w:r>
          </w:p>
        </w:tc>
        <w:tc>
          <w:tcPr>
            <w:tcW w:w="176" w:type="dxa"/>
            <w:tcBorders>
              <w:bottom w:val="single" w:sz="4" w:space="0" w:color="FFFFFF"/>
            </w:tcBorders>
            <w:shd w:fill="FFFFFF" w:val="clear"/>
            <w:vAlign w:val="bottom"/>
          </w:tcPr>
          <w:p>
            <w:pPr>
              <w:pStyle w:val="TableContents"/>
              <w:spacing w:before="0" w:after="283"/>
              <w:jc w:val="left"/>
              <w:rPr/>
            </w:pPr>
            <w:r>
              <w:rPr/>
              <w:t> </w:t>
            </w:r>
          </w:p>
        </w:tc>
        <w:tc>
          <w:tcPr>
            <w:tcW w:w="203" w:type="dxa"/>
            <w:tcBorders>
              <w:bottom w:val="doub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bookmarkStart w:id="3214" w:name="TAB11525"/>
            <w:bookmarkEnd w:id="3214"/>
            <w:r>
              <w:rPr>
                <w:rFonts w:ascii="Times New Roman" w:hAnsi="Times New Roman"/>
                <w:sz w:val="20"/>
              </w:rPr>
              <w:t>$</w:t>
            </w:r>
          </w:p>
        </w:tc>
        <w:tc>
          <w:tcPr>
            <w:tcW w:w="1277"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3215" w:name="TAB11526"/>
            <w:bookmarkEnd w:id="3215"/>
            <w:r>
              <w:rPr>
                <w:rFonts w:ascii="Times New Roman" w:hAnsi="Times New Roman"/>
                <w:sz w:val="20"/>
              </w:rPr>
              <w:t>1,042</w:t>
            </w:r>
          </w:p>
        </w:tc>
        <w:tc>
          <w:tcPr>
            <w:tcW w:w="176" w:type="dxa"/>
            <w:tcBorders>
              <w:bottom w:val="single" w:sz="4" w:space="0" w:color="FFFFFF"/>
            </w:tcBorders>
            <w:shd w:fill="FFFFFF" w:val="clear"/>
            <w:vAlign w:val="bottom"/>
          </w:tcPr>
          <w:p>
            <w:pPr>
              <w:pStyle w:val="TableContents"/>
              <w:spacing w:before="0" w:after="283"/>
              <w:jc w:val="left"/>
              <w:rPr/>
            </w:pPr>
            <w:r>
              <w:rPr/>
              <w:t> </w:t>
            </w:r>
          </w:p>
        </w:tc>
        <w:tc>
          <w:tcPr>
            <w:tcW w:w="151" w:type="dxa"/>
            <w:tcBorders>
              <w:bottom w:val="doub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bookmarkStart w:id="3216" w:name="TAB11527"/>
            <w:bookmarkEnd w:id="3216"/>
            <w:r>
              <w:rPr>
                <w:rFonts w:ascii="Times New Roman" w:hAnsi="Times New Roman"/>
                <w:sz w:val="20"/>
              </w:rPr>
              <w:t>$</w:t>
            </w:r>
          </w:p>
        </w:tc>
        <w:tc>
          <w:tcPr>
            <w:tcW w:w="1143"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3217" w:name="TAB11528"/>
            <w:bookmarkEnd w:id="3217"/>
            <w:r>
              <w:rPr>
                <w:rFonts w:ascii="Times New Roman" w:hAnsi="Times New Roman"/>
                <w:sz w:val="20"/>
              </w:rPr>
              <w:t>20,861</w:t>
            </w:r>
          </w:p>
        </w:tc>
        <w:tc>
          <w:tcPr>
            <w:tcW w:w="122" w:type="dxa"/>
            <w:tcBorders>
              <w:bottom w:val="single" w:sz="4" w:space="0" w:color="FFFFFF"/>
            </w:tcBorders>
            <w:shd w:fill="FFFFFF" w:val="clear"/>
            <w:vAlign w:val="bottom"/>
          </w:tcPr>
          <w:p>
            <w:pPr>
              <w:pStyle w:val="TableContents"/>
              <w:spacing w:before="0" w:after="283"/>
              <w:jc w:val="left"/>
              <w:rPr/>
            </w:pPr>
            <w:r>
              <w:rPr/>
              <w:t> </w:t>
            </w:r>
          </w:p>
        </w:tc>
      </w:tr>
    </w:tbl>
    <w:p>
      <w:pPr>
        <w:pStyle w:val="TextBody"/>
        <w:spacing w:lineRule="auto" w:line="300" w:before="0" w:after="0"/>
        <w:ind w:left="0" w:right="0" w:hanging="0"/>
        <w:jc w:val="both"/>
        <w:rPr/>
      </w:pPr>
      <w:r>
        <w:rPr/>
      </w:r>
    </w:p>
    <w:p>
      <w:pPr>
        <w:pStyle w:val="TextBody"/>
        <w:spacing w:lineRule="auto" w:line="300" w:before="0" w:after="0"/>
        <w:ind w:left="0" w:right="0" w:hanging="0"/>
        <w:jc w:val="both"/>
        <w:rPr/>
      </w:pPr>
      <w:r>
        <w:rPr>
          <w:rStyle w:val="Emphasis"/>
          <w:rFonts w:ascii="Times New Roman" w:hAnsi="Times New Roman"/>
          <w:sz w:val="20"/>
          <w:u w:val="single"/>
        </w:rPr>
        <w:t>Other Acquisitions</w:t>
      </w:r>
    </w:p>
    <w:p>
      <w:pPr>
        <w:pStyle w:val="TextBody"/>
        <w:spacing w:lineRule="auto" w:line="300" w:before="0" w:after="0"/>
        <w:ind w:left="0" w:right="0" w:hanging="0"/>
        <w:jc w:val="both"/>
        <w:rPr/>
      </w:pPr>
      <w:r>
        <w:rPr/>
        <w:t> </w:t>
      </w:r>
    </w:p>
    <w:p>
      <w:pPr>
        <w:pStyle w:val="TextBody"/>
        <w:spacing w:lineRule="auto" w:line="300" w:before="0" w:after="0"/>
        <w:ind w:left="0" w:right="0" w:hanging="0"/>
        <w:jc w:val="both"/>
        <w:rPr/>
      </w:pPr>
      <w:r>
        <w:rPr>
          <w:rStyle w:val="Emphasis"/>
          <w:rFonts w:ascii="Times New Roman" w:hAnsi="Times New Roman"/>
          <w:sz w:val="20"/>
        </w:rPr>
        <w:t>Movieland Circuit</w:t>
      </w:r>
    </w:p>
    <w:p>
      <w:pPr>
        <w:pStyle w:val="TextBody"/>
        <w:spacing w:lineRule="auto" w:line="300" w:before="0" w:after="0"/>
        <w:ind w:left="0" w:right="0" w:hanging="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 xml:space="preserve">In August 2004, we closed a series of agreements which, together, provided for the acquisition of six existing New Zealand cinemas, representing 27 screens, and in the case of three of these locations, the fee interests underlying such cinemas. Two of the locations included ancillary retail and commercial tenants. We also acquired the plans and permits for the development of an additional two screens at each of two of the cinemas, for a potential increase of four additional screens. </w:t>
      </w:r>
    </w:p>
    <w:p>
      <w:pPr>
        <w:pStyle w:val="TextBody"/>
        <w:spacing w:lineRule="auto" w:line="300" w:before="0" w:after="0"/>
        <w:ind w:left="0" w:right="0" w:hanging="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The acquisition costs of these cinemas and fee interests amounting to $14.6 million (NZ$21.8 million) was funded by a combination of $13.3 million (NZ$19.8 million) of working capital, $791,000 (NZ$1.2 million) in shares of our Class A Common Stock (98,949 shares issued at $8.00 per share (NZ$11.94, using a NZ$ to US$ exchange ratio of $0.67)), and a $546,000 (NZ$784,000) purchase money promissory note. The working capital was funded through a combination of cash of $5.4 million (NZ$8.1 million) and a drawdown under of our banking facility in New Zealand of</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218" w:name="PGBRK90"/>
      <w:bookmarkStart w:id="3219" w:name="PGBRK90"/>
      <w:bookmarkEnd w:id="32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220" w:name="FTR90"/>
      <w:bookmarkStart w:id="3221" w:name="FTR90"/>
      <w:bookmarkEnd w:id="322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222" w:name="GLFTR90"/>
      <w:bookmarkStart w:id="3223" w:name="GLFTR90"/>
      <w:bookmarkEnd w:id="32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3224" w:name="PN90"/>
      <w:bookmarkEnd w:id="3224"/>
      <w:r>
        <w:rPr>
          <w:rFonts w:ascii="Times New Roman" w:hAnsi="Times New Roman"/>
          <w:sz w:val="16"/>
        </w:rPr>
        <w:t>-90-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225" w:name="HDR90"/>
      <w:bookmarkStart w:id="3226" w:name="HDR90"/>
      <w:bookmarkEnd w:id="322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3227" w:name="GLHDR90"/>
        <w:bookmarkEnd w:id="3227"/>
        <w:r>
          <w:rPr>
            <w:rStyle w:val="Emphasis"/>
            <w:rFonts w:ascii="Times New Roman" w:hAnsi="Times New Roman"/>
            <w:color w:val="000000"/>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 xml:space="preserve">$8.3 million (NZ$12.3 million). The shares issued includes a non-transferable option to put to us the Class A Common Stock issued to them at a put price of NZ$11.94 at any time during January 2006. On January 27, 2006, this put option was exercised by the sellers resulting in the extinguishment of this obligation for a net settlement value of $24,000. The $546,000 (NZ$784,000) purchase money promissory note has an interest rate of 5.50%. Pursuant to the terms of the note, the principal and interest of this note was paid in full in February 2006. </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pPr>
      <w:r>
        <w:rPr>
          <w:rStyle w:val="Emphasis"/>
          <w:rFonts w:ascii="Times New Roman" w:hAnsi="Times New Roman"/>
          <w:sz w:val="20"/>
        </w:rPr>
        <w:t>Anderson Circuit</w:t>
      </w:r>
    </w:p>
    <w:p>
      <w:pPr>
        <w:pStyle w:val="TextBody"/>
        <w:spacing w:lineRule="auto" w:line="300" w:before="0" w:after="0"/>
        <w:ind w:left="0" w:right="0" w:hanging="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On July 1, 2004, we acquired most of the assets of the Australia based “Anderson Circuit” for $6.9 million (AUS$9.7 million) giving us four existing cinemas with 22 screens and agreements to lease with respect to two additional cinemas (with an additional 15 screens) in two facilities then under construction.</w:t>
      </w:r>
    </w:p>
    <w:p>
      <w:pPr>
        <w:pStyle w:val="TextBody"/>
        <w:spacing w:before="0" w:after="0"/>
        <w:rPr/>
      </w:pPr>
      <w:r>
        <w:rPr/>
        <w:t> </w:t>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 xml:space="preserve">The total acquisition costs of these cinemas, of $5.7 million (AUS$8.0 million), excluding the cost of the fit-out of the two development cinemas, were met from our own funds in conjunction with a $3.4 million (AUS$4.7 million) drawdown on our $39.3 million (AUS$55.0 million) bank facility. As part of this acquisition, several landlords required bank guarantees, which increased our restricted cash by $296,000 (AUS$417,000) and reduced our total credit facility by $1.9 million (AUS$2.7 million). The total fit-out cost for the two development cinemas aggregated $3.8 million (AUS$5.0 million) and was paid from our own funds. </w:t>
      </w:r>
    </w:p>
    <w:p>
      <w:pPr>
        <w:pStyle w:val="TextBody"/>
        <w:spacing w:lineRule="auto" w:line="300" w:before="0" w:after="0"/>
        <w:ind w:left="720" w:right="0" w:hanging="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 xml:space="preserve">The acquisitions were structured as the acquisition of (i) the shares of one company, which owns as its sole asset the 10-screen leasehold cinema at Epping (a suburb of Melbourne), (ii) agreements to lease with respect to two leasehold cinemas opened in the fourth quarter at Rhodes (8 screens) (a suburb of Sydney) and West Lakes (7 screens) (a suburb of Adelaide), and (iii) three existing leasehold cinemas at Colac (2 screens), Melton (5 screens) and Sunbury (5 screens) (all suburbs of Melbourne).  </w:t>
      </w:r>
    </w:p>
    <w:p>
      <w:pPr>
        <w:pStyle w:val="TextBody"/>
        <w:spacing w:lineRule="auto" w:line="300" w:before="0" w:after="0"/>
        <w:ind w:left="0" w:right="0" w:firstLine="72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In February 2005, we sold our Colac two-screen cinema located on the outskirts of Melbourne, for approximately $193,000 (AUS$250,000). As indicated above, we purchased the cinema in July 2004 as part of the Anderson Circuit acquisition, but the location was never part of our on-going operational strategy.</w:t>
      </w:r>
    </w:p>
    <w:p>
      <w:pPr>
        <w:pStyle w:val="TextBody"/>
        <w:spacing w:lineRule="auto" w:line="300" w:before="0" w:after="0"/>
        <w:ind w:left="0" w:right="0" w:firstLine="720"/>
        <w:jc w:val="both"/>
        <w:rPr/>
      </w:pPr>
      <w:r>
        <w:rPr/>
      </w:r>
    </w:p>
    <w:p>
      <w:pPr>
        <w:pStyle w:val="TextBody"/>
        <w:spacing w:lineRule="auto" w:line="300" w:before="0" w:after="0"/>
        <w:ind w:left="0" w:right="0" w:hanging="0"/>
        <w:jc w:val="both"/>
        <w:rPr/>
      </w:pPr>
      <w:r>
        <w:rPr>
          <w:rStyle w:val="Emphasis"/>
          <w:rFonts w:ascii="Times New Roman" w:hAnsi="Times New Roman"/>
          <w:sz w:val="20"/>
        </w:rPr>
        <w:t>Newmarket - Dulux Property</w:t>
      </w:r>
    </w:p>
    <w:p>
      <w:pPr>
        <w:pStyle w:val="TextBody"/>
        <w:spacing w:lineRule="auto" w:line="300" w:before="0" w:after="0"/>
        <w:ind w:left="0" w:right="0" w:hanging="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On July 1, 2004, we acquired an approximately 13,390 square foot parcel adjacent to our larger Newmarket site for $1.0 million (AUS$1.4 million). We anticipate that the addition of this property will allow the addition of a complementary cinema element to the project. Plans for a 6-screen cinema as a part of the project are currently being considered by the applicable governmental authorities.</w:t>
      </w:r>
    </w:p>
    <w:p>
      <w:pPr>
        <w:pStyle w:val="TextBody"/>
        <w:spacing w:lineRule="auto" w:line="300" w:before="0" w:after="0"/>
        <w:ind w:left="0" w:right="0" w:firstLine="720"/>
        <w:jc w:val="both"/>
        <w:rPr/>
      </w:pPr>
      <w:r>
        <w:rPr/>
      </w:r>
    </w:p>
    <w:p>
      <w:pPr>
        <w:pStyle w:val="TextBody"/>
        <w:spacing w:lineRule="auto" w:line="300" w:before="0" w:after="0"/>
        <w:ind w:left="0" w:right="144" w:hanging="0"/>
        <w:jc w:val="both"/>
        <w:rPr/>
      </w:pPr>
      <w:r>
        <w:rPr/>
      </w:r>
    </w:p>
    <w:p>
      <w:pPr>
        <w:pStyle w:val="TextBody"/>
        <w:spacing w:lineRule="auto" w:line="300" w:before="0" w:after="0"/>
        <w:ind w:left="0" w:right="144" w:hanging="0"/>
        <w:jc w:val="both"/>
        <w:rPr/>
      </w:pPr>
      <w:r>
        <w:rPr>
          <w:rStyle w:val="StrongEmphasis"/>
          <w:rFonts w:ascii="Times New Roman" w:hAnsi="Times New Roman"/>
          <w:sz w:val="20"/>
          <w:u w:val="single"/>
        </w:rPr>
        <w:t>Note 9 - Discontinued Operations and Disposals</w:t>
      </w:r>
    </w:p>
    <w:p>
      <w:pPr>
        <w:pStyle w:val="TextBody"/>
        <w:spacing w:lineRule="auto" w:line="300" w:before="0" w:after="0"/>
        <w:ind w:left="0" w:right="144" w:hanging="0"/>
        <w:jc w:val="both"/>
        <w:rPr/>
      </w:pPr>
      <w:r>
        <w:rPr/>
      </w:r>
    </w:p>
    <w:p>
      <w:pPr>
        <w:pStyle w:val="TextBody"/>
        <w:spacing w:lineRule="auto" w:line="300" w:before="0" w:after="0"/>
        <w:ind w:left="720" w:right="144" w:hanging="0"/>
        <w:jc w:val="both"/>
        <w:rPr>
          <w:rFonts w:ascii="Times New Roman" w:hAnsi="Times New Roman"/>
          <w:sz w:val="20"/>
        </w:rPr>
      </w:pPr>
      <w:bookmarkStart w:id="3228" w:name="TAB11529"/>
      <w:bookmarkEnd w:id="3228"/>
      <w:r>
        <w:rPr>
          <w:rFonts w:ascii="Times New Roman" w:hAnsi="Times New Roman"/>
          <w:sz w:val="20"/>
        </w:rPr>
        <w:t>In accordance with SFAS 144, we report as discontinued operations real estate assets that meet the definition of a component of an entity and have been sold or meet the criteria to be classified as held for sale under SFAS 144. We included all results of these discontinued operations, less applicable income taxes, in a separate component of operations on the consolidated statements of operations under the heading “discontinued operations.” This treatment resulted in reclassifications of our 2004 financial statement amounts to conform to the 2006 and 2005 presentation.</w:t>
      </w:r>
    </w:p>
    <w:p>
      <w:pPr>
        <w:pStyle w:val="TextBody"/>
        <w:spacing w:lineRule="auto" w:line="300" w:before="0" w:after="0"/>
        <w:ind w:left="0" w:right="144" w:hanging="0"/>
        <w:jc w:val="both"/>
        <w:rPr/>
      </w:pPr>
      <w:r>
        <w:rPr/>
      </w:r>
    </w:p>
    <w:p>
      <w:pPr>
        <w:pStyle w:val="TextBody"/>
        <w:spacing w:lineRule="auto" w:line="300" w:before="0" w:after="0"/>
        <w:ind w:left="0" w:right="144" w:hanging="0"/>
        <w:jc w:val="both"/>
        <w:rPr>
          <w:rFonts w:ascii="Times New Roman" w:hAnsi="Times New Roman"/>
          <w:sz w:val="20"/>
          <w:u w:val="single"/>
        </w:rPr>
      </w:pPr>
      <w:r>
        <w:rPr>
          <w:rFonts w:ascii="Times New Roman" w:hAnsi="Times New Roman"/>
          <w:sz w:val="20"/>
          <w:u w:val="single"/>
        </w:rPr>
        <w:t>2006 Transactions</w:t>
      </w:r>
    </w:p>
    <w:p>
      <w:pPr>
        <w:pStyle w:val="TextBody"/>
        <w:spacing w:lineRule="auto" w:line="300" w:before="0" w:after="0"/>
        <w:ind w:left="0" w:right="144" w:hanging="0"/>
        <w:jc w:val="both"/>
        <w:rPr/>
      </w:pPr>
      <w:r>
        <w:rPr/>
      </w:r>
    </w:p>
    <w:p>
      <w:pPr>
        <w:pStyle w:val="TextBody"/>
        <w:spacing w:lineRule="auto" w:line="300" w:before="0" w:after="0"/>
        <w:ind w:left="0" w:right="0" w:firstLine="720"/>
        <w:jc w:val="both"/>
        <w:rPr/>
      </w:pPr>
      <w:r>
        <w:rPr>
          <w:rStyle w:val="Emphasis"/>
          <w:rFonts w:ascii="Times New Roman" w:hAnsi="Times New Roman"/>
          <w:sz w:val="20"/>
        </w:rPr>
        <w:t>Berkeley Cinema Group</w:t>
      </w:r>
      <w:r>
        <w:rPr>
          <w:rFonts w:ascii="Times New Roman" w:hAnsi="Times New Roman"/>
          <w:sz w:val="20"/>
        </w:rPr>
        <w:t>. On August 28, 2006, we sold to our joint venture partner our interest in the cinemas at Whangaparaoa, Takapuna and Mission Bay, New Zealand for $4.6 million (NZ$7.2 million) in cash and the assumption of $1.6 million (NZ$2.5 million) in debt. The sale resulted in a gain on sale of unconsolidated joint venture for the year ended December 31, 2006 of $3.4 million (NZ$5.4 million).</w:t>
      </w:r>
    </w:p>
    <w:p>
      <w:pPr>
        <w:pStyle w:val="TextBody"/>
        <w:spacing w:lineRule="auto" w:line="300" w:before="0" w:after="0"/>
        <w:ind w:left="0" w:right="144"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229" w:name="PGBRK91"/>
      <w:bookmarkStart w:id="3230" w:name="PGBRK91"/>
      <w:bookmarkEnd w:id="323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231" w:name="FTR91"/>
      <w:bookmarkStart w:id="3232" w:name="FTR91"/>
      <w:bookmarkEnd w:id="32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233" w:name="GLFTR91"/>
      <w:bookmarkStart w:id="3234" w:name="GLFTR91"/>
      <w:bookmarkEnd w:id="323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3235" w:name="PN91"/>
      <w:bookmarkEnd w:id="3235"/>
      <w:r>
        <w:rPr>
          <w:rFonts w:ascii="Times New Roman" w:hAnsi="Times New Roman"/>
          <w:sz w:val="16"/>
        </w:rPr>
        <w:t>-91-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236" w:name="HDR91"/>
      <w:bookmarkStart w:id="3237" w:name="HDR91"/>
      <w:bookmarkEnd w:id="323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3238" w:name="GLHDR91"/>
        <w:bookmarkEnd w:id="3238"/>
        <w:r>
          <w:rPr>
            <w:rStyle w:val="Emphasis"/>
            <w:rFonts w:ascii="Times New Roman" w:hAnsi="Times New Roman"/>
            <w:color w:val="000000"/>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300" w:before="0" w:after="0"/>
        <w:ind w:left="0" w:right="144" w:hanging="0"/>
        <w:jc w:val="both"/>
        <w:rPr>
          <w:rFonts w:ascii="Times New Roman" w:hAnsi="Times New Roman"/>
          <w:sz w:val="20"/>
          <w:u w:val="single"/>
        </w:rPr>
      </w:pPr>
      <w:r>
        <w:rPr>
          <w:rFonts w:ascii="Times New Roman" w:hAnsi="Times New Roman"/>
          <w:sz w:val="20"/>
          <w:u w:val="single"/>
        </w:rPr>
        <w:t>2005 Transactions</w:t>
      </w:r>
    </w:p>
    <w:p>
      <w:pPr>
        <w:pStyle w:val="TextBody"/>
        <w:spacing w:lineRule="auto" w:line="300" w:before="0" w:after="0"/>
        <w:ind w:left="0" w:right="144" w:hanging="0"/>
        <w:jc w:val="both"/>
        <w:rPr/>
      </w:pPr>
      <w:r>
        <w:rPr/>
      </w:r>
    </w:p>
    <w:p>
      <w:pPr>
        <w:pStyle w:val="TextBody"/>
        <w:spacing w:lineRule="auto" w:line="300" w:before="0" w:after="0"/>
        <w:ind w:left="0" w:right="0" w:hanging="0"/>
        <w:jc w:val="both"/>
        <w:rPr/>
      </w:pPr>
      <w:r>
        <w:rPr>
          <w:rStyle w:val="Emphasis"/>
          <w:rFonts w:ascii="Times New Roman" w:hAnsi="Times New Roman"/>
          <w:sz w:val="20"/>
          <w:u w:val="single"/>
        </w:rPr>
        <w:t>Railroad Properties</w:t>
      </w:r>
    </w:p>
    <w:p>
      <w:pPr>
        <w:pStyle w:val="TextBody"/>
        <w:spacing w:lineRule="auto" w:line="300" w:before="0" w:after="0"/>
        <w:ind w:left="0" w:right="0" w:firstLine="72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On September 26, 2005, we sold certain surplus properties used in connection with our historic railroad activities for cash totaling $515,000 resulting in a nominal loss on sale.</w:t>
      </w:r>
    </w:p>
    <w:p>
      <w:pPr>
        <w:pStyle w:val="TextBody"/>
        <w:spacing w:lineRule="auto" w:line="300" w:before="0" w:after="0"/>
        <w:ind w:left="0" w:right="0" w:firstLine="720"/>
        <w:jc w:val="both"/>
        <w:rPr/>
      </w:pPr>
      <w:r>
        <w:rPr/>
      </w:r>
    </w:p>
    <w:p>
      <w:pPr>
        <w:pStyle w:val="TextBody"/>
        <w:spacing w:lineRule="auto" w:line="300" w:before="0" w:after="0"/>
        <w:ind w:left="0" w:right="0" w:hanging="0"/>
        <w:jc w:val="both"/>
        <w:rPr/>
      </w:pPr>
      <w:r>
        <w:rPr>
          <w:rStyle w:val="Emphasis"/>
          <w:rFonts w:ascii="Times New Roman" w:hAnsi="Times New Roman"/>
          <w:sz w:val="20"/>
          <w:u w:val="single"/>
        </w:rPr>
        <w:t>Glendale Building</w:t>
      </w:r>
    </w:p>
    <w:p>
      <w:pPr>
        <w:pStyle w:val="TextBody"/>
        <w:spacing w:lineRule="auto" w:line="300" w:before="0" w:after="0"/>
        <w:ind w:left="0" w:right="0" w:firstLine="720"/>
        <w:jc w:val="both"/>
        <w:rPr/>
      </w:pPr>
      <w:r>
        <w:rPr/>
      </w:r>
    </w:p>
    <w:p>
      <w:pPr>
        <w:pStyle w:val="TextBody"/>
        <w:spacing w:lineRule="auto" w:line="300" w:before="0" w:after="0"/>
        <w:ind w:left="0" w:right="0" w:firstLine="720"/>
        <w:jc w:val="both"/>
        <w:rPr/>
      </w:pPr>
      <w:r>
        <w:rPr>
          <w:rStyle w:val="Emphasis"/>
        </w:rPr>
        <w:t> </w:t>
      </w:r>
      <w:r>
        <w:rPr>
          <w:rFonts w:ascii="Times New Roman" w:hAnsi="Times New Roman"/>
          <w:sz w:val="20"/>
        </w:rPr>
        <w:t>On May 17, 2005, we sold our Glendale office building in Glendale, California for $10.3 million cash and $10.1 million of assumed debt resulting in a $12.0 million gain. All the cash proceeds from the sale were used in the purchase for $12.6 million of the Cinemas 1, 2 &amp; 3 fee interest and of the landlord’s interest in the ground lease, encumbering that land, as part of a tax-deferred exchange under Section 1031 of the Internal Revenue Code.</w:t>
      </w:r>
    </w:p>
    <w:p>
      <w:pPr>
        <w:pStyle w:val="TextBody"/>
        <w:spacing w:lineRule="auto" w:line="300" w:before="0" w:after="0"/>
        <w:ind w:left="0" w:right="0" w:firstLine="720"/>
        <w:jc w:val="both"/>
        <w:rPr/>
      </w:pPr>
      <w:r>
        <w:rPr/>
        <w:t> </w:t>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For the two years ended December 31, 2005, we recorded the following results for the Glendale building discontinued operations:</w:t>
      </w:r>
    </w:p>
    <w:p>
      <w:pPr>
        <w:pStyle w:val="TextBody"/>
        <w:spacing w:lineRule="auto" w:line="300" w:before="0" w:after="0"/>
        <w:ind w:left="0" w:right="0" w:hanging="0"/>
        <w:jc w:val="both"/>
        <w:rPr/>
      </w:pPr>
      <w:r>
        <w:rPr/>
      </w:r>
    </w:p>
    <w:p>
      <w:pPr>
        <w:pStyle w:val="Normal"/>
        <w:spacing w:before="0" w:after="0"/>
        <w:rPr>
          <w:sz w:val="4"/>
          <w:szCs w:val="4"/>
        </w:rPr>
      </w:pPr>
      <w:r>
        <w:rPr>
          <w:sz w:val="4"/>
          <w:szCs w:val="4"/>
        </w:rPr>
      </w:r>
      <w:bookmarkStart w:id="3239" w:name="ftable27"/>
      <w:bookmarkStart w:id="3240" w:name="ftable27"/>
      <w:bookmarkEnd w:id="3240"/>
    </w:p>
    <w:tbl>
      <w:tblPr>
        <w:tblW w:w="5000" w:type="pct"/>
        <w:jc w:val="left"/>
        <w:tblInd w:w="0" w:type="dxa"/>
        <w:tblCellMar>
          <w:top w:w="0" w:type="dxa"/>
          <w:left w:w="0" w:type="dxa"/>
          <w:bottom w:w="28" w:type="dxa"/>
          <w:right w:w="0" w:type="dxa"/>
        </w:tblCellMar>
      </w:tblPr>
      <w:tblGrid>
        <w:gridCol w:w="7046"/>
        <w:gridCol w:w="204"/>
        <w:gridCol w:w="128"/>
        <w:gridCol w:w="1202"/>
        <w:gridCol w:w="204"/>
        <w:gridCol w:w="128"/>
        <w:gridCol w:w="1173"/>
        <w:gridCol w:w="120"/>
      </w:tblGrid>
      <w:tr>
        <w:trPr/>
        <w:tc>
          <w:tcPr>
            <w:tcW w:w="7046" w:type="dxa"/>
            <w:tcBorders>
              <w:bottom w:val="double" w:sz="2" w:space="0" w:color="000000"/>
            </w:tcBorders>
            <w:shd w:fill="auto" w:val="clear"/>
            <w:vAlign w:val="bottom"/>
          </w:tcPr>
          <w:p>
            <w:pPr>
              <w:pStyle w:val="TableContents"/>
              <w:spacing w:before="0" w:after="283"/>
              <w:jc w:val="left"/>
              <w:rPr/>
            </w:pPr>
            <w:r>
              <w:rPr/>
              <w:t> </w:t>
            </w:r>
          </w:p>
        </w:tc>
        <w:tc>
          <w:tcPr>
            <w:tcW w:w="204" w:type="dxa"/>
            <w:tcBorders>
              <w:bottom w:val="single" w:sz="4" w:space="0" w:color="FFFFFF"/>
            </w:tcBorders>
            <w:shd w:fill="auto" w:val="clear"/>
            <w:vAlign w:val="center"/>
          </w:tcPr>
          <w:p>
            <w:pPr>
              <w:pStyle w:val="TableContents"/>
              <w:spacing w:before="0" w:after="283"/>
              <w:rPr/>
            </w:pPr>
            <w:r>
              <w:rPr/>
              <w:t> </w:t>
            </w:r>
          </w:p>
        </w:tc>
        <w:tc>
          <w:tcPr>
            <w:tcW w:w="1330" w:type="dxa"/>
            <w:gridSpan w:val="2"/>
            <w:tcBorders>
              <w:bottom w:val="double" w:sz="2" w:space="0" w:color="000000"/>
            </w:tcBorders>
            <w:shd w:fill="auto" w:val="clear"/>
            <w:vAlign w:val="bottom"/>
          </w:tcPr>
          <w:p>
            <w:pPr>
              <w:pStyle w:val="TableContents"/>
              <w:spacing w:lineRule="auto" w:line="300" w:before="0" w:after="0"/>
              <w:ind w:left="180" w:right="0" w:hanging="0"/>
              <w:jc w:val="center"/>
              <w:rPr/>
            </w:pPr>
            <w:r>
              <w:rPr>
                <w:rStyle w:val="StrongEmphasis"/>
                <w:rFonts w:ascii="Times New Roman" w:hAnsi="Times New Roman"/>
                <w:sz w:val="20"/>
              </w:rPr>
              <w:t>2005</w:t>
            </w:r>
          </w:p>
        </w:tc>
        <w:tc>
          <w:tcPr>
            <w:tcW w:w="204" w:type="dxa"/>
            <w:tcBorders>
              <w:bottom w:val="single" w:sz="4" w:space="0" w:color="FFFFFF"/>
            </w:tcBorders>
            <w:shd w:fill="auto" w:val="clear"/>
            <w:vAlign w:val="bottom"/>
          </w:tcPr>
          <w:p>
            <w:pPr>
              <w:pStyle w:val="TableContents"/>
              <w:spacing w:before="0" w:after="283"/>
              <w:jc w:val="left"/>
              <w:rPr/>
            </w:pPr>
            <w:r>
              <w:rPr/>
              <w:t> </w:t>
            </w:r>
          </w:p>
        </w:tc>
        <w:tc>
          <w:tcPr>
            <w:tcW w:w="1301" w:type="dxa"/>
            <w:gridSpan w:val="2"/>
            <w:tcBorders>
              <w:bottom w:val="double" w:sz="2" w:space="0" w:color="000000"/>
            </w:tcBorders>
            <w:shd w:fill="auto" w:val="clear"/>
            <w:vAlign w:val="bottom"/>
          </w:tcPr>
          <w:p>
            <w:pPr>
              <w:pStyle w:val="TableContents"/>
              <w:spacing w:lineRule="auto" w:line="300" w:before="0" w:after="0"/>
              <w:ind w:left="180" w:right="0" w:hanging="0"/>
              <w:jc w:val="center"/>
              <w:rPr/>
            </w:pPr>
            <w:r>
              <w:rPr>
                <w:rStyle w:val="StrongEmphasis"/>
                <w:rFonts w:ascii="Times New Roman" w:hAnsi="Times New Roman"/>
                <w:sz w:val="20"/>
              </w:rPr>
              <w:t>2004</w:t>
            </w:r>
          </w:p>
        </w:tc>
        <w:tc>
          <w:tcPr>
            <w:tcW w:w="120" w:type="dxa"/>
            <w:tcBorders>
              <w:bottom w:val="single" w:sz="4" w:space="0" w:color="FFFFFF"/>
            </w:tcBorders>
            <w:shd w:fill="auto" w:val="clear"/>
            <w:vAlign w:val="bottom"/>
          </w:tcPr>
          <w:p>
            <w:pPr>
              <w:pStyle w:val="TableContents"/>
              <w:spacing w:before="0" w:after="283"/>
              <w:jc w:val="left"/>
              <w:rPr/>
            </w:pPr>
            <w:r>
              <w:rPr/>
              <w:t> </w:t>
            </w:r>
          </w:p>
        </w:tc>
      </w:tr>
      <w:tr>
        <w:trPr/>
        <w:tc>
          <w:tcPr>
            <w:tcW w:w="7046" w:type="dxa"/>
            <w:tcBorders/>
            <w:shd w:fill="CCEEFF" w:val="clear"/>
            <w:tcMar>
              <w:bottom w:w="0" w:type="dxa"/>
            </w:tcMar>
            <w:vAlign w:val="bottom"/>
          </w:tcPr>
          <w:p>
            <w:pPr>
              <w:pStyle w:val="TableContents"/>
              <w:spacing w:lineRule="auto" w:line="300" w:before="0" w:after="0"/>
              <w:ind w:left="360" w:right="0" w:hanging="180"/>
              <w:jc w:val="left"/>
              <w:rPr>
                <w:rFonts w:ascii="Times New Roman" w:hAnsi="Times New Roman"/>
                <w:sz w:val="20"/>
              </w:rPr>
            </w:pPr>
            <w:r>
              <w:rPr>
                <w:rFonts w:ascii="Times New Roman" w:hAnsi="Times New Roman"/>
                <w:sz w:val="20"/>
              </w:rPr>
              <w:t>Revenue</w:t>
            </w:r>
          </w:p>
        </w:tc>
        <w:tc>
          <w:tcPr>
            <w:tcW w:w="204" w:type="dxa"/>
            <w:tcBorders/>
            <w:shd w:fill="CCEEFF" w:val="clear"/>
            <w:tcMar>
              <w:bottom w:w="0" w:type="dxa"/>
            </w:tcMar>
            <w:vAlign w:val="center"/>
          </w:tcPr>
          <w:p>
            <w:pPr>
              <w:pStyle w:val="TableContents"/>
              <w:spacing w:before="0" w:after="283"/>
              <w:rPr/>
            </w:pPr>
            <w:r>
              <w:rPr/>
              <w:t> </w:t>
            </w:r>
          </w:p>
        </w:tc>
        <w:tc>
          <w:tcPr>
            <w:tcW w:w="128"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bookmarkStart w:id="3241" w:name="TAB2125"/>
            <w:bookmarkEnd w:id="3241"/>
          </w:p>
        </w:tc>
        <w:tc>
          <w:tcPr>
            <w:tcW w:w="1202"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3242" w:name="TAB2126"/>
            <w:bookmarkEnd w:id="3242"/>
            <w:r>
              <w:rPr>
                <w:rFonts w:ascii="Times New Roman" w:hAnsi="Times New Roman"/>
                <w:sz w:val="20"/>
              </w:rPr>
              <w:t>1,103</w:t>
            </w:r>
          </w:p>
        </w:tc>
        <w:tc>
          <w:tcPr>
            <w:tcW w:w="204" w:type="dxa"/>
            <w:tcBorders/>
            <w:shd w:fill="CCEEFF" w:val="clear"/>
            <w:tcMar>
              <w:bottom w:w="0" w:type="dxa"/>
            </w:tcMar>
            <w:vAlign w:val="bottom"/>
          </w:tcPr>
          <w:p>
            <w:pPr>
              <w:pStyle w:val="TableContents"/>
              <w:spacing w:before="0" w:after="283"/>
              <w:jc w:val="left"/>
              <w:rPr/>
            </w:pPr>
            <w:r>
              <w:rPr/>
              <w:t> </w:t>
            </w:r>
          </w:p>
        </w:tc>
        <w:tc>
          <w:tcPr>
            <w:tcW w:w="128"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bookmarkStart w:id="3243" w:name="TAB2127"/>
            <w:bookmarkEnd w:id="3243"/>
          </w:p>
        </w:tc>
        <w:tc>
          <w:tcPr>
            <w:tcW w:w="1173"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3244" w:name="TAB2128"/>
            <w:bookmarkEnd w:id="3244"/>
            <w:r>
              <w:rPr>
                <w:rFonts w:ascii="Times New Roman" w:hAnsi="Times New Roman"/>
                <w:sz w:val="20"/>
              </w:rPr>
              <w:t>2,648</w:t>
            </w:r>
          </w:p>
        </w:tc>
        <w:tc>
          <w:tcPr>
            <w:tcW w:w="120" w:type="dxa"/>
            <w:tcBorders/>
            <w:shd w:fill="CCEEFF" w:val="clear"/>
            <w:tcMar>
              <w:bottom w:w="0" w:type="dxa"/>
            </w:tcMar>
            <w:vAlign w:val="bottom"/>
          </w:tcPr>
          <w:p>
            <w:pPr>
              <w:pStyle w:val="TableContents"/>
              <w:spacing w:before="0" w:after="283"/>
              <w:jc w:val="left"/>
              <w:rPr/>
            </w:pPr>
            <w:r>
              <w:rPr/>
              <w:t> </w:t>
            </w:r>
          </w:p>
        </w:tc>
      </w:tr>
      <w:tr>
        <w:trPr/>
        <w:tc>
          <w:tcPr>
            <w:tcW w:w="7046" w:type="dxa"/>
            <w:tcBorders/>
            <w:shd w:fill="FFFFFF" w:val="clear"/>
            <w:tcMar>
              <w:bottom w:w="0" w:type="dxa"/>
            </w:tcMar>
            <w:vAlign w:val="bottom"/>
          </w:tcPr>
          <w:p>
            <w:pPr>
              <w:pStyle w:val="TableContents"/>
              <w:spacing w:lineRule="auto" w:line="300" w:before="0" w:after="0"/>
              <w:ind w:left="360" w:right="0" w:hanging="180"/>
              <w:jc w:val="left"/>
              <w:rPr>
                <w:rFonts w:ascii="Times New Roman" w:hAnsi="Times New Roman"/>
                <w:sz w:val="20"/>
              </w:rPr>
            </w:pPr>
            <w:r>
              <w:rPr>
                <w:rFonts w:ascii="Times New Roman" w:hAnsi="Times New Roman"/>
                <w:sz w:val="20"/>
              </w:rPr>
              <w:t>Operating expense</w:t>
            </w:r>
          </w:p>
        </w:tc>
        <w:tc>
          <w:tcPr>
            <w:tcW w:w="204" w:type="dxa"/>
            <w:tcBorders/>
            <w:shd w:fill="FFFFFF" w:val="clear"/>
            <w:tcMar>
              <w:bottom w:w="0" w:type="dxa"/>
            </w:tcMar>
            <w:vAlign w:val="center"/>
          </w:tcPr>
          <w:p>
            <w:pPr>
              <w:pStyle w:val="TableContents"/>
              <w:spacing w:before="0" w:after="283"/>
              <w:rPr/>
            </w:pPr>
            <w:r>
              <w:rPr/>
              <w:t> </w:t>
            </w:r>
          </w:p>
        </w:tc>
        <w:tc>
          <w:tcPr>
            <w:tcW w:w="128" w:type="dxa"/>
            <w:tcBorders/>
            <w:shd w:fill="FFFFFF" w:val="clear"/>
            <w:tcMar>
              <w:bottom w:w="0" w:type="dxa"/>
            </w:tcMar>
            <w:vAlign w:val="bottom"/>
          </w:tcPr>
          <w:p>
            <w:pPr>
              <w:pStyle w:val="TableContents"/>
              <w:spacing w:before="0" w:after="283"/>
              <w:jc w:val="left"/>
              <w:rPr/>
            </w:pPr>
            <w:r>
              <w:rPr/>
              <w:t> </w:t>
            </w:r>
          </w:p>
        </w:tc>
        <w:tc>
          <w:tcPr>
            <w:tcW w:w="1202"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355</w:t>
            </w:r>
          </w:p>
        </w:tc>
        <w:tc>
          <w:tcPr>
            <w:tcW w:w="204" w:type="dxa"/>
            <w:tcBorders/>
            <w:shd w:fill="FFFFFF" w:val="clear"/>
            <w:tcMar>
              <w:bottom w:w="0" w:type="dxa"/>
            </w:tcMar>
            <w:vAlign w:val="bottom"/>
          </w:tcPr>
          <w:p>
            <w:pPr>
              <w:pStyle w:val="TableContents"/>
              <w:spacing w:before="0" w:after="283"/>
              <w:jc w:val="left"/>
              <w:rPr/>
            </w:pPr>
            <w:r>
              <w:rPr/>
              <w:t> </w:t>
            </w:r>
          </w:p>
        </w:tc>
        <w:tc>
          <w:tcPr>
            <w:tcW w:w="128" w:type="dxa"/>
            <w:tcBorders/>
            <w:shd w:fill="FFFFFF" w:val="clear"/>
            <w:tcMar>
              <w:bottom w:w="0" w:type="dxa"/>
            </w:tcMar>
            <w:vAlign w:val="bottom"/>
          </w:tcPr>
          <w:p>
            <w:pPr>
              <w:pStyle w:val="TableContents"/>
              <w:spacing w:before="0" w:after="283"/>
              <w:jc w:val="left"/>
              <w:rPr/>
            </w:pPr>
            <w:r>
              <w:rPr/>
              <w:t> </w:t>
            </w:r>
          </w:p>
        </w:tc>
        <w:tc>
          <w:tcPr>
            <w:tcW w:w="1173"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984</w:t>
            </w:r>
          </w:p>
        </w:tc>
        <w:tc>
          <w:tcPr>
            <w:tcW w:w="120" w:type="dxa"/>
            <w:tcBorders/>
            <w:shd w:fill="FFFFFF" w:val="clear"/>
            <w:tcMar>
              <w:bottom w:w="0" w:type="dxa"/>
            </w:tcMar>
            <w:vAlign w:val="bottom"/>
          </w:tcPr>
          <w:p>
            <w:pPr>
              <w:pStyle w:val="TableContents"/>
              <w:spacing w:before="0" w:after="283"/>
              <w:jc w:val="left"/>
              <w:rPr/>
            </w:pPr>
            <w:r>
              <w:rPr/>
              <w:t> </w:t>
            </w:r>
          </w:p>
        </w:tc>
      </w:tr>
      <w:tr>
        <w:trPr/>
        <w:tc>
          <w:tcPr>
            <w:tcW w:w="7046" w:type="dxa"/>
            <w:tcBorders/>
            <w:shd w:fill="CCEEFF" w:val="clear"/>
            <w:tcMar>
              <w:bottom w:w="0" w:type="dxa"/>
            </w:tcMar>
            <w:vAlign w:val="bottom"/>
          </w:tcPr>
          <w:p>
            <w:pPr>
              <w:pStyle w:val="TableContents"/>
              <w:spacing w:lineRule="auto" w:line="300" w:before="0" w:after="0"/>
              <w:ind w:left="360" w:right="0" w:hanging="180"/>
              <w:jc w:val="left"/>
              <w:rPr>
                <w:rFonts w:ascii="Times New Roman" w:hAnsi="Times New Roman"/>
                <w:sz w:val="20"/>
              </w:rPr>
            </w:pPr>
            <w:r>
              <w:rPr>
                <w:rFonts w:ascii="Times New Roman" w:hAnsi="Times New Roman"/>
                <w:sz w:val="20"/>
              </w:rPr>
              <w:t>Depreciation &amp; amortization expense</w:t>
            </w:r>
          </w:p>
        </w:tc>
        <w:tc>
          <w:tcPr>
            <w:tcW w:w="204" w:type="dxa"/>
            <w:tcBorders/>
            <w:shd w:fill="CCEEFF" w:val="clear"/>
            <w:tcMar>
              <w:bottom w:w="0" w:type="dxa"/>
            </w:tcMar>
            <w:vAlign w:val="center"/>
          </w:tcPr>
          <w:p>
            <w:pPr>
              <w:pStyle w:val="TableContents"/>
              <w:spacing w:before="0" w:after="283"/>
              <w:rPr/>
            </w:pPr>
            <w:r>
              <w:rPr/>
              <w:t> </w:t>
            </w:r>
          </w:p>
        </w:tc>
        <w:tc>
          <w:tcPr>
            <w:tcW w:w="128" w:type="dxa"/>
            <w:tcBorders/>
            <w:shd w:fill="CCEEFF" w:val="clear"/>
            <w:tcMar>
              <w:bottom w:w="0" w:type="dxa"/>
            </w:tcMar>
            <w:vAlign w:val="bottom"/>
          </w:tcPr>
          <w:p>
            <w:pPr>
              <w:pStyle w:val="TableContents"/>
              <w:spacing w:before="0" w:after="283"/>
              <w:jc w:val="left"/>
              <w:rPr/>
            </w:pPr>
            <w:r>
              <w:rPr/>
              <w:t> </w:t>
            </w:r>
          </w:p>
        </w:tc>
        <w:tc>
          <w:tcPr>
            <w:tcW w:w="1202"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51</w:t>
            </w:r>
          </w:p>
        </w:tc>
        <w:tc>
          <w:tcPr>
            <w:tcW w:w="204" w:type="dxa"/>
            <w:tcBorders/>
            <w:shd w:fill="CCEEFF" w:val="clear"/>
            <w:tcMar>
              <w:bottom w:w="0" w:type="dxa"/>
            </w:tcMar>
            <w:vAlign w:val="bottom"/>
          </w:tcPr>
          <w:p>
            <w:pPr>
              <w:pStyle w:val="TableContents"/>
              <w:spacing w:before="0" w:after="283"/>
              <w:jc w:val="left"/>
              <w:rPr/>
            </w:pPr>
            <w:r>
              <w:rPr/>
              <w:t> </w:t>
            </w:r>
          </w:p>
        </w:tc>
        <w:tc>
          <w:tcPr>
            <w:tcW w:w="128" w:type="dxa"/>
            <w:tcBorders/>
            <w:shd w:fill="CCEEFF" w:val="clear"/>
            <w:tcMar>
              <w:bottom w:w="0" w:type="dxa"/>
            </w:tcMar>
            <w:vAlign w:val="bottom"/>
          </w:tcPr>
          <w:p>
            <w:pPr>
              <w:pStyle w:val="TableContents"/>
              <w:spacing w:before="0" w:after="283"/>
              <w:jc w:val="left"/>
              <w:rPr/>
            </w:pPr>
            <w:r>
              <w:rPr/>
              <w:t> </w:t>
            </w:r>
          </w:p>
        </w:tc>
        <w:tc>
          <w:tcPr>
            <w:tcW w:w="1173"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601</w:t>
            </w:r>
          </w:p>
        </w:tc>
        <w:tc>
          <w:tcPr>
            <w:tcW w:w="120" w:type="dxa"/>
            <w:tcBorders/>
            <w:shd w:fill="CCEEFF" w:val="clear"/>
            <w:tcMar>
              <w:bottom w:w="0" w:type="dxa"/>
            </w:tcMar>
            <w:vAlign w:val="bottom"/>
          </w:tcPr>
          <w:p>
            <w:pPr>
              <w:pStyle w:val="TableContents"/>
              <w:spacing w:before="0" w:after="283"/>
              <w:jc w:val="left"/>
              <w:rPr/>
            </w:pPr>
            <w:r>
              <w:rPr/>
              <w:t> </w:t>
            </w:r>
          </w:p>
        </w:tc>
      </w:tr>
      <w:tr>
        <w:trPr/>
        <w:tc>
          <w:tcPr>
            <w:tcW w:w="7046" w:type="dxa"/>
            <w:tcBorders>
              <w:bottom w:val="single" w:sz="2" w:space="0" w:color="000000"/>
            </w:tcBorders>
            <w:shd w:fill="FFFFFF" w:val="clear"/>
            <w:vAlign w:val="bottom"/>
          </w:tcPr>
          <w:p>
            <w:pPr>
              <w:pStyle w:val="TableContents"/>
              <w:spacing w:lineRule="auto" w:line="300" w:before="0" w:after="0"/>
              <w:ind w:left="360" w:right="0" w:hanging="180"/>
              <w:jc w:val="left"/>
              <w:rPr>
                <w:rFonts w:ascii="Times New Roman" w:hAnsi="Times New Roman"/>
                <w:sz w:val="20"/>
              </w:rPr>
            </w:pPr>
            <w:r>
              <w:rPr>
                <w:rFonts w:ascii="Times New Roman" w:hAnsi="Times New Roman"/>
                <w:sz w:val="20"/>
              </w:rPr>
              <w:t>General &amp; administrative expense</w:t>
            </w:r>
          </w:p>
        </w:tc>
        <w:tc>
          <w:tcPr>
            <w:tcW w:w="204" w:type="dxa"/>
            <w:tcBorders>
              <w:bottom w:val="single" w:sz="2" w:space="0" w:color="FFFFFF"/>
            </w:tcBorders>
            <w:shd w:fill="FFFFFF" w:val="clear"/>
            <w:vAlign w:val="center"/>
          </w:tcPr>
          <w:p>
            <w:pPr>
              <w:pStyle w:val="TableContents"/>
              <w:spacing w:before="0" w:after="283"/>
              <w:rPr/>
            </w:pPr>
            <w:r>
              <w:rPr/>
              <w:t> </w:t>
            </w:r>
          </w:p>
        </w:tc>
        <w:tc>
          <w:tcPr>
            <w:tcW w:w="128" w:type="dxa"/>
            <w:tcBorders>
              <w:bottom w:val="single" w:sz="2" w:space="0" w:color="000000"/>
            </w:tcBorders>
            <w:shd w:fill="FFFFFF" w:val="clear"/>
            <w:vAlign w:val="bottom"/>
          </w:tcPr>
          <w:p>
            <w:pPr>
              <w:pStyle w:val="TableContents"/>
              <w:spacing w:before="0" w:after="283"/>
              <w:jc w:val="left"/>
              <w:rPr/>
            </w:pPr>
            <w:r>
              <w:rPr/>
              <w:t> </w:t>
            </w:r>
          </w:p>
        </w:tc>
        <w:tc>
          <w:tcPr>
            <w:tcW w:w="1202"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204" w:type="dxa"/>
            <w:tcBorders>
              <w:bottom w:val="single" w:sz="2" w:space="0" w:color="FFFFFF"/>
            </w:tcBorders>
            <w:shd w:fill="FFFFFF" w:val="clear"/>
            <w:vAlign w:val="bottom"/>
          </w:tcPr>
          <w:p>
            <w:pPr>
              <w:pStyle w:val="TableContents"/>
              <w:spacing w:before="0" w:after="283"/>
              <w:jc w:val="left"/>
              <w:rPr/>
            </w:pPr>
            <w:r>
              <w:rPr/>
              <w:t> </w:t>
            </w:r>
          </w:p>
        </w:tc>
        <w:tc>
          <w:tcPr>
            <w:tcW w:w="128" w:type="dxa"/>
            <w:tcBorders>
              <w:bottom w:val="single" w:sz="2" w:space="0" w:color="000000"/>
            </w:tcBorders>
            <w:shd w:fill="FFFFFF" w:val="clear"/>
            <w:vAlign w:val="bottom"/>
          </w:tcPr>
          <w:p>
            <w:pPr>
              <w:pStyle w:val="TableContents"/>
              <w:spacing w:before="0" w:after="283"/>
              <w:jc w:val="left"/>
              <w:rPr/>
            </w:pPr>
            <w:r>
              <w:rPr/>
              <w:t> </w:t>
            </w:r>
          </w:p>
        </w:tc>
        <w:tc>
          <w:tcPr>
            <w:tcW w:w="1173"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5</w:t>
            </w:r>
          </w:p>
        </w:tc>
        <w:tc>
          <w:tcPr>
            <w:tcW w:w="120" w:type="dxa"/>
            <w:tcBorders>
              <w:bottom w:val="single" w:sz="2" w:space="0" w:color="FFFFFF"/>
            </w:tcBorders>
            <w:shd w:fill="FFFFFF" w:val="clear"/>
            <w:vAlign w:val="bottom"/>
          </w:tcPr>
          <w:p>
            <w:pPr>
              <w:pStyle w:val="TableContents"/>
              <w:spacing w:before="0" w:after="283"/>
              <w:jc w:val="left"/>
              <w:rPr/>
            </w:pPr>
            <w:r>
              <w:rPr/>
              <w:t> </w:t>
            </w:r>
          </w:p>
        </w:tc>
      </w:tr>
      <w:tr>
        <w:trPr/>
        <w:tc>
          <w:tcPr>
            <w:tcW w:w="7046" w:type="dxa"/>
            <w:tcBorders>
              <w:bottom w:val="single" w:sz="2" w:space="0" w:color="000000"/>
            </w:tcBorders>
            <w:shd w:fill="CCEEFF" w:val="clear"/>
            <w:vAlign w:val="bottom"/>
          </w:tcPr>
          <w:p>
            <w:pPr>
              <w:pStyle w:val="TableContents"/>
              <w:spacing w:lineRule="auto" w:line="300" w:before="0" w:after="0"/>
              <w:ind w:left="360" w:right="0" w:hanging="180"/>
              <w:jc w:val="left"/>
              <w:rPr>
                <w:rFonts w:ascii="Times New Roman" w:hAnsi="Times New Roman"/>
                <w:sz w:val="20"/>
              </w:rPr>
            </w:pPr>
            <w:r>
              <w:rPr>
                <w:rFonts w:ascii="Times New Roman" w:hAnsi="Times New Roman"/>
                <w:sz w:val="20"/>
              </w:rPr>
              <w:t>Operating income</w:t>
            </w:r>
          </w:p>
        </w:tc>
        <w:tc>
          <w:tcPr>
            <w:tcW w:w="204" w:type="dxa"/>
            <w:tcBorders>
              <w:bottom w:val="single" w:sz="4" w:space="0" w:color="CCEEFF"/>
            </w:tcBorders>
            <w:shd w:fill="CCEEFF" w:val="clear"/>
            <w:vAlign w:val="center"/>
          </w:tcPr>
          <w:p>
            <w:pPr>
              <w:pStyle w:val="TableContents"/>
              <w:spacing w:before="0" w:after="283"/>
              <w:rPr/>
            </w:pPr>
            <w:r>
              <w:rPr/>
              <w:t> </w:t>
            </w:r>
          </w:p>
        </w:tc>
        <w:tc>
          <w:tcPr>
            <w:tcW w:w="128" w:type="dxa"/>
            <w:tcBorders>
              <w:bottom w:val="single" w:sz="2" w:space="0" w:color="000000"/>
            </w:tcBorders>
            <w:shd w:fill="CCEEFF" w:val="clear"/>
            <w:vAlign w:val="bottom"/>
          </w:tcPr>
          <w:p>
            <w:pPr>
              <w:pStyle w:val="TableContents"/>
              <w:spacing w:before="0" w:after="283"/>
              <w:jc w:val="left"/>
              <w:rPr/>
            </w:pPr>
            <w:r>
              <w:rPr/>
              <w:t> </w:t>
            </w:r>
          </w:p>
        </w:tc>
        <w:tc>
          <w:tcPr>
            <w:tcW w:w="1202"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697</w:t>
            </w:r>
          </w:p>
        </w:tc>
        <w:tc>
          <w:tcPr>
            <w:tcW w:w="204" w:type="dxa"/>
            <w:tcBorders>
              <w:bottom w:val="single" w:sz="4" w:space="0" w:color="CCEEFF"/>
            </w:tcBorders>
            <w:shd w:fill="CCEEFF" w:val="clear"/>
            <w:vAlign w:val="bottom"/>
          </w:tcPr>
          <w:p>
            <w:pPr>
              <w:pStyle w:val="TableContents"/>
              <w:spacing w:before="0" w:after="283"/>
              <w:jc w:val="left"/>
              <w:rPr/>
            </w:pPr>
            <w:r>
              <w:rPr/>
              <w:t> </w:t>
            </w:r>
          </w:p>
        </w:tc>
        <w:tc>
          <w:tcPr>
            <w:tcW w:w="128" w:type="dxa"/>
            <w:tcBorders>
              <w:bottom w:val="single" w:sz="2" w:space="0" w:color="000000"/>
            </w:tcBorders>
            <w:shd w:fill="CCEEFF" w:val="clear"/>
            <w:vAlign w:val="bottom"/>
          </w:tcPr>
          <w:p>
            <w:pPr>
              <w:pStyle w:val="TableContents"/>
              <w:spacing w:before="0" w:after="283"/>
              <w:jc w:val="left"/>
              <w:rPr/>
            </w:pPr>
            <w:r>
              <w:rPr/>
              <w:t> </w:t>
            </w:r>
          </w:p>
        </w:tc>
        <w:tc>
          <w:tcPr>
            <w:tcW w:w="1173"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1,058</w:t>
            </w:r>
          </w:p>
        </w:tc>
        <w:tc>
          <w:tcPr>
            <w:tcW w:w="120" w:type="dxa"/>
            <w:tcBorders>
              <w:bottom w:val="single" w:sz="4" w:space="0" w:color="CCEEFF"/>
            </w:tcBorders>
            <w:shd w:fill="CCEEFF" w:val="clear"/>
            <w:vAlign w:val="bottom"/>
          </w:tcPr>
          <w:p>
            <w:pPr>
              <w:pStyle w:val="TableContents"/>
              <w:spacing w:before="0" w:after="283"/>
              <w:jc w:val="left"/>
              <w:rPr/>
            </w:pPr>
            <w:r>
              <w:rPr/>
              <w:t> </w:t>
            </w:r>
          </w:p>
        </w:tc>
      </w:tr>
      <w:tr>
        <w:trPr/>
        <w:tc>
          <w:tcPr>
            <w:tcW w:w="7046" w:type="dxa"/>
            <w:tcBorders/>
            <w:shd w:fill="FFFFFF" w:val="clear"/>
            <w:tcMar>
              <w:bottom w:w="0" w:type="dxa"/>
            </w:tcMar>
            <w:vAlign w:val="bottom"/>
          </w:tcPr>
          <w:p>
            <w:pPr>
              <w:pStyle w:val="TableContents"/>
              <w:spacing w:lineRule="auto" w:line="300" w:before="0" w:after="0"/>
              <w:ind w:left="360" w:right="0" w:hanging="180"/>
              <w:jc w:val="left"/>
              <w:rPr>
                <w:rFonts w:ascii="Times New Roman" w:hAnsi="Times New Roman"/>
                <w:sz w:val="20"/>
              </w:rPr>
            </w:pPr>
            <w:r>
              <w:rPr>
                <w:rFonts w:ascii="Times New Roman" w:hAnsi="Times New Roman"/>
                <w:sz w:val="20"/>
              </w:rPr>
              <w:t>Interest income</w:t>
            </w:r>
          </w:p>
        </w:tc>
        <w:tc>
          <w:tcPr>
            <w:tcW w:w="204" w:type="dxa"/>
            <w:tcBorders/>
            <w:shd w:fill="FFFFFF" w:val="clear"/>
            <w:tcMar>
              <w:bottom w:w="0" w:type="dxa"/>
            </w:tcMar>
            <w:vAlign w:val="center"/>
          </w:tcPr>
          <w:p>
            <w:pPr>
              <w:pStyle w:val="TableContents"/>
              <w:spacing w:before="0" w:after="283"/>
              <w:rPr/>
            </w:pPr>
            <w:r>
              <w:rPr/>
              <w:t> </w:t>
            </w:r>
          </w:p>
        </w:tc>
        <w:tc>
          <w:tcPr>
            <w:tcW w:w="128" w:type="dxa"/>
            <w:tcBorders/>
            <w:shd w:fill="FFFFFF" w:val="clear"/>
            <w:tcMar>
              <w:bottom w:w="0" w:type="dxa"/>
            </w:tcMar>
            <w:vAlign w:val="bottom"/>
          </w:tcPr>
          <w:p>
            <w:pPr>
              <w:pStyle w:val="TableContents"/>
              <w:spacing w:before="0" w:after="283"/>
              <w:jc w:val="left"/>
              <w:rPr/>
            </w:pPr>
            <w:r>
              <w:rPr/>
              <w:t> </w:t>
            </w:r>
          </w:p>
        </w:tc>
        <w:tc>
          <w:tcPr>
            <w:tcW w:w="1202"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w:t>
            </w:r>
          </w:p>
        </w:tc>
        <w:tc>
          <w:tcPr>
            <w:tcW w:w="204" w:type="dxa"/>
            <w:tcBorders/>
            <w:shd w:fill="FFFFFF" w:val="clear"/>
            <w:tcMar>
              <w:bottom w:w="0" w:type="dxa"/>
            </w:tcMar>
            <w:vAlign w:val="bottom"/>
          </w:tcPr>
          <w:p>
            <w:pPr>
              <w:pStyle w:val="TableContents"/>
              <w:spacing w:before="0" w:after="283"/>
              <w:jc w:val="left"/>
              <w:rPr/>
            </w:pPr>
            <w:r>
              <w:rPr/>
              <w:t> </w:t>
            </w:r>
          </w:p>
        </w:tc>
        <w:tc>
          <w:tcPr>
            <w:tcW w:w="128" w:type="dxa"/>
            <w:tcBorders/>
            <w:shd w:fill="FFFFFF" w:val="clear"/>
            <w:tcMar>
              <w:bottom w:w="0" w:type="dxa"/>
            </w:tcMar>
            <w:vAlign w:val="bottom"/>
          </w:tcPr>
          <w:p>
            <w:pPr>
              <w:pStyle w:val="TableContents"/>
              <w:spacing w:before="0" w:after="283"/>
              <w:jc w:val="left"/>
              <w:rPr/>
            </w:pPr>
            <w:r>
              <w:rPr/>
              <w:t> </w:t>
            </w:r>
          </w:p>
        </w:tc>
        <w:tc>
          <w:tcPr>
            <w:tcW w:w="1173"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w:t>
            </w:r>
          </w:p>
        </w:tc>
        <w:tc>
          <w:tcPr>
            <w:tcW w:w="120" w:type="dxa"/>
            <w:tcBorders/>
            <w:shd w:fill="FFFFFF" w:val="clear"/>
            <w:tcMar>
              <w:bottom w:w="0" w:type="dxa"/>
            </w:tcMar>
            <w:vAlign w:val="bottom"/>
          </w:tcPr>
          <w:p>
            <w:pPr>
              <w:pStyle w:val="TableContents"/>
              <w:spacing w:before="0" w:after="283"/>
              <w:jc w:val="left"/>
              <w:rPr/>
            </w:pPr>
            <w:r>
              <w:rPr/>
              <w:t> </w:t>
            </w:r>
          </w:p>
        </w:tc>
      </w:tr>
      <w:tr>
        <w:trPr/>
        <w:tc>
          <w:tcPr>
            <w:tcW w:w="7046" w:type="dxa"/>
            <w:tcBorders>
              <w:bottom w:val="single" w:sz="2" w:space="0" w:color="000000"/>
            </w:tcBorders>
            <w:shd w:fill="CCEEFF" w:val="clear"/>
            <w:vAlign w:val="bottom"/>
          </w:tcPr>
          <w:p>
            <w:pPr>
              <w:pStyle w:val="TableContents"/>
              <w:spacing w:lineRule="auto" w:line="300" w:before="0" w:after="0"/>
              <w:ind w:left="360" w:right="0" w:hanging="180"/>
              <w:jc w:val="left"/>
              <w:rPr>
                <w:rFonts w:ascii="Times New Roman" w:hAnsi="Times New Roman"/>
                <w:sz w:val="20"/>
              </w:rPr>
            </w:pPr>
            <w:r>
              <w:rPr>
                <w:rFonts w:ascii="Times New Roman" w:hAnsi="Times New Roman"/>
                <w:sz w:val="20"/>
              </w:rPr>
              <w:t>Interest expense</w:t>
            </w:r>
          </w:p>
        </w:tc>
        <w:tc>
          <w:tcPr>
            <w:tcW w:w="204" w:type="dxa"/>
            <w:tcBorders>
              <w:bottom w:val="single" w:sz="2" w:space="0" w:color="CCEEFF"/>
            </w:tcBorders>
            <w:shd w:fill="CCEEFF" w:val="clear"/>
            <w:vAlign w:val="center"/>
          </w:tcPr>
          <w:p>
            <w:pPr>
              <w:pStyle w:val="TableContents"/>
              <w:spacing w:before="0" w:after="283"/>
              <w:rPr/>
            </w:pPr>
            <w:r>
              <w:rPr/>
              <w:t> </w:t>
            </w:r>
          </w:p>
        </w:tc>
        <w:tc>
          <w:tcPr>
            <w:tcW w:w="128" w:type="dxa"/>
            <w:tcBorders>
              <w:bottom w:val="single" w:sz="2" w:space="0" w:color="000000"/>
            </w:tcBorders>
            <w:shd w:fill="CCEEFF" w:val="clear"/>
            <w:vAlign w:val="bottom"/>
          </w:tcPr>
          <w:p>
            <w:pPr>
              <w:pStyle w:val="TableContents"/>
              <w:spacing w:before="0" w:after="283"/>
              <w:jc w:val="left"/>
              <w:rPr/>
            </w:pPr>
            <w:r>
              <w:rPr/>
              <w:t> </w:t>
            </w:r>
          </w:p>
        </w:tc>
        <w:tc>
          <w:tcPr>
            <w:tcW w:w="1202"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312</w:t>
            </w:r>
          </w:p>
        </w:tc>
        <w:tc>
          <w:tcPr>
            <w:tcW w:w="204" w:type="dxa"/>
            <w:tcBorders>
              <w:bottom w:val="single" w:sz="2" w:space="0" w:color="CCEEFF"/>
            </w:tcBorders>
            <w:shd w:fill="CCEEFF" w:val="clear"/>
            <w:vAlign w:val="bottom"/>
          </w:tcPr>
          <w:p>
            <w:pPr>
              <w:pStyle w:val="TableContents"/>
              <w:spacing w:before="0" w:after="283"/>
              <w:jc w:val="left"/>
              <w:rPr/>
            </w:pPr>
            <w:r>
              <w:rPr/>
              <w:t> </w:t>
            </w:r>
          </w:p>
        </w:tc>
        <w:tc>
          <w:tcPr>
            <w:tcW w:w="128" w:type="dxa"/>
            <w:tcBorders>
              <w:bottom w:val="single" w:sz="2" w:space="0" w:color="000000"/>
            </w:tcBorders>
            <w:shd w:fill="CCEEFF" w:val="clear"/>
            <w:vAlign w:val="bottom"/>
          </w:tcPr>
          <w:p>
            <w:pPr>
              <w:pStyle w:val="TableContents"/>
              <w:spacing w:before="0" w:after="283"/>
              <w:jc w:val="left"/>
              <w:rPr/>
            </w:pPr>
            <w:r>
              <w:rPr/>
              <w:t> </w:t>
            </w:r>
          </w:p>
        </w:tc>
        <w:tc>
          <w:tcPr>
            <w:tcW w:w="1173"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840</w:t>
            </w:r>
          </w:p>
        </w:tc>
        <w:tc>
          <w:tcPr>
            <w:tcW w:w="120" w:type="dxa"/>
            <w:tcBorders>
              <w:bottom w:val="single" w:sz="2" w:space="0" w:color="CCEEFF"/>
            </w:tcBorders>
            <w:shd w:fill="CCEEFF" w:val="clear"/>
            <w:vAlign w:val="bottom"/>
          </w:tcPr>
          <w:p>
            <w:pPr>
              <w:pStyle w:val="TableContents"/>
              <w:spacing w:before="0" w:after="283"/>
              <w:jc w:val="left"/>
              <w:rPr/>
            </w:pPr>
            <w:r>
              <w:rPr/>
              <w:t> </w:t>
            </w:r>
          </w:p>
        </w:tc>
      </w:tr>
      <w:tr>
        <w:trPr/>
        <w:tc>
          <w:tcPr>
            <w:tcW w:w="7046" w:type="dxa"/>
            <w:tcBorders/>
            <w:shd w:fill="FFFFFF" w:val="clear"/>
            <w:tcMar>
              <w:bottom w:w="0" w:type="dxa"/>
            </w:tcMar>
            <w:vAlign w:val="bottom"/>
          </w:tcPr>
          <w:p>
            <w:pPr>
              <w:pStyle w:val="TableContents"/>
              <w:spacing w:lineRule="auto" w:line="300" w:before="0" w:after="0"/>
              <w:ind w:left="360" w:right="0" w:hanging="180"/>
              <w:jc w:val="left"/>
              <w:rPr>
                <w:rFonts w:ascii="Times New Roman" w:hAnsi="Times New Roman"/>
                <w:sz w:val="20"/>
              </w:rPr>
            </w:pPr>
            <w:r>
              <w:rPr>
                <w:rFonts w:ascii="Times New Roman" w:hAnsi="Times New Roman"/>
                <w:sz w:val="20"/>
              </w:rPr>
              <w:t>Income from discontinued operations before gain on sale</w:t>
            </w:r>
          </w:p>
        </w:tc>
        <w:tc>
          <w:tcPr>
            <w:tcW w:w="204" w:type="dxa"/>
            <w:tcBorders/>
            <w:shd w:fill="FFFFFF" w:val="clear"/>
            <w:tcMar>
              <w:bottom w:w="0" w:type="dxa"/>
            </w:tcMar>
            <w:vAlign w:val="center"/>
          </w:tcPr>
          <w:p>
            <w:pPr>
              <w:pStyle w:val="TableContents"/>
              <w:spacing w:before="0" w:after="283"/>
              <w:rPr/>
            </w:pPr>
            <w:r>
              <w:rPr/>
              <w:t> </w:t>
            </w:r>
          </w:p>
        </w:tc>
        <w:tc>
          <w:tcPr>
            <w:tcW w:w="128" w:type="dxa"/>
            <w:tcBorders/>
            <w:shd w:fill="FFFFFF" w:val="clear"/>
            <w:tcMar>
              <w:bottom w:w="0" w:type="dxa"/>
            </w:tcMar>
            <w:vAlign w:val="bottom"/>
          </w:tcPr>
          <w:p>
            <w:pPr>
              <w:pStyle w:val="TableContents"/>
              <w:spacing w:before="0" w:after="283"/>
              <w:jc w:val="left"/>
              <w:rPr/>
            </w:pPr>
            <w:r>
              <w:rPr/>
              <w:t> </w:t>
            </w:r>
          </w:p>
        </w:tc>
        <w:tc>
          <w:tcPr>
            <w:tcW w:w="1202"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387</w:t>
            </w:r>
          </w:p>
        </w:tc>
        <w:tc>
          <w:tcPr>
            <w:tcW w:w="204" w:type="dxa"/>
            <w:tcBorders/>
            <w:shd w:fill="FFFFFF" w:val="clear"/>
            <w:tcMar>
              <w:bottom w:w="0" w:type="dxa"/>
            </w:tcMar>
            <w:vAlign w:val="bottom"/>
          </w:tcPr>
          <w:p>
            <w:pPr>
              <w:pStyle w:val="TableContents"/>
              <w:spacing w:before="0" w:after="283"/>
              <w:jc w:val="left"/>
              <w:rPr/>
            </w:pPr>
            <w:r>
              <w:rPr/>
              <w:t> </w:t>
            </w:r>
          </w:p>
        </w:tc>
        <w:tc>
          <w:tcPr>
            <w:tcW w:w="128" w:type="dxa"/>
            <w:tcBorders/>
            <w:shd w:fill="FFFFFF" w:val="clear"/>
            <w:tcMar>
              <w:bottom w:w="0" w:type="dxa"/>
            </w:tcMar>
            <w:vAlign w:val="bottom"/>
          </w:tcPr>
          <w:p>
            <w:pPr>
              <w:pStyle w:val="TableContents"/>
              <w:spacing w:before="0" w:after="283"/>
              <w:jc w:val="left"/>
              <w:rPr/>
            </w:pPr>
            <w:r>
              <w:rPr/>
              <w:t> </w:t>
            </w:r>
          </w:p>
        </w:tc>
        <w:tc>
          <w:tcPr>
            <w:tcW w:w="1173"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219</w:t>
            </w:r>
          </w:p>
        </w:tc>
        <w:tc>
          <w:tcPr>
            <w:tcW w:w="120" w:type="dxa"/>
            <w:tcBorders/>
            <w:shd w:fill="FFFFFF" w:val="clear"/>
            <w:tcMar>
              <w:bottom w:w="0" w:type="dxa"/>
            </w:tcMar>
            <w:vAlign w:val="bottom"/>
          </w:tcPr>
          <w:p>
            <w:pPr>
              <w:pStyle w:val="TableContents"/>
              <w:spacing w:before="0" w:after="283"/>
              <w:jc w:val="left"/>
              <w:rPr/>
            </w:pPr>
            <w:r>
              <w:rPr/>
              <w:t> </w:t>
            </w:r>
          </w:p>
        </w:tc>
      </w:tr>
      <w:tr>
        <w:trPr/>
        <w:tc>
          <w:tcPr>
            <w:tcW w:w="7046" w:type="dxa"/>
            <w:tcBorders>
              <w:bottom w:val="single" w:sz="2" w:space="0" w:color="000000"/>
            </w:tcBorders>
            <w:shd w:fill="CCEEFF" w:val="clear"/>
            <w:vAlign w:val="bottom"/>
          </w:tcPr>
          <w:p>
            <w:pPr>
              <w:pStyle w:val="TableContents"/>
              <w:spacing w:lineRule="auto" w:line="300" w:before="0" w:after="0"/>
              <w:ind w:left="360" w:right="0" w:hanging="180"/>
              <w:jc w:val="left"/>
              <w:rPr>
                <w:rFonts w:ascii="Times New Roman" w:hAnsi="Times New Roman"/>
                <w:sz w:val="20"/>
              </w:rPr>
            </w:pPr>
            <w:r>
              <w:rPr>
                <w:rFonts w:ascii="Times New Roman" w:hAnsi="Times New Roman"/>
                <w:sz w:val="20"/>
              </w:rPr>
              <w:t>Gain on sale</w:t>
            </w:r>
          </w:p>
        </w:tc>
        <w:tc>
          <w:tcPr>
            <w:tcW w:w="204" w:type="dxa"/>
            <w:tcBorders>
              <w:bottom w:val="single" w:sz="2" w:space="0" w:color="CCEEFF"/>
            </w:tcBorders>
            <w:shd w:fill="CCEEFF" w:val="clear"/>
            <w:vAlign w:val="center"/>
          </w:tcPr>
          <w:p>
            <w:pPr>
              <w:pStyle w:val="TableContents"/>
              <w:spacing w:before="0" w:after="283"/>
              <w:rPr/>
            </w:pPr>
            <w:r>
              <w:rPr/>
              <w:t> </w:t>
            </w:r>
          </w:p>
        </w:tc>
        <w:tc>
          <w:tcPr>
            <w:tcW w:w="128" w:type="dxa"/>
            <w:tcBorders>
              <w:bottom w:val="single" w:sz="2" w:space="0" w:color="000000"/>
            </w:tcBorders>
            <w:shd w:fill="CCEEFF" w:val="clear"/>
            <w:vAlign w:val="bottom"/>
          </w:tcPr>
          <w:p>
            <w:pPr>
              <w:pStyle w:val="TableContents"/>
              <w:spacing w:before="0" w:after="283"/>
              <w:jc w:val="left"/>
              <w:rPr/>
            </w:pPr>
            <w:r>
              <w:rPr/>
              <w:t> </w:t>
            </w:r>
          </w:p>
        </w:tc>
        <w:tc>
          <w:tcPr>
            <w:tcW w:w="1202"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12,013</w:t>
            </w:r>
          </w:p>
        </w:tc>
        <w:tc>
          <w:tcPr>
            <w:tcW w:w="204" w:type="dxa"/>
            <w:tcBorders>
              <w:bottom w:val="single" w:sz="2" w:space="0" w:color="CCEEFF"/>
            </w:tcBorders>
            <w:shd w:fill="CCEEFF" w:val="clear"/>
            <w:vAlign w:val="bottom"/>
          </w:tcPr>
          <w:p>
            <w:pPr>
              <w:pStyle w:val="TableContents"/>
              <w:spacing w:before="0" w:after="283"/>
              <w:jc w:val="left"/>
              <w:rPr/>
            </w:pPr>
            <w:r>
              <w:rPr/>
              <w:t> </w:t>
            </w:r>
          </w:p>
        </w:tc>
        <w:tc>
          <w:tcPr>
            <w:tcW w:w="128" w:type="dxa"/>
            <w:tcBorders>
              <w:bottom w:val="single" w:sz="2" w:space="0" w:color="000000"/>
            </w:tcBorders>
            <w:shd w:fill="CCEEFF" w:val="clear"/>
            <w:vAlign w:val="bottom"/>
          </w:tcPr>
          <w:p>
            <w:pPr>
              <w:pStyle w:val="TableContents"/>
              <w:spacing w:before="0" w:after="283"/>
              <w:jc w:val="left"/>
              <w:rPr/>
            </w:pPr>
            <w:r>
              <w:rPr/>
              <w:t> </w:t>
            </w:r>
          </w:p>
        </w:tc>
        <w:tc>
          <w:tcPr>
            <w:tcW w:w="1173"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120" w:type="dxa"/>
            <w:tcBorders>
              <w:bottom w:val="single" w:sz="2" w:space="0" w:color="CCEEFF"/>
            </w:tcBorders>
            <w:shd w:fill="CCEEFF" w:val="clear"/>
            <w:vAlign w:val="bottom"/>
          </w:tcPr>
          <w:p>
            <w:pPr>
              <w:pStyle w:val="TableContents"/>
              <w:spacing w:before="0" w:after="283"/>
              <w:jc w:val="left"/>
              <w:rPr/>
            </w:pPr>
            <w:r>
              <w:rPr/>
              <w:t> </w:t>
            </w:r>
          </w:p>
        </w:tc>
      </w:tr>
      <w:tr>
        <w:trPr/>
        <w:tc>
          <w:tcPr>
            <w:tcW w:w="7046" w:type="dxa"/>
            <w:tcBorders>
              <w:bottom w:val="double" w:sz="2" w:space="0" w:color="000000"/>
            </w:tcBorders>
            <w:shd w:fill="FFFFFF" w:val="clear"/>
            <w:vAlign w:val="bottom"/>
          </w:tcPr>
          <w:p>
            <w:pPr>
              <w:pStyle w:val="TableContents"/>
              <w:spacing w:lineRule="auto" w:line="300" w:before="0" w:after="0"/>
              <w:ind w:left="360" w:right="0" w:hanging="180"/>
              <w:jc w:val="left"/>
              <w:rPr>
                <w:rFonts w:ascii="Times New Roman" w:hAnsi="Times New Roman"/>
                <w:sz w:val="20"/>
              </w:rPr>
            </w:pPr>
            <w:r>
              <w:rPr>
                <w:rFonts w:ascii="Times New Roman" w:hAnsi="Times New Roman"/>
                <w:sz w:val="20"/>
              </w:rPr>
              <w:t>Total income from discontinued operations</w:t>
            </w:r>
          </w:p>
        </w:tc>
        <w:tc>
          <w:tcPr>
            <w:tcW w:w="204" w:type="dxa"/>
            <w:tcBorders>
              <w:bottom w:val="single" w:sz="4" w:space="0" w:color="FFFFFF"/>
            </w:tcBorders>
            <w:shd w:fill="FFFFFF" w:val="clear"/>
            <w:vAlign w:val="center"/>
          </w:tcPr>
          <w:p>
            <w:pPr>
              <w:pStyle w:val="TableContents"/>
              <w:spacing w:before="0" w:after="283"/>
              <w:rPr/>
            </w:pPr>
            <w:r>
              <w:rPr/>
              <w:t> </w:t>
            </w:r>
          </w:p>
        </w:tc>
        <w:tc>
          <w:tcPr>
            <w:tcW w:w="128" w:type="dxa"/>
            <w:tcBorders>
              <w:bottom w:val="doub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202"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12,400</w:t>
            </w:r>
          </w:p>
        </w:tc>
        <w:tc>
          <w:tcPr>
            <w:tcW w:w="204" w:type="dxa"/>
            <w:tcBorders>
              <w:bottom w:val="single" w:sz="4" w:space="0" w:color="FFFFFF"/>
            </w:tcBorders>
            <w:shd w:fill="FFFFFF" w:val="clear"/>
            <w:vAlign w:val="bottom"/>
          </w:tcPr>
          <w:p>
            <w:pPr>
              <w:pStyle w:val="TableContents"/>
              <w:spacing w:before="0" w:after="283"/>
              <w:jc w:val="left"/>
              <w:rPr/>
            </w:pPr>
            <w:r>
              <w:rPr/>
              <w:t> </w:t>
            </w:r>
          </w:p>
        </w:tc>
        <w:tc>
          <w:tcPr>
            <w:tcW w:w="128" w:type="dxa"/>
            <w:tcBorders>
              <w:bottom w:val="doub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173"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219</w:t>
            </w:r>
          </w:p>
        </w:tc>
        <w:tc>
          <w:tcPr>
            <w:tcW w:w="120" w:type="dxa"/>
            <w:tcBorders>
              <w:bottom w:val="single" w:sz="4" w:space="0" w:color="FFFFFF"/>
            </w:tcBorders>
            <w:shd w:fill="FFFFFF" w:val="clear"/>
            <w:vAlign w:val="bottom"/>
          </w:tcPr>
          <w:p>
            <w:pPr>
              <w:pStyle w:val="TableContents"/>
              <w:spacing w:before="0" w:after="283"/>
              <w:jc w:val="left"/>
              <w:rPr/>
            </w:pPr>
            <w:r>
              <w:rPr/>
              <w:t> </w:t>
            </w:r>
          </w:p>
        </w:tc>
      </w:tr>
    </w:tbl>
    <w:p>
      <w:pPr>
        <w:pStyle w:val="TextBody"/>
        <w:spacing w:lineRule="auto" w:line="300" w:before="0" w:after="0"/>
        <w:ind w:left="0" w:right="0" w:hanging="0"/>
        <w:jc w:val="both"/>
        <w:rPr/>
      </w:pPr>
      <w:r>
        <w:rPr/>
        <w:t> </w:t>
      </w:r>
    </w:p>
    <w:p>
      <w:pPr>
        <w:pStyle w:val="TextBody"/>
        <w:spacing w:lineRule="auto" w:line="300" w:before="0" w:after="0"/>
        <w:ind w:left="0" w:right="0" w:hanging="0"/>
        <w:jc w:val="both"/>
        <w:rPr/>
      </w:pPr>
      <w:r>
        <w:rPr>
          <w:rStyle w:val="Emphasis"/>
          <w:rFonts w:ascii="Times New Roman" w:hAnsi="Times New Roman"/>
          <w:sz w:val="20"/>
          <w:u w:val="single"/>
        </w:rPr>
        <w:t>Puerto Rico Cinema Operations</w:t>
      </w:r>
    </w:p>
    <w:p>
      <w:pPr>
        <w:pStyle w:val="TextBody"/>
        <w:spacing w:lineRule="auto" w:line="300" w:before="0" w:after="0"/>
        <w:ind w:left="0" w:right="0" w:firstLine="72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On June 8, 2005, we sold our assets and certain liabilities associated with our Puerto Rico cinema operations for $2.3 million resulting in a $1.6 million gain.</w:t>
      </w:r>
    </w:p>
    <w:p>
      <w:pPr>
        <w:pStyle w:val="TextBody"/>
        <w:spacing w:lineRule="auto" w:line="300" w:before="0" w:after="0"/>
        <w:ind w:left="0" w:right="0" w:firstLine="72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For the two years ended December 31, 2005, we recorded the following results for the Puerto Rico discontinued operations:</w:t>
      </w:r>
    </w:p>
    <w:p>
      <w:pPr>
        <w:pStyle w:val="TextBody"/>
        <w:spacing w:lineRule="auto" w:line="300" w:before="0" w:after="0"/>
        <w:ind w:left="0" w:right="0" w:firstLine="720"/>
        <w:jc w:val="both"/>
        <w:rPr/>
      </w:pPr>
      <w:r>
        <w:rPr/>
      </w:r>
    </w:p>
    <w:p>
      <w:pPr>
        <w:pStyle w:val="Normal"/>
        <w:spacing w:before="0" w:after="0"/>
        <w:rPr>
          <w:sz w:val="4"/>
          <w:szCs w:val="4"/>
        </w:rPr>
      </w:pPr>
      <w:r>
        <w:rPr>
          <w:sz w:val="4"/>
          <w:szCs w:val="4"/>
        </w:rPr>
      </w:r>
      <w:bookmarkStart w:id="3245" w:name="ftable28"/>
      <w:bookmarkStart w:id="3246" w:name="ftable28"/>
      <w:bookmarkEnd w:id="3246"/>
    </w:p>
    <w:tbl>
      <w:tblPr>
        <w:tblW w:w="5000" w:type="pct"/>
        <w:jc w:val="left"/>
        <w:tblInd w:w="0" w:type="dxa"/>
        <w:tblCellMar>
          <w:top w:w="0" w:type="dxa"/>
          <w:left w:w="0" w:type="dxa"/>
          <w:bottom w:w="28" w:type="dxa"/>
          <w:right w:w="0" w:type="dxa"/>
        </w:tblCellMar>
      </w:tblPr>
      <w:tblGrid>
        <w:gridCol w:w="7030"/>
        <w:gridCol w:w="204"/>
        <w:gridCol w:w="127"/>
        <w:gridCol w:w="1185"/>
        <w:gridCol w:w="210"/>
        <w:gridCol w:w="127"/>
        <w:gridCol w:w="1197"/>
        <w:gridCol w:w="125"/>
      </w:tblGrid>
      <w:tr>
        <w:trPr/>
        <w:tc>
          <w:tcPr>
            <w:tcW w:w="7030" w:type="dxa"/>
            <w:tcBorders>
              <w:bottom w:val="double" w:sz="2" w:space="0" w:color="000000"/>
            </w:tcBorders>
            <w:shd w:fill="auto" w:val="clear"/>
            <w:vAlign w:val="bottom"/>
          </w:tcPr>
          <w:p>
            <w:pPr>
              <w:pStyle w:val="TableContents"/>
              <w:spacing w:before="0" w:after="283"/>
              <w:jc w:val="left"/>
              <w:rPr/>
            </w:pPr>
            <w:r>
              <w:rPr/>
              <w:t> </w:t>
            </w:r>
          </w:p>
        </w:tc>
        <w:tc>
          <w:tcPr>
            <w:tcW w:w="204" w:type="dxa"/>
            <w:tcBorders>
              <w:bottom w:val="single" w:sz="4" w:space="0" w:color="FFFFFF"/>
            </w:tcBorders>
            <w:shd w:fill="auto" w:val="clear"/>
            <w:vAlign w:val="center"/>
          </w:tcPr>
          <w:p>
            <w:pPr>
              <w:pStyle w:val="TableContents"/>
              <w:spacing w:before="0" w:after="283"/>
              <w:rPr/>
            </w:pPr>
            <w:r>
              <w:rPr/>
              <w:t> </w:t>
            </w:r>
          </w:p>
        </w:tc>
        <w:tc>
          <w:tcPr>
            <w:tcW w:w="1312" w:type="dxa"/>
            <w:gridSpan w:val="2"/>
            <w:tcBorders>
              <w:bottom w:val="double" w:sz="2" w:space="0" w:color="000000"/>
            </w:tcBorders>
            <w:shd w:fill="auto" w:val="clear"/>
            <w:vAlign w:val="bottom"/>
          </w:tcPr>
          <w:p>
            <w:pPr>
              <w:pStyle w:val="TableContents"/>
              <w:spacing w:lineRule="auto" w:line="300" w:before="0" w:after="0"/>
              <w:ind w:left="180" w:right="0" w:hanging="0"/>
              <w:jc w:val="center"/>
              <w:rPr/>
            </w:pPr>
            <w:r>
              <w:rPr>
                <w:rStyle w:val="StrongEmphasis"/>
                <w:rFonts w:ascii="Times New Roman" w:hAnsi="Times New Roman"/>
                <w:sz w:val="20"/>
              </w:rPr>
              <w:t>2005</w:t>
            </w:r>
          </w:p>
        </w:tc>
        <w:tc>
          <w:tcPr>
            <w:tcW w:w="210" w:type="dxa"/>
            <w:tcBorders>
              <w:bottom w:val="single" w:sz="4" w:space="0" w:color="FFFFFF"/>
            </w:tcBorders>
            <w:shd w:fill="auto" w:val="clear"/>
            <w:vAlign w:val="bottom"/>
          </w:tcPr>
          <w:p>
            <w:pPr>
              <w:pStyle w:val="TableContents"/>
              <w:spacing w:before="0" w:after="283"/>
              <w:jc w:val="left"/>
              <w:rPr/>
            </w:pPr>
            <w:r>
              <w:rPr/>
              <w:t> </w:t>
            </w:r>
          </w:p>
        </w:tc>
        <w:tc>
          <w:tcPr>
            <w:tcW w:w="1324" w:type="dxa"/>
            <w:gridSpan w:val="2"/>
            <w:tcBorders>
              <w:bottom w:val="double" w:sz="2" w:space="0" w:color="000000"/>
            </w:tcBorders>
            <w:shd w:fill="auto" w:val="clear"/>
            <w:vAlign w:val="bottom"/>
          </w:tcPr>
          <w:p>
            <w:pPr>
              <w:pStyle w:val="TableContents"/>
              <w:spacing w:lineRule="auto" w:line="300" w:before="0" w:after="0"/>
              <w:ind w:left="180" w:right="0" w:hanging="0"/>
              <w:jc w:val="center"/>
              <w:rPr/>
            </w:pPr>
            <w:r>
              <w:rPr>
                <w:rStyle w:val="StrongEmphasis"/>
                <w:rFonts w:ascii="Times New Roman" w:hAnsi="Times New Roman"/>
                <w:sz w:val="20"/>
              </w:rPr>
              <w:t>2004</w:t>
            </w:r>
          </w:p>
        </w:tc>
        <w:tc>
          <w:tcPr>
            <w:tcW w:w="125" w:type="dxa"/>
            <w:tcBorders>
              <w:bottom w:val="single" w:sz="4" w:space="0" w:color="FFFFFF"/>
            </w:tcBorders>
            <w:shd w:fill="auto" w:val="clear"/>
            <w:vAlign w:val="bottom"/>
          </w:tcPr>
          <w:p>
            <w:pPr>
              <w:pStyle w:val="TableContents"/>
              <w:spacing w:before="0" w:after="283"/>
              <w:jc w:val="left"/>
              <w:rPr/>
            </w:pPr>
            <w:r>
              <w:rPr/>
              <w:t> </w:t>
            </w:r>
          </w:p>
        </w:tc>
      </w:tr>
      <w:tr>
        <w:trPr/>
        <w:tc>
          <w:tcPr>
            <w:tcW w:w="7030" w:type="dxa"/>
            <w:tcBorders/>
            <w:shd w:fill="CCEEFF" w:val="clear"/>
            <w:tcMar>
              <w:bottom w:w="0" w:type="dxa"/>
            </w:tcMar>
            <w:vAlign w:val="bottom"/>
          </w:tcPr>
          <w:p>
            <w:pPr>
              <w:pStyle w:val="TableContents"/>
              <w:spacing w:lineRule="auto" w:line="300" w:before="0" w:after="0"/>
              <w:ind w:left="360" w:right="0" w:hanging="180"/>
              <w:jc w:val="left"/>
              <w:rPr>
                <w:rFonts w:ascii="Times New Roman" w:hAnsi="Times New Roman"/>
                <w:sz w:val="20"/>
              </w:rPr>
            </w:pPr>
            <w:r>
              <w:rPr>
                <w:rFonts w:ascii="Times New Roman" w:hAnsi="Times New Roman"/>
                <w:sz w:val="20"/>
              </w:rPr>
              <w:t>Revenue</w:t>
            </w:r>
          </w:p>
        </w:tc>
        <w:tc>
          <w:tcPr>
            <w:tcW w:w="204" w:type="dxa"/>
            <w:tcBorders/>
            <w:shd w:fill="CCEEFF" w:val="clear"/>
            <w:tcMar>
              <w:bottom w:w="0" w:type="dxa"/>
            </w:tcMar>
            <w:vAlign w:val="center"/>
          </w:tcPr>
          <w:p>
            <w:pPr>
              <w:pStyle w:val="TableContents"/>
              <w:spacing w:before="0" w:after="283"/>
              <w:rPr/>
            </w:pPr>
            <w:r>
              <w:rPr/>
              <w:t> </w:t>
            </w:r>
          </w:p>
        </w:tc>
        <w:tc>
          <w:tcPr>
            <w:tcW w:w="127"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bookmarkStart w:id="3247" w:name="TAB2129"/>
            <w:bookmarkEnd w:id="3247"/>
          </w:p>
        </w:tc>
        <w:tc>
          <w:tcPr>
            <w:tcW w:w="1185"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3248" w:name="TAB2130"/>
            <w:bookmarkEnd w:id="3248"/>
            <w:r>
              <w:rPr>
                <w:rFonts w:ascii="Times New Roman" w:hAnsi="Times New Roman"/>
                <w:sz w:val="20"/>
              </w:rPr>
              <w:t>4,575</w:t>
            </w:r>
          </w:p>
        </w:tc>
        <w:tc>
          <w:tcPr>
            <w:tcW w:w="210" w:type="dxa"/>
            <w:tcBorders/>
            <w:shd w:fill="CCEEFF" w:val="clear"/>
            <w:tcMar>
              <w:bottom w:w="0" w:type="dxa"/>
            </w:tcMar>
            <w:vAlign w:val="bottom"/>
          </w:tcPr>
          <w:p>
            <w:pPr>
              <w:pStyle w:val="TableContents"/>
              <w:spacing w:before="0" w:after="283"/>
              <w:jc w:val="left"/>
              <w:rPr/>
            </w:pPr>
            <w:r>
              <w:rPr/>
              <w:t> </w:t>
            </w:r>
          </w:p>
        </w:tc>
        <w:tc>
          <w:tcPr>
            <w:tcW w:w="127"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bookmarkStart w:id="3249" w:name="TAB2131"/>
            <w:bookmarkEnd w:id="3249"/>
          </w:p>
        </w:tc>
        <w:tc>
          <w:tcPr>
            <w:tcW w:w="1197"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3250" w:name="TAB2132"/>
            <w:bookmarkEnd w:id="3250"/>
            <w:r>
              <w:rPr>
                <w:rFonts w:ascii="Times New Roman" w:hAnsi="Times New Roman"/>
                <w:sz w:val="20"/>
              </w:rPr>
              <w:t>12,932</w:t>
            </w:r>
          </w:p>
        </w:tc>
        <w:tc>
          <w:tcPr>
            <w:tcW w:w="125" w:type="dxa"/>
            <w:tcBorders/>
            <w:shd w:fill="CCEEFF" w:val="clear"/>
            <w:tcMar>
              <w:bottom w:w="0" w:type="dxa"/>
            </w:tcMar>
            <w:vAlign w:val="bottom"/>
          </w:tcPr>
          <w:p>
            <w:pPr>
              <w:pStyle w:val="TableContents"/>
              <w:spacing w:before="0" w:after="283"/>
              <w:jc w:val="left"/>
              <w:rPr/>
            </w:pPr>
            <w:r>
              <w:rPr/>
              <w:t> </w:t>
            </w:r>
          </w:p>
        </w:tc>
      </w:tr>
      <w:tr>
        <w:trPr/>
        <w:tc>
          <w:tcPr>
            <w:tcW w:w="7030" w:type="dxa"/>
            <w:tcBorders/>
            <w:shd w:fill="FFFFFF" w:val="clear"/>
            <w:tcMar>
              <w:bottom w:w="0" w:type="dxa"/>
            </w:tcMar>
            <w:vAlign w:val="bottom"/>
          </w:tcPr>
          <w:p>
            <w:pPr>
              <w:pStyle w:val="TableContents"/>
              <w:spacing w:lineRule="auto" w:line="300" w:before="0" w:after="0"/>
              <w:ind w:left="360" w:right="0" w:hanging="180"/>
              <w:jc w:val="left"/>
              <w:rPr>
                <w:rFonts w:ascii="Times New Roman" w:hAnsi="Times New Roman"/>
                <w:sz w:val="20"/>
              </w:rPr>
            </w:pPr>
            <w:r>
              <w:rPr>
                <w:rFonts w:ascii="Times New Roman" w:hAnsi="Times New Roman"/>
                <w:sz w:val="20"/>
              </w:rPr>
              <w:t>Operating expense</w:t>
            </w:r>
          </w:p>
        </w:tc>
        <w:tc>
          <w:tcPr>
            <w:tcW w:w="204" w:type="dxa"/>
            <w:tcBorders/>
            <w:shd w:fill="FFFFFF" w:val="clear"/>
            <w:tcMar>
              <w:bottom w:w="0" w:type="dxa"/>
            </w:tcMar>
            <w:vAlign w:val="center"/>
          </w:tcPr>
          <w:p>
            <w:pPr>
              <w:pStyle w:val="TableContents"/>
              <w:spacing w:before="0" w:after="283"/>
              <w:rPr/>
            </w:pPr>
            <w:r>
              <w:rPr/>
              <w:t> </w:t>
            </w:r>
          </w:p>
        </w:tc>
        <w:tc>
          <w:tcPr>
            <w:tcW w:w="127" w:type="dxa"/>
            <w:tcBorders/>
            <w:shd w:fill="FFFFFF" w:val="clear"/>
            <w:tcMar>
              <w:bottom w:w="0" w:type="dxa"/>
            </w:tcMar>
            <w:vAlign w:val="bottom"/>
          </w:tcPr>
          <w:p>
            <w:pPr>
              <w:pStyle w:val="TableContents"/>
              <w:spacing w:before="0" w:after="283"/>
              <w:jc w:val="left"/>
              <w:rPr/>
            </w:pPr>
            <w:r>
              <w:rPr/>
              <w:t> </w:t>
            </w:r>
          </w:p>
        </w:tc>
        <w:tc>
          <w:tcPr>
            <w:tcW w:w="1185"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5,752</w:t>
            </w:r>
          </w:p>
        </w:tc>
        <w:tc>
          <w:tcPr>
            <w:tcW w:w="210" w:type="dxa"/>
            <w:tcBorders/>
            <w:shd w:fill="FFFFFF" w:val="clear"/>
            <w:tcMar>
              <w:bottom w:w="0" w:type="dxa"/>
            </w:tcMar>
            <w:vAlign w:val="bottom"/>
          </w:tcPr>
          <w:p>
            <w:pPr>
              <w:pStyle w:val="TableContents"/>
              <w:spacing w:before="0" w:after="283"/>
              <w:jc w:val="left"/>
              <w:rPr/>
            </w:pPr>
            <w:r>
              <w:rPr/>
              <w:t> </w:t>
            </w:r>
          </w:p>
        </w:tc>
        <w:tc>
          <w:tcPr>
            <w:tcW w:w="127" w:type="dxa"/>
            <w:tcBorders/>
            <w:shd w:fill="FFFFFF" w:val="clear"/>
            <w:tcMar>
              <w:bottom w:w="0" w:type="dxa"/>
            </w:tcMar>
            <w:vAlign w:val="bottom"/>
          </w:tcPr>
          <w:p>
            <w:pPr>
              <w:pStyle w:val="TableContents"/>
              <w:spacing w:before="0" w:after="283"/>
              <w:jc w:val="left"/>
              <w:rPr/>
            </w:pPr>
            <w:r>
              <w:rPr/>
              <w:t> </w:t>
            </w:r>
          </w:p>
        </w:tc>
        <w:tc>
          <w:tcPr>
            <w:tcW w:w="1197"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12,347</w:t>
            </w:r>
          </w:p>
        </w:tc>
        <w:tc>
          <w:tcPr>
            <w:tcW w:w="125" w:type="dxa"/>
            <w:tcBorders/>
            <w:shd w:fill="FFFFFF" w:val="clear"/>
            <w:tcMar>
              <w:bottom w:w="0" w:type="dxa"/>
            </w:tcMar>
            <w:vAlign w:val="bottom"/>
          </w:tcPr>
          <w:p>
            <w:pPr>
              <w:pStyle w:val="TableContents"/>
              <w:spacing w:before="0" w:after="283"/>
              <w:jc w:val="left"/>
              <w:rPr/>
            </w:pPr>
            <w:r>
              <w:rPr/>
              <w:t> </w:t>
            </w:r>
          </w:p>
        </w:tc>
      </w:tr>
      <w:tr>
        <w:trPr/>
        <w:tc>
          <w:tcPr>
            <w:tcW w:w="7030" w:type="dxa"/>
            <w:tcBorders/>
            <w:shd w:fill="CCEEFF" w:val="clear"/>
            <w:tcMar>
              <w:bottom w:w="0" w:type="dxa"/>
            </w:tcMar>
            <w:vAlign w:val="bottom"/>
          </w:tcPr>
          <w:p>
            <w:pPr>
              <w:pStyle w:val="TableContents"/>
              <w:spacing w:lineRule="auto" w:line="300" w:before="0" w:after="0"/>
              <w:ind w:left="360" w:right="0" w:hanging="180"/>
              <w:jc w:val="left"/>
              <w:rPr>
                <w:rFonts w:ascii="Times New Roman" w:hAnsi="Times New Roman"/>
                <w:sz w:val="20"/>
              </w:rPr>
            </w:pPr>
            <w:r>
              <w:rPr>
                <w:rFonts w:ascii="Times New Roman" w:hAnsi="Times New Roman"/>
                <w:sz w:val="20"/>
              </w:rPr>
              <w:t>Depreciation &amp; amortization expense</w:t>
            </w:r>
          </w:p>
        </w:tc>
        <w:tc>
          <w:tcPr>
            <w:tcW w:w="204" w:type="dxa"/>
            <w:tcBorders/>
            <w:shd w:fill="CCEEFF" w:val="clear"/>
            <w:tcMar>
              <w:bottom w:w="0" w:type="dxa"/>
            </w:tcMar>
            <w:vAlign w:val="center"/>
          </w:tcPr>
          <w:p>
            <w:pPr>
              <w:pStyle w:val="TableContents"/>
              <w:spacing w:before="0" w:after="283"/>
              <w:rPr/>
            </w:pPr>
            <w:r>
              <w:rPr/>
              <w:t> </w:t>
            </w:r>
          </w:p>
        </w:tc>
        <w:tc>
          <w:tcPr>
            <w:tcW w:w="127" w:type="dxa"/>
            <w:tcBorders/>
            <w:shd w:fill="CCEEFF" w:val="clear"/>
            <w:tcMar>
              <w:bottom w:w="0" w:type="dxa"/>
            </w:tcMar>
            <w:vAlign w:val="bottom"/>
          </w:tcPr>
          <w:p>
            <w:pPr>
              <w:pStyle w:val="TableContents"/>
              <w:spacing w:before="0" w:after="283"/>
              <w:jc w:val="left"/>
              <w:rPr/>
            </w:pPr>
            <w:r>
              <w:rPr/>
              <w:t> </w:t>
            </w:r>
          </w:p>
        </w:tc>
        <w:tc>
          <w:tcPr>
            <w:tcW w:w="1185"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206</w:t>
            </w:r>
          </w:p>
        </w:tc>
        <w:tc>
          <w:tcPr>
            <w:tcW w:w="210" w:type="dxa"/>
            <w:tcBorders/>
            <w:shd w:fill="CCEEFF" w:val="clear"/>
            <w:tcMar>
              <w:bottom w:w="0" w:type="dxa"/>
            </w:tcMar>
            <w:vAlign w:val="bottom"/>
          </w:tcPr>
          <w:p>
            <w:pPr>
              <w:pStyle w:val="TableContents"/>
              <w:spacing w:before="0" w:after="283"/>
              <w:jc w:val="left"/>
              <w:rPr/>
            </w:pPr>
            <w:r>
              <w:rPr/>
              <w:t> </w:t>
            </w:r>
          </w:p>
        </w:tc>
        <w:tc>
          <w:tcPr>
            <w:tcW w:w="127" w:type="dxa"/>
            <w:tcBorders/>
            <w:shd w:fill="CCEEFF" w:val="clear"/>
            <w:tcMar>
              <w:bottom w:w="0" w:type="dxa"/>
            </w:tcMar>
            <w:vAlign w:val="bottom"/>
          </w:tcPr>
          <w:p>
            <w:pPr>
              <w:pStyle w:val="TableContents"/>
              <w:spacing w:before="0" w:after="283"/>
              <w:jc w:val="left"/>
              <w:rPr/>
            </w:pPr>
            <w:r>
              <w:rPr/>
              <w:t> </w:t>
            </w:r>
          </w:p>
        </w:tc>
        <w:tc>
          <w:tcPr>
            <w:tcW w:w="1197"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475</w:t>
            </w:r>
          </w:p>
        </w:tc>
        <w:tc>
          <w:tcPr>
            <w:tcW w:w="125" w:type="dxa"/>
            <w:tcBorders/>
            <w:shd w:fill="CCEEFF" w:val="clear"/>
            <w:tcMar>
              <w:bottom w:w="0" w:type="dxa"/>
            </w:tcMar>
            <w:vAlign w:val="bottom"/>
          </w:tcPr>
          <w:p>
            <w:pPr>
              <w:pStyle w:val="TableContents"/>
              <w:spacing w:before="0" w:after="283"/>
              <w:jc w:val="left"/>
              <w:rPr/>
            </w:pPr>
            <w:r>
              <w:rPr/>
              <w:t> </w:t>
            </w:r>
          </w:p>
        </w:tc>
      </w:tr>
      <w:tr>
        <w:trPr/>
        <w:tc>
          <w:tcPr>
            <w:tcW w:w="7030" w:type="dxa"/>
            <w:tcBorders>
              <w:bottom w:val="single" w:sz="2" w:space="0" w:color="000000"/>
            </w:tcBorders>
            <w:shd w:fill="FFFFFF" w:val="clear"/>
            <w:vAlign w:val="bottom"/>
          </w:tcPr>
          <w:p>
            <w:pPr>
              <w:pStyle w:val="TableContents"/>
              <w:spacing w:lineRule="auto" w:line="300" w:before="0" w:after="0"/>
              <w:ind w:left="360" w:right="0" w:hanging="180"/>
              <w:jc w:val="left"/>
              <w:rPr>
                <w:rFonts w:ascii="Times New Roman" w:hAnsi="Times New Roman"/>
                <w:sz w:val="20"/>
              </w:rPr>
            </w:pPr>
            <w:r>
              <w:rPr>
                <w:rFonts w:ascii="Times New Roman" w:hAnsi="Times New Roman"/>
                <w:sz w:val="20"/>
              </w:rPr>
              <w:t>General &amp; administrative expense</w:t>
            </w:r>
          </w:p>
        </w:tc>
        <w:tc>
          <w:tcPr>
            <w:tcW w:w="204" w:type="dxa"/>
            <w:tcBorders>
              <w:bottom w:val="single" w:sz="2" w:space="0" w:color="FFFFFF"/>
            </w:tcBorders>
            <w:shd w:fill="FFFFFF" w:val="clear"/>
            <w:vAlign w:val="center"/>
          </w:tcPr>
          <w:p>
            <w:pPr>
              <w:pStyle w:val="TableContents"/>
              <w:spacing w:before="0" w:after="283"/>
              <w:rPr/>
            </w:pPr>
            <w:r>
              <w:rPr/>
              <w:t> </w:t>
            </w:r>
          </w:p>
        </w:tc>
        <w:tc>
          <w:tcPr>
            <w:tcW w:w="127" w:type="dxa"/>
            <w:tcBorders>
              <w:bottom w:val="single" w:sz="2" w:space="0" w:color="000000"/>
            </w:tcBorders>
            <w:shd w:fill="FFFFFF" w:val="clear"/>
            <w:vAlign w:val="bottom"/>
          </w:tcPr>
          <w:p>
            <w:pPr>
              <w:pStyle w:val="TableContents"/>
              <w:spacing w:before="0" w:after="283"/>
              <w:jc w:val="left"/>
              <w:rPr/>
            </w:pPr>
            <w:r>
              <w:rPr/>
              <w:t> </w:t>
            </w:r>
          </w:p>
        </w:tc>
        <w:tc>
          <w:tcPr>
            <w:tcW w:w="1185"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383</w:t>
            </w:r>
          </w:p>
        </w:tc>
        <w:tc>
          <w:tcPr>
            <w:tcW w:w="210" w:type="dxa"/>
            <w:tcBorders>
              <w:bottom w:val="single" w:sz="2" w:space="0" w:color="FFFFFF"/>
            </w:tcBorders>
            <w:shd w:fill="FFFFFF" w:val="clear"/>
            <w:vAlign w:val="bottom"/>
          </w:tcPr>
          <w:p>
            <w:pPr>
              <w:pStyle w:val="TableContents"/>
              <w:spacing w:before="0" w:after="283"/>
              <w:jc w:val="left"/>
              <w:rPr/>
            </w:pPr>
            <w:r>
              <w:rPr/>
              <w:t> </w:t>
            </w:r>
          </w:p>
        </w:tc>
        <w:tc>
          <w:tcPr>
            <w:tcW w:w="127" w:type="dxa"/>
            <w:tcBorders>
              <w:bottom w:val="single" w:sz="2" w:space="0" w:color="000000"/>
            </w:tcBorders>
            <w:shd w:fill="FFFFFF" w:val="clear"/>
            <w:vAlign w:val="bottom"/>
          </w:tcPr>
          <w:p>
            <w:pPr>
              <w:pStyle w:val="TableContents"/>
              <w:spacing w:before="0" w:after="283"/>
              <w:jc w:val="left"/>
              <w:rPr/>
            </w:pPr>
            <w:r>
              <w:rPr/>
              <w:t> </w:t>
            </w:r>
          </w:p>
        </w:tc>
        <w:tc>
          <w:tcPr>
            <w:tcW w:w="1197"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798</w:t>
            </w:r>
          </w:p>
        </w:tc>
        <w:tc>
          <w:tcPr>
            <w:tcW w:w="125" w:type="dxa"/>
            <w:tcBorders>
              <w:bottom w:val="single" w:sz="2" w:space="0" w:color="FFFFFF"/>
            </w:tcBorders>
            <w:shd w:fill="FFFFFF" w:val="clear"/>
            <w:vAlign w:val="bottom"/>
          </w:tcPr>
          <w:p>
            <w:pPr>
              <w:pStyle w:val="TableContents"/>
              <w:spacing w:before="0" w:after="283"/>
              <w:jc w:val="left"/>
              <w:rPr/>
            </w:pPr>
            <w:r>
              <w:rPr/>
              <w:t> </w:t>
            </w:r>
          </w:p>
        </w:tc>
      </w:tr>
      <w:tr>
        <w:trPr/>
        <w:tc>
          <w:tcPr>
            <w:tcW w:w="7030" w:type="dxa"/>
            <w:tcBorders/>
            <w:shd w:fill="CCEEFF" w:val="clear"/>
            <w:tcMar>
              <w:bottom w:w="0" w:type="dxa"/>
            </w:tcMar>
            <w:vAlign w:val="bottom"/>
          </w:tcPr>
          <w:p>
            <w:pPr>
              <w:pStyle w:val="TableContents"/>
              <w:spacing w:lineRule="auto" w:line="300" w:before="0" w:after="0"/>
              <w:ind w:left="360" w:right="0" w:hanging="180"/>
              <w:jc w:val="left"/>
              <w:rPr>
                <w:rFonts w:ascii="Times New Roman" w:hAnsi="Times New Roman"/>
                <w:sz w:val="20"/>
              </w:rPr>
            </w:pPr>
            <w:r>
              <w:rPr>
                <w:rFonts w:ascii="Times New Roman" w:hAnsi="Times New Roman"/>
                <w:sz w:val="20"/>
              </w:rPr>
              <w:t>Loss from discontinued operations before gain on sale</w:t>
            </w:r>
          </w:p>
        </w:tc>
        <w:tc>
          <w:tcPr>
            <w:tcW w:w="204" w:type="dxa"/>
            <w:tcBorders/>
            <w:shd w:fill="CCEEFF" w:val="clear"/>
            <w:tcMar>
              <w:bottom w:w="0" w:type="dxa"/>
            </w:tcMar>
            <w:vAlign w:val="center"/>
          </w:tcPr>
          <w:p>
            <w:pPr>
              <w:pStyle w:val="TableContents"/>
              <w:spacing w:before="0" w:after="283"/>
              <w:rPr/>
            </w:pPr>
            <w:r>
              <w:rPr/>
              <w:t> </w:t>
            </w:r>
          </w:p>
        </w:tc>
        <w:tc>
          <w:tcPr>
            <w:tcW w:w="127" w:type="dxa"/>
            <w:tcBorders/>
            <w:shd w:fill="CCEEFF" w:val="clear"/>
            <w:tcMar>
              <w:bottom w:w="0" w:type="dxa"/>
            </w:tcMar>
            <w:vAlign w:val="bottom"/>
          </w:tcPr>
          <w:p>
            <w:pPr>
              <w:pStyle w:val="TableContents"/>
              <w:spacing w:before="0" w:after="283"/>
              <w:jc w:val="left"/>
              <w:rPr/>
            </w:pPr>
            <w:r>
              <w:rPr/>
              <w:t> </w:t>
            </w:r>
          </w:p>
        </w:tc>
        <w:tc>
          <w:tcPr>
            <w:tcW w:w="1185"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(1,766</w:t>
            </w:r>
          </w:p>
        </w:tc>
        <w:tc>
          <w:tcPr>
            <w:tcW w:w="210"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27" w:type="dxa"/>
            <w:tcBorders/>
            <w:shd w:fill="CCEEFF" w:val="clear"/>
            <w:tcMar>
              <w:bottom w:w="0" w:type="dxa"/>
            </w:tcMar>
            <w:vAlign w:val="bottom"/>
          </w:tcPr>
          <w:p>
            <w:pPr>
              <w:pStyle w:val="TableContents"/>
              <w:spacing w:before="0" w:after="283"/>
              <w:jc w:val="left"/>
              <w:rPr/>
            </w:pPr>
            <w:r>
              <w:rPr/>
              <w:t> </w:t>
            </w:r>
          </w:p>
        </w:tc>
        <w:tc>
          <w:tcPr>
            <w:tcW w:w="1197"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(688</w:t>
            </w:r>
          </w:p>
        </w:tc>
        <w:tc>
          <w:tcPr>
            <w:tcW w:w="125"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r>
      <w:tr>
        <w:trPr/>
        <w:tc>
          <w:tcPr>
            <w:tcW w:w="7030" w:type="dxa"/>
            <w:tcBorders>
              <w:bottom w:val="single" w:sz="2" w:space="0" w:color="000000"/>
            </w:tcBorders>
            <w:shd w:fill="FFFFFF" w:val="clear"/>
            <w:vAlign w:val="bottom"/>
          </w:tcPr>
          <w:p>
            <w:pPr>
              <w:pStyle w:val="TableContents"/>
              <w:spacing w:lineRule="auto" w:line="300" w:before="0" w:after="0"/>
              <w:ind w:left="360" w:right="0" w:hanging="180"/>
              <w:jc w:val="left"/>
              <w:rPr>
                <w:rFonts w:ascii="Times New Roman" w:hAnsi="Times New Roman"/>
                <w:sz w:val="20"/>
              </w:rPr>
            </w:pPr>
            <w:r>
              <w:rPr>
                <w:rFonts w:ascii="Times New Roman" w:hAnsi="Times New Roman"/>
                <w:sz w:val="20"/>
              </w:rPr>
              <w:t>Gain on sale</w:t>
            </w:r>
          </w:p>
        </w:tc>
        <w:tc>
          <w:tcPr>
            <w:tcW w:w="204" w:type="dxa"/>
            <w:tcBorders>
              <w:bottom w:val="single" w:sz="2" w:space="0" w:color="FFFFFF"/>
            </w:tcBorders>
            <w:shd w:fill="FFFFFF" w:val="clear"/>
            <w:vAlign w:val="center"/>
          </w:tcPr>
          <w:p>
            <w:pPr>
              <w:pStyle w:val="TableContents"/>
              <w:spacing w:before="0" w:after="283"/>
              <w:rPr/>
            </w:pPr>
            <w:r>
              <w:rPr/>
              <w:t> </w:t>
            </w:r>
          </w:p>
        </w:tc>
        <w:tc>
          <w:tcPr>
            <w:tcW w:w="127" w:type="dxa"/>
            <w:tcBorders>
              <w:bottom w:val="single" w:sz="2" w:space="0" w:color="000000"/>
            </w:tcBorders>
            <w:shd w:fill="FFFFFF" w:val="clear"/>
            <w:vAlign w:val="bottom"/>
          </w:tcPr>
          <w:p>
            <w:pPr>
              <w:pStyle w:val="TableContents"/>
              <w:spacing w:before="0" w:after="283"/>
              <w:jc w:val="left"/>
              <w:rPr/>
            </w:pPr>
            <w:r>
              <w:rPr/>
              <w:t> </w:t>
            </w:r>
          </w:p>
        </w:tc>
        <w:tc>
          <w:tcPr>
            <w:tcW w:w="1185"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1,597</w:t>
            </w:r>
          </w:p>
        </w:tc>
        <w:tc>
          <w:tcPr>
            <w:tcW w:w="210" w:type="dxa"/>
            <w:tcBorders>
              <w:bottom w:val="single" w:sz="2" w:space="0" w:color="FFFFFF"/>
            </w:tcBorders>
            <w:shd w:fill="FFFFFF" w:val="clear"/>
            <w:vAlign w:val="bottom"/>
          </w:tcPr>
          <w:p>
            <w:pPr>
              <w:pStyle w:val="TableContents"/>
              <w:spacing w:before="0" w:after="283"/>
              <w:jc w:val="left"/>
              <w:rPr/>
            </w:pPr>
            <w:r>
              <w:rPr/>
              <w:t> </w:t>
            </w:r>
          </w:p>
        </w:tc>
        <w:tc>
          <w:tcPr>
            <w:tcW w:w="127" w:type="dxa"/>
            <w:tcBorders>
              <w:bottom w:val="single" w:sz="2" w:space="0" w:color="000000"/>
            </w:tcBorders>
            <w:shd w:fill="FFFFFF" w:val="clear"/>
            <w:vAlign w:val="bottom"/>
          </w:tcPr>
          <w:p>
            <w:pPr>
              <w:pStyle w:val="TableContents"/>
              <w:spacing w:before="0" w:after="283"/>
              <w:jc w:val="left"/>
              <w:rPr/>
            </w:pPr>
            <w:r>
              <w:rPr/>
              <w:t> </w:t>
            </w:r>
          </w:p>
        </w:tc>
        <w:tc>
          <w:tcPr>
            <w:tcW w:w="1197"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125" w:type="dxa"/>
            <w:tcBorders>
              <w:bottom w:val="single" w:sz="2" w:space="0" w:color="FFFFFF"/>
            </w:tcBorders>
            <w:shd w:fill="FFFFFF" w:val="clear"/>
            <w:vAlign w:val="bottom"/>
          </w:tcPr>
          <w:p>
            <w:pPr>
              <w:pStyle w:val="TableContents"/>
              <w:spacing w:before="0" w:after="283"/>
              <w:jc w:val="left"/>
              <w:rPr/>
            </w:pPr>
            <w:r>
              <w:rPr/>
              <w:t> </w:t>
            </w:r>
          </w:p>
        </w:tc>
      </w:tr>
      <w:tr>
        <w:trPr/>
        <w:tc>
          <w:tcPr>
            <w:tcW w:w="7030" w:type="dxa"/>
            <w:tcBorders>
              <w:bottom w:val="double" w:sz="2" w:space="0" w:color="000000"/>
            </w:tcBorders>
            <w:shd w:fill="CCEEFF" w:val="clear"/>
            <w:vAlign w:val="bottom"/>
          </w:tcPr>
          <w:p>
            <w:pPr>
              <w:pStyle w:val="TableContents"/>
              <w:spacing w:lineRule="auto" w:line="300" w:before="0" w:after="0"/>
              <w:ind w:left="360" w:right="0" w:hanging="180"/>
              <w:jc w:val="left"/>
              <w:rPr>
                <w:rFonts w:ascii="Times New Roman" w:hAnsi="Times New Roman"/>
                <w:sz w:val="20"/>
              </w:rPr>
            </w:pPr>
            <w:r>
              <w:rPr>
                <w:rFonts w:ascii="Times New Roman" w:hAnsi="Times New Roman"/>
                <w:sz w:val="20"/>
              </w:rPr>
              <w:t>Total loss from discontinued operations</w:t>
            </w:r>
          </w:p>
        </w:tc>
        <w:tc>
          <w:tcPr>
            <w:tcW w:w="204" w:type="dxa"/>
            <w:tcBorders>
              <w:bottom w:val="single" w:sz="4" w:space="0" w:color="CCEEFF"/>
            </w:tcBorders>
            <w:shd w:fill="CCEEFF" w:val="clear"/>
            <w:vAlign w:val="center"/>
          </w:tcPr>
          <w:p>
            <w:pPr>
              <w:pStyle w:val="TableContents"/>
              <w:spacing w:before="0" w:after="283"/>
              <w:rPr/>
            </w:pPr>
            <w:r>
              <w:rPr/>
              <w:t> </w:t>
            </w:r>
          </w:p>
        </w:tc>
        <w:tc>
          <w:tcPr>
            <w:tcW w:w="127" w:type="dxa"/>
            <w:tcBorders>
              <w:bottom w:val="doub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185" w:type="dxa"/>
            <w:tcBorders>
              <w:bottom w:val="doub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(169</w:t>
            </w:r>
          </w:p>
        </w:tc>
        <w:tc>
          <w:tcPr>
            <w:tcW w:w="210" w:type="dxa"/>
            <w:tcBorders>
              <w:bottom w:val="single" w:sz="4" w:space="0" w:color="CCEEFF"/>
            </w:tcBorders>
            <w:shd w:fill="CCEE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27" w:type="dxa"/>
            <w:tcBorders>
              <w:bottom w:val="doub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197" w:type="dxa"/>
            <w:tcBorders>
              <w:bottom w:val="doub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(688</w:t>
            </w:r>
          </w:p>
        </w:tc>
        <w:tc>
          <w:tcPr>
            <w:tcW w:w="125" w:type="dxa"/>
            <w:tcBorders>
              <w:bottom w:val="single" w:sz="4" w:space="0" w:color="CCEEFF"/>
            </w:tcBorders>
            <w:shd w:fill="CCEE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r>
    </w:tbl>
    <w:p>
      <w:pPr>
        <w:pStyle w:val="TextBody"/>
        <w:spacing w:lineRule="auto" w:line="300" w:before="0" w:after="0"/>
        <w:ind w:left="0" w:right="0" w:hanging="0"/>
        <w:jc w:val="left"/>
        <w:rPr/>
      </w:pPr>
      <w:r>
        <w:rPr/>
      </w:r>
    </w:p>
    <w:p>
      <w:pPr>
        <w:pStyle w:val="TextBody"/>
        <w:spacing w:lineRule="auto" w:line="300" w:before="0" w:after="0"/>
        <w:ind w:left="0" w:right="0" w:hanging="0"/>
        <w:jc w:val="left"/>
        <w:rPr>
          <w:rFonts w:ascii="Times New Roman" w:hAnsi="Times New Roman"/>
          <w:sz w:val="20"/>
          <w:u w:val="single"/>
        </w:rPr>
      </w:pPr>
      <w:r>
        <w:rPr>
          <w:rFonts w:ascii="Times New Roman" w:hAnsi="Times New Roman"/>
          <w:sz w:val="20"/>
          <w:u w:val="single"/>
        </w:rPr>
        <w:t>2004 Transactions</w:t>
      </w:r>
    </w:p>
    <w:p>
      <w:pPr>
        <w:pStyle w:val="TextBody"/>
        <w:spacing w:lineRule="auto" w:line="300" w:before="0" w:after="0"/>
        <w:ind w:left="0" w:right="0" w:hanging="0"/>
        <w:jc w:val="left"/>
        <w:rPr/>
      </w:pPr>
      <w:r>
        <w:rPr/>
      </w:r>
    </w:p>
    <w:p>
      <w:pPr>
        <w:pStyle w:val="TextBody"/>
        <w:spacing w:lineRule="auto" w:line="300" w:before="0" w:after="0"/>
        <w:ind w:left="0" w:right="0" w:firstLine="720"/>
        <w:jc w:val="left"/>
        <w:rPr>
          <w:rFonts w:ascii="Times New Roman" w:hAnsi="Times New Roman"/>
          <w:sz w:val="20"/>
        </w:rPr>
      </w:pPr>
      <w:r>
        <w:rPr>
          <w:rFonts w:ascii="Times New Roman" w:hAnsi="Times New Roman"/>
          <w:sz w:val="20"/>
        </w:rPr>
        <w:t>We did not have any transactions involving discontinued operations or disposals during 2004.</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pPr>
      <w:r>
        <w:rPr/>
      </w:r>
    </w:p>
    <w:p>
      <w:pPr>
        <w:pStyle w:val="TextBody"/>
        <w:spacing w:lineRule="auto" w:line="300" w:before="0" w:after="0"/>
        <w:ind w:left="0" w:right="0" w:hanging="0"/>
        <w:jc w:val="left"/>
        <w:rPr/>
      </w:pPr>
      <w:r>
        <w:rPr>
          <w:rStyle w:val="StrongEmphasis"/>
          <w:rFonts w:ascii="Times New Roman" w:hAnsi="Times New Roman"/>
          <w:sz w:val="20"/>
          <w:u w:val="single"/>
        </w:rPr>
        <w:t>Note 10 - Goodwill and Intangible Assets</w:t>
      </w:r>
    </w:p>
    <w:p>
      <w:pPr>
        <w:pStyle w:val="TextBody"/>
        <w:spacing w:lineRule="auto" w:line="300" w:before="0" w:after="0"/>
        <w:ind w:left="0" w:right="0" w:hanging="0"/>
        <w:jc w:val="left"/>
        <w:rPr/>
      </w:pPr>
      <w:r>
        <w:rPr/>
      </w:r>
    </w:p>
    <w:p>
      <w:pPr>
        <w:pStyle w:val="TextBody"/>
        <w:spacing w:lineRule="auto" w:line="300" w:before="0" w:after="0"/>
        <w:ind w:left="720" w:right="0" w:hanging="0"/>
        <w:jc w:val="both"/>
        <w:rPr>
          <w:rFonts w:ascii="Times New Roman" w:hAnsi="Times New Roman"/>
          <w:sz w:val="20"/>
        </w:rPr>
      </w:pPr>
      <w:bookmarkStart w:id="3251" w:name="TAB11530"/>
      <w:bookmarkEnd w:id="3251"/>
      <w:r>
        <w:rPr>
          <w:rFonts w:ascii="Times New Roman" w:hAnsi="Times New Roman"/>
          <w:sz w:val="20"/>
        </w:rPr>
        <w:t>Goodwill associated with our asset acquisitions is tested for impairment in the third quarter with continued evaluation through the fourth quarter of every year. Based on the projected profits and cash flows of the related assets, it was determined that there is no indication of impairment to our goodwill as of December 31, 2006 or 2005. Goodwill increased during the period primarily due to</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252" w:name="PGBRK92"/>
      <w:bookmarkStart w:id="3253" w:name="PGBRK92"/>
      <w:bookmarkEnd w:id="325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254" w:name="FTR92"/>
      <w:bookmarkStart w:id="3255" w:name="FTR92"/>
      <w:bookmarkEnd w:id="325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256" w:name="GLFTR92"/>
      <w:bookmarkStart w:id="3257" w:name="GLFTR92"/>
      <w:bookmarkEnd w:id="325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3258" w:name="PN92"/>
      <w:bookmarkEnd w:id="3258"/>
      <w:r>
        <w:rPr>
          <w:rFonts w:ascii="Times New Roman" w:hAnsi="Times New Roman"/>
          <w:sz w:val="16"/>
        </w:rPr>
        <w:t>-92-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259" w:name="HDR92"/>
      <w:bookmarkStart w:id="3260" w:name="HDR92"/>
      <w:bookmarkEnd w:id="326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3261" w:name="GLHDR92"/>
        <w:bookmarkEnd w:id="3261"/>
        <w:r>
          <w:rPr>
            <w:rStyle w:val="Emphasis"/>
            <w:rFonts w:ascii="Times New Roman" w:hAnsi="Times New Roman"/>
            <w:color w:val="000000"/>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300" w:before="0" w:after="0"/>
        <w:ind w:left="0" w:right="0" w:hanging="0"/>
        <w:jc w:val="both"/>
        <w:rPr/>
      </w:pPr>
      <w:r>
        <w:rPr>
          <w:rFonts w:ascii="Times New Roman" w:hAnsi="Times New Roman"/>
          <w:sz w:val="20"/>
        </w:rPr>
        <w:t xml:space="preserve">2006 acquisitions discussed in Note 8 - </w:t>
      </w:r>
      <w:r>
        <w:rPr>
          <w:rStyle w:val="Emphasis"/>
          <w:rFonts w:ascii="Times New Roman" w:hAnsi="Times New Roman"/>
          <w:sz w:val="20"/>
        </w:rPr>
        <w:t>Acquisitions and Property Development</w:t>
      </w:r>
      <w:r>
        <w:rPr>
          <w:rFonts w:ascii="Times New Roman" w:hAnsi="Times New Roman"/>
          <w:sz w:val="20"/>
        </w:rPr>
        <w:t>. At December 31, 2006 and 2005, our goodwill consisted of the following (dollars in thousands):</w:t>
      </w:r>
    </w:p>
    <w:p>
      <w:pPr>
        <w:pStyle w:val="TextBody"/>
        <w:spacing w:lineRule="auto" w:line="300" w:before="0" w:after="0"/>
        <w:ind w:left="0" w:right="0" w:hanging="0"/>
        <w:jc w:val="both"/>
        <w:rPr/>
      </w:pPr>
      <w:r>
        <w:rPr/>
      </w:r>
    </w:p>
    <w:p>
      <w:pPr>
        <w:pStyle w:val="Normal"/>
        <w:spacing w:before="0" w:after="0"/>
        <w:rPr>
          <w:sz w:val="4"/>
          <w:szCs w:val="4"/>
        </w:rPr>
      </w:pPr>
      <w:r>
        <w:rPr>
          <w:sz w:val="4"/>
          <w:szCs w:val="4"/>
        </w:rPr>
      </w:r>
      <w:bookmarkStart w:id="3262" w:name="ftable29"/>
      <w:bookmarkStart w:id="3263" w:name="ftable29"/>
      <w:bookmarkEnd w:id="3263"/>
    </w:p>
    <w:tbl>
      <w:tblPr>
        <w:tblW w:w="5000" w:type="pct"/>
        <w:jc w:val="left"/>
        <w:tblInd w:w="0" w:type="dxa"/>
        <w:tblCellMar>
          <w:top w:w="0" w:type="dxa"/>
          <w:left w:w="0" w:type="dxa"/>
          <w:bottom w:w="28" w:type="dxa"/>
          <w:right w:w="0" w:type="dxa"/>
        </w:tblCellMar>
      </w:tblPr>
      <w:tblGrid>
        <w:gridCol w:w="5563"/>
        <w:gridCol w:w="202"/>
        <w:gridCol w:w="127"/>
        <w:gridCol w:w="1188"/>
        <w:gridCol w:w="202"/>
        <w:gridCol w:w="127"/>
        <w:gridCol w:w="1158"/>
        <w:gridCol w:w="202"/>
        <w:gridCol w:w="127"/>
        <w:gridCol w:w="1188"/>
        <w:gridCol w:w="121"/>
      </w:tblGrid>
      <w:tr>
        <w:trPr/>
        <w:tc>
          <w:tcPr>
            <w:tcW w:w="5563" w:type="dxa"/>
            <w:tcBorders>
              <w:bottom w:val="double" w:sz="2" w:space="0" w:color="000000"/>
            </w:tcBorders>
            <w:shd w:fill="auto" w:val="clear"/>
            <w:vAlign w:val="bottom"/>
          </w:tcPr>
          <w:p>
            <w:pPr>
              <w:pStyle w:val="TableContents"/>
              <w:spacing w:lineRule="auto" w:line="300" w:before="0" w:after="0"/>
              <w:ind w:left="0" w:right="0" w:hanging="0"/>
              <w:jc w:val="left"/>
              <w:rPr/>
            </w:pPr>
            <w:r>
              <w:rPr>
                <w:rStyle w:val="StrongEmphasis"/>
                <w:rFonts w:ascii="Times New Roman" w:hAnsi="Times New Roman"/>
                <w:sz w:val="20"/>
              </w:rPr>
              <w:t>2006</w:t>
            </w:r>
          </w:p>
        </w:tc>
        <w:tc>
          <w:tcPr>
            <w:tcW w:w="202" w:type="dxa"/>
            <w:tcBorders>
              <w:bottom w:val="single" w:sz="4" w:space="0" w:color="FFFFFF"/>
            </w:tcBorders>
            <w:shd w:fill="auto" w:val="clear"/>
            <w:vAlign w:val="center"/>
          </w:tcPr>
          <w:p>
            <w:pPr>
              <w:pStyle w:val="TableContents"/>
              <w:spacing w:before="0" w:after="283"/>
              <w:rPr/>
            </w:pPr>
            <w:r>
              <w:rPr/>
              <w:t> </w:t>
            </w:r>
          </w:p>
        </w:tc>
        <w:tc>
          <w:tcPr>
            <w:tcW w:w="1315"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 xml:space="preserve">Cinema </w:t>
            </w:r>
          </w:p>
        </w:tc>
        <w:tc>
          <w:tcPr>
            <w:tcW w:w="202" w:type="dxa"/>
            <w:tcBorders>
              <w:bottom w:val="single" w:sz="4" w:space="0" w:color="FFFFFF"/>
            </w:tcBorders>
            <w:shd w:fill="auto" w:val="clear"/>
            <w:vAlign w:val="bottom"/>
          </w:tcPr>
          <w:p>
            <w:pPr>
              <w:pStyle w:val="TableContents"/>
              <w:spacing w:before="0" w:after="283"/>
              <w:jc w:val="left"/>
              <w:rPr/>
            </w:pPr>
            <w:r>
              <w:rPr/>
              <w:t> </w:t>
            </w:r>
          </w:p>
        </w:tc>
        <w:tc>
          <w:tcPr>
            <w:tcW w:w="1285"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 xml:space="preserve">Real Estate </w:t>
            </w:r>
          </w:p>
        </w:tc>
        <w:tc>
          <w:tcPr>
            <w:tcW w:w="202" w:type="dxa"/>
            <w:tcBorders>
              <w:bottom w:val="single" w:sz="4" w:space="0" w:color="FFFFFF"/>
            </w:tcBorders>
            <w:shd w:fill="auto" w:val="clear"/>
            <w:vAlign w:val="bottom"/>
          </w:tcPr>
          <w:p>
            <w:pPr>
              <w:pStyle w:val="TableContents"/>
              <w:spacing w:before="0" w:after="283"/>
              <w:jc w:val="left"/>
              <w:rPr/>
            </w:pPr>
            <w:r>
              <w:rPr/>
              <w:t> </w:t>
            </w:r>
          </w:p>
        </w:tc>
        <w:tc>
          <w:tcPr>
            <w:tcW w:w="1315"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Total</w:t>
            </w:r>
          </w:p>
        </w:tc>
        <w:tc>
          <w:tcPr>
            <w:tcW w:w="121" w:type="dxa"/>
            <w:tcBorders>
              <w:bottom w:val="single" w:sz="4" w:space="0" w:color="FFFFFF"/>
            </w:tcBorders>
            <w:shd w:fill="auto" w:val="clear"/>
            <w:vAlign w:val="bottom"/>
          </w:tcPr>
          <w:p>
            <w:pPr>
              <w:pStyle w:val="TableContents"/>
              <w:spacing w:before="0" w:after="283"/>
              <w:jc w:val="left"/>
              <w:rPr/>
            </w:pPr>
            <w:r>
              <w:rPr/>
              <w:t> </w:t>
            </w:r>
          </w:p>
        </w:tc>
      </w:tr>
      <w:tr>
        <w:trPr/>
        <w:tc>
          <w:tcPr>
            <w:tcW w:w="5563"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Balance as of January 1, 2006</w:t>
            </w:r>
          </w:p>
        </w:tc>
        <w:tc>
          <w:tcPr>
            <w:tcW w:w="202" w:type="dxa"/>
            <w:tcBorders/>
            <w:shd w:fill="CCEEFF" w:val="clear"/>
            <w:tcMar>
              <w:bottom w:w="0" w:type="dxa"/>
            </w:tcMar>
            <w:vAlign w:val="center"/>
          </w:tcPr>
          <w:p>
            <w:pPr>
              <w:pStyle w:val="TableContents"/>
              <w:spacing w:before="0" w:after="283"/>
              <w:rPr/>
            </w:pPr>
            <w:r>
              <w:rPr/>
              <w:t> </w:t>
            </w:r>
          </w:p>
        </w:tc>
        <w:tc>
          <w:tcPr>
            <w:tcW w:w="127"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3264" w:name="TAB11531"/>
            <w:bookmarkEnd w:id="3264"/>
            <w:r>
              <w:rPr>
                <w:rFonts w:ascii="Times New Roman" w:hAnsi="Times New Roman"/>
                <w:sz w:val="20"/>
              </w:rPr>
              <w:t>$</w:t>
            </w:r>
          </w:p>
        </w:tc>
        <w:tc>
          <w:tcPr>
            <w:tcW w:w="1188"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3265" w:name="TAB11532"/>
            <w:bookmarkEnd w:id="3265"/>
            <w:r>
              <w:rPr>
                <w:rFonts w:ascii="Times New Roman" w:hAnsi="Times New Roman"/>
                <w:sz w:val="20"/>
              </w:rPr>
              <w:t>9,489</w:t>
            </w:r>
          </w:p>
        </w:tc>
        <w:tc>
          <w:tcPr>
            <w:tcW w:w="202" w:type="dxa"/>
            <w:tcBorders/>
            <w:shd w:fill="CCEEFF" w:val="clear"/>
            <w:tcMar>
              <w:bottom w:w="0" w:type="dxa"/>
            </w:tcMar>
            <w:vAlign w:val="bottom"/>
          </w:tcPr>
          <w:p>
            <w:pPr>
              <w:pStyle w:val="TableContents"/>
              <w:spacing w:before="0" w:after="283"/>
              <w:jc w:val="left"/>
              <w:rPr/>
            </w:pPr>
            <w:r>
              <w:rPr/>
              <w:t> </w:t>
            </w:r>
          </w:p>
        </w:tc>
        <w:tc>
          <w:tcPr>
            <w:tcW w:w="127"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3266" w:name="TAB11533"/>
            <w:bookmarkEnd w:id="3266"/>
            <w:r>
              <w:rPr>
                <w:rFonts w:ascii="Times New Roman" w:hAnsi="Times New Roman"/>
                <w:sz w:val="20"/>
              </w:rPr>
              <w:t>$</w:t>
            </w:r>
          </w:p>
        </w:tc>
        <w:tc>
          <w:tcPr>
            <w:tcW w:w="1158"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3267" w:name="TAB11534"/>
            <w:bookmarkEnd w:id="3267"/>
            <w:r>
              <w:rPr>
                <w:rFonts w:ascii="Times New Roman" w:hAnsi="Times New Roman"/>
                <w:sz w:val="20"/>
              </w:rPr>
              <w:t>5,164</w:t>
            </w:r>
          </w:p>
        </w:tc>
        <w:tc>
          <w:tcPr>
            <w:tcW w:w="202" w:type="dxa"/>
            <w:tcBorders/>
            <w:shd w:fill="CCEEFF" w:val="clear"/>
            <w:tcMar>
              <w:bottom w:w="0" w:type="dxa"/>
            </w:tcMar>
            <w:vAlign w:val="bottom"/>
          </w:tcPr>
          <w:p>
            <w:pPr>
              <w:pStyle w:val="TableContents"/>
              <w:spacing w:before="0" w:after="283"/>
              <w:jc w:val="left"/>
              <w:rPr/>
            </w:pPr>
            <w:r>
              <w:rPr/>
              <w:t> </w:t>
            </w:r>
          </w:p>
        </w:tc>
        <w:tc>
          <w:tcPr>
            <w:tcW w:w="127"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3268" w:name="TAB11535"/>
            <w:bookmarkEnd w:id="3268"/>
            <w:r>
              <w:rPr>
                <w:rFonts w:ascii="Times New Roman" w:hAnsi="Times New Roman"/>
                <w:sz w:val="20"/>
              </w:rPr>
              <w:t>$</w:t>
            </w:r>
          </w:p>
        </w:tc>
        <w:tc>
          <w:tcPr>
            <w:tcW w:w="1188"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3269" w:name="TAB11536"/>
            <w:bookmarkEnd w:id="3269"/>
            <w:r>
              <w:rPr>
                <w:rFonts w:ascii="Times New Roman" w:hAnsi="Times New Roman"/>
                <w:sz w:val="20"/>
              </w:rPr>
              <w:t>14,653</w:t>
            </w:r>
          </w:p>
        </w:tc>
        <w:tc>
          <w:tcPr>
            <w:tcW w:w="121" w:type="dxa"/>
            <w:tcBorders/>
            <w:shd w:fill="CCEEFF" w:val="clear"/>
            <w:tcMar>
              <w:bottom w:w="0" w:type="dxa"/>
            </w:tcMar>
            <w:vAlign w:val="bottom"/>
          </w:tcPr>
          <w:p>
            <w:pPr>
              <w:pStyle w:val="TableContents"/>
              <w:spacing w:before="0" w:after="283"/>
              <w:jc w:val="left"/>
              <w:rPr/>
            </w:pPr>
            <w:r>
              <w:rPr/>
              <w:t> </w:t>
            </w:r>
          </w:p>
        </w:tc>
      </w:tr>
      <w:tr>
        <w:trPr/>
        <w:tc>
          <w:tcPr>
            <w:tcW w:w="5563"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Goodwill acquired during 2006</w:t>
            </w:r>
          </w:p>
        </w:tc>
        <w:tc>
          <w:tcPr>
            <w:tcW w:w="202" w:type="dxa"/>
            <w:tcBorders/>
            <w:shd w:fill="FFFFFF" w:val="clear"/>
            <w:tcMar>
              <w:bottom w:w="0" w:type="dxa"/>
            </w:tcMar>
            <w:vAlign w:val="center"/>
          </w:tcPr>
          <w:p>
            <w:pPr>
              <w:pStyle w:val="TableContents"/>
              <w:spacing w:before="0" w:after="283"/>
              <w:rPr/>
            </w:pPr>
            <w:r>
              <w:rPr/>
              <w:t> </w:t>
            </w:r>
          </w:p>
        </w:tc>
        <w:tc>
          <w:tcPr>
            <w:tcW w:w="127" w:type="dxa"/>
            <w:tcBorders/>
            <w:shd w:fill="FFFFFF" w:val="clear"/>
            <w:tcMar>
              <w:bottom w:w="0" w:type="dxa"/>
            </w:tcMar>
            <w:vAlign w:val="bottom"/>
          </w:tcPr>
          <w:p>
            <w:pPr>
              <w:pStyle w:val="TableContents"/>
              <w:spacing w:before="0" w:after="283"/>
              <w:jc w:val="left"/>
              <w:rPr/>
            </w:pPr>
            <w:r>
              <w:rPr/>
              <w:t> </w:t>
            </w:r>
          </w:p>
        </w:tc>
        <w:tc>
          <w:tcPr>
            <w:tcW w:w="1188"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2,849</w:t>
            </w:r>
          </w:p>
        </w:tc>
        <w:tc>
          <w:tcPr>
            <w:tcW w:w="202" w:type="dxa"/>
            <w:tcBorders/>
            <w:shd w:fill="FFFFFF" w:val="clear"/>
            <w:tcMar>
              <w:bottom w:w="0" w:type="dxa"/>
            </w:tcMar>
            <w:vAlign w:val="bottom"/>
          </w:tcPr>
          <w:p>
            <w:pPr>
              <w:pStyle w:val="TableContents"/>
              <w:spacing w:before="0" w:after="283"/>
              <w:jc w:val="left"/>
              <w:rPr/>
            </w:pPr>
            <w:r>
              <w:rPr/>
              <w:t> </w:t>
            </w:r>
          </w:p>
        </w:tc>
        <w:tc>
          <w:tcPr>
            <w:tcW w:w="127" w:type="dxa"/>
            <w:tcBorders/>
            <w:shd w:fill="FFFFFF" w:val="clear"/>
            <w:tcMar>
              <w:bottom w:w="0" w:type="dxa"/>
            </w:tcMar>
            <w:vAlign w:val="bottom"/>
          </w:tcPr>
          <w:p>
            <w:pPr>
              <w:pStyle w:val="TableContents"/>
              <w:spacing w:before="0" w:after="283"/>
              <w:jc w:val="left"/>
              <w:rPr/>
            </w:pPr>
            <w:r>
              <w:rPr/>
              <w:t> </w:t>
            </w:r>
          </w:p>
        </w:tc>
        <w:tc>
          <w:tcPr>
            <w:tcW w:w="1158"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202" w:type="dxa"/>
            <w:tcBorders/>
            <w:shd w:fill="FFFFFF" w:val="clear"/>
            <w:tcMar>
              <w:bottom w:w="0" w:type="dxa"/>
            </w:tcMar>
            <w:vAlign w:val="bottom"/>
          </w:tcPr>
          <w:p>
            <w:pPr>
              <w:pStyle w:val="TableContents"/>
              <w:spacing w:before="0" w:after="283"/>
              <w:jc w:val="left"/>
              <w:rPr/>
            </w:pPr>
            <w:r>
              <w:rPr/>
              <w:t> </w:t>
            </w:r>
          </w:p>
        </w:tc>
        <w:tc>
          <w:tcPr>
            <w:tcW w:w="127" w:type="dxa"/>
            <w:tcBorders/>
            <w:shd w:fill="FFFFFF" w:val="clear"/>
            <w:tcMar>
              <w:bottom w:w="0" w:type="dxa"/>
            </w:tcMar>
            <w:vAlign w:val="bottom"/>
          </w:tcPr>
          <w:p>
            <w:pPr>
              <w:pStyle w:val="TableContents"/>
              <w:spacing w:before="0" w:after="283"/>
              <w:jc w:val="left"/>
              <w:rPr/>
            </w:pPr>
            <w:r>
              <w:rPr/>
              <w:t> </w:t>
            </w:r>
          </w:p>
        </w:tc>
        <w:tc>
          <w:tcPr>
            <w:tcW w:w="1188"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2,849</w:t>
            </w:r>
          </w:p>
        </w:tc>
        <w:tc>
          <w:tcPr>
            <w:tcW w:w="121" w:type="dxa"/>
            <w:tcBorders/>
            <w:shd w:fill="FFFFFF" w:val="clear"/>
            <w:tcMar>
              <w:bottom w:w="0" w:type="dxa"/>
            </w:tcMar>
            <w:vAlign w:val="bottom"/>
          </w:tcPr>
          <w:p>
            <w:pPr>
              <w:pStyle w:val="TableContents"/>
              <w:spacing w:before="0" w:after="283"/>
              <w:jc w:val="left"/>
              <w:rPr/>
            </w:pPr>
            <w:r>
              <w:rPr/>
              <w:t> </w:t>
            </w:r>
          </w:p>
        </w:tc>
      </w:tr>
      <w:tr>
        <w:trPr/>
        <w:tc>
          <w:tcPr>
            <w:tcW w:w="5563" w:type="dxa"/>
            <w:tcBorders>
              <w:bottom w:val="sing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Foreign currency translation adjustment</w:t>
            </w:r>
          </w:p>
        </w:tc>
        <w:tc>
          <w:tcPr>
            <w:tcW w:w="202" w:type="dxa"/>
            <w:tcBorders>
              <w:bottom w:val="single" w:sz="2" w:space="0" w:color="CCEEFF"/>
            </w:tcBorders>
            <w:shd w:fill="CCEEFF" w:val="clear"/>
            <w:vAlign w:val="center"/>
          </w:tcPr>
          <w:p>
            <w:pPr>
              <w:pStyle w:val="TableContents"/>
              <w:spacing w:before="0" w:after="283"/>
              <w:rPr/>
            </w:pPr>
            <w:r>
              <w:rPr/>
              <w:t> </w:t>
            </w:r>
          </w:p>
        </w:tc>
        <w:tc>
          <w:tcPr>
            <w:tcW w:w="127" w:type="dxa"/>
            <w:tcBorders>
              <w:bottom w:val="single" w:sz="2" w:space="0" w:color="000000"/>
            </w:tcBorders>
            <w:shd w:fill="CCEEFF" w:val="clear"/>
            <w:vAlign w:val="bottom"/>
          </w:tcPr>
          <w:p>
            <w:pPr>
              <w:pStyle w:val="TableContents"/>
              <w:spacing w:before="0" w:after="283"/>
              <w:jc w:val="left"/>
              <w:rPr/>
            </w:pPr>
            <w:r>
              <w:rPr/>
              <w:t> </w:t>
            </w:r>
          </w:p>
        </w:tc>
        <w:tc>
          <w:tcPr>
            <w:tcW w:w="1188"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375</w:t>
            </w:r>
          </w:p>
        </w:tc>
        <w:tc>
          <w:tcPr>
            <w:tcW w:w="202" w:type="dxa"/>
            <w:tcBorders>
              <w:bottom w:val="single" w:sz="2" w:space="0" w:color="CCEEFF"/>
            </w:tcBorders>
            <w:shd w:fill="CCEEFF" w:val="clear"/>
            <w:vAlign w:val="bottom"/>
          </w:tcPr>
          <w:p>
            <w:pPr>
              <w:pStyle w:val="TableContents"/>
              <w:spacing w:before="0" w:after="283"/>
              <w:jc w:val="left"/>
              <w:rPr/>
            </w:pPr>
            <w:r>
              <w:rPr/>
              <w:t> </w:t>
            </w:r>
          </w:p>
        </w:tc>
        <w:tc>
          <w:tcPr>
            <w:tcW w:w="127" w:type="dxa"/>
            <w:tcBorders>
              <w:bottom w:val="single" w:sz="2" w:space="0" w:color="000000"/>
            </w:tcBorders>
            <w:shd w:fill="CCEEFF" w:val="clear"/>
            <w:vAlign w:val="bottom"/>
          </w:tcPr>
          <w:p>
            <w:pPr>
              <w:pStyle w:val="TableContents"/>
              <w:spacing w:before="0" w:after="283"/>
              <w:jc w:val="left"/>
              <w:rPr/>
            </w:pPr>
            <w:r>
              <w:rPr/>
              <w:t> </w:t>
            </w:r>
          </w:p>
        </w:tc>
        <w:tc>
          <w:tcPr>
            <w:tcW w:w="1158"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42</w:t>
            </w:r>
          </w:p>
        </w:tc>
        <w:tc>
          <w:tcPr>
            <w:tcW w:w="202" w:type="dxa"/>
            <w:tcBorders>
              <w:bottom w:val="single" w:sz="2" w:space="0" w:color="CCEEFF"/>
            </w:tcBorders>
            <w:shd w:fill="CCEEFF" w:val="clear"/>
            <w:vAlign w:val="bottom"/>
          </w:tcPr>
          <w:p>
            <w:pPr>
              <w:pStyle w:val="TableContents"/>
              <w:spacing w:before="0" w:after="283"/>
              <w:jc w:val="left"/>
              <w:rPr/>
            </w:pPr>
            <w:r>
              <w:rPr/>
              <w:t> </w:t>
            </w:r>
          </w:p>
        </w:tc>
        <w:tc>
          <w:tcPr>
            <w:tcW w:w="127" w:type="dxa"/>
            <w:tcBorders>
              <w:bottom w:val="single" w:sz="2" w:space="0" w:color="000000"/>
            </w:tcBorders>
            <w:shd w:fill="CCEEFF" w:val="clear"/>
            <w:vAlign w:val="bottom"/>
          </w:tcPr>
          <w:p>
            <w:pPr>
              <w:pStyle w:val="TableContents"/>
              <w:spacing w:before="0" w:after="283"/>
              <w:jc w:val="left"/>
              <w:rPr/>
            </w:pPr>
            <w:r>
              <w:rPr/>
              <w:t> </w:t>
            </w:r>
          </w:p>
        </w:tc>
        <w:tc>
          <w:tcPr>
            <w:tcW w:w="1188"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417</w:t>
            </w:r>
          </w:p>
        </w:tc>
        <w:tc>
          <w:tcPr>
            <w:tcW w:w="121" w:type="dxa"/>
            <w:tcBorders>
              <w:bottom w:val="single" w:sz="2" w:space="0" w:color="CCEEFF"/>
            </w:tcBorders>
            <w:shd w:fill="CCEEFF" w:val="clear"/>
            <w:vAlign w:val="bottom"/>
          </w:tcPr>
          <w:p>
            <w:pPr>
              <w:pStyle w:val="TableContents"/>
              <w:spacing w:before="0" w:after="283"/>
              <w:jc w:val="left"/>
              <w:rPr/>
            </w:pPr>
            <w:r>
              <w:rPr/>
              <w:t> </w:t>
            </w:r>
          </w:p>
        </w:tc>
      </w:tr>
      <w:tr>
        <w:trPr/>
        <w:tc>
          <w:tcPr>
            <w:tcW w:w="5563" w:type="dxa"/>
            <w:tcBorders>
              <w:bottom w:val="doub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Balance at December 31, 2006</w:t>
            </w:r>
          </w:p>
        </w:tc>
        <w:tc>
          <w:tcPr>
            <w:tcW w:w="202" w:type="dxa"/>
            <w:tcBorders>
              <w:bottom w:val="single" w:sz="4" w:space="0" w:color="FFFFFF"/>
            </w:tcBorders>
            <w:shd w:fill="FFFFFF" w:val="clear"/>
            <w:vAlign w:val="center"/>
          </w:tcPr>
          <w:p>
            <w:pPr>
              <w:pStyle w:val="TableContents"/>
              <w:spacing w:before="0" w:after="283"/>
              <w:rPr/>
            </w:pPr>
            <w:r>
              <w:rPr/>
              <w:t> </w:t>
            </w:r>
          </w:p>
        </w:tc>
        <w:tc>
          <w:tcPr>
            <w:tcW w:w="127" w:type="dxa"/>
            <w:tcBorders>
              <w:bottom w:val="doub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bookmarkStart w:id="3270" w:name="TAB11537"/>
            <w:bookmarkEnd w:id="3270"/>
            <w:r>
              <w:rPr>
                <w:rFonts w:ascii="Times New Roman" w:hAnsi="Times New Roman"/>
                <w:sz w:val="20"/>
              </w:rPr>
              <w:t>$</w:t>
            </w:r>
          </w:p>
        </w:tc>
        <w:tc>
          <w:tcPr>
            <w:tcW w:w="1188"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3271" w:name="TAB11538"/>
            <w:bookmarkEnd w:id="3271"/>
            <w:r>
              <w:rPr>
                <w:rFonts w:ascii="Times New Roman" w:hAnsi="Times New Roman"/>
                <w:sz w:val="20"/>
              </w:rPr>
              <w:t>12,713</w:t>
            </w:r>
          </w:p>
        </w:tc>
        <w:tc>
          <w:tcPr>
            <w:tcW w:w="202" w:type="dxa"/>
            <w:tcBorders>
              <w:bottom w:val="single" w:sz="4" w:space="0" w:color="FFFFFF"/>
            </w:tcBorders>
            <w:shd w:fill="FFFFFF" w:val="clear"/>
            <w:vAlign w:val="bottom"/>
          </w:tcPr>
          <w:p>
            <w:pPr>
              <w:pStyle w:val="TableContents"/>
              <w:spacing w:before="0" w:after="283"/>
              <w:jc w:val="left"/>
              <w:rPr/>
            </w:pPr>
            <w:r>
              <w:rPr/>
              <w:t> </w:t>
            </w:r>
          </w:p>
        </w:tc>
        <w:tc>
          <w:tcPr>
            <w:tcW w:w="127" w:type="dxa"/>
            <w:tcBorders>
              <w:bottom w:val="doub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bookmarkStart w:id="3272" w:name="TAB11539"/>
            <w:bookmarkEnd w:id="3272"/>
            <w:r>
              <w:rPr>
                <w:rFonts w:ascii="Times New Roman" w:hAnsi="Times New Roman"/>
                <w:sz w:val="20"/>
              </w:rPr>
              <w:t>$</w:t>
            </w:r>
          </w:p>
        </w:tc>
        <w:tc>
          <w:tcPr>
            <w:tcW w:w="1158"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3273" w:name="TAB11540"/>
            <w:bookmarkEnd w:id="3273"/>
            <w:r>
              <w:rPr>
                <w:rFonts w:ascii="Times New Roman" w:hAnsi="Times New Roman"/>
                <w:sz w:val="20"/>
              </w:rPr>
              <w:t>5,206</w:t>
            </w:r>
          </w:p>
        </w:tc>
        <w:tc>
          <w:tcPr>
            <w:tcW w:w="202" w:type="dxa"/>
            <w:tcBorders>
              <w:bottom w:val="single" w:sz="4" w:space="0" w:color="FFFFFF"/>
            </w:tcBorders>
            <w:shd w:fill="FFFFFF" w:val="clear"/>
            <w:vAlign w:val="bottom"/>
          </w:tcPr>
          <w:p>
            <w:pPr>
              <w:pStyle w:val="TableContents"/>
              <w:spacing w:before="0" w:after="283"/>
              <w:jc w:val="left"/>
              <w:rPr/>
            </w:pPr>
            <w:r>
              <w:rPr/>
              <w:t> </w:t>
            </w:r>
          </w:p>
        </w:tc>
        <w:tc>
          <w:tcPr>
            <w:tcW w:w="127" w:type="dxa"/>
            <w:tcBorders>
              <w:bottom w:val="doub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bookmarkStart w:id="3274" w:name="TAB11541"/>
            <w:bookmarkEnd w:id="3274"/>
            <w:r>
              <w:rPr>
                <w:rFonts w:ascii="Times New Roman" w:hAnsi="Times New Roman"/>
                <w:sz w:val="20"/>
              </w:rPr>
              <w:t>$</w:t>
            </w:r>
          </w:p>
        </w:tc>
        <w:tc>
          <w:tcPr>
            <w:tcW w:w="1188"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3275" w:name="TAB11542"/>
            <w:bookmarkEnd w:id="3275"/>
            <w:r>
              <w:rPr>
                <w:rFonts w:ascii="Times New Roman" w:hAnsi="Times New Roman"/>
                <w:sz w:val="20"/>
              </w:rPr>
              <w:t>17,919</w:t>
            </w:r>
          </w:p>
        </w:tc>
        <w:tc>
          <w:tcPr>
            <w:tcW w:w="121" w:type="dxa"/>
            <w:tcBorders>
              <w:bottom w:val="single" w:sz="4" w:space="0" w:color="FFFFFF"/>
            </w:tcBorders>
            <w:shd w:fill="FFFFFF" w:val="clear"/>
            <w:vAlign w:val="bottom"/>
          </w:tcPr>
          <w:p>
            <w:pPr>
              <w:pStyle w:val="TableContents"/>
              <w:spacing w:before="0" w:after="283"/>
              <w:jc w:val="left"/>
              <w:rPr/>
            </w:pPr>
            <w:r>
              <w:rPr/>
              <w:t> </w:t>
            </w:r>
          </w:p>
        </w:tc>
      </w:tr>
    </w:tbl>
    <w:p>
      <w:pPr>
        <w:pStyle w:val="TextBody"/>
        <w:spacing w:lineRule="auto" w:line="300" w:before="0" w:after="0"/>
        <w:ind w:left="0" w:right="0" w:hanging="0"/>
        <w:jc w:val="left"/>
        <w:rPr/>
      </w:pPr>
      <w:r>
        <w:rPr/>
      </w:r>
    </w:p>
    <w:p>
      <w:pPr>
        <w:pStyle w:val="Normal"/>
        <w:spacing w:before="0" w:after="0"/>
        <w:rPr>
          <w:sz w:val="4"/>
          <w:szCs w:val="4"/>
        </w:rPr>
      </w:pPr>
      <w:r>
        <w:rPr>
          <w:sz w:val="4"/>
          <w:szCs w:val="4"/>
        </w:rPr>
      </w:r>
      <w:bookmarkStart w:id="3276" w:name="ftable30"/>
      <w:bookmarkStart w:id="3277" w:name="ftable30"/>
      <w:bookmarkEnd w:id="3277"/>
    </w:p>
    <w:tbl>
      <w:tblPr>
        <w:tblW w:w="5000" w:type="pct"/>
        <w:jc w:val="left"/>
        <w:tblInd w:w="0" w:type="dxa"/>
        <w:tblCellMar>
          <w:top w:w="0" w:type="dxa"/>
          <w:left w:w="0" w:type="dxa"/>
          <w:bottom w:w="28" w:type="dxa"/>
          <w:right w:w="0" w:type="dxa"/>
        </w:tblCellMar>
      </w:tblPr>
      <w:tblGrid>
        <w:gridCol w:w="5482"/>
        <w:gridCol w:w="201"/>
        <w:gridCol w:w="140"/>
        <w:gridCol w:w="1188"/>
        <w:gridCol w:w="209"/>
        <w:gridCol w:w="135"/>
        <w:gridCol w:w="1168"/>
        <w:gridCol w:w="209"/>
        <w:gridCol w:w="135"/>
        <w:gridCol w:w="1206"/>
        <w:gridCol w:w="132"/>
      </w:tblGrid>
      <w:tr>
        <w:trPr/>
        <w:tc>
          <w:tcPr>
            <w:tcW w:w="5482" w:type="dxa"/>
            <w:tcBorders>
              <w:bottom w:val="double" w:sz="2" w:space="0" w:color="000000"/>
            </w:tcBorders>
            <w:shd w:fill="auto" w:val="clear"/>
            <w:vAlign w:val="bottom"/>
          </w:tcPr>
          <w:p>
            <w:pPr>
              <w:pStyle w:val="TableContents"/>
              <w:spacing w:lineRule="auto" w:line="300" w:before="0" w:after="0"/>
              <w:ind w:left="0" w:right="0" w:hanging="0"/>
              <w:jc w:val="left"/>
              <w:rPr/>
            </w:pPr>
            <w:r>
              <w:rPr>
                <w:rStyle w:val="StrongEmphasis"/>
                <w:rFonts w:ascii="Times New Roman" w:hAnsi="Times New Roman"/>
                <w:sz w:val="20"/>
              </w:rPr>
              <w:t>2005</w:t>
            </w:r>
          </w:p>
        </w:tc>
        <w:tc>
          <w:tcPr>
            <w:tcW w:w="201" w:type="dxa"/>
            <w:tcBorders>
              <w:bottom w:val="single" w:sz="4" w:space="0" w:color="FFFFFF"/>
            </w:tcBorders>
            <w:shd w:fill="auto" w:val="clear"/>
            <w:vAlign w:val="center"/>
          </w:tcPr>
          <w:p>
            <w:pPr>
              <w:pStyle w:val="TableContents"/>
              <w:spacing w:before="0" w:after="283"/>
              <w:rPr/>
            </w:pPr>
            <w:r>
              <w:rPr/>
              <w:t> </w:t>
            </w:r>
          </w:p>
        </w:tc>
        <w:tc>
          <w:tcPr>
            <w:tcW w:w="1328"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 xml:space="preserve">Cinema </w:t>
            </w:r>
          </w:p>
        </w:tc>
        <w:tc>
          <w:tcPr>
            <w:tcW w:w="209" w:type="dxa"/>
            <w:tcBorders>
              <w:bottom w:val="single" w:sz="4" w:space="0" w:color="FFFFFF"/>
            </w:tcBorders>
            <w:shd w:fill="auto" w:val="clear"/>
            <w:vAlign w:val="bottom"/>
          </w:tcPr>
          <w:p>
            <w:pPr>
              <w:pStyle w:val="TableContents"/>
              <w:spacing w:before="0" w:after="283"/>
              <w:jc w:val="left"/>
              <w:rPr/>
            </w:pPr>
            <w:r>
              <w:rPr/>
              <w:t> </w:t>
            </w:r>
          </w:p>
        </w:tc>
        <w:tc>
          <w:tcPr>
            <w:tcW w:w="1303"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 xml:space="preserve">Real Estate </w:t>
            </w:r>
          </w:p>
        </w:tc>
        <w:tc>
          <w:tcPr>
            <w:tcW w:w="209" w:type="dxa"/>
            <w:tcBorders>
              <w:bottom w:val="single" w:sz="4" w:space="0" w:color="FFFFFF"/>
            </w:tcBorders>
            <w:shd w:fill="auto" w:val="clear"/>
            <w:vAlign w:val="bottom"/>
          </w:tcPr>
          <w:p>
            <w:pPr>
              <w:pStyle w:val="TableContents"/>
              <w:spacing w:before="0" w:after="283"/>
              <w:jc w:val="left"/>
              <w:rPr/>
            </w:pPr>
            <w:r>
              <w:rPr/>
              <w:t> </w:t>
            </w:r>
          </w:p>
        </w:tc>
        <w:tc>
          <w:tcPr>
            <w:tcW w:w="1341"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Total</w:t>
            </w:r>
          </w:p>
        </w:tc>
        <w:tc>
          <w:tcPr>
            <w:tcW w:w="132" w:type="dxa"/>
            <w:tcBorders>
              <w:bottom w:val="single" w:sz="4" w:space="0" w:color="FFFFFF"/>
            </w:tcBorders>
            <w:shd w:fill="auto" w:val="clear"/>
            <w:vAlign w:val="bottom"/>
          </w:tcPr>
          <w:p>
            <w:pPr>
              <w:pStyle w:val="TableContents"/>
              <w:spacing w:before="0" w:after="283"/>
              <w:jc w:val="left"/>
              <w:rPr/>
            </w:pPr>
            <w:r>
              <w:rPr/>
              <w:t> </w:t>
            </w:r>
          </w:p>
        </w:tc>
      </w:tr>
      <w:tr>
        <w:trPr/>
        <w:tc>
          <w:tcPr>
            <w:tcW w:w="5482"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Balance as of January 1, 2005</w:t>
            </w:r>
          </w:p>
        </w:tc>
        <w:tc>
          <w:tcPr>
            <w:tcW w:w="201" w:type="dxa"/>
            <w:tcBorders/>
            <w:shd w:fill="CCEEFF" w:val="clear"/>
            <w:tcMar>
              <w:bottom w:w="0" w:type="dxa"/>
            </w:tcMar>
            <w:vAlign w:val="center"/>
          </w:tcPr>
          <w:p>
            <w:pPr>
              <w:pStyle w:val="TableContents"/>
              <w:spacing w:before="0" w:after="283"/>
              <w:rPr/>
            </w:pPr>
            <w:r>
              <w:rPr/>
              <w:t> </w:t>
            </w:r>
          </w:p>
        </w:tc>
        <w:tc>
          <w:tcPr>
            <w:tcW w:w="140"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3278" w:name="TAB11543"/>
            <w:bookmarkEnd w:id="3278"/>
            <w:r>
              <w:rPr>
                <w:rFonts w:ascii="Times New Roman" w:hAnsi="Times New Roman"/>
                <w:sz w:val="20"/>
              </w:rPr>
              <w:t>$</w:t>
            </w:r>
          </w:p>
        </w:tc>
        <w:tc>
          <w:tcPr>
            <w:tcW w:w="1188"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3279" w:name="TAB11544"/>
            <w:bookmarkEnd w:id="3279"/>
            <w:r>
              <w:rPr>
                <w:rFonts w:ascii="Times New Roman" w:hAnsi="Times New Roman"/>
                <w:sz w:val="20"/>
              </w:rPr>
              <w:t>9,725</w:t>
            </w:r>
          </w:p>
        </w:tc>
        <w:tc>
          <w:tcPr>
            <w:tcW w:w="209" w:type="dxa"/>
            <w:tcBorders/>
            <w:shd w:fill="CCEEFF" w:val="clear"/>
            <w:tcMar>
              <w:bottom w:w="0" w:type="dxa"/>
            </w:tcMar>
            <w:vAlign w:val="bottom"/>
          </w:tcPr>
          <w:p>
            <w:pPr>
              <w:pStyle w:val="TableContents"/>
              <w:spacing w:before="0" w:after="283"/>
              <w:jc w:val="left"/>
              <w:rPr/>
            </w:pPr>
            <w:r>
              <w:rPr/>
              <w:t> </w:t>
            </w:r>
          </w:p>
        </w:tc>
        <w:tc>
          <w:tcPr>
            <w:tcW w:w="135"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3280" w:name="TAB11545"/>
            <w:bookmarkEnd w:id="3280"/>
            <w:r>
              <w:rPr>
                <w:rFonts w:ascii="Times New Roman" w:hAnsi="Times New Roman"/>
                <w:sz w:val="20"/>
              </w:rPr>
              <w:t>$</w:t>
            </w:r>
          </w:p>
        </w:tc>
        <w:tc>
          <w:tcPr>
            <w:tcW w:w="1168"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3281" w:name="TAB11546"/>
            <w:bookmarkEnd w:id="3281"/>
            <w:r>
              <w:rPr>
                <w:rFonts w:ascii="Times New Roman" w:hAnsi="Times New Roman"/>
                <w:sz w:val="20"/>
              </w:rPr>
              <w:t>5,132</w:t>
            </w:r>
          </w:p>
        </w:tc>
        <w:tc>
          <w:tcPr>
            <w:tcW w:w="209" w:type="dxa"/>
            <w:tcBorders/>
            <w:shd w:fill="CCEEFF" w:val="clear"/>
            <w:tcMar>
              <w:bottom w:w="0" w:type="dxa"/>
            </w:tcMar>
            <w:vAlign w:val="bottom"/>
          </w:tcPr>
          <w:p>
            <w:pPr>
              <w:pStyle w:val="TableContents"/>
              <w:spacing w:before="0" w:after="283"/>
              <w:jc w:val="left"/>
              <w:rPr/>
            </w:pPr>
            <w:r>
              <w:rPr/>
              <w:t> </w:t>
            </w:r>
          </w:p>
        </w:tc>
        <w:tc>
          <w:tcPr>
            <w:tcW w:w="135"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3282" w:name="TAB11547"/>
            <w:bookmarkEnd w:id="3282"/>
            <w:r>
              <w:rPr>
                <w:rFonts w:ascii="Times New Roman" w:hAnsi="Times New Roman"/>
                <w:sz w:val="20"/>
              </w:rPr>
              <w:t>$</w:t>
            </w:r>
          </w:p>
        </w:tc>
        <w:tc>
          <w:tcPr>
            <w:tcW w:w="1206"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3283" w:name="TAB11548"/>
            <w:bookmarkEnd w:id="3283"/>
            <w:r>
              <w:rPr>
                <w:rFonts w:ascii="Times New Roman" w:hAnsi="Times New Roman"/>
                <w:sz w:val="20"/>
              </w:rPr>
              <w:t>14,857</w:t>
            </w:r>
          </w:p>
        </w:tc>
        <w:tc>
          <w:tcPr>
            <w:tcW w:w="132" w:type="dxa"/>
            <w:tcBorders/>
            <w:shd w:fill="CCEEFF" w:val="clear"/>
            <w:tcMar>
              <w:bottom w:w="0" w:type="dxa"/>
            </w:tcMar>
            <w:vAlign w:val="bottom"/>
          </w:tcPr>
          <w:p>
            <w:pPr>
              <w:pStyle w:val="TableContents"/>
              <w:spacing w:before="0" w:after="283"/>
              <w:jc w:val="left"/>
              <w:rPr/>
            </w:pPr>
            <w:r>
              <w:rPr/>
              <w:t> </w:t>
            </w:r>
          </w:p>
        </w:tc>
      </w:tr>
      <w:tr>
        <w:trPr/>
        <w:tc>
          <w:tcPr>
            <w:tcW w:w="5482"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Purchase accounting adjustment during 2005</w:t>
            </w:r>
          </w:p>
        </w:tc>
        <w:tc>
          <w:tcPr>
            <w:tcW w:w="201" w:type="dxa"/>
            <w:tcBorders/>
            <w:shd w:fill="FFFFFF" w:val="clear"/>
            <w:tcMar>
              <w:bottom w:w="0" w:type="dxa"/>
            </w:tcMar>
            <w:vAlign w:val="center"/>
          </w:tcPr>
          <w:p>
            <w:pPr>
              <w:pStyle w:val="TableContents"/>
              <w:spacing w:before="0" w:after="283"/>
              <w:rPr/>
            </w:pPr>
            <w:r>
              <w:rPr/>
              <w:t> </w:t>
            </w:r>
          </w:p>
        </w:tc>
        <w:tc>
          <w:tcPr>
            <w:tcW w:w="140" w:type="dxa"/>
            <w:tcBorders/>
            <w:shd w:fill="FFFFFF" w:val="clear"/>
            <w:tcMar>
              <w:bottom w:w="0" w:type="dxa"/>
            </w:tcMar>
            <w:vAlign w:val="bottom"/>
          </w:tcPr>
          <w:p>
            <w:pPr>
              <w:pStyle w:val="TableContents"/>
              <w:spacing w:before="0" w:after="283"/>
              <w:jc w:val="left"/>
              <w:rPr/>
            </w:pPr>
            <w:r>
              <w:rPr/>
              <w:t> </w:t>
            </w:r>
          </w:p>
        </w:tc>
        <w:tc>
          <w:tcPr>
            <w:tcW w:w="1188"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122</w:t>
            </w:r>
          </w:p>
        </w:tc>
        <w:tc>
          <w:tcPr>
            <w:tcW w:w="209" w:type="dxa"/>
            <w:tcBorders/>
            <w:shd w:fill="FFFFFF" w:val="clear"/>
            <w:tcMar>
              <w:bottom w:w="0" w:type="dxa"/>
            </w:tcMar>
            <w:vAlign w:val="bottom"/>
          </w:tcPr>
          <w:p>
            <w:pPr>
              <w:pStyle w:val="TableContents"/>
              <w:spacing w:before="0" w:after="283"/>
              <w:jc w:val="left"/>
              <w:rPr/>
            </w:pPr>
            <w:r>
              <w:rPr/>
              <w:t> </w:t>
            </w:r>
          </w:p>
        </w:tc>
        <w:tc>
          <w:tcPr>
            <w:tcW w:w="135" w:type="dxa"/>
            <w:tcBorders/>
            <w:shd w:fill="FFFFFF" w:val="clear"/>
            <w:tcMar>
              <w:bottom w:w="0" w:type="dxa"/>
            </w:tcMar>
            <w:vAlign w:val="bottom"/>
          </w:tcPr>
          <w:p>
            <w:pPr>
              <w:pStyle w:val="TableContents"/>
              <w:spacing w:before="0" w:after="283"/>
              <w:jc w:val="left"/>
              <w:rPr/>
            </w:pPr>
            <w:r>
              <w:rPr/>
              <w:t> </w:t>
            </w:r>
          </w:p>
        </w:tc>
        <w:tc>
          <w:tcPr>
            <w:tcW w:w="1168"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75</w:t>
            </w:r>
          </w:p>
        </w:tc>
        <w:tc>
          <w:tcPr>
            <w:tcW w:w="209" w:type="dxa"/>
            <w:tcBorders/>
            <w:shd w:fill="FFFFFF" w:val="clear"/>
            <w:tcMar>
              <w:bottom w:w="0" w:type="dxa"/>
            </w:tcMar>
            <w:vAlign w:val="bottom"/>
          </w:tcPr>
          <w:p>
            <w:pPr>
              <w:pStyle w:val="TableContents"/>
              <w:spacing w:before="0" w:after="283"/>
              <w:jc w:val="left"/>
              <w:rPr/>
            </w:pPr>
            <w:r>
              <w:rPr/>
              <w:t> </w:t>
            </w:r>
          </w:p>
        </w:tc>
        <w:tc>
          <w:tcPr>
            <w:tcW w:w="135" w:type="dxa"/>
            <w:tcBorders/>
            <w:shd w:fill="FFFFFF" w:val="clear"/>
            <w:tcMar>
              <w:bottom w:w="0" w:type="dxa"/>
            </w:tcMar>
            <w:vAlign w:val="bottom"/>
          </w:tcPr>
          <w:p>
            <w:pPr>
              <w:pStyle w:val="TableContents"/>
              <w:spacing w:before="0" w:after="283"/>
              <w:jc w:val="left"/>
              <w:rPr/>
            </w:pPr>
            <w:r>
              <w:rPr/>
              <w:t> </w:t>
            </w:r>
          </w:p>
        </w:tc>
        <w:tc>
          <w:tcPr>
            <w:tcW w:w="1206"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197</w:t>
            </w:r>
          </w:p>
        </w:tc>
        <w:tc>
          <w:tcPr>
            <w:tcW w:w="132" w:type="dxa"/>
            <w:tcBorders/>
            <w:shd w:fill="FFFFFF" w:val="clear"/>
            <w:tcMar>
              <w:bottom w:w="0" w:type="dxa"/>
            </w:tcMar>
            <w:vAlign w:val="bottom"/>
          </w:tcPr>
          <w:p>
            <w:pPr>
              <w:pStyle w:val="TableContents"/>
              <w:spacing w:before="0" w:after="283"/>
              <w:jc w:val="left"/>
              <w:rPr/>
            </w:pPr>
            <w:r>
              <w:rPr/>
              <w:t> </w:t>
            </w:r>
          </w:p>
        </w:tc>
      </w:tr>
      <w:tr>
        <w:trPr/>
        <w:tc>
          <w:tcPr>
            <w:tcW w:w="5482" w:type="dxa"/>
            <w:tcBorders>
              <w:bottom w:val="sing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Foreign currency translation adjustment</w:t>
            </w:r>
          </w:p>
        </w:tc>
        <w:tc>
          <w:tcPr>
            <w:tcW w:w="201" w:type="dxa"/>
            <w:tcBorders>
              <w:bottom w:val="single" w:sz="2" w:space="0" w:color="CCEEFF"/>
            </w:tcBorders>
            <w:shd w:fill="CCEEFF" w:val="clear"/>
            <w:vAlign w:val="center"/>
          </w:tcPr>
          <w:p>
            <w:pPr>
              <w:pStyle w:val="TableContents"/>
              <w:spacing w:before="0" w:after="283"/>
              <w:rPr/>
            </w:pPr>
            <w:r>
              <w:rPr/>
              <w:t> </w:t>
            </w:r>
          </w:p>
        </w:tc>
        <w:tc>
          <w:tcPr>
            <w:tcW w:w="140" w:type="dxa"/>
            <w:tcBorders>
              <w:bottom w:val="single" w:sz="2" w:space="0" w:color="000000"/>
            </w:tcBorders>
            <w:shd w:fill="CCEEFF" w:val="clear"/>
            <w:vAlign w:val="bottom"/>
          </w:tcPr>
          <w:p>
            <w:pPr>
              <w:pStyle w:val="TableContents"/>
              <w:spacing w:before="0" w:after="283"/>
              <w:jc w:val="left"/>
              <w:rPr/>
            </w:pPr>
            <w:r>
              <w:rPr/>
              <w:t> </w:t>
            </w:r>
          </w:p>
        </w:tc>
        <w:tc>
          <w:tcPr>
            <w:tcW w:w="1188"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3284" w:name="TAB11549"/>
            <w:bookmarkEnd w:id="3284"/>
            <w:r>
              <w:rPr>
                <w:rFonts w:ascii="Times New Roman" w:hAnsi="Times New Roman"/>
                <w:sz w:val="20"/>
              </w:rPr>
              <w:t>(358</w:t>
            </w:r>
          </w:p>
        </w:tc>
        <w:tc>
          <w:tcPr>
            <w:tcW w:w="209" w:type="dxa"/>
            <w:tcBorders>
              <w:bottom w:val="single" w:sz="2" w:space="0" w:color="CCEEFF"/>
            </w:tcBorders>
            <w:shd w:fill="CCEEFF" w:val="clear"/>
            <w:vAlign w:val="bottom"/>
          </w:tcPr>
          <w:p>
            <w:pPr>
              <w:pStyle w:val="TableContents"/>
              <w:spacing w:lineRule="auto" w:line="300" w:before="0" w:after="0"/>
              <w:ind w:left="0" w:right="0" w:hanging="0"/>
              <w:jc w:val="left"/>
              <w:rPr>
                <w:rFonts w:ascii="Times New Roman" w:hAnsi="Times New Roman"/>
                <w:sz w:val="20"/>
              </w:rPr>
            </w:pPr>
            <w:bookmarkStart w:id="3285" w:name="TAB11550"/>
            <w:bookmarkEnd w:id="3285"/>
            <w:r>
              <w:rPr>
                <w:rFonts w:ascii="Times New Roman" w:hAnsi="Times New Roman"/>
                <w:sz w:val="20"/>
              </w:rPr>
              <w:t>)</w:t>
            </w:r>
          </w:p>
        </w:tc>
        <w:tc>
          <w:tcPr>
            <w:tcW w:w="135" w:type="dxa"/>
            <w:tcBorders>
              <w:bottom w:val="single" w:sz="2" w:space="0" w:color="000000"/>
            </w:tcBorders>
            <w:shd w:fill="CCEEFF" w:val="clear"/>
            <w:vAlign w:val="bottom"/>
          </w:tcPr>
          <w:p>
            <w:pPr>
              <w:pStyle w:val="TableContents"/>
              <w:spacing w:before="0" w:after="283"/>
              <w:jc w:val="left"/>
              <w:rPr/>
            </w:pPr>
            <w:r>
              <w:rPr/>
              <w:t> </w:t>
            </w:r>
          </w:p>
        </w:tc>
        <w:tc>
          <w:tcPr>
            <w:tcW w:w="1168"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(43</w:t>
            </w:r>
          </w:p>
        </w:tc>
        <w:tc>
          <w:tcPr>
            <w:tcW w:w="209" w:type="dxa"/>
            <w:tcBorders>
              <w:bottom w:val="single" w:sz="2" w:space="0" w:color="CCEEFF"/>
            </w:tcBorders>
            <w:shd w:fill="CCEE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35" w:type="dxa"/>
            <w:tcBorders>
              <w:bottom w:val="single" w:sz="2" w:space="0" w:color="000000"/>
            </w:tcBorders>
            <w:shd w:fill="CCEEFF" w:val="clear"/>
            <w:vAlign w:val="bottom"/>
          </w:tcPr>
          <w:p>
            <w:pPr>
              <w:pStyle w:val="TableContents"/>
              <w:spacing w:before="0" w:after="283"/>
              <w:jc w:val="left"/>
              <w:rPr/>
            </w:pPr>
            <w:r>
              <w:rPr/>
              <w:t> </w:t>
            </w:r>
          </w:p>
        </w:tc>
        <w:tc>
          <w:tcPr>
            <w:tcW w:w="1206"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(401</w:t>
            </w:r>
          </w:p>
        </w:tc>
        <w:tc>
          <w:tcPr>
            <w:tcW w:w="132" w:type="dxa"/>
            <w:tcBorders>
              <w:bottom w:val="single" w:sz="2" w:space="0" w:color="CCEEFF"/>
            </w:tcBorders>
            <w:shd w:fill="CCEE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r>
      <w:tr>
        <w:trPr/>
        <w:tc>
          <w:tcPr>
            <w:tcW w:w="5482" w:type="dxa"/>
            <w:tcBorders>
              <w:bottom w:val="doub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Balance at December 31, 2005</w:t>
            </w:r>
          </w:p>
        </w:tc>
        <w:tc>
          <w:tcPr>
            <w:tcW w:w="201" w:type="dxa"/>
            <w:tcBorders>
              <w:bottom w:val="single" w:sz="4" w:space="0" w:color="FFFFFF"/>
            </w:tcBorders>
            <w:shd w:fill="FFFFFF" w:val="clear"/>
            <w:vAlign w:val="center"/>
          </w:tcPr>
          <w:p>
            <w:pPr>
              <w:pStyle w:val="TableContents"/>
              <w:spacing w:before="0" w:after="283"/>
              <w:rPr/>
            </w:pPr>
            <w:r>
              <w:rPr/>
              <w:t> </w:t>
            </w:r>
          </w:p>
        </w:tc>
        <w:tc>
          <w:tcPr>
            <w:tcW w:w="140" w:type="dxa"/>
            <w:tcBorders>
              <w:bottom w:val="doub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bookmarkStart w:id="3286" w:name="TAB11551"/>
            <w:bookmarkEnd w:id="3286"/>
            <w:r>
              <w:rPr>
                <w:rFonts w:ascii="Times New Roman" w:hAnsi="Times New Roman"/>
                <w:sz w:val="20"/>
              </w:rPr>
              <w:t>$</w:t>
            </w:r>
          </w:p>
        </w:tc>
        <w:tc>
          <w:tcPr>
            <w:tcW w:w="1188"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3287" w:name="TAB11552"/>
            <w:bookmarkEnd w:id="3287"/>
            <w:r>
              <w:rPr>
                <w:rFonts w:ascii="Times New Roman" w:hAnsi="Times New Roman"/>
                <w:sz w:val="20"/>
              </w:rPr>
              <w:t>9,489</w:t>
            </w:r>
          </w:p>
        </w:tc>
        <w:tc>
          <w:tcPr>
            <w:tcW w:w="209" w:type="dxa"/>
            <w:tcBorders>
              <w:bottom w:val="single" w:sz="4" w:space="0" w:color="FFFFFF"/>
            </w:tcBorders>
            <w:shd w:fill="FFFFFF" w:val="clear"/>
            <w:vAlign w:val="bottom"/>
          </w:tcPr>
          <w:p>
            <w:pPr>
              <w:pStyle w:val="TableContents"/>
              <w:spacing w:before="0" w:after="283"/>
              <w:jc w:val="left"/>
              <w:rPr/>
            </w:pPr>
            <w:r>
              <w:rPr/>
              <w:t> </w:t>
            </w:r>
          </w:p>
        </w:tc>
        <w:tc>
          <w:tcPr>
            <w:tcW w:w="135" w:type="dxa"/>
            <w:tcBorders>
              <w:bottom w:val="doub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bookmarkStart w:id="3288" w:name="TAB11553"/>
            <w:bookmarkEnd w:id="3288"/>
            <w:r>
              <w:rPr>
                <w:rFonts w:ascii="Times New Roman" w:hAnsi="Times New Roman"/>
                <w:sz w:val="20"/>
              </w:rPr>
              <w:t>$</w:t>
            </w:r>
          </w:p>
        </w:tc>
        <w:tc>
          <w:tcPr>
            <w:tcW w:w="1168"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3289" w:name="TAB11554"/>
            <w:bookmarkEnd w:id="3289"/>
            <w:r>
              <w:rPr>
                <w:rFonts w:ascii="Times New Roman" w:hAnsi="Times New Roman"/>
                <w:sz w:val="20"/>
              </w:rPr>
              <w:t>5,164</w:t>
            </w:r>
          </w:p>
        </w:tc>
        <w:tc>
          <w:tcPr>
            <w:tcW w:w="209" w:type="dxa"/>
            <w:tcBorders>
              <w:bottom w:val="single" w:sz="4" w:space="0" w:color="FFFFFF"/>
            </w:tcBorders>
            <w:shd w:fill="FFFFFF" w:val="clear"/>
            <w:vAlign w:val="bottom"/>
          </w:tcPr>
          <w:p>
            <w:pPr>
              <w:pStyle w:val="TableContents"/>
              <w:spacing w:before="0" w:after="283"/>
              <w:jc w:val="left"/>
              <w:rPr/>
            </w:pPr>
            <w:r>
              <w:rPr/>
              <w:t> </w:t>
            </w:r>
          </w:p>
        </w:tc>
        <w:tc>
          <w:tcPr>
            <w:tcW w:w="135" w:type="dxa"/>
            <w:tcBorders>
              <w:bottom w:val="doub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bookmarkStart w:id="3290" w:name="TAB11555"/>
            <w:bookmarkEnd w:id="3290"/>
            <w:r>
              <w:rPr>
                <w:rFonts w:ascii="Times New Roman" w:hAnsi="Times New Roman"/>
                <w:sz w:val="20"/>
              </w:rPr>
              <w:t>$</w:t>
            </w:r>
          </w:p>
        </w:tc>
        <w:tc>
          <w:tcPr>
            <w:tcW w:w="1206"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3291" w:name="TAB11556"/>
            <w:bookmarkEnd w:id="3291"/>
            <w:r>
              <w:rPr>
                <w:rFonts w:ascii="Times New Roman" w:hAnsi="Times New Roman"/>
                <w:sz w:val="20"/>
              </w:rPr>
              <w:t>14,653</w:t>
            </w:r>
          </w:p>
        </w:tc>
        <w:tc>
          <w:tcPr>
            <w:tcW w:w="132" w:type="dxa"/>
            <w:tcBorders>
              <w:bottom w:val="single" w:sz="4" w:space="0" w:color="FFFFFF"/>
            </w:tcBorders>
            <w:shd w:fill="FFFFFF" w:val="clear"/>
            <w:vAlign w:val="bottom"/>
          </w:tcPr>
          <w:p>
            <w:pPr>
              <w:pStyle w:val="TableContents"/>
              <w:spacing w:before="0" w:after="283"/>
              <w:jc w:val="left"/>
              <w:rPr/>
            </w:pPr>
            <w:r>
              <w:rPr/>
              <w:t> </w:t>
            </w:r>
          </w:p>
        </w:tc>
      </w:tr>
    </w:tbl>
    <w:p>
      <w:pPr>
        <w:pStyle w:val="TextBody"/>
        <w:spacing w:lineRule="auto" w:line="300" w:before="0" w:after="0"/>
        <w:ind w:left="0" w:right="0" w:hanging="0"/>
        <w:jc w:val="both"/>
        <w:rPr/>
      </w:pPr>
      <w:r>
        <w:rPr/>
      </w:r>
    </w:p>
    <w:p>
      <w:pPr>
        <w:pStyle w:val="TextBody"/>
        <w:spacing w:lineRule="auto" w:line="300" w:before="0" w:after="0"/>
        <w:ind w:left="720" w:right="0" w:hanging="0"/>
        <w:jc w:val="both"/>
        <w:rPr>
          <w:rFonts w:ascii="Times New Roman" w:hAnsi="Times New Roman"/>
          <w:sz w:val="20"/>
        </w:rPr>
      </w:pPr>
      <w:bookmarkStart w:id="3292" w:name="TAB11557"/>
      <w:bookmarkEnd w:id="3292"/>
      <w:r>
        <w:rPr>
          <w:rFonts w:ascii="Times New Roman" w:hAnsi="Times New Roman"/>
          <w:sz w:val="20"/>
        </w:rPr>
        <w:t xml:space="preserve">We have intangible assets subject to amortization consisting of the following (dollars in thousands): </w:t>
      </w:r>
    </w:p>
    <w:p>
      <w:pPr>
        <w:pStyle w:val="TextBody"/>
        <w:spacing w:lineRule="auto" w:line="300" w:before="0" w:after="0"/>
        <w:ind w:left="0" w:right="0" w:hanging="0"/>
        <w:jc w:val="both"/>
        <w:rPr/>
      </w:pPr>
      <w:r>
        <w:rPr/>
      </w:r>
    </w:p>
    <w:p>
      <w:pPr>
        <w:pStyle w:val="Normal"/>
        <w:spacing w:before="0" w:after="0"/>
        <w:rPr>
          <w:sz w:val="4"/>
          <w:szCs w:val="4"/>
        </w:rPr>
      </w:pPr>
      <w:r>
        <w:rPr>
          <w:sz w:val="4"/>
          <w:szCs w:val="4"/>
        </w:rPr>
      </w:r>
      <w:bookmarkStart w:id="3293" w:name="ftable31"/>
      <w:bookmarkStart w:id="3294" w:name="ftable31"/>
      <w:bookmarkEnd w:id="3294"/>
    </w:p>
    <w:tbl>
      <w:tblPr>
        <w:tblW w:w="5000" w:type="pct"/>
        <w:jc w:val="left"/>
        <w:tblInd w:w="0" w:type="dxa"/>
        <w:tblCellMar>
          <w:top w:w="0" w:type="dxa"/>
          <w:left w:w="0" w:type="dxa"/>
          <w:bottom w:w="28" w:type="dxa"/>
          <w:right w:w="0" w:type="dxa"/>
        </w:tblCellMar>
      </w:tblPr>
      <w:tblGrid>
        <w:gridCol w:w="3726"/>
        <w:gridCol w:w="180"/>
        <w:gridCol w:w="181"/>
        <w:gridCol w:w="1288"/>
        <w:gridCol w:w="180"/>
        <w:gridCol w:w="161"/>
        <w:gridCol w:w="1111"/>
        <w:gridCol w:w="180"/>
        <w:gridCol w:w="263"/>
        <w:gridCol w:w="1273"/>
        <w:gridCol w:w="179"/>
        <w:gridCol w:w="161"/>
        <w:gridCol w:w="1189"/>
        <w:gridCol w:w="133"/>
      </w:tblGrid>
      <w:tr>
        <w:trPr/>
        <w:tc>
          <w:tcPr>
            <w:tcW w:w="3726" w:type="dxa"/>
            <w:tcBorders>
              <w:bottom w:val="double" w:sz="2" w:space="0" w:color="000000"/>
            </w:tcBorders>
            <w:shd w:fill="auto" w:val="clear"/>
            <w:vAlign w:val="bottom"/>
          </w:tcPr>
          <w:p>
            <w:pPr>
              <w:pStyle w:val="TableContents"/>
              <w:spacing w:lineRule="auto" w:line="300" w:before="0" w:after="0"/>
              <w:ind w:left="0" w:right="0" w:hanging="0"/>
              <w:jc w:val="left"/>
              <w:rPr/>
            </w:pPr>
            <w:r>
              <w:rPr/>
              <w:t> </w:t>
            </w:r>
          </w:p>
          <w:p>
            <w:pPr>
              <w:pStyle w:val="TableContents"/>
              <w:spacing w:lineRule="auto" w:line="300" w:before="0" w:after="0"/>
              <w:ind w:left="0" w:right="0" w:hanging="0"/>
              <w:jc w:val="left"/>
              <w:rPr/>
            </w:pPr>
            <w:r>
              <w:rPr>
                <w:rStyle w:val="StrongEmphasis"/>
                <w:rFonts w:ascii="Times New Roman" w:hAnsi="Times New Roman"/>
                <w:sz w:val="20"/>
              </w:rPr>
              <w:t>As of December 31, 2006</w:t>
            </w:r>
          </w:p>
        </w:tc>
        <w:tc>
          <w:tcPr>
            <w:tcW w:w="180" w:type="dxa"/>
            <w:tcBorders>
              <w:bottom w:val="single" w:sz="4" w:space="0" w:color="FFFFFF"/>
            </w:tcBorders>
            <w:shd w:fill="auto" w:val="clear"/>
            <w:vAlign w:val="center"/>
          </w:tcPr>
          <w:p>
            <w:pPr>
              <w:pStyle w:val="TableContents"/>
              <w:spacing w:before="0" w:after="283"/>
              <w:rPr/>
            </w:pPr>
            <w:r>
              <w:rPr/>
              <w:t> </w:t>
            </w:r>
          </w:p>
        </w:tc>
        <w:tc>
          <w:tcPr>
            <w:tcW w:w="1469"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Beneficial Lease</w:t>
            </w:r>
          </w:p>
        </w:tc>
        <w:tc>
          <w:tcPr>
            <w:tcW w:w="180" w:type="dxa"/>
            <w:tcBorders>
              <w:bottom w:val="single" w:sz="4" w:space="0" w:color="FFFFFF"/>
            </w:tcBorders>
            <w:shd w:fill="auto" w:val="clear"/>
            <w:vAlign w:val="bottom"/>
          </w:tcPr>
          <w:p>
            <w:pPr>
              <w:pStyle w:val="TableContents"/>
              <w:spacing w:before="0" w:after="283"/>
              <w:jc w:val="left"/>
              <w:rPr/>
            </w:pPr>
            <w:r>
              <w:rPr/>
              <w:t> </w:t>
            </w:r>
          </w:p>
        </w:tc>
        <w:tc>
          <w:tcPr>
            <w:tcW w:w="1272"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t> </w:t>
            </w:r>
          </w:p>
          <w:p>
            <w:pPr>
              <w:pStyle w:val="TableContents"/>
              <w:spacing w:lineRule="auto" w:line="300" w:before="0" w:after="0"/>
              <w:ind w:left="0" w:right="0" w:hanging="0"/>
              <w:jc w:val="center"/>
              <w:rPr/>
            </w:pPr>
            <w:r>
              <w:rPr>
                <w:rStyle w:val="StrongEmphasis"/>
                <w:rFonts w:ascii="Times New Roman" w:hAnsi="Times New Roman"/>
                <w:sz w:val="20"/>
              </w:rPr>
              <w:t>Option Fee</w:t>
            </w:r>
          </w:p>
        </w:tc>
        <w:tc>
          <w:tcPr>
            <w:tcW w:w="180" w:type="dxa"/>
            <w:tcBorders>
              <w:bottom w:val="single" w:sz="4" w:space="0" w:color="FFFFFF"/>
            </w:tcBorders>
            <w:shd w:fill="auto" w:val="clear"/>
            <w:vAlign w:val="bottom"/>
          </w:tcPr>
          <w:p>
            <w:pPr>
              <w:pStyle w:val="TableContents"/>
              <w:spacing w:before="0" w:after="283"/>
              <w:jc w:val="left"/>
              <w:rPr/>
            </w:pPr>
            <w:r>
              <w:rPr/>
              <w:t> </w:t>
            </w:r>
          </w:p>
        </w:tc>
        <w:tc>
          <w:tcPr>
            <w:tcW w:w="1536"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 xml:space="preserve">Other Intangibles </w:t>
            </w:r>
          </w:p>
        </w:tc>
        <w:tc>
          <w:tcPr>
            <w:tcW w:w="179" w:type="dxa"/>
            <w:tcBorders>
              <w:bottom w:val="single" w:sz="4" w:space="0" w:color="FFFFFF"/>
            </w:tcBorders>
            <w:shd w:fill="auto" w:val="clear"/>
            <w:vAlign w:val="bottom"/>
          </w:tcPr>
          <w:p>
            <w:pPr>
              <w:pStyle w:val="TableContents"/>
              <w:spacing w:before="0" w:after="283"/>
              <w:jc w:val="left"/>
              <w:rPr/>
            </w:pPr>
            <w:r>
              <w:rPr/>
              <w:t> </w:t>
            </w:r>
          </w:p>
        </w:tc>
        <w:tc>
          <w:tcPr>
            <w:tcW w:w="1350"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t> </w:t>
            </w:r>
          </w:p>
          <w:p>
            <w:pPr>
              <w:pStyle w:val="TableContents"/>
              <w:spacing w:lineRule="auto" w:line="300" w:before="0" w:after="0"/>
              <w:ind w:left="0" w:right="0" w:hanging="0"/>
              <w:jc w:val="center"/>
              <w:rPr/>
            </w:pPr>
            <w:r>
              <w:rPr>
                <w:rStyle w:val="StrongEmphasis"/>
                <w:rFonts w:ascii="Times New Roman" w:hAnsi="Times New Roman"/>
                <w:sz w:val="20"/>
              </w:rPr>
              <w:t>Total</w:t>
            </w:r>
          </w:p>
        </w:tc>
        <w:tc>
          <w:tcPr>
            <w:tcW w:w="133" w:type="dxa"/>
            <w:tcBorders>
              <w:bottom w:val="single" w:sz="4" w:space="0" w:color="FFFFFF"/>
            </w:tcBorders>
            <w:shd w:fill="auto" w:val="clear"/>
            <w:vAlign w:val="bottom"/>
          </w:tcPr>
          <w:p>
            <w:pPr>
              <w:pStyle w:val="TableContents"/>
              <w:spacing w:before="0" w:after="283"/>
              <w:jc w:val="left"/>
              <w:rPr/>
            </w:pPr>
            <w:r>
              <w:rPr/>
              <w:t> </w:t>
            </w:r>
          </w:p>
        </w:tc>
      </w:tr>
      <w:tr>
        <w:trPr/>
        <w:tc>
          <w:tcPr>
            <w:tcW w:w="3726"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Gross carrying amount</w:t>
            </w:r>
          </w:p>
        </w:tc>
        <w:tc>
          <w:tcPr>
            <w:tcW w:w="180" w:type="dxa"/>
            <w:tcBorders/>
            <w:shd w:fill="CCEEFF" w:val="clear"/>
            <w:tcMar>
              <w:bottom w:w="0" w:type="dxa"/>
            </w:tcMar>
            <w:vAlign w:val="center"/>
          </w:tcPr>
          <w:p>
            <w:pPr>
              <w:pStyle w:val="TableContents"/>
              <w:spacing w:before="0" w:after="283"/>
              <w:rPr/>
            </w:pPr>
            <w:r>
              <w:rPr/>
              <w:t> </w:t>
            </w:r>
          </w:p>
        </w:tc>
        <w:tc>
          <w:tcPr>
            <w:tcW w:w="181"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3295" w:name="TAB11558"/>
            <w:bookmarkEnd w:id="3295"/>
            <w:r>
              <w:rPr>
                <w:rFonts w:ascii="Times New Roman" w:hAnsi="Times New Roman"/>
                <w:sz w:val="20"/>
              </w:rPr>
              <w:t>$</w:t>
            </w:r>
          </w:p>
        </w:tc>
        <w:tc>
          <w:tcPr>
            <w:tcW w:w="1288"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3296" w:name="TAB11559"/>
            <w:bookmarkEnd w:id="3296"/>
            <w:r>
              <w:rPr>
                <w:rFonts w:ascii="Times New Roman" w:hAnsi="Times New Roman"/>
                <w:sz w:val="20"/>
              </w:rPr>
              <w:t>10,984</w:t>
            </w:r>
          </w:p>
        </w:tc>
        <w:tc>
          <w:tcPr>
            <w:tcW w:w="180" w:type="dxa"/>
            <w:tcBorders/>
            <w:shd w:fill="CCEEFF" w:val="clear"/>
            <w:tcMar>
              <w:bottom w:w="0" w:type="dxa"/>
            </w:tcMar>
            <w:vAlign w:val="bottom"/>
          </w:tcPr>
          <w:p>
            <w:pPr>
              <w:pStyle w:val="TableContents"/>
              <w:spacing w:before="0" w:after="283"/>
              <w:jc w:val="left"/>
              <w:rPr/>
            </w:pPr>
            <w:r>
              <w:rPr/>
              <w:t> </w:t>
            </w:r>
          </w:p>
        </w:tc>
        <w:tc>
          <w:tcPr>
            <w:tcW w:w="161"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3297" w:name="TAB11560"/>
            <w:bookmarkEnd w:id="3297"/>
            <w:r>
              <w:rPr>
                <w:rFonts w:ascii="Times New Roman" w:hAnsi="Times New Roman"/>
                <w:sz w:val="20"/>
              </w:rPr>
              <w:t>$</w:t>
            </w:r>
          </w:p>
        </w:tc>
        <w:tc>
          <w:tcPr>
            <w:tcW w:w="1111"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3298" w:name="TAB11561"/>
            <w:bookmarkEnd w:id="3298"/>
            <w:r>
              <w:rPr>
                <w:rFonts w:ascii="Times New Roman" w:hAnsi="Times New Roman"/>
                <w:sz w:val="20"/>
              </w:rPr>
              <w:t>2,773</w:t>
            </w:r>
          </w:p>
        </w:tc>
        <w:tc>
          <w:tcPr>
            <w:tcW w:w="180" w:type="dxa"/>
            <w:tcBorders/>
            <w:shd w:fill="CCEEFF" w:val="clear"/>
            <w:tcMar>
              <w:bottom w:w="0" w:type="dxa"/>
            </w:tcMar>
            <w:vAlign w:val="bottom"/>
          </w:tcPr>
          <w:p>
            <w:pPr>
              <w:pStyle w:val="TableContents"/>
              <w:spacing w:before="0" w:after="283"/>
              <w:jc w:val="left"/>
              <w:rPr/>
            </w:pPr>
            <w:r>
              <w:rPr/>
              <w:t> </w:t>
            </w:r>
          </w:p>
        </w:tc>
        <w:tc>
          <w:tcPr>
            <w:tcW w:w="263"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3299" w:name="TAB11562"/>
            <w:bookmarkEnd w:id="3299"/>
            <w:r>
              <w:rPr>
                <w:rFonts w:ascii="Times New Roman" w:hAnsi="Times New Roman"/>
                <w:sz w:val="20"/>
              </w:rPr>
              <w:t>$</w:t>
            </w:r>
          </w:p>
        </w:tc>
        <w:tc>
          <w:tcPr>
            <w:tcW w:w="1273"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3300" w:name="TAB11563"/>
            <w:bookmarkEnd w:id="3300"/>
            <w:r>
              <w:rPr>
                <w:rFonts w:ascii="Times New Roman" w:hAnsi="Times New Roman"/>
                <w:sz w:val="20"/>
              </w:rPr>
              <w:t>219</w:t>
            </w:r>
          </w:p>
        </w:tc>
        <w:tc>
          <w:tcPr>
            <w:tcW w:w="179" w:type="dxa"/>
            <w:tcBorders/>
            <w:shd w:fill="CCEEFF" w:val="clear"/>
            <w:tcMar>
              <w:bottom w:w="0" w:type="dxa"/>
            </w:tcMar>
            <w:vAlign w:val="bottom"/>
          </w:tcPr>
          <w:p>
            <w:pPr>
              <w:pStyle w:val="TableContents"/>
              <w:spacing w:before="0" w:after="283"/>
              <w:jc w:val="left"/>
              <w:rPr/>
            </w:pPr>
            <w:r>
              <w:rPr/>
              <w:t> </w:t>
            </w:r>
          </w:p>
        </w:tc>
        <w:tc>
          <w:tcPr>
            <w:tcW w:w="161"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3301" w:name="TAB11564"/>
            <w:bookmarkEnd w:id="3301"/>
            <w:r>
              <w:rPr>
                <w:rFonts w:ascii="Times New Roman" w:hAnsi="Times New Roman"/>
                <w:sz w:val="20"/>
              </w:rPr>
              <w:t>$</w:t>
            </w:r>
          </w:p>
        </w:tc>
        <w:tc>
          <w:tcPr>
            <w:tcW w:w="1189"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3302" w:name="TAB11565"/>
            <w:bookmarkEnd w:id="3302"/>
            <w:r>
              <w:rPr>
                <w:rFonts w:ascii="Times New Roman" w:hAnsi="Times New Roman"/>
                <w:sz w:val="20"/>
              </w:rPr>
              <w:t>13,976</w:t>
            </w:r>
          </w:p>
        </w:tc>
        <w:tc>
          <w:tcPr>
            <w:tcW w:w="133" w:type="dxa"/>
            <w:tcBorders/>
            <w:shd w:fill="CCEEFF" w:val="clear"/>
            <w:tcMar>
              <w:bottom w:w="0" w:type="dxa"/>
            </w:tcMar>
            <w:vAlign w:val="bottom"/>
          </w:tcPr>
          <w:p>
            <w:pPr>
              <w:pStyle w:val="TableContents"/>
              <w:spacing w:before="0" w:after="283"/>
              <w:jc w:val="left"/>
              <w:rPr/>
            </w:pPr>
            <w:r>
              <w:rPr/>
              <w:t> </w:t>
            </w:r>
          </w:p>
        </w:tc>
      </w:tr>
      <w:tr>
        <w:trPr/>
        <w:tc>
          <w:tcPr>
            <w:tcW w:w="3726" w:type="dxa"/>
            <w:tcBorders>
              <w:bottom w:val="sing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Less: Accumulated amortization</w:t>
            </w:r>
          </w:p>
        </w:tc>
        <w:tc>
          <w:tcPr>
            <w:tcW w:w="180" w:type="dxa"/>
            <w:tcBorders>
              <w:bottom w:val="single" w:sz="2" w:space="0" w:color="FFFFFF"/>
            </w:tcBorders>
            <w:shd w:fill="FFFFFF" w:val="clear"/>
            <w:vAlign w:val="center"/>
          </w:tcPr>
          <w:p>
            <w:pPr>
              <w:pStyle w:val="TableContents"/>
              <w:spacing w:before="0" w:after="283"/>
              <w:rPr/>
            </w:pPr>
            <w:r>
              <w:rPr/>
              <w:t> </w:t>
            </w:r>
          </w:p>
        </w:tc>
        <w:tc>
          <w:tcPr>
            <w:tcW w:w="181" w:type="dxa"/>
            <w:tcBorders>
              <w:bottom w:val="single" w:sz="2" w:space="0" w:color="000000"/>
            </w:tcBorders>
            <w:shd w:fill="FFFFFF" w:val="clear"/>
            <w:vAlign w:val="bottom"/>
          </w:tcPr>
          <w:p>
            <w:pPr>
              <w:pStyle w:val="TableContents"/>
              <w:spacing w:before="0" w:after="283"/>
              <w:jc w:val="left"/>
              <w:rPr/>
            </w:pPr>
            <w:r>
              <w:rPr/>
              <w:t> </w:t>
            </w:r>
          </w:p>
        </w:tc>
        <w:tc>
          <w:tcPr>
            <w:tcW w:w="1288"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3,577</w:t>
            </w:r>
          </w:p>
        </w:tc>
        <w:tc>
          <w:tcPr>
            <w:tcW w:w="180" w:type="dxa"/>
            <w:tcBorders>
              <w:bottom w:val="single" w:sz="2" w:space="0" w:color="FFFFFF"/>
            </w:tcBorders>
            <w:shd w:fill="FFFFFF" w:val="clear"/>
            <w:vAlign w:val="bottom"/>
          </w:tcPr>
          <w:p>
            <w:pPr>
              <w:pStyle w:val="TableContents"/>
              <w:spacing w:before="0" w:after="283"/>
              <w:jc w:val="left"/>
              <w:rPr/>
            </w:pPr>
            <w:r>
              <w:rPr/>
              <w:t> </w:t>
            </w:r>
          </w:p>
        </w:tc>
        <w:tc>
          <w:tcPr>
            <w:tcW w:w="161" w:type="dxa"/>
            <w:tcBorders>
              <w:bottom w:val="single" w:sz="2" w:space="0" w:color="000000"/>
            </w:tcBorders>
            <w:shd w:fill="FFFFFF" w:val="clear"/>
            <w:vAlign w:val="bottom"/>
          </w:tcPr>
          <w:p>
            <w:pPr>
              <w:pStyle w:val="TableContents"/>
              <w:spacing w:before="0" w:after="283"/>
              <w:jc w:val="left"/>
              <w:rPr/>
            </w:pPr>
            <w:r>
              <w:rPr/>
              <w:t> </w:t>
            </w:r>
          </w:p>
        </w:tc>
        <w:tc>
          <w:tcPr>
            <w:tcW w:w="1111"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2,426</w:t>
            </w:r>
          </w:p>
        </w:tc>
        <w:tc>
          <w:tcPr>
            <w:tcW w:w="180" w:type="dxa"/>
            <w:tcBorders>
              <w:bottom w:val="single" w:sz="2" w:space="0" w:color="FFFFFF"/>
            </w:tcBorders>
            <w:shd w:fill="FFFFFF" w:val="clear"/>
            <w:vAlign w:val="bottom"/>
          </w:tcPr>
          <w:p>
            <w:pPr>
              <w:pStyle w:val="TableContents"/>
              <w:spacing w:before="0" w:after="283"/>
              <w:jc w:val="left"/>
              <w:rPr/>
            </w:pPr>
            <w:r>
              <w:rPr/>
              <w:t> </w:t>
            </w:r>
          </w:p>
        </w:tc>
        <w:tc>
          <w:tcPr>
            <w:tcW w:w="263" w:type="dxa"/>
            <w:tcBorders>
              <w:bottom w:val="single" w:sz="2" w:space="0" w:color="000000"/>
            </w:tcBorders>
            <w:shd w:fill="FFFFFF" w:val="clear"/>
            <w:vAlign w:val="bottom"/>
          </w:tcPr>
          <w:p>
            <w:pPr>
              <w:pStyle w:val="TableContents"/>
              <w:spacing w:before="0" w:after="283"/>
              <w:jc w:val="left"/>
              <w:rPr/>
            </w:pPr>
            <w:r>
              <w:rPr/>
              <w:t> </w:t>
            </w:r>
          </w:p>
        </w:tc>
        <w:tc>
          <w:tcPr>
            <w:tcW w:w="1273"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19</w:t>
            </w:r>
          </w:p>
        </w:tc>
        <w:tc>
          <w:tcPr>
            <w:tcW w:w="179" w:type="dxa"/>
            <w:tcBorders>
              <w:bottom w:val="single" w:sz="2" w:space="0" w:color="FFFFFF"/>
            </w:tcBorders>
            <w:shd w:fill="FFFFFF" w:val="clear"/>
            <w:vAlign w:val="bottom"/>
          </w:tcPr>
          <w:p>
            <w:pPr>
              <w:pStyle w:val="TableContents"/>
              <w:spacing w:before="0" w:after="283"/>
              <w:jc w:val="left"/>
              <w:rPr/>
            </w:pPr>
            <w:r>
              <w:rPr/>
              <w:t> </w:t>
            </w:r>
          </w:p>
        </w:tc>
        <w:tc>
          <w:tcPr>
            <w:tcW w:w="161" w:type="dxa"/>
            <w:tcBorders>
              <w:bottom w:val="single" w:sz="2" w:space="0" w:color="000000"/>
            </w:tcBorders>
            <w:shd w:fill="FFFFFF" w:val="clear"/>
            <w:vAlign w:val="bottom"/>
          </w:tcPr>
          <w:p>
            <w:pPr>
              <w:pStyle w:val="TableContents"/>
              <w:spacing w:before="0" w:after="283"/>
              <w:jc w:val="left"/>
              <w:rPr/>
            </w:pPr>
            <w:r>
              <w:rPr/>
              <w:t> </w:t>
            </w:r>
          </w:p>
        </w:tc>
        <w:tc>
          <w:tcPr>
            <w:tcW w:w="1189"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6,022</w:t>
            </w:r>
          </w:p>
        </w:tc>
        <w:tc>
          <w:tcPr>
            <w:tcW w:w="133" w:type="dxa"/>
            <w:tcBorders>
              <w:bottom w:val="single" w:sz="2" w:space="0" w:color="FFFFFF"/>
            </w:tcBorders>
            <w:shd w:fill="FFFFFF" w:val="clear"/>
            <w:vAlign w:val="bottom"/>
          </w:tcPr>
          <w:p>
            <w:pPr>
              <w:pStyle w:val="TableContents"/>
              <w:spacing w:before="0" w:after="283"/>
              <w:jc w:val="left"/>
              <w:rPr/>
            </w:pPr>
            <w:r>
              <w:rPr/>
              <w:t> </w:t>
            </w:r>
          </w:p>
        </w:tc>
      </w:tr>
      <w:tr>
        <w:trPr/>
        <w:tc>
          <w:tcPr>
            <w:tcW w:w="3726" w:type="dxa"/>
            <w:tcBorders>
              <w:bottom w:val="double" w:sz="2" w:space="0" w:color="000000"/>
            </w:tcBorders>
            <w:shd w:fill="CCEEFF" w:val="clear"/>
            <w:vAlign w:val="bottom"/>
          </w:tcPr>
          <w:p>
            <w:pPr>
              <w:pStyle w:val="TableContents"/>
              <w:spacing w:lineRule="auto" w:line="300" w:before="0" w:after="0"/>
              <w:ind w:left="360" w:right="0" w:hanging="0"/>
              <w:jc w:val="left"/>
              <w:rPr>
                <w:rFonts w:ascii="Times New Roman" w:hAnsi="Times New Roman"/>
                <w:sz w:val="20"/>
              </w:rPr>
            </w:pPr>
            <w:bookmarkStart w:id="3303" w:name="TAB11566"/>
            <w:bookmarkEnd w:id="3303"/>
            <w:r>
              <w:rPr>
                <w:rFonts w:ascii="Times New Roman" w:hAnsi="Times New Roman"/>
                <w:sz w:val="20"/>
              </w:rPr>
              <w:t>Total, net</w:t>
            </w:r>
          </w:p>
        </w:tc>
        <w:tc>
          <w:tcPr>
            <w:tcW w:w="180" w:type="dxa"/>
            <w:tcBorders>
              <w:bottom w:val="single" w:sz="4" w:space="0" w:color="CCEEFF"/>
            </w:tcBorders>
            <w:shd w:fill="CCEEFF" w:val="clear"/>
            <w:vAlign w:val="center"/>
          </w:tcPr>
          <w:p>
            <w:pPr>
              <w:pStyle w:val="TableContents"/>
              <w:spacing w:before="0" w:after="283"/>
              <w:rPr/>
            </w:pPr>
            <w:r>
              <w:rPr/>
              <w:t> </w:t>
            </w:r>
          </w:p>
        </w:tc>
        <w:tc>
          <w:tcPr>
            <w:tcW w:w="181" w:type="dxa"/>
            <w:tcBorders>
              <w:bottom w:val="doub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bookmarkStart w:id="3304" w:name="TAB11567"/>
            <w:bookmarkEnd w:id="3304"/>
            <w:r>
              <w:rPr>
                <w:rFonts w:ascii="Times New Roman" w:hAnsi="Times New Roman"/>
                <w:sz w:val="20"/>
              </w:rPr>
              <w:t>$</w:t>
            </w:r>
          </w:p>
        </w:tc>
        <w:tc>
          <w:tcPr>
            <w:tcW w:w="1288" w:type="dxa"/>
            <w:tcBorders>
              <w:bottom w:val="doub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3305" w:name="TAB11568"/>
            <w:bookmarkEnd w:id="3305"/>
            <w:r>
              <w:rPr>
                <w:rFonts w:ascii="Times New Roman" w:hAnsi="Times New Roman"/>
                <w:sz w:val="20"/>
              </w:rPr>
              <w:t>7,407</w:t>
            </w:r>
          </w:p>
        </w:tc>
        <w:tc>
          <w:tcPr>
            <w:tcW w:w="180" w:type="dxa"/>
            <w:tcBorders>
              <w:bottom w:val="single" w:sz="4" w:space="0" w:color="CCEEFF"/>
            </w:tcBorders>
            <w:shd w:fill="CCEEFF" w:val="clear"/>
            <w:vAlign w:val="bottom"/>
          </w:tcPr>
          <w:p>
            <w:pPr>
              <w:pStyle w:val="TableContents"/>
              <w:spacing w:before="0" w:after="283"/>
              <w:jc w:val="left"/>
              <w:rPr/>
            </w:pPr>
            <w:r>
              <w:rPr/>
              <w:t> </w:t>
            </w:r>
          </w:p>
        </w:tc>
        <w:tc>
          <w:tcPr>
            <w:tcW w:w="161" w:type="dxa"/>
            <w:tcBorders>
              <w:bottom w:val="doub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bookmarkStart w:id="3306" w:name="TAB11569"/>
            <w:bookmarkEnd w:id="3306"/>
            <w:r>
              <w:rPr>
                <w:rFonts w:ascii="Times New Roman" w:hAnsi="Times New Roman"/>
                <w:sz w:val="20"/>
              </w:rPr>
              <w:t>$</w:t>
            </w:r>
          </w:p>
        </w:tc>
        <w:tc>
          <w:tcPr>
            <w:tcW w:w="1111" w:type="dxa"/>
            <w:tcBorders>
              <w:bottom w:val="doub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3307" w:name="TAB11570"/>
            <w:bookmarkEnd w:id="3307"/>
            <w:r>
              <w:rPr>
                <w:rFonts w:ascii="Times New Roman" w:hAnsi="Times New Roman"/>
                <w:sz w:val="20"/>
              </w:rPr>
              <w:t>347</w:t>
            </w:r>
          </w:p>
        </w:tc>
        <w:tc>
          <w:tcPr>
            <w:tcW w:w="180" w:type="dxa"/>
            <w:tcBorders>
              <w:bottom w:val="single" w:sz="4" w:space="0" w:color="CCEEFF"/>
            </w:tcBorders>
            <w:shd w:fill="CCEEFF" w:val="clear"/>
            <w:vAlign w:val="bottom"/>
          </w:tcPr>
          <w:p>
            <w:pPr>
              <w:pStyle w:val="TableContents"/>
              <w:spacing w:before="0" w:after="283"/>
              <w:jc w:val="left"/>
              <w:rPr/>
            </w:pPr>
            <w:r>
              <w:rPr/>
              <w:t> </w:t>
            </w:r>
          </w:p>
        </w:tc>
        <w:tc>
          <w:tcPr>
            <w:tcW w:w="263" w:type="dxa"/>
            <w:tcBorders>
              <w:bottom w:val="doub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bookmarkStart w:id="3308" w:name="TAB11571"/>
            <w:bookmarkEnd w:id="3308"/>
            <w:r>
              <w:rPr>
                <w:rFonts w:ascii="Times New Roman" w:hAnsi="Times New Roman"/>
                <w:sz w:val="20"/>
              </w:rPr>
              <w:t>$</w:t>
            </w:r>
          </w:p>
        </w:tc>
        <w:tc>
          <w:tcPr>
            <w:tcW w:w="1273" w:type="dxa"/>
            <w:tcBorders>
              <w:bottom w:val="doub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3309" w:name="TAB11572"/>
            <w:bookmarkEnd w:id="3309"/>
            <w:r>
              <w:rPr>
                <w:rFonts w:ascii="Times New Roman" w:hAnsi="Times New Roman"/>
                <w:sz w:val="20"/>
              </w:rPr>
              <w:t>200</w:t>
            </w:r>
          </w:p>
        </w:tc>
        <w:tc>
          <w:tcPr>
            <w:tcW w:w="179" w:type="dxa"/>
            <w:tcBorders>
              <w:bottom w:val="single" w:sz="4" w:space="0" w:color="CCEEFF"/>
            </w:tcBorders>
            <w:shd w:fill="CCEEFF" w:val="clear"/>
            <w:vAlign w:val="bottom"/>
          </w:tcPr>
          <w:p>
            <w:pPr>
              <w:pStyle w:val="TableContents"/>
              <w:spacing w:before="0" w:after="283"/>
              <w:jc w:val="left"/>
              <w:rPr/>
            </w:pPr>
            <w:r>
              <w:rPr/>
              <w:t> </w:t>
            </w:r>
          </w:p>
        </w:tc>
        <w:tc>
          <w:tcPr>
            <w:tcW w:w="161" w:type="dxa"/>
            <w:tcBorders>
              <w:bottom w:val="doub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bookmarkStart w:id="3310" w:name="TAB11573"/>
            <w:bookmarkEnd w:id="3310"/>
            <w:r>
              <w:rPr>
                <w:rFonts w:ascii="Times New Roman" w:hAnsi="Times New Roman"/>
                <w:sz w:val="20"/>
              </w:rPr>
              <w:t>$</w:t>
            </w:r>
          </w:p>
        </w:tc>
        <w:tc>
          <w:tcPr>
            <w:tcW w:w="1189" w:type="dxa"/>
            <w:tcBorders>
              <w:bottom w:val="doub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3311" w:name="TAB11574"/>
            <w:bookmarkEnd w:id="3311"/>
            <w:r>
              <w:rPr>
                <w:rFonts w:ascii="Times New Roman" w:hAnsi="Times New Roman"/>
                <w:sz w:val="20"/>
              </w:rPr>
              <w:t>7,954</w:t>
            </w:r>
          </w:p>
        </w:tc>
        <w:tc>
          <w:tcPr>
            <w:tcW w:w="133" w:type="dxa"/>
            <w:tcBorders>
              <w:bottom w:val="single" w:sz="4" w:space="0" w:color="CCEEFF"/>
            </w:tcBorders>
            <w:shd w:fill="CCEEFF" w:val="clear"/>
            <w:vAlign w:val="bottom"/>
          </w:tcPr>
          <w:p>
            <w:pPr>
              <w:pStyle w:val="TableContents"/>
              <w:spacing w:before="0" w:after="283"/>
              <w:jc w:val="left"/>
              <w:rPr/>
            </w:pPr>
            <w:r>
              <w:rPr/>
              <w:t> </w:t>
            </w:r>
          </w:p>
        </w:tc>
      </w:tr>
    </w:tbl>
    <w:p>
      <w:pPr>
        <w:pStyle w:val="TextBody"/>
        <w:spacing w:lineRule="auto" w:line="300" w:before="0" w:after="0"/>
        <w:ind w:left="0" w:right="0" w:hanging="0"/>
        <w:jc w:val="both"/>
        <w:rPr/>
      </w:pPr>
      <w:r>
        <w:rPr/>
      </w:r>
    </w:p>
    <w:p>
      <w:pPr>
        <w:pStyle w:val="Normal"/>
        <w:spacing w:before="0" w:after="0"/>
        <w:rPr>
          <w:sz w:val="4"/>
          <w:szCs w:val="4"/>
        </w:rPr>
      </w:pPr>
      <w:r>
        <w:rPr>
          <w:sz w:val="4"/>
          <w:szCs w:val="4"/>
        </w:rPr>
      </w:r>
      <w:bookmarkStart w:id="3312" w:name="ftable32"/>
      <w:bookmarkStart w:id="3313" w:name="ftable32"/>
      <w:bookmarkEnd w:id="3313"/>
    </w:p>
    <w:tbl>
      <w:tblPr>
        <w:tblW w:w="5000" w:type="pct"/>
        <w:jc w:val="left"/>
        <w:tblInd w:w="0" w:type="dxa"/>
        <w:tblCellMar>
          <w:top w:w="0" w:type="dxa"/>
          <w:left w:w="0" w:type="dxa"/>
          <w:bottom w:w="28" w:type="dxa"/>
          <w:right w:w="0" w:type="dxa"/>
        </w:tblCellMar>
      </w:tblPr>
      <w:tblGrid>
        <w:gridCol w:w="3726"/>
        <w:gridCol w:w="180"/>
        <w:gridCol w:w="181"/>
        <w:gridCol w:w="1288"/>
        <w:gridCol w:w="180"/>
        <w:gridCol w:w="161"/>
        <w:gridCol w:w="1111"/>
        <w:gridCol w:w="180"/>
        <w:gridCol w:w="263"/>
        <w:gridCol w:w="1273"/>
        <w:gridCol w:w="179"/>
        <w:gridCol w:w="161"/>
        <w:gridCol w:w="1189"/>
        <w:gridCol w:w="133"/>
      </w:tblGrid>
      <w:tr>
        <w:trPr/>
        <w:tc>
          <w:tcPr>
            <w:tcW w:w="3726" w:type="dxa"/>
            <w:tcBorders>
              <w:bottom w:val="double" w:sz="2" w:space="0" w:color="000000"/>
            </w:tcBorders>
            <w:shd w:fill="auto" w:val="clear"/>
            <w:vAlign w:val="bottom"/>
          </w:tcPr>
          <w:p>
            <w:pPr>
              <w:pStyle w:val="TableContents"/>
              <w:spacing w:lineRule="auto" w:line="300" w:before="0" w:after="0"/>
              <w:ind w:left="0" w:right="0" w:hanging="0"/>
              <w:jc w:val="left"/>
              <w:rPr/>
            </w:pPr>
            <w:r>
              <w:rPr/>
              <w:t> </w:t>
            </w:r>
          </w:p>
          <w:p>
            <w:pPr>
              <w:pStyle w:val="TableContents"/>
              <w:spacing w:lineRule="auto" w:line="300" w:before="0" w:after="0"/>
              <w:ind w:left="0" w:right="0" w:hanging="0"/>
              <w:jc w:val="left"/>
              <w:rPr/>
            </w:pPr>
            <w:r>
              <w:rPr>
                <w:rStyle w:val="StrongEmphasis"/>
                <w:rFonts w:ascii="Times New Roman" w:hAnsi="Times New Roman"/>
                <w:sz w:val="20"/>
              </w:rPr>
              <w:t>As of December 31, 2005</w:t>
            </w:r>
          </w:p>
        </w:tc>
        <w:tc>
          <w:tcPr>
            <w:tcW w:w="180" w:type="dxa"/>
            <w:tcBorders>
              <w:bottom w:val="single" w:sz="4" w:space="0" w:color="FFFFFF"/>
            </w:tcBorders>
            <w:shd w:fill="auto" w:val="clear"/>
            <w:vAlign w:val="center"/>
          </w:tcPr>
          <w:p>
            <w:pPr>
              <w:pStyle w:val="TableContents"/>
              <w:spacing w:before="0" w:after="283"/>
              <w:rPr/>
            </w:pPr>
            <w:r>
              <w:rPr/>
              <w:t> </w:t>
            </w:r>
          </w:p>
        </w:tc>
        <w:tc>
          <w:tcPr>
            <w:tcW w:w="1469"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Beneficial Lease</w:t>
            </w:r>
          </w:p>
        </w:tc>
        <w:tc>
          <w:tcPr>
            <w:tcW w:w="180" w:type="dxa"/>
            <w:tcBorders>
              <w:bottom w:val="single" w:sz="4" w:space="0" w:color="FFFFFF"/>
            </w:tcBorders>
            <w:shd w:fill="auto" w:val="clear"/>
            <w:vAlign w:val="bottom"/>
          </w:tcPr>
          <w:p>
            <w:pPr>
              <w:pStyle w:val="TableContents"/>
              <w:spacing w:before="0" w:after="283"/>
              <w:jc w:val="left"/>
              <w:rPr/>
            </w:pPr>
            <w:r>
              <w:rPr/>
              <w:t> </w:t>
            </w:r>
          </w:p>
        </w:tc>
        <w:tc>
          <w:tcPr>
            <w:tcW w:w="1272"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t> </w:t>
            </w:r>
          </w:p>
          <w:p>
            <w:pPr>
              <w:pStyle w:val="TableContents"/>
              <w:spacing w:lineRule="auto" w:line="300" w:before="0" w:after="0"/>
              <w:ind w:left="0" w:right="0" w:hanging="0"/>
              <w:jc w:val="center"/>
              <w:rPr/>
            </w:pPr>
            <w:r>
              <w:rPr>
                <w:rStyle w:val="StrongEmphasis"/>
                <w:rFonts w:ascii="Times New Roman" w:hAnsi="Times New Roman"/>
                <w:sz w:val="20"/>
              </w:rPr>
              <w:t>Option Fee</w:t>
            </w:r>
          </w:p>
        </w:tc>
        <w:tc>
          <w:tcPr>
            <w:tcW w:w="180" w:type="dxa"/>
            <w:tcBorders>
              <w:bottom w:val="single" w:sz="4" w:space="0" w:color="FFFFFF"/>
            </w:tcBorders>
            <w:shd w:fill="auto" w:val="clear"/>
            <w:vAlign w:val="bottom"/>
          </w:tcPr>
          <w:p>
            <w:pPr>
              <w:pStyle w:val="TableContents"/>
              <w:spacing w:before="0" w:after="283"/>
              <w:jc w:val="left"/>
              <w:rPr/>
            </w:pPr>
            <w:r>
              <w:rPr/>
              <w:t> </w:t>
            </w:r>
          </w:p>
        </w:tc>
        <w:tc>
          <w:tcPr>
            <w:tcW w:w="1536"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 xml:space="preserve">Other Intangibles </w:t>
            </w:r>
          </w:p>
        </w:tc>
        <w:tc>
          <w:tcPr>
            <w:tcW w:w="179" w:type="dxa"/>
            <w:tcBorders>
              <w:bottom w:val="single" w:sz="4" w:space="0" w:color="FFFFFF"/>
            </w:tcBorders>
            <w:shd w:fill="auto" w:val="clear"/>
            <w:vAlign w:val="bottom"/>
          </w:tcPr>
          <w:p>
            <w:pPr>
              <w:pStyle w:val="TableContents"/>
              <w:spacing w:before="0" w:after="283"/>
              <w:jc w:val="left"/>
              <w:rPr/>
            </w:pPr>
            <w:r>
              <w:rPr/>
              <w:t> </w:t>
            </w:r>
          </w:p>
        </w:tc>
        <w:tc>
          <w:tcPr>
            <w:tcW w:w="1350"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t> </w:t>
            </w:r>
          </w:p>
          <w:p>
            <w:pPr>
              <w:pStyle w:val="TableContents"/>
              <w:spacing w:lineRule="auto" w:line="300" w:before="0" w:after="0"/>
              <w:ind w:left="0" w:right="0" w:hanging="0"/>
              <w:jc w:val="center"/>
              <w:rPr/>
            </w:pPr>
            <w:r>
              <w:rPr>
                <w:rStyle w:val="StrongEmphasis"/>
                <w:rFonts w:ascii="Times New Roman" w:hAnsi="Times New Roman"/>
                <w:sz w:val="20"/>
              </w:rPr>
              <w:t>Total</w:t>
            </w:r>
          </w:p>
        </w:tc>
        <w:tc>
          <w:tcPr>
            <w:tcW w:w="133" w:type="dxa"/>
            <w:tcBorders>
              <w:bottom w:val="single" w:sz="4" w:space="0" w:color="FFFFFF"/>
            </w:tcBorders>
            <w:shd w:fill="auto" w:val="clear"/>
            <w:vAlign w:val="bottom"/>
          </w:tcPr>
          <w:p>
            <w:pPr>
              <w:pStyle w:val="TableContents"/>
              <w:spacing w:before="0" w:after="283"/>
              <w:jc w:val="left"/>
              <w:rPr/>
            </w:pPr>
            <w:r>
              <w:rPr/>
              <w:t> </w:t>
            </w:r>
          </w:p>
        </w:tc>
      </w:tr>
      <w:tr>
        <w:trPr/>
        <w:tc>
          <w:tcPr>
            <w:tcW w:w="3726"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Gross carrying amount</w:t>
            </w:r>
          </w:p>
        </w:tc>
        <w:tc>
          <w:tcPr>
            <w:tcW w:w="180" w:type="dxa"/>
            <w:tcBorders/>
            <w:shd w:fill="CCEEFF" w:val="clear"/>
            <w:tcMar>
              <w:bottom w:w="0" w:type="dxa"/>
            </w:tcMar>
            <w:vAlign w:val="center"/>
          </w:tcPr>
          <w:p>
            <w:pPr>
              <w:pStyle w:val="TableContents"/>
              <w:spacing w:before="0" w:after="283"/>
              <w:rPr/>
            </w:pPr>
            <w:r>
              <w:rPr/>
              <w:t> </w:t>
            </w:r>
          </w:p>
        </w:tc>
        <w:tc>
          <w:tcPr>
            <w:tcW w:w="181"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3314" w:name="TAB11575"/>
            <w:bookmarkEnd w:id="3314"/>
            <w:r>
              <w:rPr>
                <w:rFonts w:ascii="Times New Roman" w:hAnsi="Times New Roman"/>
                <w:sz w:val="20"/>
              </w:rPr>
              <w:t>$</w:t>
            </w:r>
          </w:p>
        </w:tc>
        <w:tc>
          <w:tcPr>
            <w:tcW w:w="1288"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3315" w:name="TAB11576"/>
            <w:bookmarkEnd w:id="3315"/>
            <w:r>
              <w:rPr>
                <w:rFonts w:ascii="Times New Roman" w:hAnsi="Times New Roman"/>
                <w:sz w:val="20"/>
              </w:rPr>
              <w:t>10,957</w:t>
            </w:r>
          </w:p>
        </w:tc>
        <w:tc>
          <w:tcPr>
            <w:tcW w:w="180" w:type="dxa"/>
            <w:tcBorders/>
            <w:shd w:fill="CCEEFF" w:val="clear"/>
            <w:tcMar>
              <w:bottom w:w="0" w:type="dxa"/>
            </w:tcMar>
            <w:vAlign w:val="bottom"/>
          </w:tcPr>
          <w:p>
            <w:pPr>
              <w:pStyle w:val="TableContents"/>
              <w:spacing w:before="0" w:after="283"/>
              <w:jc w:val="left"/>
              <w:rPr/>
            </w:pPr>
            <w:r>
              <w:rPr/>
              <w:t> </w:t>
            </w:r>
          </w:p>
        </w:tc>
        <w:tc>
          <w:tcPr>
            <w:tcW w:w="161"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3316" w:name="TAB11577"/>
            <w:bookmarkEnd w:id="3316"/>
            <w:r>
              <w:rPr>
                <w:rFonts w:ascii="Times New Roman" w:hAnsi="Times New Roman"/>
                <w:sz w:val="20"/>
              </w:rPr>
              <w:t>$</w:t>
            </w:r>
          </w:p>
        </w:tc>
        <w:tc>
          <w:tcPr>
            <w:tcW w:w="1111"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3317" w:name="TAB11578"/>
            <w:bookmarkEnd w:id="3317"/>
            <w:r>
              <w:rPr>
                <w:rFonts w:ascii="Times New Roman" w:hAnsi="Times New Roman"/>
                <w:sz w:val="20"/>
              </w:rPr>
              <w:t>2,773</w:t>
            </w:r>
          </w:p>
        </w:tc>
        <w:tc>
          <w:tcPr>
            <w:tcW w:w="180" w:type="dxa"/>
            <w:tcBorders/>
            <w:shd w:fill="CCEEFF" w:val="clear"/>
            <w:tcMar>
              <w:bottom w:w="0" w:type="dxa"/>
            </w:tcMar>
            <w:vAlign w:val="bottom"/>
          </w:tcPr>
          <w:p>
            <w:pPr>
              <w:pStyle w:val="TableContents"/>
              <w:spacing w:before="0" w:after="283"/>
              <w:jc w:val="left"/>
              <w:rPr/>
            </w:pPr>
            <w:r>
              <w:rPr/>
              <w:t> </w:t>
            </w:r>
          </w:p>
        </w:tc>
        <w:tc>
          <w:tcPr>
            <w:tcW w:w="263"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3318" w:name="TAB11579"/>
            <w:bookmarkEnd w:id="3318"/>
            <w:r>
              <w:rPr>
                <w:rFonts w:ascii="Times New Roman" w:hAnsi="Times New Roman"/>
                <w:sz w:val="20"/>
              </w:rPr>
              <w:t>$</w:t>
            </w:r>
          </w:p>
        </w:tc>
        <w:tc>
          <w:tcPr>
            <w:tcW w:w="1273"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3319" w:name="TAB11580"/>
            <w:bookmarkEnd w:id="3319"/>
            <w:r>
              <w:rPr>
                <w:rFonts w:ascii="Times New Roman" w:hAnsi="Times New Roman"/>
                <w:sz w:val="20"/>
              </w:rPr>
              <w:t>212</w:t>
            </w:r>
          </w:p>
        </w:tc>
        <w:tc>
          <w:tcPr>
            <w:tcW w:w="179" w:type="dxa"/>
            <w:tcBorders/>
            <w:shd w:fill="CCEEFF" w:val="clear"/>
            <w:tcMar>
              <w:bottom w:w="0" w:type="dxa"/>
            </w:tcMar>
            <w:vAlign w:val="bottom"/>
          </w:tcPr>
          <w:p>
            <w:pPr>
              <w:pStyle w:val="TableContents"/>
              <w:spacing w:before="0" w:after="283"/>
              <w:jc w:val="left"/>
              <w:rPr/>
            </w:pPr>
            <w:r>
              <w:rPr/>
              <w:t> </w:t>
            </w:r>
          </w:p>
        </w:tc>
        <w:tc>
          <w:tcPr>
            <w:tcW w:w="161"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3320" w:name="TAB11581"/>
            <w:bookmarkEnd w:id="3320"/>
            <w:r>
              <w:rPr>
                <w:rFonts w:ascii="Times New Roman" w:hAnsi="Times New Roman"/>
                <w:sz w:val="20"/>
              </w:rPr>
              <w:t>$</w:t>
            </w:r>
          </w:p>
        </w:tc>
        <w:tc>
          <w:tcPr>
            <w:tcW w:w="1189"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3321" w:name="TAB11582"/>
            <w:bookmarkEnd w:id="3321"/>
            <w:r>
              <w:rPr>
                <w:rFonts w:ascii="Times New Roman" w:hAnsi="Times New Roman"/>
                <w:sz w:val="20"/>
              </w:rPr>
              <w:t>13,942</w:t>
            </w:r>
          </w:p>
        </w:tc>
        <w:tc>
          <w:tcPr>
            <w:tcW w:w="133" w:type="dxa"/>
            <w:tcBorders/>
            <w:shd w:fill="CCEEFF" w:val="clear"/>
            <w:tcMar>
              <w:bottom w:w="0" w:type="dxa"/>
            </w:tcMar>
            <w:vAlign w:val="bottom"/>
          </w:tcPr>
          <w:p>
            <w:pPr>
              <w:pStyle w:val="TableContents"/>
              <w:spacing w:before="0" w:after="283"/>
              <w:jc w:val="left"/>
              <w:rPr/>
            </w:pPr>
            <w:r>
              <w:rPr/>
              <w:t> </w:t>
            </w:r>
          </w:p>
        </w:tc>
      </w:tr>
      <w:tr>
        <w:trPr/>
        <w:tc>
          <w:tcPr>
            <w:tcW w:w="3726" w:type="dxa"/>
            <w:tcBorders>
              <w:bottom w:val="sing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Less: Accumulated amortization</w:t>
            </w:r>
          </w:p>
        </w:tc>
        <w:tc>
          <w:tcPr>
            <w:tcW w:w="180" w:type="dxa"/>
            <w:tcBorders>
              <w:bottom w:val="single" w:sz="2" w:space="0" w:color="FFFFFF"/>
            </w:tcBorders>
            <w:shd w:fill="FFFFFF" w:val="clear"/>
            <w:vAlign w:val="center"/>
          </w:tcPr>
          <w:p>
            <w:pPr>
              <w:pStyle w:val="TableContents"/>
              <w:spacing w:before="0" w:after="283"/>
              <w:rPr/>
            </w:pPr>
            <w:r>
              <w:rPr/>
              <w:t> </w:t>
            </w:r>
          </w:p>
        </w:tc>
        <w:tc>
          <w:tcPr>
            <w:tcW w:w="181" w:type="dxa"/>
            <w:tcBorders>
              <w:bottom w:val="single" w:sz="2" w:space="0" w:color="000000"/>
            </w:tcBorders>
            <w:shd w:fill="FFFFFF" w:val="clear"/>
            <w:vAlign w:val="bottom"/>
          </w:tcPr>
          <w:p>
            <w:pPr>
              <w:pStyle w:val="TableContents"/>
              <w:spacing w:before="0" w:after="283"/>
              <w:jc w:val="left"/>
              <w:rPr/>
            </w:pPr>
            <w:r>
              <w:rPr/>
              <w:t> </w:t>
            </w:r>
          </w:p>
        </w:tc>
        <w:tc>
          <w:tcPr>
            <w:tcW w:w="1288"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2,809</w:t>
            </w:r>
          </w:p>
        </w:tc>
        <w:tc>
          <w:tcPr>
            <w:tcW w:w="180" w:type="dxa"/>
            <w:tcBorders>
              <w:bottom w:val="single" w:sz="2" w:space="0" w:color="FFFFFF"/>
            </w:tcBorders>
            <w:shd w:fill="FFFFFF" w:val="clear"/>
            <w:vAlign w:val="bottom"/>
          </w:tcPr>
          <w:p>
            <w:pPr>
              <w:pStyle w:val="TableContents"/>
              <w:spacing w:before="0" w:after="283"/>
              <w:jc w:val="left"/>
              <w:rPr/>
            </w:pPr>
            <w:r>
              <w:rPr/>
              <w:t> </w:t>
            </w:r>
          </w:p>
        </w:tc>
        <w:tc>
          <w:tcPr>
            <w:tcW w:w="161" w:type="dxa"/>
            <w:tcBorders>
              <w:bottom w:val="single" w:sz="2" w:space="0" w:color="000000"/>
            </w:tcBorders>
            <w:shd w:fill="FFFFFF" w:val="clear"/>
            <w:vAlign w:val="bottom"/>
          </w:tcPr>
          <w:p>
            <w:pPr>
              <w:pStyle w:val="TableContents"/>
              <w:spacing w:before="0" w:after="283"/>
              <w:jc w:val="left"/>
              <w:rPr/>
            </w:pPr>
            <w:r>
              <w:rPr/>
              <w:t> </w:t>
            </w:r>
          </w:p>
        </w:tc>
        <w:tc>
          <w:tcPr>
            <w:tcW w:w="1111"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2,332</w:t>
            </w:r>
          </w:p>
        </w:tc>
        <w:tc>
          <w:tcPr>
            <w:tcW w:w="180" w:type="dxa"/>
            <w:tcBorders>
              <w:bottom w:val="single" w:sz="2" w:space="0" w:color="FFFFFF"/>
            </w:tcBorders>
            <w:shd w:fill="FFFFFF" w:val="clear"/>
            <w:vAlign w:val="bottom"/>
          </w:tcPr>
          <w:p>
            <w:pPr>
              <w:pStyle w:val="TableContents"/>
              <w:spacing w:before="0" w:after="283"/>
              <w:jc w:val="left"/>
              <w:rPr/>
            </w:pPr>
            <w:r>
              <w:rPr/>
              <w:t> </w:t>
            </w:r>
          </w:p>
        </w:tc>
        <w:tc>
          <w:tcPr>
            <w:tcW w:w="263" w:type="dxa"/>
            <w:tcBorders>
              <w:bottom w:val="single" w:sz="2" w:space="0" w:color="000000"/>
            </w:tcBorders>
            <w:shd w:fill="FFFFFF" w:val="clear"/>
            <w:vAlign w:val="bottom"/>
          </w:tcPr>
          <w:p>
            <w:pPr>
              <w:pStyle w:val="TableContents"/>
              <w:spacing w:before="0" w:after="283"/>
              <w:jc w:val="left"/>
              <w:rPr/>
            </w:pPr>
            <w:r>
              <w:rPr/>
              <w:t> </w:t>
            </w:r>
          </w:p>
        </w:tc>
        <w:tc>
          <w:tcPr>
            <w:tcW w:w="1273"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13</w:t>
            </w:r>
          </w:p>
        </w:tc>
        <w:tc>
          <w:tcPr>
            <w:tcW w:w="179" w:type="dxa"/>
            <w:tcBorders>
              <w:bottom w:val="single" w:sz="2" w:space="0" w:color="FFFFFF"/>
            </w:tcBorders>
            <w:shd w:fill="FFFFFF" w:val="clear"/>
            <w:vAlign w:val="bottom"/>
          </w:tcPr>
          <w:p>
            <w:pPr>
              <w:pStyle w:val="TableContents"/>
              <w:spacing w:before="0" w:after="283"/>
              <w:jc w:val="left"/>
              <w:rPr/>
            </w:pPr>
            <w:r>
              <w:rPr/>
              <w:t> </w:t>
            </w:r>
          </w:p>
        </w:tc>
        <w:tc>
          <w:tcPr>
            <w:tcW w:w="161" w:type="dxa"/>
            <w:tcBorders>
              <w:bottom w:val="single" w:sz="2" w:space="0" w:color="000000"/>
            </w:tcBorders>
            <w:shd w:fill="FFFFFF" w:val="clear"/>
            <w:vAlign w:val="bottom"/>
          </w:tcPr>
          <w:p>
            <w:pPr>
              <w:pStyle w:val="TableContents"/>
              <w:spacing w:before="0" w:after="283"/>
              <w:jc w:val="left"/>
              <w:rPr/>
            </w:pPr>
            <w:r>
              <w:rPr/>
              <w:t> </w:t>
            </w:r>
          </w:p>
        </w:tc>
        <w:tc>
          <w:tcPr>
            <w:tcW w:w="1189"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5,154</w:t>
            </w:r>
          </w:p>
        </w:tc>
        <w:tc>
          <w:tcPr>
            <w:tcW w:w="133" w:type="dxa"/>
            <w:tcBorders>
              <w:bottom w:val="single" w:sz="2" w:space="0" w:color="FFFFFF"/>
            </w:tcBorders>
            <w:shd w:fill="FFFFFF" w:val="clear"/>
            <w:vAlign w:val="bottom"/>
          </w:tcPr>
          <w:p>
            <w:pPr>
              <w:pStyle w:val="TableContents"/>
              <w:spacing w:before="0" w:after="283"/>
              <w:jc w:val="left"/>
              <w:rPr/>
            </w:pPr>
            <w:r>
              <w:rPr/>
              <w:t> </w:t>
            </w:r>
          </w:p>
        </w:tc>
      </w:tr>
      <w:tr>
        <w:trPr/>
        <w:tc>
          <w:tcPr>
            <w:tcW w:w="3726" w:type="dxa"/>
            <w:tcBorders>
              <w:bottom w:val="double" w:sz="2" w:space="0" w:color="000000"/>
            </w:tcBorders>
            <w:shd w:fill="CCEEFF" w:val="clear"/>
            <w:vAlign w:val="bottom"/>
          </w:tcPr>
          <w:p>
            <w:pPr>
              <w:pStyle w:val="TableContents"/>
              <w:spacing w:lineRule="auto" w:line="300" w:before="0" w:after="0"/>
              <w:ind w:left="360" w:right="0" w:hanging="0"/>
              <w:jc w:val="left"/>
              <w:rPr>
                <w:rFonts w:ascii="Times New Roman" w:hAnsi="Times New Roman"/>
                <w:sz w:val="20"/>
              </w:rPr>
            </w:pPr>
            <w:bookmarkStart w:id="3322" w:name="TAB11583"/>
            <w:bookmarkEnd w:id="3322"/>
            <w:r>
              <w:rPr>
                <w:rFonts w:ascii="Times New Roman" w:hAnsi="Times New Roman"/>
                <w:sz w:val="20"/>
              </w:rPr>
              <w:t>Total, net</w:t>
            </w:r>
          </w:p>
        </w:tc>
        <w:tc>
          <w:tcPr>
            <w:tcW w:w="180" w:type="dxa"/>
            <w:tcBorders>
              <w:bottom w:val="single" w:sz="4" w:space="0" w:color="CCEEFF"/>
            </w:tcBorders>
            <w:shd w:fill="CCEEFF" w:val="clear"/>
            <w:vAlign w:val="center"/>
          </w:tcPr>
          <w:p>
            <w:pPr>
              <w:pStyle w:val="TableContents"/>
              <w:spacing w:before="0" w:after="283"/>
              <w:rPr/>
            </w:pPr>
            <w:r>
              <w:rPr/>
              <w:t> </w:t>
            </w:r>
          </w:p>
        </w:tc>
        <w:tc>
          <w:tcPr>
            <w:tcW w:w="181" w:type="dxa"/>
            <w:tcBorders>
              <w:bottom w:val="doub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bookmarkStart w:id="3323" w:name="TAB11584"/>
            <w:bookmarkEnd w:id="3323"/>
            <w:r>
              <w:rPr>
                <w:rFonts w:ascii="Times New Roman" w:hAnsi="Times New Roman"/>
                <w:sz w:val="20"/>
              </w:rPr>
              <w:t>$</w:t>
            </w:r>
          </w:p>
        </w:tc>
        <w:tc>
          <w:tcPr>
            <w:tcW w:w="1288" w:type="dxa"/>
            <w:tcBorders>
              <w:bottom w:val="doub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3324" w:name="TAB11585"/>
            <w:bookmarkEnd w:id="3324"/>
            <w:r>
              <w:rPr>
                <w:rFonts w:ascii="Times New Roman" w:hAnsi="Times New Roman"/>
                <w:sz w:val="20"/>
              </w:rPr>
              <w:t>8,148</w:t>
            </w:r>
          </w:p>
        </w:tc>
        <w:tc>
          <w:tcPr>
            <w:tcW w:w="180" w:type="dxa"/>
            <w:tcBorders>
              <w:bottom w:val="single" w:sz="4" w:space="0" w:color="CCEEFF"/>
            </w:tcBorders>
            <w:shd w:fill="CCEEFF" w:val="clear"/>
            <w:vAlign w:val="bottom"/>
          </w:tcPr>
          <w:p>
            <w:pPr>
              <w:pStyle w:val="TableContents"/>
              <w:spacing w:before="0" w:after="283"/>
              <w:jc w:val="left"/>
              <w:rPr/>
            </w:pPr>
            <w:r>
              <w:rPr/>
              <w:t> </w:t>
            </w:r>
          </w:p>
        </w:tc>
        <w:tc>
          <w:tcPr>
            <w:tcW w:w="161" w:type="dxa"/>
            <w:tcBorders>
              <w:bottom w:val="doub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bookmarkStart w:id="3325" w:name="TAB11586"/>
            <w:bookmarkEnd w:id="3325"/>
            <w:r>
              <w:rPr>
                <w:rFonts w:ascii="Times New Roman" w:hAnsi="Times New Roman"/>
                <w:sz w:val="20"/>
              </w:rPr>
              <w:t>$</w:t>
            </w:r>
          </w:p>
        </w:tc>
        <w:tc>
          <w:tcPr>
            <w:tcW w:w="1111" w:type="dxa"/>
            <w:tcBorders>
              <w:bottom w:val="doub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3326" w:name="TAB11587"/>
            <w:bookmarkEnd w:id="3326"/>
            <w:r>
              <w:rPr>
                <w:rFonts w:ascii="Times New Roman" w:hAnsi="Times New Roman"/>
                <w:sz w:val="20"/>
              </w:rPr>
              <w:t>441</w:t>
            </w:r>
          </w:p>
        </w:tc>
        <w:tc>
          <w:tcPr>
            <w:tcW w:w="180" w:type="dxa"/>
            <w:tcBorders>
              <w:bottom w:val="single" w:sz="4" w:space="0" w:color="CCEEFF"/>
            </w:tcBorders>
            <w:shd w:fill="CCEEFF" w:val="clear"/>
            <w:vAlign w:val="bottom"/>
          </w:tcPr>
          <w:p>
            <w:pPr>
              <w:pStyle w:val="TableContents"/>
              <w:spacing w:before="0" w:after="283"/>
              <w:jc w:val="left"/>
              <w:rPr/>
            </w:pPr>
            <w:r>
              <w:rPr/>
              <w:t> </w:t>
            </w:r>
          </w:p>
        </w:tc>
        <w:tc>
          <w:tcPr>
            <w:tcW w:w="263" w:type="dxa"/>
            <w:tcBorders>
              <w:bottom w:val="doub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bookmarkStart w:id="3327" w:name="TAB11588"/>
            <w:bookmarkEnd w:id="3327"/>
            <w:r>
              <w:rPr>
                <w:rFonts w:ascii="Times New Roman" w:hAnsi="Times New Roman"/>
                <w:sz w:val="20"/>
              </w:rPr>
              <w:t>$</w:t>
            </w:r>
          </w:p>
        </w:tc>
        <w:tc>
          <w:tcPr>
            <w:tcW w:w="1273" w:type="dxa"/>
            <w:tcBorders>
              <w:bottom w:val="doub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3328" w:name="TAB11589"/>
            <w:bookmarkEnd w:id="3328"/>
            <w:r>
              <w:rPr>
                <w:rFonts w:ascii="Times New Roman" w:hAnsi="Times New Roman"/>
                <w:sz w:val="20"/>
              </w:rPr>
              <w:t>199</w:t>
            </w:r>
          </w:p>
        </w:tc>
        <w:tc>
          <w:tcPr>
            <w:tcW w:w="179" w:type="dxa"/>
            <w:tcBorders>
              <w:bottom w:val="single" w:sz="4" w:space="0" w:color="CCEEFF"/>
            </w:tcBorders>
            <w:shd w:fill="CCEEFF" w:val="clear"/>
            <w:vAlign w:val="bottom"/>
          </w:tcPr>
          <w:p>
            <w:pPr>
              <w:pStyle w:val="TableContents"/>
              <w:spacing w:before="0" w:after="283"/>
              <w:jc w:val="left"/>
              <w:rPr/>
            </w:pPr>
            <w:r>
              <w:rPr/>
              <w:t> </w:t>
            </w:r>
          </w:p>
        </w:tc>
        <w:tc>
          <w:tcPr>
            <w:tcW w:w="161" w:type="dxa"/>
            <w:tcBorders>
              <w:bottom w:val="doub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bookmarkStart w:id="3329" w:name="TAB11590"/>
            <w:bookmarkEnd w:id="3329"/>
            <w:r>
              <w:rPr>
                <w:rFonts w:ascii="Times New Roman" w:hAnsi="Times New Roman"/>
                <w:sz w:val="20"/>
              </w:rPr>
              <w:t>$</w:t>
            </w:r>
          </w:p>
        </w:tc>
        <w:tc>
          <w:tcPr>
            <w:tcW w:w="1189" w:type="dxa"/>
            <w:tcBorders>
              <w:bottom w:val="doub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3330" w:name="TAB11591"/>
            <w:bookmarkEnd w:id="3330"/>
            <w:r>
              <w:rPr>
                <w:rFonts w:ascii="Times New Roman" w:hAnsi="Times New Roman"/>
                <w:sz w:val="20"/>
              </w:rPr>
              <w:t>8,788</w:t>
            </w:r>
          </w:p>
        </w:tc>
        <w:tc>
          <w:tcPr>
            <w:tcW w:w="133" w:type="dxa"/>
            <w:tcBorders>
              <w:bottom w:val="single" w:sz="4" w:space="0" w:color="CCEEFF"/>
            </w:tcBorders>
            <w:shd w:fill="CCEEFF" w:val="clear"/>
            <w:vAlign w:val="bottom"/>
          </w:tcPr>
          <w:p>
            <w:pPr>
              <w:pStyle w:val="TableContents"/>
              <w:spacing w:before="0" w:after="283"/>
              <w:jc w:val="left"/>
              <w:rPr/>
            </w:pPr>
            <w:r>
              <w:rPr/>
              <w:t> </w:t>
            </w:r>
          </w:p>
        </w:tc>
      </w:tr>
    </w:tbl>
    <w:p>
      <w:pPr>
        <w:pStyle w:val="TextBody"/>
        <w:spacing w:lineRule="auto" w:line="300" w:before="0" w:after="0"/>
        <w:ind w:left="0" w:right="0" w:hanging="0"/>
        <w:jc w:val="both"/>
        <w:rPr/>
      </w:pPr>
      <w:r>
        <w:rPr/>
      </w:r>
    </w:p>
    <w:p>
      <w:pPr>
        <w:pStyle w:val="TextBody"/>
        <w:spacing w:lineRule="auto" w:line="300" w:before="0" w:after="0"/>
        <w:ind w:left="0" w:right="0" w:firstLine="720"/>
        <w:jc w:val="both"/>
        <w:rPr/>
      </w:pPr>
      <w:r>
        <w:rPr>
          <w:rFonts w:ascii="Times New Roman" w:hAnsi="Times New Roman"/>
          <w:sz w:val="20"/>
        </w:rPr>
        <w:t xml:space="preserve">As fully described in Note 25 - </w:t>
      </w:r>
      <w:r>
        <w:rPr>
          <w:rStyle w:val="Emphasis"/>
          <w:rFonts w:ascii="Times New Roman" w:hAnsi="Times New Roman"/>
          <w:sz w:val="20"/>
        </w:rPr>
        <w:t>Related Parties and Transactions</w:t>
      </w:r>
      <w:r>
        <w:rPr>
          <w:rFonts w:ascii="Times New Roman" w:hAnsi="Times New Roman"/>
          <w:sz w:val="20"/>
        </w:rPr>
        <w:t xml:space="preserve">, in October 2003, in connection with the sale of the Sutton Property, among other things, the City Cinemas Purchase Option was amended to remove the Sutton Property and to reduce our exercise price by $5.0 million from $33.0 million to $28.0 million. Accordingly, the net carrying value of the $5.0 million option was reduced by $890,000 to reflect the decrease in the City Cinemas property still available for purchase, following the sale of the Sutton Property in 2003 and the Murray Hill Property in 2002. Additionally, to recognize the exercise of a portion of the City Cinemas Master Lease Agreement in September 2005, we recorded $1.3 million of our option fees to the Cinemas 1, 2, 3 tenant’s ground lease interest that we purchased on September 19, 2005 (see Note 8 - </w:t>
      </w:r>
      <w:r>
        <w:rPr>
          <w:rStyle w:val="Emphasis"/>
          <w:rFonts w:ascii="Times New Roman" w:hAnsi="Times New Roman"/>
          <w:sz w:val="20"/>
        </w:rPr>
        <w:t>Acquisitions and Property Development</w:t>
      </w:r>
      <w:r>
        <w:rPr>
          <w:rFonts w:ascii="Times New Roman" w:hAnsi="Times New Roman"/>
          <w:sz w:val="20"/>
        </w:rPr>
        <w:t>) thus reducing our net option fee balance to $0.5 million.</w:t>
      </w:r>
    </w:p>
    <w:p>
      <w:pPr>
        <w:pStyle w:val="TextBody"/>
        <w:spacing w:lineRule="auto" w:line="300" w:before="0" w:after="0"/>
        <w:ind w:left="0" w:right="0" w:hanging="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 xml:space="preserve">We amortize our beneficial leases over the lease terms of twenty years and our option fees over 10 years. For years ended December 31, 2006, 2005 and 2004, our amortization expense totaled $868,000, $1.1 million, and $1.1 million per year, respectively. The estimated amortization expense in the five succeeding years and thereafter is as follows (dollars in thousands): </w:t>
      </w:r>
    </w:p>
    <w:p>
      <w:pPr>
        <w:pStyle w:val="TextBody"/>
        <w:spacing w:lineRule="auto" w:line="300" w:before="0" w:after="0"/>
        <w:ind w:left="0" w:right="0" w:hanging="0"/>
        <w:jc w:val="both"/>
        <w:rPr/>
      </w:pPr>
      <w:r>
        <w:rPr/>
      </w:r>
    </w:p>
    <w:p>
      <w:pPr>
        <w:pStyle w:val="Normal"/>
        <w:spacing w:before="0" w:after="0"/>
        <w:rPr>
          <w:sz w:val="4"/>
          <w:szCs w:val="4"/>
        </w:rPr>
      </w:pPr>
      <w:r>
        <w:rPr>
          <w:sz w:val="4"/>
          <w:szCs w:val="4"/>
        </w:rPr>
      </w:r>
      <w:bookmarkStart w:id="3331" w:name="ftable33"/>
      <w:bookmarkStart w:id="3332" w:name="ftable33"/>
      <w:bookmarkEnd w:id="3332"/>
    </w:p>
    <w:tbl>
      <w:tblPr>
        <w:tblW w:w="5000" w:type="pct"/>
        <w:jc w:val="left"/>
        <w:tblInd w:w="0" w:type="dxa"/>
        <w:tblCellMar>
          <w:top w:w="0" w:type="dxa"/>
          <w:left w:w="0" w:type="dxa"/>
          <w:bottom w:w="28" w:type="dxa"/>
          <w:right w:w="0" w:type="dxa"/>
        </w:tblCellMar>
      </w:tblPr>
      <w:tblGrid>
        <w:gridCol w:w="8557"/>
        <w:gridCol w:w="209"/>
        <w:gridCol w:w="128"/>
        <w:gridCol w:w="1193"/>
        <w:gridCol w:w="118"/>
      </w:tblGrid>
      <w:tr>
        <w:trPr/>
        <w:tc>
          <w:tcPr>
            <w:tcW w:w="8557" w:type="dxa"/>
            <w:tcBorders>
              <w:bottom w:val="double" w:sz="2" w:space="0" w:color="000000"/>
            </w:tcBorders>
            <w:shd w:fill="auto" w:val="clear"/>
            <w:vAlign w:val="bottom"/>
          </w:tcPr>
          <w:p>
            <w:pPr>
              <w:pStyle w:val="TableContents"/>
              <w:spacing w:lineRule="auto" w:line="300" w:before="0" w:after="0"/>
              <w:ind w:left="0" w:right="0" w:hanging="0"/>
              <w:jc w:val="left"/>
              <w:rPr/>
            </w:pPr>
            <w:r>
              <w:rPr>
                <w:rStyle w:val="StrongEmphasis"/>
                <w:rFonts w:ascii="Times New Roman" w:hAnsi="Times New Roman"/>
                <w:sz w:val="20"/>
              </w:rPr>
              <w:t>Year Ending December 31,</w:t>
            </w:r>
          </w:p>
        </w:tc>
        <w:tc>
          <w:tcPr>
            <w:tcW w:w="209" w:type="dxa"/>
            <w:tcBorders>
              <w:bottom w:val="single" w:sz="4" w:space="0" w:color="FFFFFF"/>
            </w:tcBorders>
            <w:shd w:fill="auto" w:val="clear"/>
            <w:vAlign w:val="center"/>
          </w:tcPr>
          <w:p>
            <w:pPr>
              <w:pStyle w:val="TableContents"/>
              <w:spacing w:before="0" w:after="283"/>
              <w:rPr/>
            </w:pPr>
            <w:r>
              <w:rPr/>
              <w:t> </w:t>
            </w:r>
          </w:p>
        </w:tc>
        <w:tc>
          <w:tcPr>
            <w:tcW w:w="1321" w:type="dxa"/>
            <w:gridSpan w:val="2"/>
            <w:tcBorders>
              <w:bottom w:val="double" w:sz="2" w:space="0" w:color="000000"/>
            </w:tcBorders>
            <w:shd w:fill="auto" w:val="clear"/>
            <w:vAlign w:val="bottom"/>
          </w:tcPr>
          <w:p>
            <w:pPr>
              <w:pStyle w:val="TableContents"/>
              <w:spacing w:before="0" w:after="283"/>
              <w:jc w:val="both"/>
              <w:rPr/>
            </w:pPr>
            <w:r>
              <w:rPr/>
              <w:t> </w:t>
            </w:r>
          </w:p>
        </w:tc>
        <w:tc>
          <w:tcPr>
            <w:tcW w:w="118" w:type="dxa"/>
            <w:tcBorders>
              <w:bottom w:val="single" w:sz="4" w:space="0" w:color="FFFFFF"/>
            </w:tcBorders>
            <w:shd w:fill="auto" w:val="clear"/>
            <w:vAlign w:val="bottom"/>
          </w:tcPr>
          <w:p>
            <w:pPr>
              <w:pStyle w:val="TableContents"/>
              <w:spacing w:before="0" w:after="283"/>
              <w:jc w:val="left"/>
              <w:rPr/>
            </w:pPr>
            <w:r>
              <w:rPr/>
              <w:t> </w:t>
            </w:r>
          </w:p>
        </w:tc>
      </w:tr>
      <w:tr>
        <w:trPr/>
        <w:tc>
          <w:tcPr>
            <w:tcW w:w="8557" w:type="dxa"/>
            <w:tcBorders/>
            <w:shd w:fill="CCEEFF" w:val="clear"/>
            <w:tcMar>
              <w:bottom w:w="0" w:type="dxa"/>
            </w:tcMar>
            <w:vAlign w:val="bottom"/>
          </w:tcPr>
          <w:p>
            <w:pPr>
              <w:pStyle w:val="TableContents"/>
              <w:spacing w:lineRule="auto" w:line="300" w:before="0" w:after="0"/>
              <w:ind w:left="360" w:right="0" w:hanging="0"/>
              <w:jc w:val="left"/>
              <w:rPr>
                <w:rFonts w:ascii="Times New Roman" w:hAnsi="Times New Roman"/>
                <w:sz w:val="20"/>
              </w:rPr>
            </w:pPr>
            <w:r>
              <w:rPr>
                <w:rFonts w:ascii="Times New Roman" w:hAnsi="Times New Roman"/>
                <w:sz w:val="20"/>
              </w:rPr>
              <w:t>2007</w:t>
            </w:r>
          </w:p>
        </w:tc>
        <w:tc>
          <w:tcPr>
            <w:tcW w:w="209" w:type="dxa"/>
            <w:tcBorders/>
            <w:shd w:fill="CCEEFF" w:val="clear"/>
            <w:tcMar>
              <w:bottom w:w="0" w:type="dxa"/>
            </w:tcMar>
            <w:vAlign w:val="center"/>
          </w:tcPr>
          <w:p>
            <w:pPr>
              <w:pStyle w:val="TableContents"/>
              <w:spacing w:before="0" w:after="283"/>
              <w:rPr/>
            </w:pPr>
            <w:r>
              <w:rPr/>
              <w:t> </w:t>
            </w:r>
          </w:p>
        </w:tc>
        <w:tc>
          <w:tcPr>
            <w:tcW w:w="128"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3333" w:name="TAB11592"/>
            <w:bookmarkEnd w:id="3333"/>
            <w:r>
              <w:rPr>
                <w:rFonts w:ascii="Times New Roman" w:hAnsi="Times New Roman"/>
                <w:sz w:val="20"/>
              </w:rPr>
              <w:t>$</w:t>
            </w:r>
          </w:p>
        </w:tc>
        <w:tc>
          <w:tcPr>
            <w:tcW w:w="1193"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3334" w:name="TAB11593"/>
            <w:bookmarkEnd w:id="3334"/>
            <w:r>
              <w:rPr>
                <w:rFonts w:ascii="Times New Roman" w:hAnsi="Times New Roman"/>
                <w:sz w:val="20"/>
              </w:rPr>
              <w:t>832</w:t>
            </w:r>
          </w:p>
        </w:tc>
        <w:tc>
          <w:tcPr>
            <w:tcW w:w="118" w:type="dxa"/>
            <w:tcBorders/>
            <w:shd w:fill="CCEEFF" w:val="clear"/>
            <w:tcMar>
              <w:bottom w:w="0" w:type="dxa"/>
            </w:tcMar>
            <w:vAlign w:val="bottom"/>
          </w:tcPr>
          <w:p>
            <w:pPr>
              <w:pStyle w:val="TableContents"/>
              <w:spacing w:before="0" w:after="283"/>
              <w:jc w:val="left"/>
              <w:rPr/>
            </w:pPr>
            <w:r>
              <w:rPr/>
              <w:t> </w:t>
            </w:r>
          </w:p>
        </w:tc>
      </w:tr>
      <w:tr>
        <w:trPr/>
        <w:tc>
          <w:tcPr>
            <w:tcW w:w="8557" w:type="dxa"/>
            <w:tcBorders/>
            <w:shd w:fill="FFFFFF" w:val="clear"/>
            <w:tcMar>
              <w:bottom w:w="0" w:type="dxa"/>
            </w:tcMar>
            <w:vAlign w:val="bottom"/>
          </w:tcPr>
          <w:p>
            <w:pPr>
              <w:pStyle w:val="TableContents"/>
              <w:spacing w:lineRule="auto" w:line="300" w:before="0" w:after="0"/>
              <w:ind w:left="360" w:right="0" w:hanging="0"/>
              <w:jc w:val="left"/>
              <w:rPr>
                <w:rFonts w:ascii="Times New Roman" w:hAnsi="Times New Roman"/>
                <w:sz w:val="20"/>
              </w:rPr>
            </w:pPr>
            <w:r>
              <w:rPr>
                <w:rFonts w:ascii="Times New Roman" w:hAnsi="Times New Roman"/>
                <w:sz w:val="20"/>
              </w:rPr>
              <w:t>2008</w:t>
            </w:r>
          </w:p>
        </w:tc>
        <w:tc>
          <w:tcPr>
            <w:tcW w:w="209" w:type="dxa"/>
            <w:tcBorders/>
            <w:shd w:fill="FFFFFF" w:val="clear"/>
            <w:tcMar>
              <w:bottom w:w="0" w:type="dxa"/>
            </w:tcMar>
            <w:vAlign w:val="center"/>
          </w:tcPr>
          <w:p>
            <w:pPr>
              <w:pStyle w:val="TableContents"/>
              <w:spacing w:before="0" w:after="283"/>
              <w:rPr/>
            </w:pPr>
            <w:r>
              <w:rPr/>
              <w:t> </w:t>
            </w:r>
          </w:p>
        </w:tc>
        <w:tc>
          <w:tcPr>
            <w:tcW w:w="128" w:type="dxa"/>
            <w:tcBorders/>
            <w:shd w:fill="FFFFFF" w:val="clear"/>
            <w:tcMar>
              <w:bottom w:w="0" w:type="dxa"/>
            </w:tcMar>
            <w:vAlign w:val="bottom"/>
          </w:tcPr>
          <w:p>
            <w:pPr>
              <w:pStyle w:val="TableContents"/>
              <w:spacing w:before="0" w:after="283"/>
              <w:jc w:val="left"/>
              <w:rPr/>
            </w:pPr>
            <w:r>
              <w:rPr/>
              <w:t> </w:t>
            </w:r>
          </w:p>
        </w:tc>
        <w:tc>
          <w:tcPr>
            <w:tcW w:w="1193"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832</w:t>
            </w:r>
          </w:p>
        </w:tc>
        <w:tc>
          <w:tcPr>
            <w:tcW w:w="118" w:type="dxa"/>
            <w:tcBorders/>
            <w:shd w:fill="FFFFFF" w:val="clear"/>
            <w:tcMar>
              <w:bottom w:w="0" w:type="dxa"/>
            </w:tcMar>
            <w:vAlign w:val="bottom"/>
          </w:tcPr>
          <w:p>
            <w:pPr>
              <w:pStyle w:val="TableContents"/>
              <w:spacing w:before="0" w:after="283"/>
              <w:jc w:val="left"/>
              <w:rPr/>
            </w:pPr>
            <w:r>
              <w:rPr/>
              <w:t> </w:t>
            </w:r>
          </w:p>
        </w:tc>
      </w:tr>
      <w:tr>
        <w:trPr/>
        <w:tc>
          <w:tcPr>
            <w:tcW w:w="8557" w:type="dxa"/>
            <w:tcBorders/>
            <w:shd w:fill="CCEEFF" w:val="clear"/>
            <w:tcMar>
              <w:bottom w:w="0" w:type="dxa"/>
            </w:tcMar>
            <w:vAlign w:val="bottom"/>
          </w:tcPr>
          <w:p>
            <w:pPr>
              <w:pStyle w:val="TableContents"/>
              <w:spacing w:lineRule="auto" w:line="300" w:before="0" w:after="0"/>
              <w:ind w:left="360" w:right="0" w:hanging="0"/>
              <w:jc w:val="left"/>
              <w:rPr>
                <w:rFonts w:ascii="Times New Roman" w:hAnsi="Times New Roman"/>
                <w:sz w:val="20"/>
              </w:rPr>
            </w:pPr>
            <w:r>
              <w:rPr>
                <w:rFonts w:ascii="Times New Roman" w:hAnsi="Times New Roman"/>
                <w:sz w:val="20"/>
              </w:rPr>
              <w:t>2009</w:t>
            </w:r>
          </w:p>
        </w:tc>
        <w:tc>
          <w:tcPr>
            <w:tcW w:w="209" w:type="dxa"/>
            <w:tcBorders/>
            <w:shd w:fill="CCEEFF" w:val="clear"/>
            <w:tcMar>
              <w:bottom w:w="0" w:type="dxa"/>
            </w:tcMar>
            <w:vAlign w:val="center"/>
          </w:tcPr>
          <w:p>
            <w:pPr>
              <w:pStyle w:val="TableContents"/>
              <w:spacing w:before="0" w:after="283"/>
              <w:rPr/>
            </w:pPr>
            <w:r>
              <w:rPr/>
              <w:t> </w:t>
            </w:r>
          </w:p>
        </w:tc>
        <w:tc>
          <w:tcPr>
            <w:tcW w:w="128" w:type="dxa"/>
            <w:tcBorders/>
            <w:shd w:fill="CCEEFF" w:val="clear"/>
            <w:tcMar>
              <w:bottom w:w="0" w:type="dxa"/>
            </w:tcMar>
            <w:vAlign w:val="bottom"/>
          </w:tcPr>
          <w:p>
            <w:pPr>
              <w:pStyle w:val="TableContents"/>
              <w:spacing w:before="0" w:after="283"/>
              <w:jc w:val="left"/>
              <w:rPr/>
            </w:pPr>
            <w:r>
              <w:rPr/>
              <w:t> </w:t>
            </w:r>
          </w:p>
        </w:tc>
        <w:tc>
          <w:tcPr>
            <w:tcW w:w="1193"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832</w:t>
            </w:r>
          </w:p>
        </w:tc>
        <w:tc>
          <w:tcPr>
            <w:tcW w:w="118" w:type="dxa"/>
            <w:tcBorders/>
            <w:shd w:fill="CCEEFF" w:val="clear"/>
            <w:tcMar>
              <w:bottom w:w="0" w:type="dxa"/>
            </w:tcMar>
            <w:vAlign w:val="bottom"/>
          </w:tcPr>
          <w:p>
            <w:pPr>
              <w:pStyle w:val="TableContents"/>
              <w:spacing w:before="0" w:after="283"/>
              <w:jc w:val="left"/>
              <w:rPr/>
            </w:pPr>
            <w:r>
              <w:rPr/>
              <w:t> </w:t>
            </w:r>
          </w:p>
        </w:tc>
      </w:tr>
      <w:tr>
        <w:trPr/>
        <w:tc>
          <w:tcPr>
            <w:tcW w:w="8557" w:type="dxa"/>
            <w:tcBorders/>
            <w:shd w:fill="FFFFFF" w:val="clear"/>
            <w:tcMar>
              <w:bottom w:w="0" w:type="dxa"/>
            </w:tcMar>
            <w:vAlign w:val="bottom"/>
          </w:tcPr>
          <w:p>
            <w:pPr>
              <w:pStyle w:val="TableContents"/>
              <w:spacing w:lineRule="auto" w:line="300" w:before="0" w:after="0"/>
              <w:ind w:left="360" w:right="0" w:hanging="0"/>
              <w:jc w:val="left"/>
              <w:rPr>
                <w:rFonts w:ascii="Times New Roman" w:hAnsi="Times New Roman"/>
                <w:sz w:val="20"/>
              </w:rPr>
            </w:pPr>
            <w:r>
              <w:rPr>
                <w:rFonts w:ascii="Times New Roman" w:hAnsi="Times New Roman"/>
                <w:sz w:val="20"/>
              </w:rPr>
              <w:t>2010</w:t>
            </w:r>
          </w:p>
        </w:tc>
        <w:tc>
          <w:tcPr>
            <w:tcW w:w="209" w:type="dxa"/>
            <w:tcBorders/>
            <w:shd w:fill="FFFFFF" w:val="clear"/>
            <w:tcMar>
              <w:bottom w:w="0" w:type="dxa"/>
            </w:tcMar>
            <w:vAlign w:val="center"/>
          </w:tcPr>
          <w:p>
            <w:pPr>
              <w:pStyle w:val="TableContents"/>
              <w:spacing w:before="0" w:after="283"/>
              <w:rPr/>
            </w:pPr>
            <w:r>
              <w:rPr/>
              <w:t> </w:t>
            </w:r>
          </w:p>
        </w:tc>
        <w:tc>
          <w:tcPr>
            <w:tcW w:w="128" w:type="dxa"/>
            <w:tcBorders/>
            <w:shd w:fill="FFFFFF" w:val="clear"/>
            <w:tcMar>
              <w:bottom w:w="0" w:type="dxa"/>
            </w:tcMar>
            <w:vAlign w:val="bottom"/>
          </w:tcPr>
          <w:p>
            <w:pPr>
              <w:pStyle w:val="TableContents"/>
              <w:spacing w:before="0" w:after="283"/>
              <w:jc w:val="left"/>
              <w:rPr/>
            </w:pPr>
            <w:r>
              <w:rPr/>
              <w:t> </w:t>
            </w:r>
          </w:p>
        </w:tc>
        <w:tc>
          <w:tcPr>
            <w:tcW w:w="1193"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801</w:t>
            </w:r>
          </w:p>
        </w:tc>
        <w:tc>
          <w:tcPr>
            <w:tcW w:w="118" w:type="dxa"/>
            <w:tcBorders/>
            <w:shd w:fill="FFFFFF" w:val="clear"/>
            <w:tcMar>
              <w:bottom w:w="0" w:type="dxa"/>
            </w:tcMar>
            <w:vAlign w:val="bottom"/>
          </w:tcPr>
          <w:p>
            <w:pPr>
              <w:pStyle w:val="TableContents"/>
              <w:spacing w:before="0" w:after="283"/>
              <w:jc w:val="left"/>
              <w:rPr/>
            </w:pPr>
            <w:r>
              <w:rPr/>
              <w:t> </w:t>
            </w:r>
          </w:p>
        </w:tc>
      </w:tr>
      <w:tr>
        <w:trPr/>
        <w:tc>
          <w:tcPr>
            <w:tcW w:w="8557" w:type="dxa"/>
            <w:tcBorders/>
            <w:shd w:fill="CCEEFF" w:val="clear"/>
            <w:tcMar>
              <w:bottom w:w="0" w:type="dxa"/>
            </w:tcMar>
            <w:vAlign w:val="bottom"/>
          </w:tcPr>
          <w:p>
            <w:pPr>
              <w:pStyle w:val="TableContents"/>
              <w:spacing w:lineRule="auto" w:line="300" w:before="0" w:after="0"/>
              <w:ind w:left="360" w:right="0" w:hanging="0"/>
              <w:jc w:val="left"/>
              <w:rPr>
                <w:rFonts w:ascii="Times New Roman" w:hAnsi="Times New Roman"/>
                <w:sz w:val="20"/>
              </w:rPr>
            </w:pPr>
            <w:r>
              <w:rPr>
                <w:rFonts w:ascii="Times New Roman" w:hAnsi="Times New Roman"/>
                <w:sz w:val="20"/>
              </w:rPr>
              <w:t>2011</w:t>
            </w:r>
          </w:p>
        </w:tc>
        <w:tc>
          <w:tcPr>
            <w:tcW w:w="209" w:type="dxa"/>
            <w:tcBorders/>
            <w:shd w:fill="CCEEFF" w:val="clear"/>
            <w:tcMar>
              <w:bottom w:w="0" w:type="dxa"/>
            </w:tcMar>
            <w:vAlign w:val="center"/>
          </w:tcPr>
          <w:p>
            <w:pPr>
              <w:pStyle w:val="TableContents"/>
              <w:spacing w:before="0" w:after="283"/>
              <w:rPr/>
            </w:pPr>
            <w:r>
              <w:rPr/>
              <w:t> </w:t>
            </w:r>
          </w:p>
        </w:tc>
        <w:tc>
          <w:tcPr>
            <w:tcW w:w="128" w:type="dxa"/>
            <w:tcBorders/>
            <w:shd w:fill="CCEEFF" w:val="clear"/>
            <w:tcMar>
              <w:bottom w:w="0" w:type="dxa"/>
            </w:tcMar>
            <w:vAlign w:val="bottom"/>
          </w:tcPr>
          <w:p>
            <w:pPr>
              <w:pStyle w:val="TableContents"/>
              <w:spacing w:before="0" w:after="283"/>
              <w:jc w:val="left"/>
              <w:rPr/>
            </w:pPr>
            <w:r>
              <w:rPr/>
              <w:t> </w:t>
            </w:r>
          </w:p>
        </w:tc>
        <w:tc>
          <w:tcPr>
            <w:tcW w:w="1193"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738</w:t>
            </w:r>
          </w:p>
        </w:tc>
        <w:tc>
          <w:tcPr>
            <w:tcW w:w="118" w:type="dxa"/>
            <w:tcBorders/>
            <w:shd w:fill="CCEEFF" w:val="clear"/>
            <w:tcMar>
              <w:bottom w:w="0" w:type="dxa"/>
            </w:tcMar>
            <w:vAlign w:val="bottom"/>
          </w:tcPr>
          <w:p>
            <w:pPr>
              <w:pStyle w:val="TableContents"/>
              <w:spacing w:before="0" w:after="283"/>
              <w:jc w:val="left"/>
              <w:rPr/>
            </w:pPr>
            <w:r>
              <w:rPr/>
              <w:t> </w:t>
            </w:r>
          </w:p>
        </w:tc>
      </w:tr>
      <w:tr>
        <w:trPr/>
        <w:tc>
          <w:tcPr>
            <w:tcW w:w="8557" w:type="dxa"/>
            <w:tcBorders>
              <w:bottom w:val="single" w:sz="2" w:space="0" w:color="000000"/>
            </w:tcBorders>
            <w:shd w:fill="FFFFFF" w:val="clear"/>
            <w:vAlign w:val="bottom"/>
          </w:tcPr>
          <w:p>
            <w:pPr>
              <w:pStyle w:val="TableContents"/>
              <w:spacing w:lineRule="auto" w:line="300" w:before="0" w:after="0"/>
              <w:ind w:left="360" w:right="0" w:hanging="0"/>
              <w:jc w:val="left"/>
              <w:rPr>
                <w:rFonts w:ascii="Times New Roman" w:hAnsi="Times New Roman"/>
                <w:sz w:val="20"/>
              </w:rPr>
            </w:pPr>
            <w:r>
              <w:rPr>
                <w:rFonts w:ascii="Times New Roman" w:hAnsi="Times New Roman"/>
                <w:sz w:val="20"/>
              </w:rPr>
              <w:t>Thereafter</w:t>
            </w:r>
          </w:p>
        </w:tc>
        <w:tc>
          <w:tcPr>
            <w:tcW w:w="209" w:type="dxa"/>
            <w:tcBorders>
              <w:bottom w:val="single" w:sz="2" w:space="0" w:color="FFFFFF"/>
            </w:tcBorders>
            <w:shd w:fill="FFFFFF" w:val="clear"/>
            <w:vAlign w:val="center"/>
          </w:tcPr>
          <w:p>
            <w:pPr>
              <w:pStyle w:val="TableContents"/>
              <w:spacing w:before="0" w:after="283"/>
              <w:rPr/>
            </w:pPr>
            <w:r>
              <w:rPr/>
              <w:t> </w:t>
            </w:r>
          </w:p>
        </w:tc>
        <w:tc>
          <w:tcPr>
            <w:tcW w:w="128" w:type="dxa"/>
            <w:tcBorders>
              <w:bottom w:val="single" w:sz="2" w:space="0" w:color="000000"/>
            </w:tcBorders>
            <w:shd w:fill="FFFFFF" w:val="clear"/>
            <w:vAlign w:val="bottom"/>
          </w:tcPr>
          <w:p>
            <w:pPr>
              <w:pStyle w:val="TableContents"/>
              <w:spacing w:before="0" w:after="283"/>
              <w:jc w:val="left"/>
              <w:rPr/>
            </w:pPr>
            <w:r>
              <w:rPr/>
              <w:t> </w:t>
            </w:r>
          </w:p>
        </w:tc>
        <w:tc>
          <w:tcPr>
            <w:tcW w:w="1193"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3,822</w:t>
            </w:r>
          </w:p>
        </w:tc>
        <w:tc>
          <w:tcPr>
            <w:tcW w:w="118" w:type="dxa"/>
            <w:tcBorders>
              <w:bottom w:val="single" w:sz="2" w:space="0" w:color="FFFFFF"/>
            </w:tcBorders>
            <w:shd w:fill="FFFFFF" w:val="clear"/>
            <w:vAlign w:val="bottom"/>
          </w:tcPr>
          <w:p>
            <w:pPr>
              <w:pStyle w:val="TableContents"/>
              <w:spacing w:before="0" w:after="283"/>
              <w:jc w:val="left"/>
              <w:rPr/>
            </w:pPr>
            <w:r>
              <w:rPr/>
              <w:t> </w:t>
            </w:r>
          </w:p>
        </w:tc>
      </w:tr>
      <w:tr>
        <w:trPr/>
        <w:tc>
          <w:tcPr>
            <w:tcW w:w="8557" w:type="dxa"/>
            <w:tcBorders>
              <w:bottom w:val="double" w:sz="2" w:space="0" w:color="000000"/>
            </w:tcBorders>
            <w:shd w:fill="CCEEFF" w:val="clear"/>
            <w:vAlign w:val="bottom"/>
          </w:tcPr>
          <w:p>
            <w:pPr>
              <w:pStyle w:val="TableContents"/>
              <w:spacing w:lineRule="auto" w:line="300" w:before="0" w:after="0"/>
              <w:ind w:left="360" w:right="0" w:hanging="0"/>
              <w:jc w:val="left"/>
              <w:rPr>
                <w:rFonts w:ascii="Times New Roman" w:hAnsi="Times New Roman"/>
                <w:sz w:val="20"/>
              </w:rPr>
            </w:pPr>
            <w:bookmarkStart w:id="3335" w:name="TAB11594"/>
            <w:bookmarkEnd w:id="3335"/>
            <w:r>
              <w:rPr>
                <w:rFonts w:ascii="Times New Roman" w:hAnsi="Times New Roman"/>
                <w:sz w:val="20"/>
              </w:rPr>
              <w:t>Total future amortization expense</w:t>
            </w:r>
          </w:p>
        </w:tc>
        <w:tc>
          <w:tcPr>
            <w:tcW w:w="209" w:type="dxa"/>
            <w:tcBorders>
              <w:bottom w:val="single" w:sz="4" w:space="0" w:color="CCEEFF"/>
            </w:tcBorders>
            <w:shd w:fill="CCEEFF" w:val="clear"/>
            <w:vAlign w:val="center"/>
          </w:tcPr>
          <w:p>
            <w:pPr>
              <w:pStyle w:val="TableContents"/>
              <w:spacing w:before="0" w:after="283"/>
              <w:rPr/>
            </w:pPr>
            <w:r>
              <w:rPr/>
              <w:t> </w:t>
            </w:r>
          </w:p>
        </w:tc>
        <w:tc>
          <w:tcPr>
            <w:tcW w:w="128" w:type="dxa"/>
            <w:tcBorders>
              <w:bottom w:val="doub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bookmarkStart w:id="3336" w:name="TAB11595"/>
            <w:bookmarkEnd w:id="3336"/>
            <w:r>
              <w:rPr>
                <w:rFonts w:ascii="Times New Roman" w:hAnsi="Times New Roman"/>
                <w:sz w:val="20"/>
              </w:rPr>
              <w:t>$</w:t>
            </w:r>
          </w:p>
        </w:tc>
        <w:tc>
          <w:tcPr>
            <w:tcW w:w="1193" w:type="dxa"/>
            <w:tcBorders>
              <w:bottom w:val="doub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3337" w:name="TAB11596"/>
            <w:bookmarkEnd w:id="3337"/>
            <w:r>
              <w:rPr>
                <w:rFonts w:ascii="Times New Roman" w:hAnsi="Times New Roman"/>
                <w:sz w:val="20"/>
              </w:rPr>
              <w:t>7,857</w:t>
            </w:r>
          </w:p>
        </w:tc>
        <w:tc>
          <w:tcPr>
            <w:tcW w:w="118" w:type="dxa"/>
            <w:tcBorders>
              <w:bottom w:val="single" w:sz="4" w:space="0" w:color="CCEEFF"/>
            </w:tcBorders>
            <w:shd w:fill="CCEEFF" w:val="clear"/>
            <w:vAlign w:val="bottom"/>
          </w:tcPr>
          <w:p>
            <w:pPr>
              <w:pStyle w:val="TableContents"/>
              <w:spacing w:before="0" w:after="283"/>
              <w:jc w:val="left"/>
              <w:rPr/>
            </w:pPr>
            <w:r>
              <w:rPr/>
              <w:t> </w:t>
            </w:r>
          </w:p>
        </w:tc>
      </w:tr>
    </w:tbl>
    <w:p>
      <w:pPr>
        <w:pStyle w:val="TextBody"/>
        <w:spacing w:lineRule="auto" w:line="300"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338" w:name="PGBRK93"/>
      <w:bookmarkStart w:id="3339" w:name="PGBRK93"/>
      <w:bookmarkEnd w:id="333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340" w:name="FTR93"/>
      <w:bookmarkStart w:id="3341" w:name="FTR93"/>
      <w:bookmarkEnd w:id="334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342" w:name="GLFTR93"/>
      <w:bookmarkStart w:id="3343" w:name="GLFTR93"/>
      <w:bookmarkEnd w:id="334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3344" w:name="PN93"/>
      <w:bookmarkEnd w:id="3344"/>
      <w:r>
        <w:rPr>
          <w:rFonts w:ascii="Times New Roman" w:hAnsi="Times New Roman"/>
          <w:sz w:val="16"/>
        </w:rPr>
        <w:t>-93-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345" w:name="HDR93"/>
      <w:bookmarkStart w:id="3346" w:name="HDR93"/>
      <w:bookmarkEnd w:id="334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3347" w:name="GLHDR93"/>
        <w:bookmarkEnd w:id="3347"/>
        <w:r>
          <w:rPr>
            <w:rStyle w:val="Emphasis"/>
            <w:rFonts w:ascii="Times New Roman" w:hAnsi="Times New Roman"/>
            <w:color w:val="000000"/>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300" w:before="0" w:after="0"/>
        <w:ind w:left="0" w:right="0" w:hanging="0"/>
        <w:jc w:val="both"/>
        <w:rPr/>
      </w:pPr>
      <w:r>
        <w:rPr>
          <w:rStyle w:val="StrongEmphasis"/>
          <w:rFonts w:ascii="Times New Roman" w:hAnsi="Times New Roman"/>
          <w:sz w:val="20"/>
          <w:u w:val="single"/>
        </w:rPr>
        <w:t>Note 11 - Investments in and Advances to Unconsolidated Joint Ventures and Entities</w:t>
      </w:r>
    </w:p>
    <w:p>
      <w:pPr>
        <w:pStyle w:val="TextBody"/>
        <w:spacing w:lineRule="auto" w:line="300" w:before="0" w:after="0"/>
        <w:ind w:left="0" w:right="0" w:hanging="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Investments in and advances to unconsolidated joint ventures and entities are accounted for under the equity method of accounting except for Malulani Investments, Ltd. as described below. As of December 31, 2006 and 2005, these investments in and advances to unconsolidated joint ventures and entities include the following (dollars in thousands):</w:t>
      </w:r>
    </w:p>
    <w:p>
      <w:pPr>
        <w:pStyle w:val="TextBody"/>
        <w:spacing w:lineRule="auto" w:line="300" w:before="0" w:after="0"/>
        <w:ind w:left="0" w:right="0" w:firstLine="720"/>
        <w:jc w:val="both"/>
        <w:rPr/>
      </w:pPr>
      <w:r>
        <w:rPr/>
      </w:r>
    </w:p>
    <w:p>
      <w:pPr>
        <w:pStyle w:val="Normal"/>
        <w:spacing w:before="0" w:after="0"/>
        <w:rPr>
          <w:sz w:val="4"/>
          <w:szCs w:val="4"/>
        </w:rPr>
      </w:pPr>
      <w:r>
        <w:rPr>
          <w:sz w:val="4"/>
          <w:szCs w:val="4"/>
        </w:rPr>
      </w:r>
      <w:bookmarkStart w:id="3348" w:name="ftable34"/>
      <w:bookmarkStart w:id="3349" w:name="ftable34"/>
      <w:bookmarkEnd w:id="3349"/>
    </w:p>
    <w:tbl>
      <w:tblPr>
        <w:tblW w:w="5000" w:type="pct"/>
        <w:jc w:val="left"/>
        <w:tblInd w:w="0" w:type="dxa"/>
        <w:tblCellMar>
          <w:top w:w="0" w:type="dxa"/>
          <w:left w:w="0" w:type="dxa"/>
          <w:bottom w:w="28" w:type="dxa"/>
          <w:right w:w="0" w:type="dxa"/>
        </w:tblCellMar>
      </w:tblPr>
      <w:tblGrid>
        <w:gridCol w:w="5589"/>
        <w:gridCol w:w="202"/>
        <w:gridCol w:w="116"/>
        <w:gridCol w:w="1173"/>
        <w:gridCol w:w="202"/>
        <w:gridCol w:w="125"/>
        <w:gridCol w:w="1177"/>
        <w:gridCol w:w="202"/>
        <w:gridCol w:w="125"/>
        <w:gridCol w:w="1177"/>
        <w:gridCol w:w="117"/>
      </w:tblGrid>
      <w:tr>
        <w:trPr/>
        <w:tc>
          <w:tcPr>
            <w:tcW w:w="5589" w:type="dxa"/>
            <w:tcBorders>
              <w:bottom w:val="single" w:sz="4" w:space="0" w:color="FFFFFF"/>
            </w:tcBorders>
            <w:shd w:fill="auto" w:val="clear"/>
            <w:vAlign w:val="bottom"/>
          </w:tcPr>
          <w:p>
            <w:pPr>
              <w:pStyle w:val="TableContents"/>
              <w:spacing w:before="0" w:after="283"/>
              <w:jc w:val="left"/>
              <w:rPr/>
            </w:pPr>
            <w:r>
              <w:rPr/>
              <w:t> </w:t>
            </w:r>
          </w:p>
        </w:tc>
        <w:tc>
          <w:tcPr>
            <w:tcW w:w="202" w:type="dxa"/>
            <w:tcBorders>
              <w:bottom w:val="single" w:sz="2" w:space="0" w:color="FFFFFF"/>
            </w:tcBorders>
            <w:shd w:fill="auto" w:val="clear"/>
            <w:vAlign w:val="center"/>
          </w:tcPr>
          <w:p>
            <w:pPr>
              <w:pStyle w:val="TableContents"/>
              <w:spacing w:before="0" w:after="283"/>
              <w:rPr/>
            </w:pPr>
            <w:r>
              <w:rPr/>
              <w:t> </w:t>
            </w:r>
          </w:p>
        </w:tc>
        <w:tc>
          <w:tcPr>
            <w:tcW w:w="1289" w:type="dxa"/>
            <w:gridSpan w:val="2"/>
            <w:tcBorders>
              <w:bottom w:val="single" w:sz="2" w:space="0" w:color="FFFFFF"/>
            </w:tcBorders>
            <w:shd w:fill="auto" w:val="clear"/>
            <w:vAlign w:val="bottom"/>
          </w:tcPr>
          <w:p>
            <w:pPr>
              <w:pStyle w:val="TableContents"/>
              <w:spacing w:before="0" w:after="283"/>
              <w:jc w:val="both"/>
              <w:rPr/>
            </w:pPr>
            <w:r>
              <w:rPr/>
              <w:t> </w:t>
            </w:r>
          </w:p>
        </w:tc>
        <w:tc>
          <w:tcPr>
            <w:tcW w:w="202" w:type="dxa"/>
            <w:tcBorders>
              <w:bottom w:val="single" w:sz="2" w:space="0" w:color="FFFFFF"/>
            </w:tcBorders>
            <w:shd w:fill="auto" w:val="clear"/>
            <w:vAlign w:val="bottom"/>
          </w:tcPr>
          <w:p>
            <w:pPr>
              <w:pStyle w:val="TableContents"/>
              <w:spacing w:before="0" w:after="283"/>
              <w:jc w:val="left"/>
              <w:rPr/>
            </w:pPr>
            <w:r>
              <w:rPr/>
              <w:t> </w:t>
            </w:r>
          </w:p>
        </w:tc>
        <w:tc>
          <w:tcPr>
            <w:tcW w:w="2806" w:type="dxa"/>
            <w:gridSpan w:val="5"/>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December 31,</w:t>
            </w:r>
          </w:p>
        </w:tc>
        <w:tc>
          <w:tcPr>
            <w:tcW w:w="117" w:type="dxa"/>
            <w:tcBorders>
              <w:bottom w:val="single" w:sz="2" w:space="0" w:color="FFFFFF"/>
            </w:tcBorders>
            <w:shd w:fill="auto" w:val="clear"/>
            <w:vAlign w:val="bottom"/>
          </w:tcPr>
          <w:p>
            <w:pPr>
              <w:pStyle w:val="TableContents"/>
              <w:spacing w:before="0" w:after="283"/>
              <w:jc w:val="left"/>
              <w:rPr/>
            </w:pPr>
            <w:r>
              <w:rPr/>
              <w:t> </w:t>
            </w:r>
          </w:p>
        </w:tc>
      </w:tr>
      <w:tr>
        <w:trPr/>
        <w:tc>
          <w:tcPr>
            <w:tcW w:w="5589" w:type="dxa"/>
            <w:tcBorders>
              <w:bottom w:val="double" w:sz="2" w:space="0" w:color="000000"/>
            </w:tcBorders>
            <w:shd w:fill="auto" w:val="clear"/>
            <w:vAlign w:val="bottom"/>
          </w:tcPr>
          <w:p>
            <w:pPr>
              <w:pStyle w:val="TableContents"/>
              <w:spacing w:before="0" w:after="283"/>
              <w:jc w:val="left"/>
              <w:rPr/>
            </w:pPr>
            <w:r>
              <w:rPr/>
              <w:t> </w:t>
            </w:r>
          </w:p>
        </w:tc>
        <w:tc>
          <w:tcPr>
            <w:tcW w:w="202" w:type="dxa"/>
            <w:tcBorders>
              <w:bottom w:val="single" w:sz="4" w:space="0" w:color="FFFFFF"/>
            </w:tcBorders>
            <w:shd w:fill="auto" w:val="clear"/>
            <w:vAlign w:val="center"/>
          </w:tcPr>
          <w:p>
            <w:pPr>
              <w:pStyle w:val="TableContents"/>
              <w:spacing w:before="0" w:after="283"/>
              <w:rPr/>
            </w:pPr>
            <w:r>
              <w:rPr/>
              <w:t> </w:t>
            </w:r>
          </w:p>
        </w:tc>
        <w:tc>
          <w:tcPr>
            <w:tcW w:w="1289"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Interest</w:t>
            </w:r>
          </w:p>
        </w:tc>
        <w:tc>
          <w:tcPr>
            <w:tcW w:w="202" w:type="dxa"/>
            <w:tcBorders>
              <w:bottom w:val="single" w:sz="4" w:space="0" w:color="FFFFFF"/>
            </w:tcBorders>
            <w:shd w:fill="auto" w:val="clear"/>
            <w:vAlign w:val="bottom"/>
          </w:tcPr>
          <w:p>
            <w:pPr>
              <w:pStyle w:val="TableContents"/>
              <w:spacing w:before="0" w:after="283"/>
              <w:jc w:val="left"/>
              <w:rPr/>
            </w:pPr>
            <w:r>
              <w:rPr/>
              <w:t> </w:t>
            </w:r>
          </w:p>
        </w:tc>
        <w:tc>
          <w:tcPr>
            <w:tcW w:w="1302"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2006</w:t>
            </w:r>
          </w:p>
        </w:tc>
        <w:tc>
          <w:tcPr>
            <w:tcW w:w="202" w:type="dxa"/>
            <w:tcBorders>
              <w:bottom w:val="single" w:sz="4" w:space="0" w:color="FFFFFF"/>
            </w:tcBorders>
            <w:shd w:fill="auto" w:val="clear"/>
            <w:vAlign w:val="bottom"/>
          </w:tcPr>
          <w:p>
            <w:pPr>
              <w:pStyle w:val="TableContents"/>
              <w:spacing w:before="0" w:after="283"/>
              <w:jc w:val="left"/>
              <w:rPr/>
            </w:pPr>
            <w:r>
              <w:rPr/>
              <w:t> </w:t>
            </w:r>
          </w:p>
        </w:tc>
        <w:tc>
          <w:tcPr>
            <w:tcW w:w="1302"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2005</w:t>
            </w:r>
          </w:p>
        </w:tc>
        <w:tc>
          <w:tcPr>
            <w:tcW w:w="117" w:type="dxa"/>
            <w:tcBorders>
              <w:bottom w:val="single" w:sz="4" w:space="0" w:color="FFFFFF"/>
            </w:tcBorders>
            <w:shd w:fill="auto" w:val="clear"/>
            <w:vAlign w:val="bottom"/>
          </w:tcPr>
          <w:p>
            <w:pPr>
              <w:pStyle w:val="TableContents"/>
              <w:spacing w:before="0" w:after="283"/>
              <w:jc w:val="left"/>
              <w:rPr/>
            </w:pPr>
            <w:r>
              <w:rPr/>
              <w:t> </w:t>
            </w:r>
          </w:p>
        </w:tc>
      </w:tr>
      <w:tr>
        <w:trPr/>
        <w:tc>
          <w:tcPr>
            <w:tcW w:w="5589"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Malulani Investments</w:t>
            </w:r>
          </w:p>
        </w:tc>
        <w:tc>
          <w:tcPr>
            <w:tcW w:w="202" w:type="dxa"/>
            <w:tcBorders/>
            <w:shd w:fill="CCEEFF" w:val="clear"/>
            <w:tcMar>
              <w:bottom w:w="0" w:type="dxa"/>
            </w:tcMar>
            <w:vAlign w:val="center"/>
          </w:tcPr>
          <w:p>
            <w:pPr>
              <w:pStyle w:val="TableContents"/>
              <w:spacing w:before="0" w:after="283"/>
              <w:rPr/>
            </w:pPr>
            <w:r>
              <w:rPr/>
              <w:t> </w:t>
            </w:r>
          </w:p>
        </w:tc>
        <w:tc>
          <w:tcPr>
            <w:tcW w:w="116" w:type="dxa"/>
            <w:tcBorders/>
            <w:shd w:fill="CCEEFF" w:val="clear"/>
            <w:tcMar>
              <w:bottom w:w="0" w:type="dxa"/>
            </w:tcMar>
            <w:vAlign w:val="bottom"/>
          </w:tcPr>
          <w:p>
            <w:pPr>
              <w:pStyle w:val="TableContents"/>
              <w:spacing w:before="0" w:after="283"/>
              <w:jc w:val="left"/>
              <w:rPr/>
            </w:pPr>
            <w:r>
              <w:rPr/>
              <w:t> </w:t>
            </w:r>
          </w:p>
        </w:tc>
        <w:tc>
          <w:tcPr>
            <w:tcW w:w="1173" w:type="dxa"/>
            <w:tcBorders/>
            <w:shd w:fill="CCEEFF" w:val="clear"/>
            <w:tcMar>
              <w:bottom w:w="0" w:type="dxa"/>
            </w:tcM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18.4%</w:t>
            </w:r>
          </w:p>
        </w:tc>
        <w:tc>
          <w:tcPr>
            <w:tcW w:w="202" w:type="dxa"/>
            <w:tcBorders/>
            <w:shd w:fill="CCEEFF" w:val="clear"/>
            <w:tcMar>
              <w:bottom w:w="0" w:type="dxa"/>
            </w:tcMar>
            <w:vAlign w:val="bottom"/>
          </w:tcPr>
          <w:p>
            <w:pPr>
              <w:pStyle w:val="TableContents"/>
              <w:spacing w:lineRule="auto" w:line="300" w:before="0" w:after="0"/>
              <w:ind w:left="0" w:right="0" w:hanging="0"/>
              <w:jc w:val="left"/>
              <w:rPr/>
            </w:pPr>
            <w:r>
              <w:rPr/>
              <w:t> </w:t>
            </w:r>
          </w:p>
        </w:tc>
        <w:tc>
          <w:tcPr>
            <w:tcW w:w="125"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3350" w:name="TAB11597"/>
            <w:bookmarkEnd w:id="3350"/>
            <w:r>
              <w:rPr>
                <w:rFonts w:ascii="Times New Roman" w:hAnsi="Times New Roman"/>
                <w:sz w:val="20"/>
              </w:rPr>
              <w:t>$</w:t>
            </w:r>
          </w:p>
        </w:tc>
        <w:tc>
          <w:tcPr>
            <w:tcW w:w="1177"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3351" w:name="TAB11598"/>
            <w:bookmarkEnd w:id="3351"/>
            <w:r>
              <w:rPr>
                <w:rFonts w:ascii="Times New Roman" w:hAnsi="Times New Roman"/>
                <w:sz w:val="20"/>
              </w:rPr>
              <w:t>1,800</w:t>
            </w:r>
          </w:p>
        </w:tc>
        <w:tc>
          <w:tcPr>
            <w:tcW w:w="202"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3352" w:name="TAB11599"/>
            <w:bookmarkEnd w:id="3352"/>
            <w:r>
              <w:rPr>
                <w:rFonts w:ascii="Times New Roman" w:hAnsi="Times New Roman"/>
                <w:sz w:val="20"/>
              </w:rPr>
              <w:t>$</w:t>
            </w:r>
          </w:p>
        </w:tc>
        <w:tc>
          <w:tcPr>
            <w:tcW w:w="1177"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3353" w:name="TAB11600"/>
            <w:bookmarkEnd w:id="3353"/>
            <w:r>
              <w:rPr>
                <w:rFonts w:ascii="Times New Roman" w:hAnsi="Times New Roman"/>
                <w:sz w:val="20"/>
              </w:rPr>
              <w:t>--</w:t>
            </w:r>
          </w:p>
        </w:tc>
        <w:tc>
          <w:tcPr>
            <w:tcW w:w="117" w:type="dxa"/>
            <w:tcBorders/>
            <w:shd w:fill="CCEEFF" w:val="clear"/>
            <w:tcMar>
              <w:bottom w:w="0" w:type="dxa"/>
            </w:tcMar>
            <w:vAlign w:val="bottom"/>
          </w:tcPr>
          <w:p>
            <w:pPr>
              <w:pStyle w:val="TableContents"/>
              <w:spacing w:before="0" w:after="283"/>
              <w:jc w:val="left"/>
              <w:rPr/>
            </w:pPr>
            <w:r>
              <w:rPr/>
              <w:t> </w:t>
            </w:r>
          </w:p>
        </w:tc>
      </w:tr>
      <w:tr>
        <w:trPr/>
        <w:tc>
          <w:tcPr>
            <w:tcW w:w="5589"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Rialto Distribution</w:t>
            </w:r>
          </w:p>
        </w:tc>
        <w:tc>
          <w:tcPr>
            <w:tcW w:w="202" w:type="dxa"/>
            <w:tcBorders/>
            <w:shd w:fill="FFFFFF" w:val="clear"/>
            <w:tcMar>
              <w:bottom w:w="0" w:type="dxa"/>
            </w:tcMar>
            <w:vAlign w:val="center"/>
          </w:tcPr>
          <w:p>
            <w:pPr>
              <w:pStyle w:val="TableContents"/>
              <w:spacing w:before="0" w:after="283"/>
              <w:rPr/>
            </w:pPr>
            <w:r>
              <w:rPr/>
              <w:t> </w:t>
            </w:r>
          </w:p>
        </w:tc>
        <w:tc>
          <w:tcPr>
            <w:tcW w:w="116" w:type="dxa"/>
            <w:tcBorders/>
            <w:shd w:fill="FFFFFF" w:val="clear"/>
            <w:tcMar>
              <w:bottom w:w="0" w:type="dxa"/>
            </w:tcMar>
            <w:vAlign w:val="bottom"/>
          </w:tcPr>
          <w:p>
            <w:pPr>
              <w:pStyle w:val="TableContents"/>
              <w:spacing w:before="0" w:after="283"/>
              <w:jc w:val="left"/>
              <w:rPr/>
            </w:pPr>
            <w:r>
              <w:rPr/>
              <w:t> </w:t>
            </w:r>
          </w:p>
        </w:tc>
        <w:tc>
          <w:tcPr>
            <w:tcW w:w="1173" w:type="dxa"/>
            <w:tcBorders/>
            <w:shd w:fill="FFFFFF" w:val="clear"/>
            <w:tcMar>
              <w:bottom w:w="0" w:type="dxa"/>
            </w:tcM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33.3 %</w:t>
            </w:r>
          </w:p>
        </w:tc>
        <w:tc>
          <w:tcPr>
            <w:tcW w:w="202" w:type="dxa"/>
            <w:tcBorders/>
            <w:shd w:fill="FFFFFF" w:val="clear"/>
            <w:tcMar>
              <w:bottom w:w="0" w:type="dxa"/>
            </w:tcMar>
            <w:vAlign w:val="bottom"/>
          </w:tcPr>
          <w:p>
            <w:pPr>
              <w:pStyle w:val="TableContents"/>
              <w:spacing w:lineRule="auto" w:line="300" w:before="0" w:after="0"/>
              <w:ind w:left="0" w:right="0" w:hanging="0"/>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77"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782</w:t>
            </w:r>
          </w:p>
        </w:tc>
        <w:tc>
          <w:tcPr>
            <w:tcW w:w="202"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77"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734</w:t>
            </w:r>
          </w:p>
        </w:tc>
        <w:tc>
          <w:tcPr>
            <w:tcW w:w="117" w:type="dxa"/>
            <w:tcBorders/>
            <w:shd w:fill="FFFFFF" w:val="clear"/>
            <w:tcMar>
              <w:bottom w:w="0" w:type="dxa"/>
            </w:tcMar>
            <w:vAlign w:val="bottom"/>
          </w:tcPr>
          <w:p>
            <w:pPr>
              <w:pStyle w:val="TableContents"/>
              <w:spacing w:before="0" w:after="283"/>
              <w:jc w:val="left"/>
              <w:rPr/>
            </w:pPr>
            <w:r>
              <w:rPr/>
              <w:t> </w:t>
            </w:r>
          </w:p>
        </w:tc>
      </w:tr>
      <w:tr>
        <w:trPr/>
        <w:tc>
          <w:tcPr>
            <w:tcW w:w="5589"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Rialto Cinemas</w:t>
            </w:r>
          </w:p>
        </w:tc>
        <w:tc>
          <w:tcPr>
            <w:tcW w:w="202" w:type="dxa"/>
            <w:tcBorders/>
            <w:shd w:fill="CCEEFF" w:val="clear"/>
            <w:tcMar>
              <w:bottom w:w="0" w:type="dxa"/>
            </w:tcMar>
            <w:vAlign w:val="center"/>
          </w:tcPr>
          <w:p>
            <w:pPr>
              <w:pStyle w:val="TableContents"/>
              <w:spacing w:before="0" w:after="283"/>
              <w:rPr/>
            </w:pPr>
            <w:r>
              <w:rPr/>
              <w:t> </w:t>
            </w:r>
          </w:p>
        </w:tc>
        <w:tc>
          <w:tcPr>
            <w:tcW w:w="116" w:type="dxa"/>
            <w:tcBorders/>
            <w:shd w:fill="CCEEFF" w:val="clear"/>
            <w:tcMar>
              <w:bottom w:w="0" w:type="dxa"/>
            </w:tcMar>
            <w:vAlign w:val="bottom"/>
          </w:tcPr>
          <w:p>
            <w:pPr>
              <w:pStyle w:val="TableContents"/>
              <w:spacing w:before="0" w:after="283"/>
              <w:jc w:val="left"/>
              <w:rPr/>
            </w:pPr>
            <w:r>
              <w:rPr/>
              <w:t> </w:t>
            </w:r>
          </w:p>
        </w:tc>
        <w:tc>
          <w:tcPr>
            <w:tcW w:w="1173" w:type="dxa"/>
            <w:tcBorders/>
            <w:shd w:fill="CCEEFF" w:val="clear"/>
            <w:tcMar>
              <w:bottom w:w="0" w:type="dxa"/>
            </w:tcM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50.0 %</w:t>
            </w:r>
          </w:p>
        </w:tc>
        <w:tc>
          <w:tcPr>
            <w:tcW w:w="202" w:type="dxa"/>
            <w:tcBorders/>
            <w:shd w:fill="CCEEFF" w:val="clear"/>
            <w:tcMar>
              <w:bottom w:w="0" w:type="dxa"/>
            </w:tcMar>
            <w:vAlign w:val="bottom"/>
          </w:tcPr>
          <w:p>
            <w:pPr>
              <w:pStyle w:val="TableContents"/>
              <w:spacing w:lineRule="auto" w:line="300" w:before="0" w:after="0"/>
              <w:ind w:left="0" w:right="0" w:hanging="0"/>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177"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5,608</w:t>
            </w:r>
          </w:p>
        </w:tc>
        <w:tc>
          <w:tcPr>
            <w:tcW w:w="202"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177"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4,691</w:t>
            </w:r>
          </w:p>
        </w:tc>
        <w:tc>
          <w:tcPr>
            <w:tcW w:w="117" w:type="dxa"/>
            <w:tcBorders/>
            <w:shd w:fill="CCEEFF" w:val="clear"/>
            <w:tcMar>
              <w:bottom w:w="0" w:type="dxa"/>
            </w:tcMar>
            <w:vAlign w:val="bottom"/>
          </w:tcPr>
          <w:p>
            <w:pPr>
              <w:pStyle w:val="TableContents"/>
              <w:spacing w:before="0" w:after="283"/>
              <w:jc w:val="left"/>
              <w:rPr/>
            </w:pPr>
            <w:r>
              <w:rPr/>
              <w:t> </w:t>
            </w:r>
          </w:p>
        </w:tc>
      </w:tr>
      <w:tr>
        <w:trPr/>
        <w:tc>
          <w:tcPr>
            <w:tcW w:w="5589" w:type="dxa"/>
            <w:tcBorders/>
            <w:shd w:fill="FFFFFF" w:val="clear"/>
            <w:tcMar>
              <w:bottom w:w="0" w:type="dxa"/>
            </w:tcMar>
            <w:vAlign w:val="bottom"/>
          </w:tcPr>
          <w:p>
            <w:pPr>
              <w:pStyle w:val="TableContents"/>
              <w:spacing w:lineRule="auto" w:line="300" w:before="0" w:after="0"/>
              <w:ind w:left="0" w:right="0" w:hanging="0"/>
              <w:jc w:val="left"/>
              <w:rPr/>
            </w:pPr>
            <w:r>
              <w:rPr>
                <w:rFonts w:ascii="Times New Roman" w:hAnsi="Times New Roman"/>
                <w:sz w:val="20"/>
              </w:rPr>
              <w:t>205-209 East 57</w:t>
            </w:r>
            <w:r>
              <w:rPr>
                <w:rFonts w:ascii="Times New Roman" w:hAnsi="Times New Roman"/>
                <w:position w:val="7"/>
                <w:sz w:val="16"/>
                <w:sz w:val="20"/>
              </w:rPr>
              <w:t>th</w:t>
            </w:r>
            <w:r>
              <w:rPr/>
              <w:t xml:space="preserve"> </w:t>
            </w:r>
            <w:r>
              <w:rPr>
                <w:rFonts w:ascii="Times New Roman" w:hAnsi="Times New Roman"/>
                <w:sz w:val="20"/>
              </w:rPr>
              <w:t>Street Associates, LLC</w:t>
            </w:r>
          </w:p>
        </w:tc>
        <w:tc>
          <w:tcPr>
            <w:tcW w:w="202" w:type="dxa"/>
            <w:tcBorders/>
            <w:shd w:fill="FFFFFF" w:val="clear"/>
            <w:tcMar>
              <w:bottom w:w="0" w:type="dxa"/>
            </w:tcMar>
            <w:vAlign w:val="center"/>
          </w:tcPr>
          <w:p>
            <w:pPr>
              <w:pStyle w:val="TableContents"/>
              <w:spacing w:before="0" w:after="283"/>
              <w:rPr/>
            </w:pPr>
            <w:r>
              <w:rPr/>
              <w:t> </w:t>
            </w:r>
          </w:p>
        </w:tc>
        <w:tc>
          <w:tcPr>
            <w:tcW w:w="116" w:type="dxa"/>
            <w:tcBorders/>
            <w:shd w:fill="FFFFFF" w:val="clear"/>
            <w:tcMar>
              <w:bottom w:w="0" w:type="dxa"/>
            </w:tcMar>
            <w:vAlign w:val="bottom"/>
          </w:tcPr>
          <w:p>
            <w:pPr>
              <w:pStyle w:val="TableContents"/>
              <w:spacing w:before="0" w:after="283"/>
              <w:jc w:val="left"/>
              <w:rPr/>
            </w:pPr>
            <w:r>
              <w:rPr/>
              <w:t> </w:t>
            </w:r>
          </w:p>
        </w:tc>
        <w:tc>
          <w:tcPr>
            <w:tcW w:w="1173" w:type="dxa"/>
            <w:tcBorders/>
            <w:shd w:fill="FFFFFF" w:val="clear"/>
            <w:tcMar>
              <w:bottom w:w="0" w:type="dxa"/>
            </w:tcM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25.0 %</w:t>
            </w:r>
          </w:p>
        </w:tc>
        <w:tc>
          <w:tcPr>
            <w:tcW w:w="202" w:type="dxa"/>
            <w:tcBorders/>
            <w:shd w:fill="FFFFFF" w:val="clear"/>
            <w:tcMar>
              <w:bottom w:w="0" w:type="dxa"/>
            </w:tcMar>
            <w:vAlign w:val="bottom"/>
          </w:tcPr>
          <w:p>
            <w:pPr>
              <w:pStyle w:val="TableContents"/>
              <w:spacing w:lineRule="auto" w:line="300" w:before="0" w:after="0"/>
              <w:ind w:left="0" w:right="0" w:hanging="0"/>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77"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3354" w:name="TAB11601"/>
            <w:bookmarkEnd w:id="3354"/>
            <w:r>
              <w:rPr>
                <w:rFonts w:ascii="Times New Roman" w:hAnsi="Times New Roman"/>
                <w:sz w:val="20"/>
              </w:rPr>
              <w:t>5,557</w:t>
            </w:r>
          </w:p>
        </w:tc>
        <w:tc>
          <w:tcPr>
            <w:tcW w:w="202"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77"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3355" w:name="TAB11602"/>
            <w:bookmarkEnd w:id="3355"/>
            <w:r>
              <w:rPr>
                <w:rFonts w:ascii="Times New Roman" w:hAnsi="Times New Roman"/>
                <w:sz w:val="20"/>
              </w:rPr>
              <w:t>3,139</w:t>
            </w:r>
          </w:p>
        </w:tc>
        <w:tc>
          <w:tcPr>
            <w:tcW w:w="117" w:type="dxa"/>
            <w:tcBorders/>
            <w:shd w:fill="FFFFFF" w:val="clear"/>
            <w:tcMar>
              <w:bottom w:w="0" w:type="dxa"/>
            </w:tcMar>
            <w:vAlign w:val="bottom"/>
          </w:tcPr>
          <w:p>
            <w:pPr>
              <w:pStyle w:val="TableContents"/>
              <w:spacing w:before="0" w:after="283"/>
              <w:jc w:val="left"/>
              <w:rPr/>
            </w:pPr>
            <w:r>
              <w:rPr/>
              <w:t> </w:t>
            </w:r>
          </w:p>
        </w:tc>
      </w:tr>
      <w:tr>
        <w:trPr/>
        <w:tc>
          <w:tcPr>
            <w:tcW w:w="5589"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Mt. Gravatt</w:t>
            </w:r>
          </w:p>
        </w:tc>
        <w:tc>
          <w:tcPr>
            <w:tcW w:w="202" w:type="dxa"/>
            <w:tcBorders/>
            <w:shd w:fill="CCEEFF" w:val="clear"/>
            <w:tcMar>
              <w:bottom w:w="0" w:type="dxa"/>
            </w:tcMar>
            <w:vAlign w:val="center"/>
          </w:tcPr>
          <w:p>
            <w:pPr>
              <w:pStyle w:val="TableContents"/>
              <w:spacing w:before="0" w:after="283"/>
              <w:rPr/>
            </w:pPr>
            <w:r>
              <w:rPr/>
              <w:t> </w:t>
            </w:r>
          </w:p>
        </w:tc>
        <w:tc>
          <w:tcPr>
            <w:tcW w:w="116" w:type="dxa"/>
            <w:tcBorders/>
            <w:shd w:fill="CCEEFF" w:val="clear"/>
            <w:tcMar>
              <w:bottom w:w="0" w:type="dxa"/>
            </w:tcMar>
            <w:vAlign w:val="bottom"/>
          </w:tcPr>
          <w:p>
            <w:pPr>
              <w:pStyle w:val="TableContents"/>
              <w:spacing w:before="0" w:after="283"/>
              <w:jc w:val="left"/>
              <w:rPr/>
            </w:pPr>
            <w:r>
              <w:rPr/>
              <w:t> </w:t>
            </w:r>
          </w:p>
        </w:tc>
        <w:tc>
          <w:tcPr>
            <w:tcW w:w="1173" w:type="dxa"/>
            <w:tcBorders/>
            <w:shd w:fill="CCEEFF" w:val="clear"/>
            <w:tcMar>
              <w:bottom w:w="0" w:type="dxa"/>
            </w:tcM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33.3 %</w:t>
            </w:r>
          </w:p>
        </w:tc>
        <w:tc>
          <w:tcPr>
            <w:tcW w:w="202" w:type="dxa"/>
            <w:tcBorders/>
            <w:shd w:fill="CCEEFF" w:val="clear"/>
            <w:tcMar>
              <w:bottom w:w="0" w:type="dxa"/>
            </w:tcMar>
            <w:vAlign w:val="bottom"/>
          </w:tcPr>
          <w:p>
            <w:pPr>
              <w:pStyle w:val="TableContents"/>
              <w:spacing w:lineRule="auto" w:line="300" w:before="0" w:after="0"/>
              <w:ind w:left="0" w:right="0" w:hanging="0"/>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177"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4,713</w:t>
            </w:r>
          </w:p>
        </w:tc>
        <w:tc>
          <w:tcPr>
            <w:tcW w:w="202"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177"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4,052</w:t>
            </w:r>
          </w:p>
        </w:tc>
        <w:tc>
          <w:tcPr>
            <w:tcW w:w="117" w:type="dxa"/>
            <w:tcBorders/>
            <w:shd w:fill="CCEEFF" w:val="clear"/>
            <w:tcMar>
              <w:bottom w:w="0" w:type="dxa"/>
            </w:tcMar>
            <w:vAlign w:val="bottom"/>
          </w:tcPr>
          <w:p>
            <w:pPr>
              <w:pStyle w:val="TableContents"/>
              <w:spacing w:before="0" w:after="283"/>
              <w:jc w:val="left"/>
              <w:rPr/>
            </w:pPr>
            <w:r>
              <w:rPr/>
              <w:t> </w:t>
            </w:r>
          </w:p>
        </w:tc>
      </w:tr>
      <w:tr>
        <w:trPr/>
        <w:tc>
          <w:tcPr>
            <w:tcW w:w="5589"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Berkeley Cinema - Group</w:t>
            </w:r>
          </w:p>
        </w:tc>
        <w:tc>
          <w:tcPr>
            <w:tcW w:w="202" w:type="dxa"/>
            <w:tcBorders/>
            <w:shd w:fill="FFFFFF" w:val="clear"/>
            <w:tcMar>
              <w:bottom w:w="0" w:type="dxa"/>
            </w:tcMar>
            <w:vAlign w:val="center"/>
          </w:tcPr>
          <w:p>
            <w:pPr>
              <w:pStyle w:val="TableContents"/>
              <w:spacing w:before="0" w:after="283"/>
              <w:rPr/>
            </w:pPr>
            <w:r>
              <w:rPr/>
              <w:t> </w:t>
            </w:r>
          </w:p>
        </w:tc>
        <w:tc>
          <w:tcPr>
            <w:tcW w:w="116" w:type="dxa"/>
            <w:tcBorders/>
            <w:shd w:fill="FFFFFF" w:val="clear"/>
            <w:tcMar>
              <w:bottom w:w="0" w:type="dxa"/>
            </w:tcMar>
            <w:vAlign w:val="bottom"/>
          </w:tcPr>
          <w:p>
            <w:pPr>
              <w:pStyle w:val="TableContents"/>
              <w:spacing w:before="0" w:after="283"/>
              <w:jc w:val="left"/>
              <w:rPr/>
            </w:pPr>
            <w:r>
              <w:rPr/>
              <w:t> </w:t>
            </w:r>
          </w:p>
        </w:tc>
        <w:tc>
          <w:tcPr>
            <w:tcW w:w="1173" w:type="dxa"/>
            <w:tcBorders/>
            <w:shd w:fill="FFFFFF" w:val="clear"/>
            <w:tcMar>
              <w:bottom w:w="0" w:type="dxa"/>
            </w:tcM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50.0 %</w:t>
            </w:r>
          </w:p>
        </w:tc>
        <w:tc>
          <w:tcPr>
            <w:tcW w:w="202" w:type="dxa"/>
            <w:tcBorders/>
            <w:shd w:fill="FFFFFF" w:val="clear"/>
            <w:tcMar>
              <w:bottom w:w="0" w:type="dxa"/>
            </w:tcMar>
            <w:vAlign w:val="bottom"/>
          </w:tcPr>
          <w:p>
            <w:pPr>
              <w:pStyle w:val="TableContents"/>
              <w:spacing w:lineRule="auto" w:line="300" w:before="0" w:after="0"/>
              <w:ind w:left="0" w:right="0" w:hanging="0"/>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77"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202"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77"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944</w:t>
            </w:r>
          </w:p>
        </w:tc>
        <w:tc>
          <w:tcPr>
            <w:tcW w:w="117" w:type="dxa"/>
            <w:tcBorders/>
            <w:shd w:fill="FFFFFF" w:val="clear"/>
            <w:tcMar>
              <w:bottom w:w="0" w:type="dxa"/>
            </w:tcMar>
            <w:vAlign w:val="bottom"/>
          </w:tcPr>
          <w:p>
            <w:pPr>
              <w:pStyle w:val="TableContents"/>
              <w:spacing w:before="0" w:after="283"/>
              <w:jc w:val="left"/>
              <w:rPr/>
            </w:pPr>
            <w:r>
              <w:rPr/>
              <w:t> </w:t>
            </w:r>
          </w:p>
        </w:tc>
      </w:tr>
      <w:tr>
        <w:trPr/>
        <w:tc>
          <w:tcPr>
            <w:tcW w:w="5589" w:type="dxa"/>
            <w:tcBorders>
              <w:bottom w:val="sing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Berkeley Cinemas - Palms &amp; Botany</w:t>
            </w:r>
          </w:p>
        </w:tc>
        <w:tc>
          <w:tcPr>
            <w:tcW w:w="202" w:type="dxa"/>
            <w:tcBorders>
              <w:bottom w:val="single" w:sz="2" w:space="0" w:color="CCEEFF"/>
            </w:tcBorders>
            <w:shd w:fill="CCEEFF" w:val="clear"/>
            <w:vAlign w:val="center"/>
          </w:tcPr>
          <w:p>
            <w:pPr>
              <w:pStyle w:val="TableContents"/>
              <w:spacing w:before="0" w:after="283"/>
              <w:rPr/>
            </w:pPr>
            <w:r>
              <w:rPr/>
              <w:t> </w:t>
            </w:r>
          </w:p>
        </w:tc>
        <w:tc>
          <w:tcPr>
            <w:tcW w:w="116" w:type="dxa"/>
            <w:tcBorders>
              <w:bottom w:val="single" w:sz="2" w:space="0" w:color="000000"/>
            </w:tcBorders>
            <w:shd w:fill="CCEEFF" w:val="clear"/>
            <w:vAlign w:val="bottom"/>
          </w:tcPr>
          <w:p>
            <w:pPr>
              <w:pStyle w:val="TableContents"/>
              <w:spacing w:before="0" w:after="283"/>
              <w:jc w:val="left"/>
              <w:rPr/>
            </w:pPr>
            <w:r>
              <w:rPr/>
              <w:t> </w:t>
            </w:r>
          </w:p>
        </w:tc>
        <w:tc>
          <w:tcPr>
            <w:tcW w:w="1173" w:type="dxa"/>
            <w:tcBorders>
              <w:bottom w:val="single" w:sz="2" w:space="0" w:color="000000"/>
            </w:tcBorders>
            <w:shd w:fill="CCEEFF" w:val="cle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50.0 %</w:t>
            </w:r>
          </w:p>
        </w:tc>
        <w:tc>
          <w:tcPr>
            <w:tcW w:w="202" w:type="dxa"/>
            <w:tcBorders>
              <w:bottom w:val="single" w:sz="2" w:space="0" w:color="CCEEFF"/>
            </w:tcBorders>
            <w:shd w:fill="CCEEFF" w:val="clear"/>
            <w:vAlign w:val="bottom"/>
          </w:tcPr>
          <w:p>
            <w:pPr>
              <w:pStyle w:val="TableContents"/>
              <w:spacing w:lineRule="auto" w:line="300" w:before="0" w:after="0"/>
              <w:ind w:left="0" w:right="0" w:hanging="0"/>
              <w:jc w:val="left"/>
              <w:rPr/>
            </w:pPr>
            <w:r>
              <w:rPr/>
              <w:t> </w:t>
            </w:r>
          </w:p>
        </w:tc>
        <w:tc>
          <w:tcPr>
            <w:tcW w:w="125" w:type="dxa"/>
            <w:tcBorders>
              <w:bottom w:val="single" w:sz="2" w:space="0" w:color="000000"/>
            </w:tcBorders>
            <w:shd w:fill="CCEEFF" w:val="clear"/>
            <w:vAlign w:val="bottom"/>
          </w:tcPr>
          <w:p>
            <w:pPr>
              <w:pStyle w:val="TableContents"/>
              <w:spacing w:before="0" w:after="283"/>
              <w:jc w:val="left"/>
              <w:rPr/>
            </w:pPr>
            <w:r>
              <w:rPr/>
              <w:t> </w:t>
            </w:r>
          </w:p>
        </w:tc>
        <w:tc>
          <w:tcPr>
            <w:tcW w:w="1177"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607</w:t>
            </w:r>
          </w:p>
        </w:tc>
        <w:tc>
          <w:tcPr>
            <w:tcW w:w="202" w:type="dxa"/>
            <w:tcBorders>
              <w:bottom w:val="single" w:sz="2" w:space="0" w:color="CCEEFF"/>
            </w:tcBorders>
            <w:shd w:fill="CCEEFF" w:val="clear"/>
            <w:vAlign w:val="bottom"/>
          </w:tcPr>
          <w:p>
            <w:pPr>
              <w:pStyle w:val="TableContents"/>
              <w:spacing w:before="0" w:after="283"/>
              <w:jc w:val="left"/>
              <w:rPr/>
            </w:pPr>
            <w:r>
              <w:rPr/>
              <w:t> </w:t>
            </w:r>
          </w:p>
        </w:tc>
        <w:tc>
          <w:tcPr>
            <w:tcW w:w="125" w:type="dxa"/>
            <w:tcBorders>
              <w:bottom w:val="single" w:sz="2" w:space="0" w:color="000000"/>
            </w:tcBorders>
            <w:shd w:fill="CCEEFF" w:val="clear"/>
            <w:vAlign w:val="bottom"/>
          </w:tcPr>
          <w:p>
            <w:pPr>
              <w:pStyle w:val="TableContents"/>
              <w:spacing w:before="0" w:after="283"/>
              <w:jc w:val="left"/>
              <w:rPr/>
            </w:pPr>
            <w:r>
              <w:rPr/>
              <w:t> </w:t>
            </w:r>
          </w:p>
        </w:tc>
        <w:tc>
          <w:tcPr>
            <w:tcW w:w="1177"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465</w:t>
            </w:r>
          </w:p>
        </w:tc>
        <w:tc>
          <w:tcPr>
            <w:tcW w:w="117" w:type="dxa"/>
            <w:tcBorders>
              <w:bottom w:val="single" w:sz="2" w:space="0" w:color="CCEEFF"/>
            </w:tcBorders>
            <w:shd w:fill="CCEEFF" w:val="clear"/>
            <w:vAlign w:val="bottom"/>
          </w:tcPr>
          <w:p>
            <w:pPr>
              <w:pStyle w:val="TableContents"/>
              <w:spacing w:before="0" w:after="283"/>
              <w:jc w:val="left"/>
              <w:rPr/>
            </w:pPr>
            <w:r>
              <w:rPr/>
              <w:t> </w:t>
            </w:r>
          </w:p>
        </w:tc>
      </w:tr>
      <w:tr>
        <w:trPr/>
        <w:tc>
          <w:tcPr>
            <w:tcW w:w="5589" w:type="dxa"/>
            <w:tcBorders>
              <w:bottom w:val="doub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Total</w:t>
            </w:r>
          </w:p>
        </w:tc>
        <w:tc>
          <w:tcPr>
            <w:tcW w:w="202" w:type="dxa"/>
            <w:tcBorders>
              <w:bottom w:val="single" w:sz="4" w:space="0" w:color="FFFFFF"/>
            </w:tcBorders>
            <w:shd w:fill="FFFFFF" w:val="clear"/>
            <w:vAlign w:val="center"/>
          </w:tcPr>
          <w:p>
            <w:pPr>
              <w:pStyle w:val="TableContents"/>
              <w:spacing w:before="0" w:after="283"/>
              <w:rPr/>
            </w:pPr>
            <w:r>
              <w:rPr/>
              <w:t> </w:t>
            </w:r>
          </w:p>
        </w:tc>
        <w:tc>
          <w:tcPr>
            <w:tcW w:w="116" w:type="dxa"/>
            <w:tcBorders>
              <w:bottom w:val="double" w:sz="2" w:space="0" w:color="000000"/>
            </w:tcBorders>
            <w:shd w:fill="FFFFFF" w:val="clear"/>
            <w:vAlign w:val="bottom"/>
          </w:tcPr>
          <w:p>
            <w:pPr>
              <w:pStyle w:val="TableContents"/>
              <w:spacing w:before="0" w:after="283"/>
              <w:jc w:val="left"/>
              <w:rPr/>
            </w:pPr>
            <w:r>
              <w:rPr/>
              <w:t> </w:t>
            </w:r>
          </w:p>
        </w:tc>
        <w:tc>
          <w:tcPr>
            <w:tcW w:w="1173" w:type="dxa"/>
            <w:tcBorders>
              <w:bottom w:val="double" w:sz="2" w:space="0" w:color="000000"/>
            </w:tcBorders>
            <w:shd w:fill="FFFFFF" w:val="clear"/>
            <w:vAlign w:val="bottom"/>
          </w:tcPr>
          <w:p>
            <w:pPr>
              <w:pStyle w:val="TableContents"/>
              <w:spacing w:before="0" w:after="283"/>
              <w:jc w:val="right"/>
              <w:rPr/>
            </w:pPr>
            <w:r>
              <w:rPr/>
              <w:t> </w:t>
            </w:r>
          </w:p>
        </w:tc>
        <w:tc>
          <w:tcPr>
            <w:tcW w:w="202" w:type="dxa"/>
            <w:tcBorders>
              <w:bottom w:val="single" w:sz="4" w:space="0" w:color="FFFFFF"/>
            </w:tcBorders>
            <w:shd w:fill="FFFFFF" w:val="clear"/>
            <w:vAlign w:val="bottom"/>
          </w:tcPr>
          <w:p>
            <w:pPr>
              <w:pStyle w:val="TableContents"/>
              <w:spacing w:before="0" w:after="283"/>
              <w:jc w:val="left"/>
              <w:rPr/>
            </w:pPr>
            <w:r>
              <w:rPr/>
              <w:t> </w:t>
            </w:r>
          </w:p>
        </w:tc>
        <w:tc>
          <w:tcPr>
            <w:tcW w:w="125" w:type="dxa"/>
            <w:tcBorders>
              <w:bottom w:val="doub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bookmarkStart w:id="3356" w:name="TAB11603"/>
            <w:bookmarkEnd w:id="3356"/>
            <w:r>
              <w:rPr>
                <w:rFonts w:ascii="Times New Roman" w:hAnsi="Times New Roman"/>
                <w:sz w:val="20"/>
              </w:rPr>
              <w:t>$</w:t>
            </w:r>
          </w:p>
        </w:tc>
        <w:tc>
          <w:tcPr>
            <w:tcW w:w="1177"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3357" w:name="TAB11604"/>
            <w:bookmarkEnd w:id="3357"/>
            <w:r>
              <w:rPr>
                <w:rFonts w:ascii="Times New Roman" w:hAnsi="Times New Roman"/>
                <w:sz w:val="20"/>
              </w:rPr>
              <w:t>19,067</w:t>
            </w:r>
          </w:p>
        </w:tc>
        <w:tc>
          <w:tcPr>
            <w:tcW w:w="202" w:type="dxa"/>
            <w:tcBorders>
              <w:bottom w:val="single" w:sz="4" w:space="0" w:color="FFFFFF"/>
            </w:tcBorders>
            <w:shd w:fill="FFFFFF" w:val="clear"/>
            <w:vAlign w:val="bottom"/>
          </w:tcPr>
          <w:p>
            <w:pPr>
              <w:pStyle w:val="TableContents"/>
              <w:spacing w:before="0" w:after="283"/>
              <w:jc w:val="left"/>
              <w:rPr/>
            </w:pPr>
            <w:r>
              <w:rPr/>
              <w:t> </w:t>
            </w:r>
          </w:p>
        </w:tc>
        <w:tc>
          <w:tcPr>
            <w:tcW w:w="125" w:type="dxa"/>
            <w:tcBorders>
              <w:bottom w:val="doub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bookmarkStart w:id="3358" w:name="TAB11605"/>
            <w:bookmarkEnd w:id="3358"/>
            <w:r>
              <w:rPr>
                <w:rFonts w:ascii="Times New Roman" w:hAnsi="Times New Roman"/>
                <w:sz w:val="20"/>
              </w:rPr>
              <w:t>$</w:t>
            </w:r>
          </w:p>
        </w:tc>
        <w:tc>
          <w:tcPr>
            <w:tcW w:w="1177"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3359" w:name="TAB11606"/>
            <w:bookmarkEnd w:id="3359"/>
            <w:r>
              <w:rPr>
                <w:rFonts w:ascii="Times New Roman" w:hAnsi="Times New Roman"/>
                <w:sz w:val="20"/>
              </w:rPr>
              <w:t>14,025</w:t>
            </w:r>
          </w:p>
        </w:tc>
        <w:tc>
          <w:tcPr>
            <w:tcW w:w="117" w:type="dxa"/>
            <w:tcBorders>
              <w:bottom w:val="single" w:sz="4" w:space="0" w:color="FFFFFF"/>
            </w:tcBorders>
            <w:shd w:fill="FFFFFF" w:val="clear"/>
            <w:vAlign w:val="bottom"/>
          </w:tcPr>
          <w:p>
            <w:pPr>
              <w:pStyle w:val="TableContents"/>
              <w:spacing w:before="0" w:after="283"/>
              <w:jc w:val="left"/>
              <w:rPr/>
            </w:pPr>
            <w:r>
              <w:rPr/>
              <w:t> </w:t>
            </w:r>
          </w:p>
        </w:tc>
      </w:tr>
    </w:tbl>
    <w:p>
      <w:pPr>
        <w:pStyle w:val="TextBody"/>
        <w:spacing w:lineRule="auto" w:line="300" w:before="0" w:after="0"/>
        <w:ind w:left="0" w:right="0" w:hanging="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For the years ending December 31, 2006, 2005 and 2004, we recorded our share of equity earnings (loss) from our unconsolidated joint ventures and entities as follows:</w:t>
      </w:r>
    </w:p>
    <w:p>
      <w:pPr>
        <w:pStyle w:val="TextBody"/>
        <w:spacing w:lineRule="auto" w:line="300" w:before="0" w:after="0"/>
        <w:ind w:left="0" w:right="0" w:firstLine="720"/>
        <w:jc w:val="both"/>
        <w:rPr/>
      </w:pPr>
      <w:r>
        <w:rPr/>
        <w:t> </w:t>
      </w:r>
    </w:p>
    <w:p>
      <w:pPr>
        <w:pStyle w:val="Normal"/>
        <w:spacing w:before="0" w:after="0"/>
        <w:rPr>
          <w:sz w:val="4"/>
          <w:szCs w:val="4"/>
        </w:rPr>
      </w:pPr>
      <w:r>
        <w:rPr>
          <w:sz w:val="4"/>
          <w:szCs w:val="4"/>
        </w:rPr>
      </w:r>
      <w:bookmarkStart w:id="3360" w:name="ftable35"/>
      <w:bookmarkStart w:id="3361" w:name="ftable35"/>
      <w:bookmarkEnd w:id="3361"/>
    </w:p>
    <w:tbl>
      <w:tblPr>
        <w:tblW w:w="5000" w:type="pct"/>
        <w:jc w:val="left"/>
        <w:tblInd w:w="0" w:type="dxa"/>
        <w:tblCellMar>
          <w:top w:w="0" w:type="dxa"/>
          <w:left w:w="0" w:type="dxa"/>
          <w:bottom w:w="0" w:type="dxa"/>
          <w:right w:w="0" w:type="dxa"/>
        </w:tblCellMar>
      </w:tblPr>
      <w:tblGrid>
        <w:gridCol w:w="5620"/>
        <w:gridCol w:w="203"/>
        <w:gridCol w:w="125"/>
        <w:gridCol w:w="1157"/>
        <w:gridCol w:w="208"/>
        <w:gridCol w:w="125"/>
        <w:gridCol w:w="1157"/>
        <w:gridCol w:w="208"/>
        <w:gridCol w:w="125"/>
        <w:gridCol w:w="1157"/>
        <w:gridCol w:w="120"/>
      </w:tblGrid>
      <w:tr>
        <w:trPr/>
        <w:tc>
          <w:tcPr>
            <w:tcW w:w="5620" w:type="dxa"/>
            <w:tcBorders/>
            <w:shd w:fill="auto" w:val="clear"/>
            <w:vAlign w:val="bottom"/>
          </w:tcPr>
          <w:p>
            <w:pPr>
              <w:pStyle w:val="TableContents"/>
              <w:spacing w:before="0" w:after="283"/>
              <w:jc w:val="left"/>
              <w:rPr/>
            </w:pPr>
            <w:r>
              <w:rPr/>
              <w:t> </w:t>
            </w:r>
          </w:p>
        </w:tc>
        <w:tc>
          <w:tcPr>
            <w:tcW w:w="203" w:type="dxa"/>
            <w:tcBorders/>
            <w:shd w:fill="auto" w:val="clear"/>
            <w:vAlign w:val="center"/>
          </w:tcPr>
          <w:p>
            <w:pPr>
              <w:pStyle w:val="TableContents"/>
              <w:spacing w:before="0" w:after="283"/>
              <w:rPr/>
            </w:pPr>
            <w:r>
              <w:rPr/>
              <w:t> </w:t>
            </w:r>
          </w:p>
        </w:tc>
        <w:tc>
          <w:tcPr>
            <w:tcW w:w="4262" w:type="dxa"/>
            <w:gridSpan w:val="8"/>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December 31,</w:t>
            </w:r>
          </w:p>
        </w:tc>
        <w:tc>
          <w:tcPr>
            <w:tcW w:w="120" w:type="dxa"/>
            <w:tcBorders/>
            <w:shd w:fill="auto" w:val="clear"/>
            <w:vAlign w:val="bottom"/>
          </w:tcPr>
          <w:p>
            <w:pPr>
              <w:pStyle w:val="TableContents"/>
              <w:spacing w:before="0" w:after="283"/>
              <w:jc w:val="left"/>
              <w:rPr/>
            </w:pPr>
            <w:r>
              <w:rPr/>
              <w:t> </w:t>
            </w:r>
          </w:p>
        </w:tc>
      </w:tr>
      <w:tr>
        <w:trPr/>
        <w:tc>
          <w:tcPr>
            <w:tcW w:w="5620" w:type="dxa"/>
            <w:tcBorders>
              <w:bottom w:val="double" w:sz="2" w:space="0" w:color="000000"/>
            </w:tcBorders>
            <w:shd w:fill="auto" w:val="clear"/>
            <w:tcMar>
              <w:bottom w:w="28" w:type="dxa"/>
            </w:tcMar>
            <w:vAlign w:val="bottom"/>
          </w:tcPr>
          <w:p>
            <w:pPr>
              <w:pStyle w:val="TableContents"/>
              <w:spacing w:before="0" w:after="283"/>
              <w:jc w:val="left"/>
              <w:rPr/>
            </w:pPr>
            <w:r>
              <w:rPr/>
              <w:t> </w:t>
            </w:r>
          </w:p>
        </w:tc>
        <w:tc>
          <w:tcPr>
            <w:tcW w:w="203" w:type="dxa"/>
            <w:tcBorders>
              <w:bottom w:val="single" w:sz="4" w:space="0" w:color="FFFFFF"/>
            </w:tcBorders>
            <w:shd w:fill="auto" w:val="clear"/>
            <w:tcMar>
              <w:bottom w:w="28" w:type="dxa"/>
            </w:tcMar>
            <w:vAlign w:val="center"/>
          </w:tcPr>
          <w:p>
            <w:pPr>
              <w:pStyle w:val="TableContents"/>
              <w:spacing w:before="0" w:after="283"/>
              <w:rPr/>
            </w:pPr>
            <w:r>
              <w:rPr/>
              <w:t> </w:t>
            </w:r>
          </w:p>
        </w:tc>
        <w:tc>
          <w:tcPr>
            <w:tcW w:w="1282" w:type="dxa"/>
            <w:gridSpan w:val="2"/>
            <w:tcBorders>
              <w:bottom w:val="double" w:sz="2" w:space="0" w:color="000000"/>
            </w:tcBorders>
            <w:shd w:fill="auto" w:val="clear"/>
            <w:tcMar>
              <w:bottom w:w="28" w:type="dxa"/>
            </w:tcMar>
            <w:vAlign w:val="bottom"/>
          </w:tcPr>
          <w:p>
            <w:pPr>
              <w:pStyle w:val="TableContents"/>
              <w:spacing w:lineRule="auto" w:line="300" w:before="0" w:after="0"/>
              <w:ind w:left="0" w:right="0" w:hanging="0"/>
              <w:jc w:val="center"/>
              <w:rPr/>
            </w:pPr>
            <w:r>
              <w:rPr>
                <w:rStyle w:val="StrongEmphasis"/>
                <w:rFonts w:ascii="Times New Roman" w:hAnsi="Times New Roman"/>
                <w:sz w:val="20"/>
              </w:rPr>
              <w:t xml:space="preserve">2006 </w:t>
            </w:r>
          </w:p>
        </w:tc>
        <w:tc>
          <w:tcPr>
            <w:tcW w:w="208" w:type="dxa"/>
            <w:tcBorders>
              <w:bottom w:val="single" w:sz="4" w:space="0" w:color="FFFFFF"/>
            </w:tcBorders>
            <w:shd w:fill="auto" w:val="clear"/>
            <w:tcMar>
              <w:bottom w:w="28" w:type="dxa"/>
            </w:tcMar>
            <w:vAlign w:val="bottom"/>
          </w:tcPr>
          <w:p>
            <w:pPr>
              <w:pStyle w:val="TableContents"/>
              <w:spacing w:before="0" w:after="283"/>
              <w:jc w:val="left"/>
              <w:rPr/>
            </w:pPr>
            <w:r>
              <w:rPr/>
              <w:t> </w:t>
            </w:r>
          </w:p>
        </w:tc>
        <w:tc>
          <w:tcPr>
            <w:tcW w:w="1282" w:type="dxa"/>
            <w:gridSpan w:val="2"/>
            <w:tcBorders>
              <w:bottom w:val="double" w:sz="2" w:space="0" w:color="000000"/>
            </w:tcBorders>
            <w:shd w:fill="auto" w:val="clear"/>
            <w:tcMar>
              <w:bottom w:w="28" w:type="dxa"/>
            </w:tcMar>
            <w:vAlign w:val="bottom"/>
          </w:tcPr>
          <w:p>
            <w:pPr>
              <w:pStyle w:val="TableContents"/>
              <w:spacing w:lineRule="auto" w:line="300" w:before="0" w:after="0"/>
              <w:ind w:left="0" w:right="0" w:hanging="0"/>
              <w:jc w:val="center"/>
              <w:rPr/>
            </w:pPr>
            <w:r>
              <w:rPr>
                <w:rStyle w:val="StrongEmphasis"/>
                <w:rFonts w:ascii="Times New Roman" w:hAnsi="Times New Roman"/>
                <w:sz w:val="20"/>
              </w:rPr>
              <w:t xml:space="preserve">2005 </w:t>
            </w:r>
          </w:p>
        </w:tc>
        <w:tc>
          <w:tcPr>
            <w:tcW w:w="208" w:type="dxa"/>
            <w:tcBorders>
              <w:bottom w:val="single" w:sz="4" w:space="0" w:color="FFFFFF"/>
            </w:tcBorders>
            <w:shd w:fill="auto" w:val="clear"/>
            <w:tcMar>
              <w:bottom w:w="28" w:type="dxa"/>
            </w:tcMar>
            <w:vAlign w:val="bottom"/>
          </w:tcPr>
          <w:p>
            <w:pPr>
              <w:pStyle w:val="TableContents"/>
              <w:spacing w:before="0" w:after="283"/>
              <w:jc w:val="left"/>
              <w:rPr/>
            </w:pPr>
            <w:r>
              <w:rPr/>
              <w:t> </w:t>
            </w:r>
          </w:p>
        </w:tc>
        <w:tc>
          <w:tcPr>
            <w:tcW w:w="1282" w:type="dxa"/>
            <w:gridSpan w:val="2"/>
            <w:tcBorders>
              <w:bottom w:val="double" w:sz="2" w:space="0" w:color="000000"/>
            </w:tcBorders>
            <w:shd w:fill="auto" w:val="clear"/>
            <w:tcMar>
              <w:bottom w:w="28" w:type="dxa"/>
            </w:tcMar>
            <w:vAlign w:val="bottom"/>
          </w:tcPr>
          <w:p>
            <w:pPr>
              <w:pStyle w:val="TableContents"/>
              <w:spacing w:lineRule="auto" w:line="300" w:before="0" w:after="0"/>
              <w:ind w:left="0" w:right="0" w:hanging="0"/>
              <w:jc w:val="center"/>
              <w:rPr/>
            </w:pPr>
            <w:r>
              <w:rPr>
                <w:rStyle w:val="StrongEmphasis"/>
                <w:rFonts w:ascii="Times New Roman" w:hAnsi="Times New Roman"/>
                <w:sz w:val="20"/>
              </w:rPr>
              <w:t xml:space="preserve">2004 </w:t>
            </w:r>
          </w:p>
        </w:tc>
        <w:tc>
          <w:tcPr>
            <w:tcW w:w="120" w:type="dxa"/>
            <w:tcBorders>
              <w:bottom w:val="single" w:sz="4" w:space="0" w:color="FFFFFF"/>
            </w:tcBorders>
            <w:shd w:fill="auto" w:val="clear"/>
            <w:tcMar>
              <w:bottom w:w="28" w:type="dxa"/>
            </w:tcMar>
            <w:vAlign w:val="bottom"/>
          </w:tcPr>
          <w:p>
            <w:pPr>
              <w:pStyle w:val="TableContents"/>
              <w:spacing w:before="0" w:after="283"/>
              <w:jc w:val="left"/>
              <w:rPr/>
            </w:pPr>
            <w:r>
              <w:rPr/>
              <w:t> </w:t>
            </w:r>
          </w:p>
        </w:tc>
      </w:tr>
      <w:tr>
        <w:trPr/>
        <w:tc>
          <w:tcPr>
            <w:tcW w:w="5620" w:type="dxa"/>
            <w:tcBorders/>
            <w:shd w:fill="CCEE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Rialto Distribution</w:t>
            </w:r>
          </w:p>
        </w:tc>
        <w:tc>
          <w:tcPr>
            <w:tcW w:w="203" w:type="dxa"/>
            <w:tcBorders/>
            <w:shd w:fill="CCEEFF" w:val="clear"/>
            <w:vAlign w:val="center"/>
          </w:tcPr>
          <w:p>
            <w:pPr>
              <w:pStyle w:val="TableContents"/>
              <w:spacing w:before="0" w:after="283"/>
              <w:rPr/>
            </w:pPr>
            <w:r>
              <w:rPr/>
              <w:t> </w:t>
            </w:r>
          </w:p>
        </w:tc>
        <w:tc>
          <w:tcPr>
            <w:tcW w:w="125" w:type="dxa"/>
            <w:tcBorders/>
            <w:shd w:fill="CCEEFF" w:val="clear"/>
            <w:vAlign w:val="bottom"/>
          </w:tcPr>
          <w:p>
            <w:pPr>
              <w:pStyle w:val="TableContents"/>
              <w:spacing w:lineRule="auto" w:line="300" w:before="0" w:after="0"/>
              <w:ind w:left="0" w:right="0" w:hanging="0"/>
              <w:jc w:val="left"/>
              <w:rPr>
                <w:rFonts w:ascii="Times New Roman" w:hAnsi="Times New Roman"/>
                <w:sz w:val="20"/>
              </w:rPr>
            </w:pPr>
            <w:bookmarkStart w:id="3362" w:name="TAB11607"/>
            <w:bookmarkEnd w:id="3362"/>
            <w:r>
              <w:rPr>
                <w:rFonts w:ascii="Times New Roman" w:hAnsi="Times New Roman"/>
                <w:sz w:val="20"/>
              </w:rPr>
              <w:t>$</w:t>
            </w:r>
            <w:bookmarkStart w:id="3363" w:name="TAB2133"/>
            <w:bookmarkStart w:id="3364" w:name="TAB2134"/>
            <w:bookmarkEnd w:id="3363"/>
            <w:bookmarkEnd w:id="3364"/>
          </w:p>
        </w:tc>
        <w:tc>
          <w:tcPr>
            <w:tcW w:w="1157" w:type="dxa"/>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3365" w:name="TAB2135"/>
            <w:bookmarkStart w:id="3366" w:name="TAB2136"/>
            <w:bookmarkStart w:id="3367" w:name="TAB11608"/>
            <w:bookmarkEnd w:id="3365"/>
            <w:bookmarkEnd w:id="3366"/>
            <w:bookmarkEnd w:id="3367"/>
            <w:r>
              <w:rPr>
                <w:rFonts w:ascii="Times New Roman" w:hAnsi="Times New Roman"/>
                <w:sz w:val="20"/>
              </w:rPr>
              <w:t>25</w:t>
            </w:r>
          </w:p>
        </w:tc>
        <w:tc>
          <w:tcPr>
            <w:tcW w:w="208"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lineRule="auto" w:line="300" w:before="0" w:after="0"/>
              <w:ind w:left="0" w:right="0" w:hanging="0"/>
              <w:jc w:val="left"/>
              <w:rPr>
                <w:rFonts w:ascii="Times New Roman" w:hAnsi="Times New Roman"/>
                <w:sz w:val="20"/>
              </w:rPr>
            </w:pPr>
            <w:bookmarkStart w:id="3368" w:name="TAB11609"/>
            <w:bookmarkEnd w:id="3368"/>
            <w:r>
              <w:rPr>
                <w:rFonts w:ascii="Times New Roman" w:hAnsi="Times New Roman"/>
                <w:sz w:val="20"/>
              </w:rPr>
              <w:t>$</w:t>
            </w:r>
            <w:bookmarkStart w:id="3369" w:name="TAB2137"/>
            <w:bookmarkStart w:id="3370" w:name="TAB2138"/>
            <w:bookmarkEnd w:id="3369"/>
            <w:bookmarkEnd w:id="3370"/>
          </w:p>
        </w:tc>
        <w:tc>
          <w:tcPr>
            <w:tcW w:w="1157" w:type="dxa"/>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3371" w:name="TAB2139"/>
            <w:bookmarkStart w:id="3372" w:name="TAB2140"/>
            <w:bookmarkStart w:id="3373" w:name="TAB11610"/>
            <w:bookmarkEnd w:id="3371"/>
            <w:bookmarkEnd w:id="3372"/>
            <w:bookmarkEnd w:id="3373"/>
            <w:r>
              <w:rPr>
                <w:rFonts w:ascii="Times New Roman" w:hAnsi="Times New Roman"/>
                <w:sz w:val="20"/>
              </w:rPr>
              <w:t>50</w:t>
            </w:r>
          </w:p>
        </w:tc>
        <w:tc>
          <w:tcPr>
            <w:tcW w:w="208"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lineRule="auto" w:line="300" w:before="0" w:after="0"/>
              <w:ind w:left="0" w:right="0" w:hanging="0"/>
              <w:jc w:val="left"/>
              <w:rPr>
                <w:rFonts w:ascii="Times New Roman" w:hAnsi="Times New Roman"/>
                <w:sz w:val="20"/>
              </w:rPr>
            </w:pPr>
            <w:bookmarkStart w:id="3374" w:name="TAB11611"/>
            <w:bookmarkEnd w:id="3374"/>
            <w:r>
              <w:rPr>
                <w:rFonts w:ascii="Times New Roman" w:hAnsi="Times New Roman"/>
                <w:sz w:val="20"/>
              </w:rPr>
              <w:t>$</w:t>
            </w:r>
            <w:bookmarkStart w:id="3375" w:name="TAB2141"/>
            <w:bookmarkStart w:id="3376" w:name="TAB2142"/>
            <w:bookmarkEnd w:id="3375"/>
            <w:bookmarkEnd w:id="3376"/>
          </w:p>
        </w:tc>
        <w:tc>
          <w:tcPr>
            <w:tcW w:w="1157" w:type="dxa"/>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3377" w:name="TAB2143"/>
            <w:bookmarkStart w:id="3378" w:name="TAB2144"/>
            <w:bookmarkStart w:id="3379" w:name="TAB11612"/>
            <w:bookmarkEnd w:id="3377"/>
            <w:bookmarkEnd w:id="3378"/>
            <w:bookmarkEnd w:id="3379"/>
            <w:r>
              <w:rPr>
                <w:rFonts w:ascii="Times New Roman" w:hAnsi="Times New Roman"/>
                <w:sz w:val="20"/>
              </w:rPr>
              <w:t>--</w:t>
            </w:r>
          </w:p>
        </w:tc>
        <w:tc>
          <w:tcPr>
            <w:tcW w:w="120" w:type="dxa"/>
            <w:tcBorders/>
            <w:shd w:fill="CCEEFF" w:val="clear"/>
            <w:vAlign w:val="bottom"/>
          </w:tcPr>
          <w:p>
            <w:pPr>
              <w:pStyle w:val="TableContents"/>
              <w:spacing w:before="0" w:after="283"/>
              <w:jc w:val="left"/>
              <w:rPr/>
            </w:pPr>
            <w:r>
              <w:rPr/>
              <w:t> </w:t>
            </w:r>
          </w:p>
        </w:tc>
      </w:tr>
      <w:tr>
        <w:trPr/>
        <w:tc>
          <w:tcPr>
            <w:tcW w:w="5620" w:type="dxa"/>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Rialto Cinemas</w:t>
            </w:r>
          </w:p>
        </w:tc>
        <w:tc>
          <w:tcPr>
            <w:tcW w:w="203" w:type="dxa"/>
            <w:tcBorders/>
            <w:shd w:fill="FFFFFF" w:val="clear"/>
            <w:vAlign w:val="center"/>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57" w:type="dxa"/>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3380" w:name="TAB11613"/>
            <w:bookmarkStart w:id="3381" w:name="TAB11614"/>
            <w:bookmarkStart w:id="3382" w:name="TAB11615"/>
            <w:bookmarkEnd w:id="3380"/>
            <w:bookmarkEnd w:id="3381"/>
            <w:bookmarkEnd w:id="3382"/>
            <w:r>
              <w:rPr>
                <w:rFonts w:ascii="Times New Roman" w:hAnsi="Times New Roman"/>
                <w:sz w:val="20"/>
              </w:rPr>
              <w:t>(169</w:t>
            </w:r>
          </w:p>
        </w:tc>
        <w:tc>
          <w:tcPr>
            <w:tcW w:w="208" w:type="dxa"/>
            <w:tcBorders/>
            <w:shd w:fill="FFFFFF" w:val="clear"/>
            <w:vAlign w:val="bottom"/>
          </w:tcPr>
          <w:p>
            <w:pPr>
              <w:pStyle w:val="TableContents"/>
              <w:spacing w:lineRule="auto" w:line="300" w:before="0" w:after="0"/>
              <w:ind w:left="0" w:right="0" w:hanging="0"/>
              <w:jc w:val="left"/>
              <w:rPr>
                <w:rFonts w:ascii="Times New Roman" w:hAnsi="Times New Roman"/>
                <w:sz w:val="20"/>
              </w:rPr>
            </w:pPr>
            <w:bookmarkStart w:id="3383" w:name="TAB11616"/>
            <w:bookmarkStart w:id="3384" w:name="TAB11617"/>
            <w:bookmarkStart w:id="3385" w:name="TAB11618"/>
            <w:bookmarkEnd w:id="3383"/>
            <w:bookmarkEnd w:id="3384"/>
            <w:bookmarkEnd w:id="3385"/>
            <w:r>
              <w:rPr>
                <w:rFonts w:ascii="Times New Roman" w:hAnsi="Times New Roman"/>
                <w:sz w:val="20"/>
              </w:rPr>
              <w:t>)</w:t>
            </w:r>
          </w:p>
        </w:tc>
        <w:tc>
          <w:tcPr>
            <w:tcW w:w="125" w:type="dxa"/>
            <w:tcBorders/>
            <w:shd w:fill="FFFFFF" w:val="clear"/>
            <w:vAlign w:val="bottom"/>
          </w:tcPr>
          <w:p>
            <w:pPr>
              <w:pStyle w:val="TableContents"/>
              <w:spacing w:before="0" w:after="283"/>
              <w:jc w:val="left"/>
              <w:rPr/>
            </w:pPr>
            <w:r>
              <w:rPr/>
              <w:t> </w:t>
            </w:r>
          </w:p>
        </w:tc>
        <w:tc>
          <w:tcPr>
            <w:tcW w:w="1157" w:type="dxa"/>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3386" w:name="TAB11619"/>
            <w:bookmarkStart w:id="3387" w:name="TAB11620"/>
            <w:bookmarkStart w:id="3388" w:name="TAB11621"/>
            <w:bookmarkEnd w:id="3386"/>
            <w:bookmarkEnd w:id="3387"/>
            <w:bookmarkEnd w:id="3388"/>
            <w:r>
              <w:rPr>
                <w:rFonts w:ascii="Times New Roman" w:hAnsi="Times New Roman"/>
                <w:sz w:val="20"/>
              </w:rPr>
              <w:t>--</w:t>
            </w:r>
          </w:p>
        </w:tc>
        <w:tc>
          <w:tcPr>
            <w:tcW w:w="208"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157" w:type="dxa"/>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3389" w:name="TAB11622"/>
            <w:bookmarkStart w:id="3390" w:name="TAB11623"/>
            <w:bookmarkStart w:id="3391" w:name="TAB11624"/>
            <w:bookmarkEnd w:id="3389"/>
            <w:bookmarkEnd w:id="3390"/>
            <w:bookmarkEnd w:id="3391"/>
            <w:r>
              <w:rPr>
                <w:rFonts w:ascii="Times New Roman" w:hAnsi="Times New Roman"/>
                <w:sz w:val="20"/>
              </w:rPr>
              <w:t>--</w:t>
            </w:r>
          </w:p>
        </w:tc>
        <w:tc>
          <w:tcPr>
            <w:tcW w:w="120" w:type="dxa"/>
            <w:tcBorders/>
            <w:shd w:fill="FFFFFF" w:val="clear"/>
            <w:vAlign w:val="bottom"/>
          </w:tcPr>
          <w:p>
            <w:pPr>
              <w:pStyle w:val="TableContents"/>
              <w:spacing w:before="0" w:after="283"/>
              <w:jc w:val="left"/>
              <w:rPr/>
            </w:pPr>
            <w:r>
              <w:rPr/>
              <w:t> </w:t>
            </w:r>
          </w:p>
        </w:tc>
      </w:tr>
      <w:tr>
        <w:trPr/>
        <w:tc>
          <w:tcPr>
            <w:tcW w:w="5620" w:type="dxa"/>
            <w:tcBorders/>
            <w:shd w:fill="CCEEFF" w:val="clear"/>
            <w:vAlign w:val="bottom"/>
          </w:tcPr>
          <w:p>
            <w:pPr>
              <w:pStyle w:val="TableContents"/>
              <w:spacing w:lineRule="auto" w:line="300" w:before="0" w:after="0"/>
              <w:ind w:left="0" w:right="0" w:hanging="0"/>
              <w:jc w:val="left"/>
              <w:rPr/>
            </w:pPr>
            <w:r>
              <w:rPr>
                <w:rFonts w:ascii="Times New Roman" w:hAnsi="Times New Roman"/>
                <w:sz w:val="20"/>
              </w:rPr>
              <w:t>205-209 East 57</w:t>
            </w:r>
            <w:r>
              <w:rPr>
                <w:rFonts w:ascii="Times New Roman" w:hAnsi="Times New Roman"/>
                <w:position w:val="7"/>
                <w:sz w:val="16"/>
                <w:sz w:val="20"/>
              </w:rPr>
              <w:t>th</w:t>
            </w:r>
            <w:r>
              <w:rPr/>
              <w:t xml:space="preserve"> </w:t>
            </w:r>
            <w:r>
              <w:rPr>
                <w:rFonts w:ascii="Times New Roman" w:hAnsi="Times New Roman"/>
                <w:sz w:val="20"/>
              </w:rPr>
              <w:t>Street Associates, LLC</w:t>
            </w:r>
          </w:p>
        </w:tc>
        <w:tc>
          <w:tcPr>
            <w:tcW w:w="203" w:type="dxa"/>
            <w:tcBorders/>
            <w:shd w:fill="CCEEFF" w:val="clear"/>
            <w:vAlign w:val="center"/>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57" w:type="dxa"/>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3392" w:name="TAB11625"/>
            <w:bookmarkStart w:id="3393" w:name="TAB11626"/>
            <w:bookmarkStart w:id="3394" w:name="TAB11627"/>
            <w:bookmarkEnd w:id="3392"/>
            <w:bookmarkEnd w:id="3393"/>
            <w:bookmarkEnd w:id="3394"/>
            <w:r>
              <w:rPr>
                <w:rFonts w:ascii="Times New Roman" w:hAnsi="Times New Roman"/>
                <w:sz w:val="20"/>
              </w:rPr>
              <w:t>8,277</w:t>
            </w:r>
          </w:p>
        </w:tc>
        <w:tc>
          <w:tcPr>
            <w:tcW w:w="208"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157" w:type="dxa"/>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3395" w:name="TAB11628"/>
            <w:bookmarkStart w:id="3396" w:name="TAB11629"/>
            <w:bookmarkStart w:id="3397" w:name="TAB11630"/>
            <w:bookmarkEnd w:id="3395"/>
            <w:bookmarkEnd w:id="3396"/>
            <w:bookmarkEnd w:id="3397"/>
            <w:r>
              <w:rPr>
                <w:rFonts w:ascii="Times New Roman" w:hAnsi="Times New Roman"/>
                <w:sz w:val="20"/>
              </w:rPr>
              <w:t>(56</w:t>
            </w:r>
          </w:p>
        </w:tc>
        <w:tc>
          <w:tcPr>
            <w:tcW w:w="208" w:type="dxa"/>
            <w:tcBorders/>
            <w:shd w:fill="CCEEFF" w:val="clear"/>
            <w:vAlign w:val="bottom"/>
          </w:tcPr>
          <w:p>
            <w:pPr>
              <w:pStyle w:val="TableContents"/>
              <w:spacing w:lineRule="auto" w:line="300" w:before="0" w:after="0"/>
              <w:ind w:left="0" w:right="0" w:hanging="0"/>
              <w:jc w:val="left"/>
              <w:rPr>
                <w:rFonts w:ascii="Times New Roman" w:hAnsi="Times New Roman"/>
                <w:sz w:val="20"/>
              </w:rPr>
            </w:pPr>
            <w:bookmarkStart w:id="3398" w:name="TAB11631"/>
            <w:bookmarkStart w:id="3399" w:name="TAB11632"/>
            <w:bookmarkStart w:id="3400" w:name="TAB11633"/>
            <w:bookmarkEnd w:id="3398"/>
            <w:bookmarkEnd w:id="3399"/>
            <w:bookmarkEnd w:id="3400"/>
            <w:r>
              <w:rPr>
                <w:rFonts w:ascii="Times New Roman" w:hAnsi="Times New Roman"/>
                <w:sz w:val="20"/>
              </w:rPr>
              <w:t>)</w:t>
            </w:r>
          </w:p>
        </w:tc>
        <w:tc>
          <w:tcPr>
            <w:tcW w:w="125" w:type="dxa"/>
            <w:tcBorders/>
            <w:shd w:fill="CCEEFF" w:val="clear"/>
            <w:vAlign w:val="bottom"/>
          </w:tcPr>
          <w:p>
            <w:pPr>
              <w:pStyle w:val="TableContents"/>
              <w:spacing w:before="0" w:after="283"/>
              <w:jc w:val="left"/>
              <w:rPr/>
            </w:pPr>
            <w:r>
              <w:rPr/>
              <w:t> </w:t>
            </w:r>
          </w:p>
        </w:tc>
        <w:tc>
          <w:tcPr>
            <w:tcW w:w="1157" w:type="dxa"/>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3401" w:name="TAB11634"/>
            <w:bookmarkStart w:id="3402" w:name="TAB11635"/>
            <w:bookmarkStart w:id="3403" w:name="TAB11636"/>
            <w:bookmarkEnd w:id="3401"/>
            <w:bookmarkEnd w:id="3402"/>
            <w:bookmarkEnd w:id="3403"/>
            <w:r>
              <w:rPr>
                <w:rFonts w:ascii="Times New Roman" w:hAnsi="Times New Roman"/>
                <w:sz w:val="20"/>
              </w:rPr>
              <w:t>--</w:t>
            </w:r>
          </w:p>
        </w:tc>
        <w:tc>
          <w:tcPr>
            <w:tcW w:w="120" w:type="dxa"/>
            <w:tcBorders/>
            <w:shd w:fill="CCEEFF" w:val="clear"/>
            <w:vAlign w:val="bottom"/>
          </w:tcPr>
          <w:p>
            <w:pPr>
              <w:pStyle w:val="TableContents"/>
              <w:spacing w:before="0" w:after="283"/>
              <w:jc w:val="left"/>
              <w:rPr/>
            </w:pPr>
            <w:r>
              <w:rPr/>
              <w:t> </w:t>
            </w:r>
          </w:p>
        </w:tc>
      </w:tr>
      <w:tr>
        <w:trPr/>
        <w:tc>
          <w:tcPr>
            <w:tcW w:w="5620" w:type="dxa"/>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Mt. Gravatt</w:t>
            </w:r>
          </w:p>
        </w:tc>
        <w:tc>
          <w:tcPr>
            <w:tcW w:w="203" w:type="dxa"/>
            <w:tcBorders/>
            <w:shd w:fill="FFFFFF" w:val="clear"/>
            <w:vAlign w:val="center"/>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57" w:type="dxa"/>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3404" w:name="TAB11637"/>
            <w:bookmarkStart w:id="3405" w:name="TAB11638"/>
            <w:bookmarkStart w:id="3406" w:name="TAB11639"/>
            <w:bookmarkEnd w:id="3404"/>
            <w:bookmarkEnd w:id="3405"/>
            <w:bookmarkEnd w:id="3406"/>
            <w:r>
              <w:rPr>
                <w:rFonts w:ascii="Times New Roman" w:hAnsi="Times New Roman"/>
                <w:sz w:val="20"/>
              </w:rPr>
              <w:t>648</w:t>
            </w:r>
          </w:p>
        </w:tc>
        <w:tc>
          <w:tcPr>
            <w:tcW w:w="208"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157" w:type="dxa"/>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3407" w:name="TAB11640"/>
            <w:bookmarkStart w:id="3408" w:name="TAB11641"/>
            <w:bookmarkStart w:id="3409" w:name="TAB11642"/>
            <w:bookmarkEnd w:id="3407"/>
            <w:bookmarkEnd w:id="3408"/>
            <w:bookmarkEnd w:id="3409"/>
            <w:r>
              <w:rPr>
                <w:rFonts w:ascii="Times New Roman" w:hAnsi="Times New Roman"/>
                <w:sz w:val="20"/>
              </w:rPr>
              <w:t>501</w:t>
            </w:r>
          </w:p>
        </w:tc>
        <w:tc>
          <w:tcPr>
            <w:tcW w:w="208"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157" w:type="dxa"/>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3410" w:name="TAB11643"/>
            <w:bookmarkStart w:id="3411" w:name="TAB11644"/>
            <w:bookmarkStart w:id="3412" w:name="TAB11645"/>
            <w:bookmarkEnd w:id="3410"/>
            <w:bookmarkEnd w:id="3411"/>
            <w:bookmarkEnd w:id="3412"/>
            <w:r>
              <w:rPr>
                <w:rFonts w:ascii="Times New Roman" w:hAnsi="Times New Roman"/>
                <w:sz w:val="20"/>
              </w:rPr>
              <w:t>956</w:t>
            </w:r>
          </w:p>
        </w:tc>
        <w:tc>
          <w:tcPr>
            <w:tcW w:w="120" w:type="dxa"/>
            <w:tcBorders/>
            <w:shd w:fill="FFFFFF" w:val="clear"/>
            <w:vAlign w:val="bottom"/>
          </w:tcPr>
          <w:p>
            <w:pPr>
              <w:pStyle w:val="TableContents"/>
              <w:spacing w:before="0" w:after="283"/>
              <w:jc w:val="left"/>
              <w:rPr/>
            </w:pPr>
            <w:r>
              <w:rPr/>
              <w:t> </w:t>
            </w:r>
          </w:p>
        </w:tc>
      </w:tr>
      <w:tr>
        <w:trPr/>
        <w:tc>
          <w:tcPr>
            <w:tcW w:w="5620" w:type="dxa"/>
            <w:tcBorders/>
            <w:shd w:fill="CCEE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Berkeley Cinema - Group</w:t>
            </w:r>
          </w:p>
        </w:tc>
        <w:tc>
          <w:tcPr>
            <w:tcW w:w="203" w:type="dxa"/>
            <w:tcBorders/>
            <w:shd w:fill="CCEEFF" w:val="clear"/>
            <w:vAlign w:val="center"/>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57" w:type="dxa"/>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322</w:t>
            </w:r>
          </w:p>
        </w:tc>
        <w:tc>
          <w:tcPr>
            <w:tcW w:w="208"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157" w:type="dxa"/>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383</w:t>
            </w:r>
          </w:p>
        </w:tc>
        <w:tc>
          <w:tcPr>
            <w:tcW w:w="208"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157" w:type="dxa"/>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358</w:t>
            </w:r>
          </w:p>
        </w:tc>
        <w:tc>
          <w:tcPr>
            <w:tcW w:w="120" w:type="dxa"/>
            <w:tcBorders/>
            <w:shd w:fill="CCEEFF" w:val="clear"/>
            <w:vAlign w:val="bottom"/>
          </w:tcPr>
          <w:p>
            <w:pPr>
              <w:pStyle w:val="TableContents"/>
              <w:spacing w:before="0" w:after="283"/>
              <w:jc w:val="left"/>
              <w:rPr/>
            </w:pPr>
            <w:r>
              <w:rPr/>
              <w:t> </w:t>
            </w:r>
          </w:p>
        </w:tc>
      </w:tr>
      <w:tr>
        <w:trPr/>
        <w:tc>
          <w:tcPr>
            <w:tcW w:w="5620" w:type="dxa"/>
            <w:tcBorders>
              <w:bottom w:val="single" w:sz="2" w:space="0" w:color="000000"/>
            </w:tcBorders>
            <w:shd w:fill="FFFFFF" w:val="clear"/>
            <w:tcMar>
              <w:bottom w:w="28"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Berkeley Cinemas - Palms &amp; Botany</w:t>
            </w:r>
          </w:p>
        </w:tc>
        <w:tc>
          <w:tcPr>
            <w:tcW w:w="203" w:type="dxa"/>
            <w:tcBorders>
              <w:bottom w:val="single" w:sz="2" w:space="0" w:color="FFFFFF"/>
            </w:tcBorders>
            <w:shd w:fill="FFFFFF" w:val="clear"/>
            <w:tcMar>
              <w:bottom w:w="28" w:type="dxa"/>
            </w:tcM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bottom"/>
          </w:tcPr>
          <w:p>
            <w:pPr>
              <w:pStyle w:val="TableContents"/>
              <w:spacing w:before="0" w:after="283"/>
              <w:jc w:val="left"/>
              <w:rPr/>
            </w:pPr>
            <w:r>
              <w:rPr/>
              <w:t> </w:t>
            </w:r>
          </w:p>
        </w:tc>
        <w:tc>
          <w:tcPr>
            <w:tcW w:w="1157" w:type="dxa"/>
            <w:tcBorders>
              <w:bottom w:val="single" w:sz="2" w:space="0" w:color="000000"/>
            </w:tcBorders>
            <w:shd w:fill="FFFFFF" w:val="clear"/>
            <w:tcMar>
              <w:bottom w:w="28"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444</w:t>
            </w:r>
          </w:p>
        </w:tc>
        <w:tc>
          <w:tcPr>
            <w:tcW w:w="208" w:type="dxa"/>
            <w:tcBorders>
              <w:bottom w:val="single" w:sz="2" w:space="0" w:color="FFFFFF"/>
            </w:tcBorders>
            <w:shd w:fill="FFFFFF" w:val="clear"/>
            <w:tcMar>
              <w:bottom w:w="28" w:type="dxa"/>
            </w:tcMar>
            <w:vAlign w:val="bottom"/>
          </w:tcPr>
          <w:p>
            <w:pPr>
              <w:pStyle w:val="TableContents"/>
              <w:spacing w:before="0" w:after="283"/>
              <w:jc w:val="left"/>
              <w:rPr/>
            </w:pPr>
            <w:r>
              <w:rPr/>
              <w:t> </w:t>
            </w:r>
          </w:p>
        </w:tc>
        <w:tc>
          <w:tcPr>
            <w:tcW w:w="125" w:type="dxa"/>
            <w:tcBorders>
              <w:bottom w:val="single" w:sz="2" w:space="0" w:color="000000"/>
            </w:tcBorders>
            <w:shd w:fill="FFFFFF" w:val="clear"/>
            <w:tcMar>
              <w:bottom w:w="28" w:type="dxa"/>
            </w:tcMar>
            <w:vAlign w:val="bottom"/>
          </w:tcPr>
          <w:p>
            <w:pPr>
              <w:pStyle w:val="TableContents"/>
              <w:spacing w:before="0" w:after="283"/>
              <w:jc w:val="left"/>
              <w:rPr/>
            </w:pPr>
            <w:r>
              <w:rPr/>
              <w:t> </w:t>
            </w:r>
          </w:p>
        </w:tc>
        <w:tc>
          <w:tcPr>
            <w:tcW w:w="1157" w:type="dxa"/>
            <w:tcBorders>
              <w:bottom w:val="single" w:sz="2" w:space="0" w:color="000000"/>
            </w:tcBorders>
            <w:shd w:fill="FFFFFF" w:val="clear"/>
            <w:tcMar>
              <w:bottom w:w="28"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494</w:t>
            </w:r>
          </w:p>
        </w:tc>
        <w:tc>
          <w:tcPr>
            <w:tcW w:w="208" w:type="dxa"/>
            <w:tcBorders>
              <w:bottom w:val="single" w:sz="2" w:space="0" w:color="FFFFFF"/>
            </w:tcBorders>
            <w:shd w:fill="FFFFFF" w:val="clear"/>
            <w:tcMar>
              <w:bottom w:w="28" w:type="dxa"/>
            </w:tcMar>
            <w:vAlign w:val="bottom"/>
          </w:tcPr>
          <w:p>
            <w:pPr>
              <w:pStyle w:val="TableContents"/>
              <w:spacing w:before="0" w:after="283"/>
              <w:jc w:val="left"/>
              <w:rPr/>
            </w:pPr>
            <w:r>
              <w:rPr/>
              <w:t> </w:t>
            </w:r>
          </w:p>
        </w:tc>
        <w:tc>
          <w:tcPr>
            <w:tcW w:w="125" w:type="dxa"/>
            <w:tcBorders>
              <w:bottom w:val="single" w:sz="2" w:space="0" w:color="000000"/>
            </w:tcBorders>
            <w:shd w:fill="FFFFFF" w:val="clear"/>
            <w:tcMar>
              <w:bottom w:w="28" w:type="dxa"/>
            </w:tcMar>
            <w:vAlign w:val="bottom"/>
          </w:tcPr>
          <w:p>
            <w:pPr>
              <w:pStyle w:val="TableContents"/>
              <w:spacing w:before="0" w:after="283"/>
              <w:jc w:val="left"/>
              <w:rPr/>
            </w:pPr>
            <w:r>
              <w:rPr/>
              <w:t> </w:t>
            </w:r>
          </w:p>
        </w:tc>
        <w:tc>
          <w:tcPr>
            <w:tcW w:w="1157" w:type="dxa"/>
            <w:tcBorders>
              <w:bottom w:val="single" w:sz="2" w:space="0" w:color="000000"/>
            </w:tcBorders>
            <w:shd w:fill="FFFFFF" w:val="clear"/>
            <w:tcMar>
              <w:bottom w:w="28"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366</w:t>
            </w:r>
          </w:p>
        </w:tc>
        <w:tc>
          <w:tcPr>
            <w:tcW w:w="120" w:type="dxa"/>
            <w:tcBorders>
              <w:bottom w:val="single" w:sz="2" w:space="0" w:color="FFFFFF"/>
            </w:tcBorders>
            <w:shd w:fill="FFFFFF" w:val="clear"/>
            <w:tcMar>
              <w:bottom w:w="28" w:type="dxa"/>
            </w:tcMar>
            <w:vAlign w:val="bottom"/>
          </w:tcPr>
          <w:p>
            <w:pPr>
              <w:pStyle w:val="TableContents"/>
              <w:spacing w:lineRule="auto" w:line="300" w:before="0" w:after="0"/>
              <w:ind w:left="0" w:right="0" w:hanging="0"/>
              <w:jc w:val="left"/>
              <w:rPr/>
            </w:pPr>
            <w:r>
              <w:rPr/>
              <w:t> </w:t>
            </w:r>
          </w:p>
        </w:tc>
      </w:tr>
      <w:tr>
        <w:trPr/>
        <w:tc>
          <w:tcPr>
            <w:tcW w:w="5620" w:type="dxa"/>
            <w:tcBorders>
              <w:bottom w:val="double" w:sz="2" w:space="0" w:color="000000"/>
            </w:tcBorders>
            <w:shd w:fill="CCEEFF" w:val="clear"/>
            <w:tcMar>
              <w:bottom w:w="28" w:type="dxa"/>
            </w:tcMar>
            <w:vAlign w:val="bottom"/>
          </w:tcPr>
          <w:p>
            <w:pPr>
              <w:pStyle w:val="TableContents"/>
              <w:spacing w:before="0" w:after="283"/>
              <w:jc w:val="left"/>
              <w:rPr/>
            </w:pPr>
            <w:r>
              <w:rPr/>
              <w:t> </w:t>
            </w:r>
          </w:p>
        </w:tc>
        <w:tc>
          <w:tcPr>
            <w:tcW w:w="203" w:type="dxa"/>
            <w:tcBorders>
              <w:bottom w:val="single" w:sz="4" w:space="0" w:color="CCEEFF"/>
            </w:tcBorders>
            <w:shd w:fill="CCEEFF" w:val="clear"/>
            <w:tcMar>
              <w:bottom w:w="28" w:type="dxa"/>
            </w:tcMar>
            <w:vAlign w:val="center"/>
          </w:tcPr>
          <w:p>
            <w:pPr>
              <w:pStyle w:val="TableContents"/>
              <w:spacing w:before="0" w:after="283"/>
              <w:rPr/>
            </w:pPr>
            <w:r>
              <w:rPr/>
              <w:t> </w:t>
            </w:r>
          </w:p>
        </w:tc>
        <w:tc>
          <w:tcPr>
            <w:tcW w:w="125" w:type="dxa"/>
            <w:tcBorders>
              <w:bottom w:val="double" w:sz="2" w:space="0" w:color="000000"/>
            </w:tcBorders>
            <w:shd w:fill="CCEEFF" w:val="clear"/>
            <w:tcMar>
              <w:bottom w:w="28" w:type="dxa"/>
            </w:tcMar>
            <w:vAlign w:val="bottom"/>
          </w:tcPr>
          <w:p>
            <w:pPr>
              <w:pStyle w:val="TableContents"/>
              <w:spacing w:lineRule="auto" w:line="300" w:before="0" w:after="0"/>
              <w:ind w:left="0" w:right="0" w:hanging="0"/>
              <w:jc w:val="left"/>
              <w:rPr>
                <w:rFonts w:ascii="Times New Roman" w:hAnsi="Times New Roman"/>
                <w:sz w:val="20"/>
              </w:rPr>
            </w:pPr>
            <w:bookmarkStart w:id="3413" w:name="TAB11646"/>
            <w:bookmarkEnd w:id="3413"/>
            <w:r>
              <w:rPr>
                <w:rFonts w:ascii="Times New Roman" w:hAnsi="Times New Roman"/>
                <w:sz w:val="20"/>
              </w:rPr>
              <w:t>$</w:t>
            </w:r>
            <w:bookmarkStart w:id="3414" w:name="TAB2145"/>
            <w:bookmarkStart w:id="3415" w:name="TAB2146"/>
            <w:bookmarkEnd w:id="3414"/>
            <w:bookmarkEnd w:id="3415"/>
          </w:p>
        </w:tc>
        <w:tc>
          <w:tcPr>
            <w:tcW w:w="1157" w:type="dxa"/>
            <w:tcBorders>
              <w:bottom w:val="double" w:sz="2" w:space="0" w:color="000000"/>
            </w:tcBorders>
            <w:shd w:fill="CCEEFF" w:val="clear"/>
            <w:tcMar>
              <w:bottom w:w="28" w:type="dxa"/>
            </w:tcMar>
            <w:vAlign w:val="bottom"/>
          </w:tcPr>
          <w:p>
            <w:pPr>
              <w:pStyle w:val="TableContents"/>
              <w:spacing w:lineRule="auto" w:line="300" w:before="0" w:after="0"/>
              <w:ind w:left="0" w:right="0" w:hanging="0"/>
              <w:jc w:val="right"/>
              <w:rPr>
                <w:rFonts w:ascii="Times New Roman" w:hAnsi="Times New Roman"/>
                <w:sz w:val="20"/>
              </w:rPr>
            </w:pPr>
            <w:bookmarkStart w:id="3416" w:name="TAB2147"/>
            <w:bookmarkStart w:id="3417" w:name="TAB2148"/>
            <w:bookmarkStart w:id="3418" w:name="TAB11647"/>
            <w:bookmarkEnd w:id="3416"/>
            <w:bookmarkEnd w:id="3417"/>
            <w:bookmarkEnd w:id="3418"/>
            <w:r>
              <w:rPr>
                <w:rFonts w:ascii="Times New Roman" w:hAnsi="Times New Roman"/>
                <w:sz w:val="20"/>
              </w:rPr>
              <w:t>9,547</w:t>
            </w:r>
          </w:p>
        </w:tc>
        <w:tc>
          <w:tcPr>
            <w:tcW w:w="208" w:type="dxa"/>
            <w:tcBorders>
              <w:bottom w:val="single" w:sz="4" w:space="0" w:color="CCEEFF"/>
            </w:tcBorders>
            <w:shd w:fill="CCEEFF" w:val="clear"/>
            <w:tcMar>
              <w:bottom w:w="28" w:type="dxa"/>
            </w:tcMar>
            <w:vAlign w:val="bottom"/>
          </w:tcPr>
          <w:p>
            <w:pPr>
              <w:pStyle w:val="TableContents"/>
              <w:spacing w:before="0" w:after="283"/>
              <w:jc w:val="left"/>
              <w:rPr/>
            </w:pPr>
            <w:r>
              <w:rPr/>
              <w:t> </w:t>
            </w:r>
          </w:p>
        </w:tc>
        <w:tc>
          <w:tcPr>
            <w:tcW w:w="125" w:type="dxa"/>
            <w:tcBorders>
              <w:bottom w:val="double" w:sz="2" w:space="0" w:color="000000"/>
            </w:tcBorders>
            <w:shd w:fill="CCEEFF" w:val="clear"/>
            <w:tcMar>
              <w:bottom w:w="28" w:type="dxa"/>
            </w:tcMar>
            <w:vAlign w:val="bottom"/>
          </w:tcPr>
          <w:p>
            <w:pPr>
              <w:pStyle w:val="TableContents"/>
              <w:spacing w:lineRule="auto" w:line="300" w:before="0" w:after="0"/>
              <w:ind w:left="0" w:right="0" w:hanging="0"/>
              <w:jc w:val="left"/>
              <w:rPr>
                <w:rFonts w:ascii="Times New Roman" w:hAnsi="Times New Roman"/>
                <w:sz w:val="20"/>
              </w:rPr>
            </w:pPr>
            <w:bookmarkStart w:id="3419" w:name="TAB11648"/>
            <w:bookmarkEnd w:id="3419"/>
            <w:r>
              <w:rPr>
                <w:rFonts w:ascii="Times New Roman" w:hAnsi="Times New Roman"/>
                <w:sz w:val="20"/>
              </w:rPr>
              <w:t>$</w:t>
            </w:r>
            <w:bookmarkStart w:id="3420" w:name="TAB2149"/>
            <w:bookmarkStart w:id="3421" w:name="TAB2150"/>
            <w:bookmarkEnd w:id="3420"/>
            <w:bookmarkEnd w:id="3421"/>
          </w:p>
        </w:tc>
        <w:tc>
          <w:tcPr>
            <w:tcW w:w="1157" w:type="dxa"/>
            <w:tcBorders>
              <w:bottom w:val="double" w:sz="2" w:space="0" w:color="000000"/>
            </w:tcBorders>
            <w:shd w:fill="CCEEFF" w:val="clear"/>
            <w:tcMar>
              <w:bottom w:w="28" w:type="dxa"/>
            </w:tcMar>
            <w:vAlign w:val="bottom"/>
          </w:tcPr>
          <w:p>
            <w:pPr>
              <w:pStyle w:val="TableContents"/>
              <w:spacing w:lineRule="auto" w:line="300" w:before="0" w:after="0"/>
              <w:ind w:left="0" w:right="0" w:hanging="0"/>
              <w:jc w:val="right"/>
              <w:rPr>
                <w:rFonts w:ascii="Times New Roman" w:hAnsi="Times New Roman"/>
                <w:sz w:val="20"/>
              </w:rPr>
            </w:pPr>
            <w:bookmarkStart w:id="3422" w:name="TAB2151"/>
            <w:bookmarkStart w:id="3423" w:name="TAB2152"/>
            <w:bookmarkStart w:id="3424" w:name="TAB11649"/>
            <w:bookmarkEnd w:id="3422"/>
            <w:bookmarkEnd w:id="3423"/>
            <w:bookmarkEnd w:id="3424"/>
            <w:r>
              <w:rPr>
                <w:rFonts w:ascii="Times New Roman" w:hAnsi="Times New Roman"/>
                <w:sz w:val="20"/>
              </w:rPr>
              <w:t>1,372</w:t>
            </w:r>
          </w:p>
        </w:tc>
        <w:tc>
          <w:tcPr>
            <w:tcW w:w="208" w:type="dxa"/>
            <w:tcBorders>
              <w:bottom w:val="single" w:sz="4" w:space="0" w:color="CCEEFF"/>
            </w:tcBorders>
            <w:shd w:fill="CCEEFF" w:val="clear"/>
            <w:tcMar>
              <w:bottom w:w="28" w:type="dxa"/>
            </w:tcMar>
            <w:vAlign w:val="bottom"/>
          </w:tcPr>
          <w:p>
            <w:pPr>
              <w:pStyle w:val="TableContents"/>
              <w:spacing w:before="0" w:after="283"/>
              <w:jc w:val="left"/>
              <w:rPr/>
            </w:pPr>
            <w:r>
              <w:rPr/>
              <w:t> </w:t>
            </w:r>
          </w:p>
        </w:tc>
        <w:tc>
          <w:tcPr>
            <w:tcW w:w="125" w:type="dxa"/>
            <w:tcBorders>
              <w:bottom w:val="double" w:sz="2" w:space="0" w:color="000000"/>
            </w:tcBorders>
            <w:shd w:fill="CCEEFF" w:val="clear"/>
            <w:tcMar>
              <w:bottom w:w="28" w:type="dxa"/>
            </w:tcMar>
            <w:vAlign w:val="bottom"/>
          </w:tcPr>
          <w:p>
            <w:pPr>
              <w:pStyle w:val="TableContents"/>
              <w:spacing w:lineRule="auto" w:line="300" w:before="0" w:after="0"/>
              <w:ind w:left="0" w:right="0" w:hanging="0"/>
              <w:jc w:val="left"/>
              <w:rPr>
                <w:rFonts w:ascii="Times New Roman" w:hAnsi="Times New Roman"/>
                <w:sz w:val="20"/>
              </w:rPr>
            </w:pPr>
            <w:bookmarkStart w:id="3425" w:name="TAB11650"/>
            <w:bookmarkEnd w:id="3425"/>
            <w:r>
              <w:rPr>
                <w:rFonts w:ascii="Times New Roman" w:hAnsi="Times New Roman"/>
                <w:sz w:val="20"/>
              </w:rPr>
              <w:t>$</w:t>
            </w:r>
            <w:bookmarkStart w:id="3426" w:name="TAB2153"/>
            <w:bookmarkStart w:id="3427" w:name="TAB2154"/>
            <w:bookmarkEnd w:id="3426"/>
            <w:bookmarkEnd w:id="3427"/>
          </w:p>
        </w:tc>
        <w:tc>
          <w:tcPr>
            <w:tcW w:w="1157" w:type="dxa"/>
            <w:tcBorders>
              <w:bottom w:val="double" w:sz="2" w:space="0" w:color="000000"/>
            </w:tcBorders>
            <w:shd w:fill="CCEEFF" w:val="clear"/>
            <w:tcMar>
              <w:bottom w:w="28" w:type="dxa"/>
            </w:tcMar>
            <w:vAlign w:val="bottom"/>
          </w:tcPr>
          <w:p>
            <w:pPr>
              <w:pStyle w:val="TableContents"/>
              <w:spacing w:lineRule="auto" w:line="300" w:before="0" w:after="0"/>
              <w:ind w:left="0" w:right="0" w:hanging="0"/>
              <w:jc w:val="right"/>
              <w:rPr>
                <w:rFonts w:ascii="Times New Roman" w:hAnsi="Times New Roman"/>
                <w:sz w:val="20"/>
              </w:rPr>
            </w:pPr>
            <w:bookmarkStart w:id="3428" w:name="TAB2155"/>
            <w:bookmarkStart w:id="3429" w:name="TAB2156"/>
            <w:bookmarkStart w:id="3430" w:name="TAB11651"/>
            <w:bookmarkEnd w:id="3428"/>
            <w:bookmarkEnd w:id="3429"/>
            <w:bookmarkEnd w:id="3430"/>
            <w:r>
              <w:rPr>
                <w:rFonts w:ascii="Times New Roman" w:hAnsi="Times New Roman"/>
                <w:sz w:val="20"/>
              </w:rPr>
              <w:t>1,680</w:t>
            </w:r>
          </w:p>
        </w:tc>
        <w:tc>
          <w:tcPr>
            <w:tcW w:w="120" w:type="dxa"/>
            <w:tcBorders>
              <w:bottom w:val="single" w:sz="4" w:space="0" w:color="CCEEFF"/>
            </w:tcBorders>
            <w:shd w:fill="CCEEFF" w:val="clear"/>
            <w:tcMar>
              <w:bottom w:w="28" w:type="dxa"/>
            </w:tcMar>
            <w:vAlign w:val="bottom"/>
          </w:tcPr>
          <w:p>
            <w:pPr>
              <w:pStyle w:val="TableContents"/>
              <w:spacing w:before="0" w:after="283"/>
              <w:jc w:val="left"/>
              <w:rPr/>
            </w:pPr>
            <w:r>
              <w:rPr/>
              <w:t> </w:t>
            </w:r>
          </w:p>
        </w:tc>
      </w:tr>
    </w:tbl>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u w:val="single"/>
        </w:rPr>
      </w:pPr>
      <w:r>
        <w:rPr>
          <w:rFonts w:ascii="Times New Roman" w:hAnsi="Times New Roman"/>
          <w:sz w:val="20"/>
          <w:u w:val="single"/>
        </w:rPr>
        <w:t>Malulani Investments, Ltd.</w:t>
      </w:r>
    </w:p>
    <w:p>
      <w:pPr>
        <w:pStyle w:val="TextBody"/>
        <w:spacing w:lineRule="auto" w:line="300" w:before="0" w:after="0"/>
        <w:ind w:left="0" w:right="0" w:firstLine="720"/>
        <w:jc w:val="both"/>
        <w:rPr/>
      </w:pPr>
      <w:r>
        <w:rPr/>
      </w:r>
    </w:p>
    <w:p>
      <w:pPr>
        <w:pStyle w:val="TextBody"/>
        <w:spacing w:lineRule="auto" w:line="300" w:before="0" w:after="0"/>
        <w:ind w:left="0" w:right="0" w:firstLine="720"/>
        <w:jc w:val="both"/>
        <w:rPr/>
      </w:pPr>
      <w:r>
        <w:rPr>
          <w:rFonts w:ascii="Times New Roman" w:hAnsi="Times New Roman"/>
          <w:sz w:val="20"/>
        </w:rPr>
        <w:t xml:space="preserve">On June 26, 2006, we acquired for $1.8 million, an 18.4% interest in a private real estate company with holdings principally in California, Texas and Hawaii, including the Guenoc Winery and other land in Northern California. This land and commercial real estate holdings are encumbered by debt. We have been in contact with the controlling shareholder of Malulani Investments, Ltd. (“MIL”) and requested quarterly or annual operating financials. To date, he has not responded to our request for relevant financial information. Based on this situation, we do not believe that we can assert significant influence over the dealings of this entity. As such and in accordance with FASB Interpretation No. 35 - </w:t>
      </w:r>
      <w:r>
        <w:rPr>
          <w:rStyle w:val="Emphasis"/>
          <w:rFonts w:ascii="Times New Roman" w:hAnsi="Times New Roman"/>
          <w:sz w:val="20"/>
        </w:rPr>
        <w:t>Criteria for Applying the Equity Method of Accounting for Investments in Common Stock - an Interpretation of APB Opinion No. 18</w:t>
      </w:r>
      <w:r>
        <w:rPr>
          <w:rFonts w:ascii="Times New Roman" w:hAnsi="Times New Roman"/>
          <w:sz w:val="20"/>
        </w:rPr>
        <w:t>, we are treating this investment on a cost basis by recognizing earnings as they are distributed to us.</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u w:val="single"/>
        </w:rPr>
      </w:pPr>
      <w:r>
        <w:rPr>
          <w:rFonts w:ascii="Times New Roman" w:hAnsi="Times New Roman"/>
          <w:sz w:val="20"/>
          <w:u w:val="single"/>
        </w:rPr>
        <w:t>Rialto Distribution</w:t>
      </w:r>
    </w:p>
    <w:p>
      <w:pPr>
        <w:pStyle w:val="TextBody"/>
        <w:spacing w:lineRule="auto" w:line="300" w:before="0" w:after="0"/>
        <w:ind w:left="0" w:right="0" w:hanging="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Effective October 1, 2005, we purchased for $694,000 (NZ$1.0 million) a 1/3 interest in Rialto Distribution. Rialto Distribution, an unincorporated joint venture, is engaged in the business of distributing art film in New Zealand and Australia. We own an undivided 1/3 interest in the assets and liabilities of the joint venture and treat our interest as an equity method interest in an unconsolidated joint venture.</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u w:val="single"/>
        </w:rPr>
      </w:pPr>
      <w:r>
        <w:rPr>
          <w:rFonts w:ascii="Times New Roman" w:hAnsi="Times New Roman"/>
          <w:sz w:val="20"/>
          <w:u w:val="single"/>
        </w:rPr>
        <w:t>Rialto Cinemas</w:t>
      </w:r>
    </w:p>
    <w:p>
      <w:pPr>
        <w:pStyle w:val="TextBody"/>
        <w:spacing w:lineRule="auto" w:line="300" w:before="0" w:after="0"/>
        <w:ind w:left="0" w:right="0" w:hanging="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 xml:space="preserve">Effective October 1, 2005, we purchased, indirectly, beneficial ownership of 100% of the stock of Rialto Entertainment for $4.8 million (NZ$6.9 million). Rialto Entertainment is a 50% joint venture partner with Village and Sky in Rialto Cinemas, the largest art cinema circuit in New Zealand. We own an undivided 50% interest in the assets and liabilities of the joint venture and treat our interest as an equity method interest in an unconsolidated joint venture. The joint venture owns or manages five cinemas with 22 screens in the New Zealand cities of Auckland, Christchurch, Wellington, Dunedin and Hamilton.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431" w:name="PGBRK94"/>
      <w:bookmarkStart w:id="3432" w:name="PGBRK94"/>
      <w:bookmarkEnd w:id="34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433" w:name="FTR94"/>
      <w:bookmarkStart w:id="3434" w:name="FTR94"/>
      <w:bookmarkEnd w:id="343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435" w:name="GLFTR94"/>
      <w:bookmarkStart w:id="3436" w:name="GLFTR94"/>
      <w:bookmarkEnd w:id="343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3437" w:name="PN94"/>
      <w:bookmarkEnd w:id="3437"/>
      <w:r>
        <w:rPr>
          <w:rFonts w:ascii="Times New Roman" w:hAnsi="Times New Roman"/>
          <w:sz w:val="16"/>
        </w:rPr>
        <w:t>-94-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438" w:name="HDR94"/>
      <w:bookmarkStart w:id="3439" w:name="HDR94"/>
      <w:bookmarkEnd w:id="343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3440" w:name="GLHDR94"/>
        <w:bookmarkEnd w:id="3440"/>
        <w:r>
          <w:rPr>
            <w:rStyle w:val="Emphasis"/>
            <w:rFonts w:ascii="Times New Roman" w:hAnsi="Times New Roman"/>
            <w:color w:val="000000"/>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As of December 31, 2005, we were in dispute with our joint venture partner, which precluded us from receiving timely financial reporting which required us to treat our ownership of Rialto Cinemas on a cost basis. We have now resolved the dispute and are receiving regular financial reporting on the results of the cinemas. Also during the third quarter of 2006, we contributed an additional $876,000 (NZ$1.4 million) to the partnership that was used to pay off the bank loans owed by the cinemas.</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pPr>
      <w:r>
        <w:rPr>
          <w:rFonts w:ascii="Times New Roman" w:hAnsi="Times New Roman"/>
          <w:sz w:val="20"/>
          <w:u w:val="single"/>
        </w:rPr>
        <w:t>205-209 East 57</w:t>
      </w:r>
      <w:r>
        <w:rPr>
          <w:rFonts w:ascii="Times New Roman" w:hAnsi="Times New Roman"/>
          <w:position w:val="7"/>
          <w:sz w:val="16"/>
          <w:sz w:val="20"/>
          <w:u w:val="single"/>
        </w:rPr>
        <w:t>th</w:t>
      </w:r>
      <w:r>
        <w:rPr>
          <w:u w:val="single"/>
        </w:rPr>
        <w:t xml:space="preserve"> </w:t>
      </w:r>
      <w:r>
        <w:rPr>
          <w:rFonts w:ascii="Times New Roman" w:hAnsi="Times New Roman"/>
          <w:sz w:val="20"/>
          <w:u w:val="single"/>
        </w:rPr>
        <w:t>Street Associates, LLC</w:t>
      </w:r>
    </w:p>
    <w:p>
      <w:pPr>
        <w:pStyle w:val="TextBody"/>
        <w:spacing w:lineRule="auto" w:line="300" w:before="0" w:after="0"/>
        <w:ind w:left="0" w:right="0" w:firstLine="720"/>
        <w:jc w:val="both"/>
        <w:rPr/>
      </w:pPr>
      <w:r>
        <w:rPr/>
      </w:r>
    </w:p>
    <w:p>
      <w:pPr>
        <w:pStyle w:val="TextBody"/>
        <w:spacing w:lineRule="auto" w:line="300" w:before="0" w:after="0"/>
        <w:ind w:left="0" w:right="0" w:firstLine="720"/>
        <w:jc w:val="both"/>
        <w:rPr/>
      </w:pPr>
      <w:r>
        <w:rPr>
          <w:rFonts w:ascii="Times New Roman" w:hAnsi="Times New Roman"/>
          <w:sz w:val="20"/>
        </w:rPr>
        <w:t>On September 14, 2004, we acquired for $2.3 million a non-managing membership interest in 205-209 East 57</w:t>
      </w:r>
      <w:r>
        <w:rPr>
          <w:rFonts w:ascii="Times New Roman" w:hAnsi="Times New Roman"/>
          <w:position w:val="7"/>
          <w:sz w:val="16"/>
          <w:sz w:val="20"/>
        </w:rPr>
        <w:t>th</w:t>
      </w:r>
      <w:r>
        <w:rPr/>
        <w:t xml:space="preserve"> </w:t>
      </w:r>
      <w:r>
        <w:rPr>
          <w:rFonts w:ascii="Times New Roman" w:hAnsi="Times New Roman"/>
          <w:sz w:val="20"/>
        </w:rPr>
        <w:t>Street Associates, LLC a limited liability company formed to redevelop our former cinema site at 205 East 57</w:t>
      </w:r>
      <w:r>
        <w:rPr>
          <w:rFonts w:ascii="Times New Roman" w:hAnsi="Times New Roman"/>
          <w:position w:val="7"/>
          <w:sz w:val="16"/>
          <w:sz w:val="20"/>
        </w:rPr>
        <w:t>th</w:t>
      </w:r>
      <w:r>
        <w:rPr/>
        <w:t xml:space="preserve"> </w:t>
      </w:r>
      <w:r>
        <w:rPr>
          <w:rFonts w:ascii="Times New Roman" w:hAnsi="Times New Roman"/>
          <w:sz w:val="20"/>
        </w:rPr>
        <w:t>Street in Manhattan. Our membership interest represents a 25% interest in the LLC, and was issued to us by 205-209 East 57</w:t>
      </w:r>
      <w:r>
        <w:rPr>
          <w:rFonts w:ascii="Times New Roman" w:hAnsi="Times New Roman"/>
          <w:position w:val="7"/>
          <w:sz w:val="16"/>
          <w:sz w:val="20"/>
        </w:rPr>
        <w:t>th</w:t>
      </w:r>
      <w:r>
        <w:rPr/>
        <w:t xml:space="preserve"> </w:t>
      </w:r>
      <w:r>
        <w:rPr>
          <w:rFonts w:ascii="Times New Roman" w:hAnsi="Times New Roman"/>
          <w:sz w:val="20"/>
        </w:rPr>
        <w:t xml:space="preserve">Street Associates, LLC in consideration of a capital contribution equal to 25% of its total book capital, calculated after taking into account the effect of our capital contribution. During the first quarter of 2005, we increased our investment by $719,000 in the 205-209 East 57th Street Associates, LLC to maintain our 25% equity ownership in the joint venture in light of increased budgeted construction costs. During 2005 and 2004, the project was only in its development stage which resulted in an equity loss from unconsolidated joint venture of $125,000 and $56,000, respectively. During 2006, this joint venture has been able to complete the development of most of the residential condominium complex in midtown Manhattan called </w:t>
      </w:r>
      <w:r>
        <w:rPr>
          <w:rStyle w:val="Emphasis"/>
          <w:rFonts w:ascii="Times New Roman" w:hAnsi="Times New Roman"/>
          <w:sz w:val="20"/>
        </w:rPr>
        <w:t>Place 57</w:t>
      </w:r>
      <w:r>
        <w:rPr/>
        <w:t xml:space="preserve"> </w:t>
      </w:r>
      <w:r>
        <w:rPr>
          <w:rFonts w:ascii="Times New Roman" w:hAnsi="Times New Roman"/>
          <w:sz w:val="20"/>
        </w:rPr>
        <w:t>and the partnership has closed on the sales of 59 condominiums resulting in gross sales of $117.7 million and equity earnings from unconsolidated joint venture to us of $8.3 million. The condensed balance sheet and statement of operations of 205-209 East 57th Street Associates, LLC are as follows:</w:t>
      </w:r>
    </w:p>
    <w:p>
      <w:pPr>
        <w:pStyle w:val="TextBody"/>
        <w:spacing w:lineRule="auto" w:line="300" w:before="0" w:after="0"/>
        <w:ind w:left="0" w:right="0" w:firstLine="720"/>
        <w:jc w:val="both"/>
        <w:rPr/>
      </w:pPr>
      <w:r>
        <w:rPr/>
      </w:r>
    </w:p>
    <w:p>
      <w:pPr>
        <w:pStyle w:val="TextBody"/>
        <w:spacing w:lineRule="auto" w:line="300" w:before="0" w:after="0"/>
        <w:ind w:left="0" w:right="0" w:hanging="0"/>
        <w:jc w:val="both"/>
        <w:rPr/>
      </w:pPr>
      <w:r>
        <w:rPr>
          <w:rStyle w:val="StrongEmphasis"/>
          <w:rFonts w:ascii="Times New Roman" w:hAnsi="Times New Roman"/>
          <w:sz w:val="20"/>
        </w:rPr>
        <w:t>205-209 East 57</w:t>
      </w:r>
      <w:r>
        <w:rPr>
          <w:rStyle w:val="StrongEmphasis"/>
          <w:rFonts w:ascii="Times New Roman" w:hAnsi="Times New Roman"/>
          <w:position w:val="7"/>
          <w:sz w:val="16"/>
          <w:sz w:val="20"/>
        </w:rPr>
        <w:t>th</w:t>
      </w:r>
      <w:r>
        <w:rPr>
          <w:rStyle w:val="StrongEmphasis"/>
        </w:rPr>
        <w:t xml:space="preserve"> </w:t>
      </w:r>
      <w:r>
        <w:rPr>
          <w:rStyle w:val="StrongEmphasis"/>
          <w:rFonts w:ascii="Times New Roman" w:hAnsi="Times New Roman"/>
          <w:sz w:val="20"/>
        </w:rPr>
        <w:t>Street Associates, LLC Condensed Balance Sheet Information:</w:t>
      </w:r>
    </w:p>
    <w:p>
      <w:pPr>
        <w:pStyle w:val="Normal"/>
        <w:spacing w:before="0" w:after="0"/>
        <w:rPr>
          <w:sz w:val="4"/>
          <w:szCs w:val="4"/>
        </w:rPr>
      </w:pPr>
      <w:r>
        <w:rPr>
          <w:sz w:val="4"/>
          <w:szCs w:val="4"/>
        </w:rPr>
      </w:r>
      <w:bookmarkStart w:id="3441" w:name="ftable36"/>
      <w:bookmarkStart w:id="3442" w:name="ftable36"/>
      <w:bookmarkEnd w:id="3442"/>
    </w:p>
    <w:tbl>
      <w:tblPr>
        <w:tblW w:w="5000" w:type="pct"/>
        <w:jc w:val="left"/>
        <w:tblInd w:w="0" w:type="dxa"/>
        <w:tblCellMar>
          <w:top w:w="0" w:type="dxa"/>
          <w:left w:w="0" w:type="dxa"/>
          <w:bottom w:w="28" w:type="dxa"/>
          <w:right w:w="0" w:type="dxa"/>
        </w:tblCellMar>
      </w:tblPr>
      <w:tblGrid>
        <w:gridCol w:w="7014"/>
        <w:gridCol w:w="206"/>
        <w:gridCol w:w="127"/>
        <w:gridCol w:w="1203"/>
        <w:gridCol w:w="206"/>
        <w:gridCol w:w="127"/>
        <w:gridCol w:w="1203"/>
        <w:gridCol w:w="119"/>
      </w:tblGrid>
      <w:tr>
        <w:trPr/>
        <w:tc>
          <w:tcPr>
            <w:tcW w:w="7014" w:type="dxa"/>
            <w:tcBorders>
              <w:bottom w:val="single" w:sz="4" w:space="0" w:color="FFFFFF"/>
            </w:tcBorders>
            <w:shd w:fill="auto" w:val="clear"/>
            <w:vAlign w:val="bottom"/>
          </w:tcPr>
          <w:p>
            <w:pPr>
              <w:pStyle w:val="TableContents"/>
              <w:spacing w:before="0" w:after="283"/>
              <w:jc w:val="left"/>
              <w:rPr/>
            </w:pPr>
            <w:r>
              <w:rPr/>
              <w:t> </w:t>
            </w:r>
          </w:p>
        </w:tc>
        <w:tc>
          <w:tcPr>
            <w:tcW w:w="206" w:type="dxa"/>
            <w:tcBorders>
              <w:bottom w:val="single" w:sz="2" w:space="0" w:color="FFFFFF"/>
            </w:tcBorders>
            <w:shd w:fill="auto" w:val="clear"/>
            <w:vAlign w:val="center"/>
          </w:tcPr>
          <w:p>
            <w:pPr>
              <w:pStyle w:val="TableContents"/>
              <w:spacing w:before="0" w:after="283"/>
              <w:rPr/>
            </w:pPr>
            <w:r>
              <w:rPr/>
              <w:t> </w:t>
            </w:r>
          </w:p>
        </w:tc>
        <w:tc>
          <w:tcPr>
            <w:tcW w:w="2866" w:type="dxa"/>
            <w:gridSpan w:val="5"/>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December 31,</w:t>
            </w:r>
          </w:p>
        </w:tc>
        <w:tc>
          <w:tcPr>
            <w:tcW w:w="119" w:type="dxa"/>
            <w:tcBorders>
              <w:bottom w:val="single" w:sz="2" w:space="0" w:color="FFFFFF"/>
            </w:tcBorders>
            <w:shd w:fill="auto" w:val="clear"/>
            <w:vAlign w:val="bottom"/>
          </w:tcPr>
          <w:p>
            <w:pPr>
              <w:pStyle w:val="TableContents"/>
              <w:spacing w:before="0" w:after="283"/>
              <w:jc w:val="left"/>
              <w:rPr/>
            </w:pPr>
            <w:r>
              <w:rPr/>
              <w:t> </w:t>
            </w:r>
          </w:p>
        </w:tc>
      </w:tr>
      <w:tr>
        <w:trPr/>
        <w:tc>
          <w:tcPr>
            <w:tcW w:w="7014" w:type="dxa"/>
            <w:tcBorders>
              <w:bottom w:val="double" w:sz="2" w:space="0" w:color="000000"/>
            </w:tcBorders>
            <w:shd w:fill="auto" w:val="clear"/>
            <w:vAlign w:val="bottom"/>
          </w:tcPr>
          <w:p>
            <w:pPr>
              <w:pStyle w:val="TableContents"/>
              <w:spacing w:before="0" w:after="283"/>
              <w:jc w:val="left"/>
              <w:rPr/>
            </w:pPr>
            <w:r>
              <w:rPr/>
              <w:t> </w:t>
            </w:r>
          </w:p>
        </w:tc>
        <w:tc>
          <w:tcPr>
            <w:tcW w:w="206" w:type="dxa"/>
            <w:tcBorders>
              <w:bottom w:val="single" w:sz="4" w:space="0" w:color="FFFFFF"/>
            </w:tcBorders>
            <w:shd w:fill="auto" w:val="clear"/>
            <w:vAlign w:val="center"/>
          </w:tcPr>
          <w:p>
            <w:pPr>
              <w:pStyle w:val="TableContents"/>
              <w:spacing w:before="0" w:after="283"/>
              <w:rPr/>
            </w:pPr>
            <w:r>
              <w:rPr/>
              <w:t> </w:t>
            </w:r>
          </w:p>
        </w:tc>
        <w:tc>
          <w:tcPr>
            <w:tcW w:w="1330"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2006</w:t>
            </w:r>
          </w:p>
        </w:tc>
        <w:tc>
          <w:tcPr>
            <w:tcW w:w="206" w:type="dxa"/>
            <w:tcBorders>
              <w:bottom w:val="single" w:sz="4" w:space="0" w:color="FFFFFF"/>
            </w:tcBorders>
            <w:shd w:fill="auto" w:val="clear"/>
            <w:vAlign w:val="bottom"/>
          </w:tcPr>
          <w:p>
            <w:pPr>
              <w:pStyle w:val="TableContents"/>
              <w:spacing w:before="0" w:after="283"/>
              <w:jc w:val="left"/>
              <w:rPr/>
            </w:pPr>
            <w:r>
              <w:rPr/>
              <w:t> </w:t>
            </w:r>
          </w:p>
        </w:tc>
        <w:tc>
          <w:tcPr>
            <w:tcW w:w="1330"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2005</w:t>
            </w:r>
          </w:p>
        </w:tc>
        <w:tc>
          <w:tcPr>
            <w:tcW w:w="119" w:type="dxa"/>
            <w:tcBorders>
              <w:bottom w:val="single" w:sz="4" w:space="0" w:color="FFFFFF"/>
            </w:tcBorders>
            <w:shd w:fill="auto" w:val="clear"/>
            <w:vAlign w:val="bottom"/>
          </w:tcPr>
          <w:p>
            <w:pPr>
              <w:pStyle w:val="TableContents"/>
              <w:spacing w:before="0" w:after="283"/>
              <w:jc w:val="left"/>
              <w:rPr/>
            </w:pPr>
            <w:r>
              <w:rPr/>
              <w:t> </w:t>
            </w:r>
          </w:p>
        </w:tc>
      </w:tr>
      <w:tr>
        <w:trPr/>
        <w:tc>
          <w:tcPr>
            <w:tcW w:w="7014"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Current assets</w:t>
            </w:r>
          </w:p>
        </w:tc>
        <w:tc>
          <w:tcPr>
            <w:tcW w:w="206" w:type="dxa"/>
            <w:tcBorders/>
            <w:shd w:fill="CCEEFF" w:val="clear"/>
            <w:tcMar>
              <w:bottom w:w="0" w:type="dxa"/>
            </w:tcMar>
            <w:vAlign w:val="center"/>
          </w:tcPr>
          <w:p>
            <w:pPr>
              <w:pStyle w:val="TableContents"/>
              <w:spacing w:before="0" w:after="283"/>
              <w:rPr/>
            </w:pPr>
            <w:r>
              <w:rPr/>
              <w:t> </w:t>
            </w:r>
          </w:p>
        </w:tc>
        <w:tc>
          <w:tcPr>
            <w:tcW w:w="127"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bookmarkStart w:id="3443" w:name="TAB2157"/>
            <w:bookmarkEnd w:id="3443"/>
          </w:p>
        </w:tc>
        <w:tc>
          <w:tcPr>
            <w:tcW w:w="1203"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3444" w:name="TAB2158"/>
            <w:bookmarkEnd w:id="3444"/>
            <w:r>
              <w:rPr>
                <w:rFonts w:ascii="Times New Roman" w:hAnsi="Times New Roman"/>
                <w:sz w:val="20"/>
              </w:rPr>
              <w:t>4,456</w:t>
            </w:r>
          </w:p>
        </w:tc>
        <w:tc>
          <w:tcPr>
            <w:tcW w:w="206" w:type="dxa"/>
            <w:tcBorders/>
            <w:shd w:fill="CCEEFF" w:val="clear"/>
            <w:tcMar>
              <w:bottom w:w="0" w:type="dxa"/>
            </w:tcMar>
            <w:vAlign w:val="bottom"/>
          </w:tcPr>
          <w:p>
            <w:pPr>
              <w:pStyle w:val="TableContents"/>
              <w:spacing w:before="0" w:after="283"/>
              <w:jc w:val="left"/>
              <w:rPr/>
            </w:pPr>
            <w:r>
              <w:rPr/>
              <w:t> </w:t>
            </w:r>
          </w:p>
        </w:tc>
        <w:tc>
          <w:tcPr>
            <w:tcW w:w="127"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bookmarkStart w:id="3445" w:name="TAB2159"/>
            <w:bookmarkEnd w:id="3445"/>
          </w:p>
        </w:tc>
        <w:tc>
          <w:tcPr>
            <w:tcW w:w="1203"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3446" w:name="TAB2160"/>
            <w:bookmarkEnd w:id="3446"/>
            <w:r>
              <w:rPr>
                <w:rFonts w:ascii="Times New Roman" w:hAnsi="Times New Roman"/>
                <w:sz w:val="20"/>
              </w:rPr>
              <w:t>73,538</w:t>
            </w:r>
          </w:p>
        </w:tc>
        <w:tc>
          <w:tcPr>
            <w:tcW w:w="119" w:type="dxa"/>
            <w:tcBorders/>
            <w:shd w:fill="CCEEFF" w:val="clear"/>
            <w:tcMar>
              <w:bottom w:w="0" w:type="dxa"/>
            </w:tcMar>
            <w:vAlign w:val="bottom"/>
          </w:tcPr>
          <w:p>
            <w:pPr>
              <w:pStyle w:val="TableContents"/>
              <w:spacing w:before="0" w:after="283"/>
              <w:jc w:val="left"/>
              <w:rPr/>
            </w:pPr>
            <w:r>
              <w:rPr/>
              <w:t> </w:t>
            </w:r>
          </w:p>
        </w:tc>
      </w:tr>
      <w:tr>
        <w:trPr/>
        <w:tc>
          <w:tcPr>
            <w:tcW w:w="7014"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Non current assets</w:t>
            </w:r>
          </w:p>
        </w:tc>
        <w:tc>
          <w:tcPr>
            <w:tcW w:w="206" w:type="dxa"/>
            <w:tcBorders/>
            <w:shd w:fill="FFFFFF" w:val="clear"/>
            <w:tcMar>
              <w:bottom w:w="0" w:type="dxa"/>
            </w:tcMar>
            <w:vAlign w:val="center"/>
          </w:tcPr>
          <w:p>
            <w:pPr>
              <w:pStyle w:val="TableContents"/>
              <w:spacing w:before="0" w:after="283"/>
              <w:rPr/>
            </w:pPr>
            <w:r>
              <w:rPr/>
              <w:t> </w:t>
            </w:r>
          </w:p>
        </w:tc>
        <w:tc>
          <w:tcPr>
            <w:tcW w:w="127" w:type="dxa"/>
            <w:tcBorders/>
            <w:shd w:fill="FFFFFF" w:val="clear"/>
            <w:tcMar>
              <w:bottom w:w="0" w:type="dxa"/>
            </w:tcMar>
            <w:vAlign w:val="bottom"/>
          </w:tcPr>
          <w:p>
            <w:pPr>
              <w:pStyle w:val="TableContents"/>
              <w:spacing w:before="0" w:after="283"/>
              <w:jc w:val="left"/>
              <w:rPr/>
            </w:pPr>
            <w:r>
              <w:rPr/>
              <w:t> </w:t>
            </w:r>
          </w:p>
        </w:tc>
        <w:tc>
          <w:tcPr>
            <w:tcW w:w="1203"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18,488</w:t>
            </w:r>
          </w:p>
        </w:tc>
        <w:tc>
          <w:tcPr>
            <w:tcW w:w="206" w:type="dxa"/>
            <w:tcBorders/>
            <w:shd w:fill="FFFFFF" w:val="clear"/>
            <w:tcMar>
              <w:bottom w:w="0" w:type="dxa"/>
            </w:tcMar>
            <w:vAlign w:val="bottom"/>
          </w:tcPr>
          <w:p>
            <w:pPr>
              <w:pStyle w:val="TableContents"/>
              <w:spacing w:before="0" w:after="283"/>
              <w:jc w:val="left"/>
              <w:rPr/>
            </w:pPr>
            <w:r>
              <w:rPr/>
              <w:t> </w:t>
            </w:r>
          </w:p>
        </w:tc>
        <w:tc>
          <w:tcPr>
            <w:tcW w:w="127" w:type="dxa"/>
            <w:tcBorders/>
            <w:shd w:fill="FFFFFF" w:val="clear"/>
            <w:tcMar>
              <w:bottom w:w="0" w:type="dxa"/>
            </w:tcMar>
            <w:vAlign w:val="bottom"/>
          </w:tcPr>
          <w:p>
            <w:pPr>
              <w:pStyle w:val="TableContents"/>
              <w:spacing w:before="0" w:after="283"/>
              <w:jc w:val="left"/>
              <w:rPr/>
            </w:pPr>
            <w:r>
              <w:rPr/>
              <w:t> </w:t>
            </w:r>
          </w:p>
        </w:tc>
        <w:tc>
          <w:tcPr>
            <w:tcW w:w="1203"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229</w:t>
            </w:r>
          </w:p>
        </w:tc>
        <w:tc>
          <w:tcPr>
            <w:tcW w:w="119" w:type="dxa"/>
            <w:tcBorders/>
            <w:shd w:fill="FFFFFF" w:val="clear"/>
            <w:tcMar>
              <w:bottom w:w="0" w:type="dxa"/>
            </w:tcMar>
            <w:vAlign w:val="bottom"/>
          </w:tcPr>
          <w:p>
            <w:pPr>
              <w:pStyle w:val="TableContents"/>
              <w:spacing w:before="0" w:after="283"/>
              <w:jc w:val="left"/>
              <w:rPr/>
            </w:pPr>
            <w:r>
              <w:rPr/>
              <w:t> </w:t>
            </w:r>
          </w:p>
        </w:tc>
      </w:tr>
      <w:tr>
        <w:trPr/>
        <w:tc>
          <w:tcPr>
            <w:tcW w:w="7014"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Current liabilities</w:t>
            </w:r>
          </w:p>
        </w:tc>
        <w:tc>
          <w:tcPr>
            <w:tcW w:w="206" w:type="dxa"/>
            <w:tcBorders/>
            <w:shd w:fill="CCEEFF" w:val="clear"/>
            <w:tcMar>
              <w:bottom w:w="0" w:type="dxa"/>
            </w:tcMar>
            <w:vAlign w:val="center"/>
          </w:tcPr>
          <w:p>
            <w:pPr>
              <w:pStyle w:val="TableContents"/>
              <w:spacing w:before="0" w:after="283"/>
              <w:rPr/>
            </w:pPr>
            <w:r>
              <w:rPr/>
              <w:t> </w:t>
            </w:r>
          </w:p>
        </w:tc>
        <w:tc>
          <w:tcPr>
            <w:tcW w:w="127" w:type="dxa"/>
            <w:tcBorders/>
            <w:shd w:fill="CCEEFF" w:val="clear"/>
            <w:tcMar>
              <w:bottom w:w="0" w:type="dxa"/>
            </w:tcMar>
            <w:vAlign w:val="bottom"/>
          </w:tcPr>
          <w:p>
            <w:pPr>
              <w:pStyle w:val="TableContents"/>
              <w:spacing w:before="0" w:after="283"/>
              <w:jc w:val="left"/>
              <w:rPr/>
            </w:pPr>
            <w:r>
              <w:rPr/>
              <w:t> </w:t>
            </w:r>
          </w:p>
        </w:tc>
        <w:tc>
          <w:tcPr>
            <w:tcW w:w="1203"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2,187</w:t>
            </w:r>
          </w:p>
        </w:tc>
        <w:tc>
          <w:tcPr>
            <w:tcW w:w="206" w:type="dxa"/>
            <w:tcBorders/>
            <w:shd w:fill="CCEEFF" w:val="clear"/>
            <w:tcMar>
              <w:bottom w:w="0" w:type="dxa"/>
            </w:tcMar>
            <w:vAlign w:val="bottom"/>
          </w:tcPr>
          <w:p>
            <w:pPr>
              <w:pStyle w:val="TableContents"/>
              <w:spacing w:before="0" w:after="283"/>
              <w:jc w:val="left"/>
              <w:rPr/>
            </w:pPr>
            <w:r>
              <w:rPr/>
              <w:t> </w:t>
            </w:r>
          </w:p>
        </w:tc>
        <w:tc>
          <w:tcPr>
            <w:tcW w:w="127" w:type="dxa"/>
            <w:tcBorders/>
            <w:shd w:fill="CCEEFF" w:val="clear"/>
            <w:tcMar>
              <w:bottom w:w="0" w:type="dxa"/>
            </w:tcMar>
            <w:vAlign w:val="bottom"/>
          </w:tcPr>
          <w:p>
            <w:pPr>
              <w:pStyle w:val="TableContents"/>
              <w:spacing w:before="0" w:after="283"/>
              <w:jc w:val="left"/>
              <w:rPr/>
            </w:pPr>
            <w:r>
              <w:rPr/>
              <w:t> </w:t>
            </w:r>
          </w:p>
        </w:tc>
        <w:tc>
          <w:tcPr>
            <w:tcW w:w="1203"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62,684</w:t>
            </w:r>
          </w:p>
        </w:tc>
        <w:tc>
          <w:tcPr>
            <w:tcW w:w="119" w:type="dxa"/>
            <w:tcBorders/>
            <w:shd w:fill="CCEEFF" w:val="clear"/>
            <w:tcMar>
              <w:bottom w:w="0" w:type="dxa"/>
            </w:tcMar>
            <w:vAlign w:val="bottom"/>
          </w:tcPr>
          <w:p>
            <w:pPr>
              <w:pStyle w:val="TableContents"/>
              <w:spacing w:before="0" w:after="283"/>
              <w:jc w:val="left"/>
              <w:rPr/>
            </w:pPr>
            <w:r>
              <w:rPr/>
              <w:t> </w:t>
            </w:r>
          </w:p>
        </w:tc>
      </w:tr>
      <w:tr>
        <w:trPr/>
        <w:tc>
          <w:tcPr>
            <w:tcW w:w="7014"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Non current liabilities</w:t>
            </w:r>
          </w:p>
        </w:tc>
        <w:tc>
          <w:tcPr>
            <w:tcW w:w="206" w:type="dxa"/>
            <w:tcBorders/>
            <w:shd w:fill="FFFFFF" w:val="clear"/>
            <w:tcMar>
              <w:bottom w:w="0" w:type="dxa"/>
            </w:tcMar>
            <w:vAlign w:val="center"/>
          </w:tcPr>
          <w:p>
            <w:pPr>
              <w:pStyle w:val="TableContents"/>
              <w:spacing w:before="0" w:after="283"/>
              <w:rPr/>
            </w:pPr>
            <w:r>
              <w:rPr/>
              <w:t> </w:t>
            </w:r>
          </w:p>
        </w:tc>
        <w:tc>
          <w:tcPr>
            <w:tcW w:w="127" w:type="dxa"/>
            <w:tcBorders/>
            <w:shd w:fill="FFFFFF" w:val="clear"/>
            <w:tcMar>
              <w:bottom w:w="0" w:type="dxa"/>
            </w:tcMar>
            <w:vAlign w:val="bottom"/>
          </w:tcPr>
          <w:p>
            <w:pPr>
              <w:pStyle w:val="TableContents"/>
              <w:spacing w:before="0" w:after="283"/>
              <w:jc w:val="left"/>
              <w:rPr/>
            </w:pPr>
            <w:r>
              <w:rPr/>
              <w:t> </w:t>
            </w:r>
          </w:p>
        </w:tc>
        <w:tc>
          <w:tcPr>
            <w:tcW w:w="1203"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206" w:type="dxa"/>
            <w:tcBorders/>
            <w:shd w:fill="FFFFFF" w:val="clear"/>
            <w:tcMar>
              <w:bottom w:w="0" w:type="dxa"/>
            </w:tcMar>
            <w:vAlign w:val="bottom"/>
          </w:tcPr>
          <w:p>
            <w:pPr>
              <w:pStyle w:val="TableContents"/>
              <w:spacing w:before="0" w:after="283"/>
              <w:jc w:val="left"/>
              <w:rPr/>
            </w:pPr>
            <w:r>
              <w:rPr/>
              <w:t> </w:t>
            </w:r>
          </w:p>
        </w:tc>
        <w:tc>
          <w:tcPr>
            <w:tcW w:w="127" w:type="dxa"/>
            <w:tcBorders/>
            <w:shd w:fill="FFFFFF" w:val="clear"/>
            <w:tcMar>
              <w:bottom w:w="0" w:type="dxa"/>
            </w:tcMar>
            <w:vAlign w:val="bottom"/>
          </w:tcPr>
          <w:p>
            <w:pPr>
              <w:pStyle w:val="TableContents"/>
              <w:spacing w:before="0" w:after="283"/>
              <w:jc w:val="left"/>
              <w:rPr/>
            </w:pPr>
            <w:r>
              <w:rPr/>
              <w:t> </w:t>
            </w:r>
          </w:p>
        </w:tc>
        <w:tc>
          <w:tcPr>
            <w:tcW w:w="1203"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119" w:type="dxa"/>
            <w:tcBorders/>
            <w:shd w:fill="FFFFFF" w:val="clear"/>
            <w:tcMar>
              <w:bottom w:w="0" w:type="dxa"/>
            </w:tcMar>
            <w:vAlign w:val="bottom"/>
          </w:tcPr>
          <w:p>
            <w:pPr>
              <w:pStyle w:val="TableContents"/>
              <w:spacing w:before="0" w:after="283"/>
              <w:jc w:val="left"/>
              <w:rPr/>
            </w:pPr>
            <w:r>
              <w:rPr/>
              <w:t> </w:t>
            </w:r>
          </w:p>
        </w:tc>
      </w:tr>
      <w:tr>
        <w:trPr/>
        <w:tc>
          <w:tcPr>
            <w:tcW w:w="7014"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Minority interest</w:t>
            </w:r>
          </w:p>
        </w:tc>
        <w:tc>
          <w:tcPr>
            <w:tcW w:w="206" w:type="dxa"/>
            <w:tcBorders/>
            <w:shd w:fill="CCEEFF" w:val="clear"/>
            <w:tcMar>
              <w:bottom w:w="0" w:type="dxa"/>
            </w:tcMar>
            <w:vAlign w:val="center"/>
          </w:tcPr>
          <w:p>
            <w:pPr>
              <w:pStyle w:val="TableContents"/>
              <w:spacing w:before="0" w:after="283"/>
              <w:rPr/>
            </w:pPr>
            <w:r>
              <w:rPr/>
              <w:t> </w:t>
            </w:r>
          </w:p>
        </w:tc>
        <w:tc>
          <w:tcPr>
            <w:tcW w:w="127" w:type="dxa"/>
            <w:tcBorders/>
            <w:shd w:fill="CCEEFF" w:val="clear"/>
            <w:tcMar>
              <w:bottom w:w="0" w:type="dxa"/>
            </w:tcMar>
            <w:vAlign w:val="bottom"/>
          </w:tcPr>
          <w:p>
            <w:pPr>
              <w:pStyle w:val="TableContents"/>
              <w:spacing w:before="0" w:after="283"/>
              <w:jc w:val="left"/>
              <w:rPr/>
            </w:pPr>
            <w:r>
              <w:rPr/>
              <w:t> </w:t>
            </w:r>
          </w:p>
        </w:tc>
        <w:tc>
          <w:tcPr>
            <w:tcW w:w="1203"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5,608</w:t>
            </w:r>
          </w:p>
        </w:tc>
        <w:tc>
          <w:tcPr>
            <w:tcW w:w="206" w:type="dxa"/>
            <w:tcBorders/>
            <w:shd w:fill="CCEEFF" w:val="clear"/>
            <w:tcMar>
              <w:bottom w:w="0" w:type="dxa"/>
            </w:tcMar>
            <w:vAlign w:val="bottom"/>
          </w:tcPr>
          <w:p>
            <w:pPr>
              <w:pStyle w:val="TableContents"/>
              <w:spacing w:before="0" w:after="283"/>
              <w:jc w:val="left"/>
              <w:rPr/>
            </w:pPr>
            <w:r>
              <w:rPr/>
              <w:t> </w:t>
            </w:r>
          </w:p>
        </w:tc>
        <w:tc>
          <w:tcPr>
            <w:tcW w:w="127" w:type="dxa"/>
            <w:tcBorders/>
            <w:shd w:fill="CCEEFF" w:val="clear"/>
            <w:tcMar>
              <w:bottom w:w="0" w:type="dxa"/>
            </w:tcMar>
            <w:vAlign w:val="bottom"/>
          </w:tcPr>
          <w:p>
            <w:pPr>
              <w:pStyle w:val="TableContents"/>
              <w:spacing w:before="0" w:after="283"/>
              <w:jc w:val="left"/>
              <w:rPr/>
            </w:pPr>
            <w:r>
              <w:rPr/>
              <w:t> </w:t>
            </w:r>
          </w:p>
        </w:tc>
        <w:tc>
          <w:tcPr>
            <w:tcW w:w="1203"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3,139</w:t>
            </w:r>
          </w:p>
        </w:tc>
        <w:tc>
          <w:tcPr>
            <w:tcW w:w="119" w:type="dxa"/>
            <w:tcBorders/>
            <w:shd w:fill="CCEEFF" w:val="clear"/>
            <w:tcMar>
              <w:bottom w:w="0" w:type="dxa"/>
            </w:tcMar>
            <w:vAlign w:val="bottom"/>
          </w:tcPr>
          <w:p>
            <w:pPr>
              <w:pStyle w:val="TableContents"/>
              <w:spacing w:before="0" w:after="283"/>
              <w:jc w:val="left"/>
              <w:rPr/>
            </w:pPr>
            <w:r>
              <w:rPr/>
              <w:t> </w:t>
            </w:r>
          </w:p>
        </w:tc>
      </w:tr>
    </w:tbl>
    <w:p>
      <w:pPr>
        <w:pStyle w:val="TextBody"/>
        <w:spacing w:lineRule="auto" w:line="300" w:before="0" w:after="0"/>
        <w:ind w:left="0" w:right="0" w:hanging="0"/>
        <w:jc w:val="both"/>
        <w:rPr/>
      </w:pPr>
      <w:r>
        <w:rPr/>
      </w:r>
    </w:p>
    <w:p>
      <w:pPr>
        <w:pStyle w:val="TextBody"/>
        <w:spacing w:lineRule="auto" w:line="300" w:before="0" w:after="0"/>
        <w:ind w:left="0" w:right="0" w:hanging="0"/>
        <w:jc w:val="both"/>
        <w:rPr/>
      </w:pPr>
      <w:r>
        <w:rPr>
          <w:rStyle w:val="StrongEmphasis"/>
          <w:rFonts w:ascii="Times New Roman" w:hAnsi="Times New Roman"/>
          <w:sz w:val="20"/>
        </w:rPr>
        <w:t>205-209 East 57</w:t>
      </w:r>
      <w:r>
        <w:rPr>
          <w:rStyle w:val="StrongEmphasis"/>
          <w:rFonts w:ascii="Times New Roman" w:hAnsi="Times New Roman"/>
          <w:position w:val="7"/>
          <w:sz w:val="16"/>
          <w:sz w:val="20"/>
        </w:rPr>
        <w:t>th</w:t>
      </w:r>
      <w:r>
        <w:rPr>
          <w:rStyle w:val="StrongEmphasis"/>
        </w:rPr>
        <w:t xml:space="preserve"> </w:t>
      </w:r>
      <w:r>
        <w:rPr>
          <w:rStyle w:val="StrongEmphasis"/>
          <w:rFonts w:ascii="Times New Roman" w:hAnsi="Times New Roman"/>
          <w:sz w:val="20"/>
        </w:rPr>
        <w:t>Street Associates, LLC Condensed Statements of Operations Information:</w:t>
      </w:r>
    </w:p>
    <w:p>
      <w:pPr>
        <w:pStyle w:val="Normal"/>
        <w:spacing w:before="0" w:after="0"/>
        <w:rPr>
          <w:sz w:val="4"/>
          <w:szCs w:val="4"/>
        </w:rPr>
      </w:pPr>
      <w:r>
        <w:rPr>
          <w:sz w:val="4"/>
          <w:szCs w:val="4"/>
        </w:rPr>
      </w:r>
      <w:bookmarkStart w:id="3447" w:name="ftable37"/>
      <w:bookmarkStart w:id="3448" w:name="ftable37"/>
      <w:bookmarkEnd w:id="3448"/>
    </w:p>
    <w:tbl>
      <w:tblPr>
        <w:tblW w:w="5000" w:type="pct"/>
        <w:jc w:val="left"/>
        <w:tblInd w:w="0" w:type="dxa"/>
        <w:tblCellMar>
          <w:top w:w="0" w:type="dxa"/>
          <w:left w:w="0" w:type="dxa"/>
          <w:bottom w:w="28" w:type="dxa"/>
          <w:right w:w="0" w:type="dxa"/>
        </w:tblCellMar>
      </w:tblPr>
      <w:tblGrid>
        <w:gridCol w:w="5496"/>
        <w:gridCol w:w="202"/>
        <w:gridCol w:w="134"/>
        <w:gridCol w:w="1247"/>
        <w:gridCol w:w="202"/>
        <w:gridCol w:w="134"/>
        <w:gridCol w:w="1142"/>
        <w:gridCol w:w="225"/>
        <w:gridCol w:w="134"/>
        <w:gridCol w:w="1142"/>
        <w:gridCol w:w="147"/>
      </w:tblGrid>
      <w:tr>
        <w:trPr/>
        <w:tc>
          <w:tcPr>
            <w:tcW w:w="5496" w:type="dxa"/>
            <w:tcBorders>
              <w:bottom w:val="single" w:sz="4" w:space="0" w:color="FFFFFF"/>
            </w:tcBorders>
            <w:shd w:fill="auto" w:val="clear"/>
            <w:vAlign w:val="bottom"/>
          </w:tcPr>
          <w:p>
            <w:pPr>
              <w:pStyle w:val="TableContents"/>
              <w:spacing w:before="0" w:after="283"/>
              <w:jc w:val="left"/>
              <w:rPr/>
            </w:pPr>
            <w:r>
              <w:rPr/>
              <w:t> </w:t>
            </w:r>
          </w:p>
        </w:tc>
        <w:tc>
          <w:tcPr>
            <w:tcW w:w="202" w:type="dxa"/>
            <w:tcBorders>
              <w:bottom w:val="single" w:sz="2" w:space="0" w:color="FFFFFF"/>
            </w:tcBorders>
            <w:shd w:fill="auto" w:val="clear"/>
            <w:vAlign w:val="center"/>
          </w:tcPr>
          <w:p>
            <w:pPr>
              <w:pStyle w:val="TableContents"/>
              <w:spacing w:before="0" w:after="283"/>
              <w:rPr/>
            </w:pPr>
            <w:r>
              <w:rPr/>
              <w:t> </w:t>
            </w:r>
          </w:p>
        </w:tc>
        <w:tc>
          <w:tcPr>
            <w:tcW w:w="4360" w:type="dxa"/>
            <w:gridSpan w:val="8"/>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December 31,</w:t>
            </w:r>
          </w:p>
        </w:tc>
        <w:tc>
          <w:tcPr>
            <w:tcW w:w="147" w:type="dxa"/>
            <w:tcBorders>
              <w:bottom w:val="single" w:sz="2" w:space="0" w:color="FFFFFF"/>
            </w:tcBorders>
            <w:shd w:fill="auto" w:val="clear"/>
            <w:vAlign w:val="bottom"/>
          </w:tcPr>
          <w:p>
            <w:pPr>
              <w:pStyle w:val="TableContents"/>
              <w:spacing w:before="0" w:after="283"/>
              <w:jc w:val="left"/>
              <w:rPr/>
            </w:pPr>
            <w:r>
              <w:rPr/>
              <w:t> </w:t>
            </w:r>
          </w:p>
        </w:tc>
      </w:tr>
      <w:tr>
        <w:trPr/>
        <w:tc>
          <w:tcPr>
            <w:tcW w:w="5496" w:type="dxa"/>
            <w:tcBorders>
              <w:bottom w:val="double" w:sz="2" w:space="0" w:color="000000"/>
            </w:tcBorders>
            <w:shd w:fill="auto" w:val="clear"/>
            <w:vAlign w:val="bottom"/>
          </w:tcPr>
          <w:p>
            <w:pPr>
              <w:pStyle w:val="TableContents"/>
              <w:spacing w:before="0" w:after="283"/>
              <w:jc w:val="left"/>
              <w:rPr/>
            </w:pPr>
            <w:r>
              <w:rPr/>
              <w:t> </w:t>
            </w:r>
          </w:p>
        </w:tc>
        <w:tc>
          <w:tcPr>
            <w:tcW w:w="202" w:type="dxa"/>
            <w:tcBorders>
              <w:bottom w:val="single" w:sz="4" w:space="0" w:color="FFFFFF"/>
            </w:tcBorders>
            <w:shd w:fill="auto" w:val="clear"/>
            <w:vAlign w:val="center"/>
          </w:tcPr>
          <w:p>
            <w:pPr>
              <w:pStyle w:val="TableContents"/>
              <w:spacing w:before="0" w:after="283"/>
              <w:rPr/>
            </w:pPr>
            <w:r>
              <w:rPr/>
              <w:t> </w:t>
            </w:r>
          </w:p>
        </w:tc>
        <w:tc>
          <w:tcPr>
            <w:tcW w:w="1381"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 xml:space="preserve">2006 </w:t>
            </w:r>
          </w:p>
        </w:tc>
        <w:tc>
          <w:tcPr>
            <w:tcW w:w="202" w:type="dxa"/>
            <w:tcBorders>
              <w:bottom w:val="single" w:sz="4" w:space="0" w:color="FFFFFF"/>
            </w:tcBorders>
            <w:shd w:fill="auto" w:val="clear"/>
            <w:vAlign w:val="bottom"/>
          </w:tcPr>
          <w:p>
            <w:pPr>
              <w:pStyle w:val="TableContents"/>
              <w:spacing w:before="0" w:after="283"/>
              <w:jc w:val="left"/>
              <w:rPr/>
            </w:pPr>
            <w:r>
              <w:rPr/>
              <w:t> </w:t>
            </w:r>
          </w:p>
        </w:tc>
        <w:tc>
          <w:tcPr>
            <w:tcW w:w="1276"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 xml:space="preserve">2005 </w:t>
            </w:r>
          </w:p>
        </w:tc>
        <w:tc>
          <w:tcPr>
            <w:tcW w:w="225" w:type="dxa"/>
            <w:tcBorders>
              <w:bottom w:val="single" w:sz="4" w:space="0" w:color="FFFFFF"/>
            </w:tcBorders>
            <w:shd w:fill="auto" w:val="clear"/>
            <w:vAlign w:val="bottom"/>
          </w:tcPr>
          <w:p>
            <w:pPr>
              <w:pStyle w:val="TableContents"/>
              <w:spacing w:before="0" w:after="283"/>
              <w:jc w:val="left"/>
              <w:rPr/>
            </w:pPr>
            <w:r>
              <w:rPr/>
              <w:t> </w:t>
            </w:r>
          </w:p>
        </w:tc>
        <w:tc>
          <w:tcPr>
            <w:tcW w:w="1276"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 xml:space="preserve">2004 </w:t>
            </w:r>
          </w:p>
        </w:tc>
        <w:tc>
          <w:tcPr>
            <w:tcW w:w="147" w:type="dxa"/>
            <w:tcBorders>
              <w:bottom w:val="single" w:sz="4" w:space="0" w:color="FFFFFF"/>
            </w:tcBorders>
            <w:shd w:fill="auto" w:val="clear"/>
            <w:vAlign w:val="bottom"/>
          </w:tcPr>
          <w:p>
            <w:pPr>
              <w:pStyle w:val="TableContents"/>
              <w:spacing w:before="0" w:after="283"/>
              <w:jc w:val="left"/>
              <w:rPr/>
            </w:pPr>
            <w:r>
              <w:rPr/>
              <w:t> </w:t>
            </w:r>
          </w:p>
        </w:tc>
      </w:tr>
      <w:tr>
        <w:trPr/>
        <w:tc>
          <w:tcPr>
            <w:tcW w:w="5496"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Net revenue</w:t>
            </w:r>
          </w:p>
        </w:tc>
        <w:tc>
          <w:tcPr>
            <w:tcW w:w="202" w:type="dxa"/>
            <w:tcBorders/>
            <w:shd w:fill="CCEEFF" w:val="clear"/>
            <w:tcMar>
              <w:bottom w:w="0" w:type="dxa"/>
            </w:tcMar>
            <w:vAlign w:val="center"/>
          </w:tcPr>
          <w:p>
            <w:pPr>
              <w:pStyle w:val="TableContents"/>
              <w:spacing w:before="0" w:after="283"/>
              <w:rPr/>
            </w:pPr>
            <w:r>
              <w:rPr/>
              <w:t> </w:t>
            </w:r>
          </w:p>
        </w:tc>
        <w:tc>
          <w:tcPr>
            <w:tcW w:w="134"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bookmarkStart w:id="3449" w:name="TAB2161"/>
            <w:bookmarkEnd w:id="3449"/>
          </w:p>
        </w:tc>
        <w:tc>
          <w:tcPr>
            <w:tcW w:w="1247"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3450" w:name="TAB2162"/>
            <w:bookmarkEnd w:id="3450"/>
            <w:r>
              <w:rPr>
                <w:rFonts w:ascii="Times New Roman" w:hAnsi="Times New Roman"/>
                <w:sz w:val="20"/>
              </w:rPr>
              <w:t>117,708</w:t>
            </w:r>
          </w:p>
        </w:tc>
        <w:tc>
          <w:tcPr>
            <w:tcW w:w="202" w:type="dxa"/>
            <w:tcBorders/>
            <w:shd w:fill="CCEEFF" w:val="clear"/>
            <w:tcMar>
              <w:bottom w:w="0" w:type="dxa"/>
            </w:tcMar>
            <w:vAlign w:val="bottom"/>
          </w:tcPr>
          <w:p>
            <w:pPr>
              <w:pStyle w:val="TableContents"/>
              <w:spacing w:before="0" w:after="283"/>
              <w:jc w:val="left"/>
              <w:rPr/>
            </w:pPr>
            <w:r>
              <w:rPr/>
              <w:t> </w:t>
            </w:r>
          </w:p>
        </w:tc>
        <w:tc>
          <w:tcPr>
            <w:tcW w:w="134"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bookmarkStart w:id="3451" w:name="TAB2163"/>
            <w:bookmarkEnd w:id="3451"/>
          </w:p>
        </w:tc>
        <w:tc>
          <w:tcPr>
            <w:tcW w:w="1142"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3452" w:name="TAB2164"/>
            <w:bookmarkEnd w:id="3452"/>
            <w:r>
              <w:rPr>
                <w:rFonts w:ascii="Times New Roman" w:hAnsi="Times New Roman"/>
                <w:sz w:val="20"/>
              </w:rPr>
              <w:t>--</w:t>
            </w:r>
          </w:p>
        </w:tc>
        <w:tc>
          <w:tcPr>
            <w:tcW w:w="225" w:type="dxa"/>
            <w:tcBorders/>
            <w:shd w:fill="CCEEFF" w:val="clear"/>
            <w:tcMar>
              <w:bottom w:w="0" w:type="dxa"/>
            </w:tcMar>
            <w:vAlign w:val="bottom"/>
          </w:tcPr>
          <w:p>
            <w:pPr>
              <w:pStyle w:val="TableContents"/>
              <w:spacing w:before="0" w:after="283"/>
              <w:jc w:val="left"/>
              <w:rPr/>
            </w:pPr>
            <w:r>
              <w:rPr/>
              <w:t> </w:t>
            </w:r>
          </w:p>
        </w:tc>
        <w:tc>
          <w:tcPr>
            <w:tcW w:w="134"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bookmarkStart w:id="3453" w:name="TAB2165"/>
            <w:bookmarkEnd w:id="3453"/>
          </w:p>
        </w:tc>
        <w:tc>
          <w:tcPr>
            <w:tcW w:w="1142"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3454" w:name="TAB2166"/>
            <w:bookmarkEnd w:id="3454"/>
            <w:r>
              <w:rPr>
                <w:rFonts w:ascii="Times New Roman" w:hAnsi="Times New Roman"/>
                <w:sz w:val="20"/>
              </w:rPr>
              <w:t>--</w:t>
            </w:r>
          </w:p>
        </w:tc>
        <w:tc>
          <w:tcPr>
            <w:tcW w:w="147" w:type="dxa"/>
            <w:tcBorders/>
            <w:shd w:fill="CCEEFF" w:val="clear"/>
            <w:tcMar>
              <w:bottom w:w="0" w:type="dxa"/>
            </w:tcMar>
            <w:vAlign w:val="bottom"/>
          </w:tcPr>
          <w:p>
            <w:pPr>
              <w:pStyle w:val="TableContents"/>
              <w:spacing w:before="0" w:after="283"/>
              <w:jc w:val="left"/>
              <w:rPr/>
            </w:pPr>
            <w:r>
              <w:rPr/>
              <w:t> </w:t>
            </w:r>
          </w:p>
        </w:tc>
      </w:tr>
      <w:tr>
        <w:trPr/>
        <w:tc>
          <w:tcPr>
            <w:tcW w:w="5496"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Operating income</w:t>
            </w:r>
          </w:p>
        </w:tc>
        <w:tc>
          <w:tcPr>
            <w:tcW w:w="202" w:type="dxa"/>
            <w:tcBorders/>
            <w:shd w:fill="FFFFFF" w:val="clear"/>
            <w:tcMar>
              <w:bottom w:w="0" w:type="dxa"/>
            </w:tcMar>
            <w:vAlign w:val="center"/>
          </w:tcPr>
          <w:p>
            <w:pPr>
              <w:pStyle w:val="TableContents"/>
              <w:spacing w:before="0" w:after="283"/>
              <w:rPr/>
            </w:pPr>
            <w:r>
              <w:rPr/>
              <w:t> </w:t>
            </w:r>
          </w:p>
        </w:tc>
        <w:tc>
          <w:tcPr>
            <w:tcW w:w="134" w:type="dxa"/>
            <w:tcBorders/>
            <w:shd w:fill="FFFFFF" w:val="clear"/>
            <w:tcMar>
              <w:bottom w:w="0" w:type="dxa"/>
            </w:tcMar>
            <w:vAlign w:val="bottom"/>
          </w:tcPr>
          <w:p>
            <w:pPr>
              <w:pStyle w:val="TableContents"/>
              <w:spacing w:before="0" w:after="283"/>
              <w:jc w:val="left"/>
              <w:rPr/>
            </w:pPr>
            <w:r>
              <w:rPr/>
              <w:t> </w:t>
            </w:r>
          </w:p>
        </w:tc>
        <w:tc>
          <w:tcPr>
            <w:tcW w:w="1247"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33,106</w:t>
            </w:r>
          </w:p>
        </w:tc>
        <w:tc>
          <w:tcPr>
            <w:tcW w:w="202" w:type="dxa"/>
            <w:tcBorders/>
            <w:shd w:fill="FFFFFF" w:val="clear"/>
            <w:tcMar>
              <w:bottom w:w="0" w:type="dxa"/>
            </w:tcMar>
            <w:vAlign w:val="bottom"/>
          </w:tcPr>
          <w:p>
            <w:pPr>
              <w:pStyle w:val="TableContents"/>
              <w:spacing w:before="0" w:after="283"/>
              <w:jc w:val="left"/>
              <w:rPr/>
            </w:pPr>
            <w:r>
              <w:rPr/>
              <w:t> </w:t>
            </w:r>
          </w:p>
        </w:tc>
        <w:tc>
          <w:tcPr>
            <w:tcW w:w="134" w:type="dxa"/>
            <w:tcBorders/>
            <w:shd w:fill="FFFFFF" w:val="clear"/>
            <w:tcMar>
              <w:bottom w:w="0" w:type="dxa"/>
            </w:tcMar>
            <w:vAlign w:val="bottom"/>
          </w:tcPr>
          <w:p>
            <w:pPr>
              <w:pStyle w:val="TableContents"/>
              <w:spacing w:before="0" w:after="283"/>
              <w:jc w:val="left"/>
              <w:rPr/>
            </w:pPr>
            <w:r>
              <w:rPr/>
              <w:t> </w:t>
            </w:r>
          </w:p>
        </w:tc>
        <w:tc>
          <w:tcPr>
            <w:tcW w:w="1142"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(500</w:t>
            </w:r>
          </w:p>
        </w:tc>
        <w:tc>
          <w:tcPr>
            <w:tcW w:w="225"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 </w:t>
            </w:r>
          </w:p>
        </w:tc>
        <w:tc>
          <w:tcPr>
            <w:tcW w:w="134" w:type="dxa"/>
            <w:tcBorders/>
            <w:shd w:fill="FFFFFF" w:val="clear"/>
            <w:tcMar>
              <w:bottom w:w="0" w:type="dxa"/>
            </w:tcMar>
            <w:vAlign w:val="bottom"/>
          </w:tcPr>
          <w:p>
            <w:pPr>
              <w:pStyle w:val="TableContents"/>
              <w:spacing w:before="0" w:after="283"/>
              <w:jc w:val="left"/>
              <w:rPr/>
            </w:pPr>
            <w:r>
              <w:rPr/>
              <w:t> </w:t>
            </w:r>
          </w:p>
        </w:tc>
        <w:tc>
          <w:tcPr>
            <w:tcW w:w="1142"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(500</w:t>
            </w:r>
          </w:p>
        </w:tc>
        <w:tc>
          <w:tcPr>
            <w:tcW w:w="147"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 </w:t>
            </w:r>
          </w:p>
        </w:tc>
      </w:tr>
      <w:tr>
        <w:trPr/>
        <w:tc>
          <w:tcPr>
            <w:tcW w:w="5496"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Net income</w:t>
            </w:r>
          </w:p>
        </w:tc>
        <w:tc>
          <w:tcPr>
            <w:tcW w:w="202" w:type="dxa"/>
            <w:tcBorders/>
            <w:shd w:fill="CCEEFF" w:val="clear"/>
            <w:tcMar>
              <w:bottom w:w="0" w:type="dxa"/>
            </w:tcMar>
            <w:vAlign w:val="center"/>
          </w:tcPr>
          <w:p>
            <w:pPr>
              <w:pStyle w:val="TableContents"/>
              <w:spacing w:before="0" w:after="283"/>
              <w:rPr/>
            </w:pPr>
            <w:r>
              <w:rPr/>
              <w:t> </w:t>
            </w:r>
          </w:p>
        </w:tc>
        <w:tc>
          <w:tcPr>
            <w:tcW w:w="134" w:type="dxa"/>
            <w:tcBorders/>
            <w:shd w:fill="CCEEFF" w:val="clear"/>
            <w:tcMar>
              <w:bottom w:w="0" w:type="dxa"/>
            </w:tcMar>
            <w:vAlign w:val="bottom"/>
          </w:tcPr>
          <w:p>
            <w:pPr>
              <w:pStyle w:val="TableContents"/>
              <w:spacing w:before="0" w:after="283"/>
              <w:jc w:val="left"/>
              <w:rPr/>
            </w:pPr>
            <w:r>
              <w:rPr/>
              <w:t> </w:t>
            </w:r>
          </w:p>
        </w:tc>
        <w:tc>
          <w:tcPr>
            <w:tcW w:w="1247"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33,106</w:t>
            </w:r>
          </w:p>
        </w:tc>
        <w:tc>
          <w:tcPr>
            <w:tcW w:w="202" w:type="dxa"/>
            <w:tcBorders/>
            <w:shd w:fill="CCEEFF" w:val="clear"/>
            <w:tcMar>
              <w:bottom w:w="0" w:type="dxa"/>
            </w:tcMar>
            <w:vAlign w:val="bottom"/>
          </w:tcPr>
          <w:p>
            <w:pPr>
              <w:pStyle w:val="TableContents"/>
              <w:spacing w:before="0" w:after="283"/>
              <w:jc w:val="left"/>
              <w:rPr/>
            </w:pPr>
            <w:r>
              <w:rPr/>
              <w:t> </w:t>
            </w:r>
          </w:p>
        </w:tc>
        <w:tc>
          <w:tcPr>
            <w:tcW w:w="134" w:type="dxa"/>
            <w:tcBorders/>
            <w:shd w:fill="CCEEFF" w:val="clear"/>
            <w:tcMar>
              <w:bottom w:w="0" w:type="dxa"/>
            </w:tcMar>
            <w:vAlign w:val="bottom"/>
          </w:tcPr>
          <w:p>
            <w:pPr>
              <w:pStyle w:val="TableContents"/>
              <w:spacing w:before="0" w:after="283"/>
              <w:jc w:val="left"/>
              <w:rPr/>
            </w:pPr>
            <w:r>
              <w:rPr/>
              <w:t> </w:t>
            </w:r>
          </w:p>
        </w:tc>
        <w:tc>
          <w:tcPr>
            <w:tcW w:w="1142"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(500</w:t>
            </w:r>
          </w:p>
        </w:tc>
        <w:tc>
          <w:tcPr>
            <w:tcW w:w="225"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34" w:type="dxa"/>
            <w:tcBorders/>
            <w:shd w:fill="CCEEFF" w:val="clear"/>
            <w:tcMar>
              <w:bottom w:w="0" w:type="dxa"/>
            </w:tcMar>
            <w:vAlign w:val="bottom"/>
          </w:tcPr>
          <w:p>
            <w:pPr>
              <w:pStyle w:val="TableContents"/>
              <w:spacing w:before="0" w:after="283"/>
              <w:jc w:val="left"/>
              <w:rPr/>
            </w:pPr>
            <w:r>
              <w:rPr/>
              <w:t> </w:t>
            </w:r>
          </w:p>
        </w:tc>
        <w:tc>
          <w:tcPr>
            <w:tcW w:w="1142"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(225</w:t>
            </w:r>
          </w:p>
        </w:tc>
        <w:tc>
          <w:tcPr>
            <w:tcW w:w="147"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r>
    </w:tbl>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u w:val="single"/>
        </w:rPr>
      </w:pPr>
      <w:r>
        <w:rPr>
          <w:rFonts w:ascii="Times New Roman" w:hAnsi="Times New Roman"/>
          <w:sz w:val="20"/>
          <w:u w:val="single"/>
        </w:rPr>
        <w:t>Mt. Gravatt</w:t>
      </w:r>
    </w:p>
    <w:p>
      <w:pPr>
        <w:pStyle w:val="TextBody"/>
        <w:spacing w:lineRule="auto" w:line="300" w:before="0" w:after="0"/>
        <w:ind w:left="0" w:right="0" w:firstLine="72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In May 2003, we acquired an undivided 1/3 interest in Mt Gravatt, an unincorporated joint venture that owns and operates a 16-screen multiplex cinema in Australia. We own an undivided 1/3 interest in the assets and liabilities of the joint venture and treat our interest as an equity method interest in an unconsolidated joint venture.</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u w:val="single"/>
        </w:rPr>
      </w:pPr>
      <w:r>
        <w:rPr>
          <w:rFonts w:ascii="Times New Roman" w:hAnsi="Times New Roman"/>
          <w:sz w:val="20"/>
          <w:u w:val="single"/>
        </w:rPr>
        <w:t xml:space="preserve">Berkeley Cinemas - Group and Berkeley Cinemas -Palms &amp; Botany </w:t>
      </w:r>
    </w:p>
    <w:p>
      <w:pPr>
        <w:pStyle w:val="TextBody"/>
        <w:spacing w:lineRule="auto" w:line="300" w:before="0" w:after="0"/>
        <w:ind w:left="0" w:right="0" w:firstLine="72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We previously had investments in three joint ventures with Everard Entertainment Ltd in New Zealand (the “NZ JVs”). We entered into the first joint venture in 1998, the second in 2003, and the third in 2004. These joint ventures were unincorporated and as such, we own an undivided 50% interest in the assets and liabilities of each of the joint ventures and treat our interest as an equity method interest in an unconsolidated joint venture.</w:t>
      </w:r>
    </w:p>
    <w:p>
      <w:pPr>
        <w:pStyle w:val="TextBody"/>
        <w:spacing w:lineRule="auto" w:line="300" w:before="0" w:after="0"/>
        <w:ind w:left="0" w:right="0" w:firstLine="72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On August 28, 2006, we sold to our joint venture partner our interest in the cinemas at Whangaparaoa, Takapuna and Mission Bay, New Zealand, the Berkeley Cinema Group for $4.6 million (NZ$7.2 million) in cash and the assumption of $1.6 million (NZ$2.5 million) in debt. The sale resulted in a gain on sale of unconsolidated joint venture for the year ending December 31, 2006 of $3.4 million (NZ$5.4 million). The condensed balance sheet and statement of operations for the Berkeley Cinema Group is as follows (dollars in thousands):</w:t>
      </w:r>
    </w:p>
    <w:p>
      <w:pPr>
        <w:pStyle w:val="TextBody"/>
        <w:spacing w:lineRule="auto" w:line="300" w:before="0" w:after="0"/>
        <w:ind w:left="0" w:right="0" w:firstLine="72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455" w:name="PGBRK95"/>
      <w:bookmarkStart w:id="3456" w:name="PGBRK95"/>
      <w:bookmarkEnd w:id="345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457" w:name="FTR95"/>
      <w:bookmarkStart w:id="3458" w:name="FTR95"/>
      <w:bookmarkEnd w:id="345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459" w:name="GLFTR95"/>
      <w:bookmarkStart w:id="3460" w:name="GLFTR95"/>
      <w:bookmarkEnd w:id="346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3461" w:name="PN95"/>
      <w:bookmarkEnd w:id="3461"/>
      <w:r>
        <w:rPr>
          <w:rFonts w:ascii="Times New Roman" w:hAnsi="Times New Roman"/>
          <w:sz w:val="16"/>
        </w:rPr>
        <w:t>-95-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462" w:name="HDR95"/>
      <w:bookmarkStart w:id="3463" w:name="HDR95"/>
      <w:bookmarkEnd w:id="346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3464" w:name="GLHDR95"/>
        <w:bookmarkEnd w:id="3464"/>
        <w:r>
          <w:rPr>
            <w:rStyle w:val="Emphasis"/>
            <w:rFonts w:ascii="Times New Roman" w:hAnsi="Times New Roman"/>
            <w:color w:val="000000"/>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300" w:before="0" w:after="0"/>
        <w:ind w:left="0" w:right="0" w:hanging="0"/>
        <w:jc w:val="both"/>
        <w:rPr/>
      </w:pPr>
      <w:r>
        <w:rPr>
          <w:rStyle w:val="StrongEmphasis"/>
          <w:rFonts w:ascii="Times New Roman" w:hAnsi="Times New Roman"/>
          <w:sz w:val="20"/>
        </w:rPr>
        <w:t>Berkeley Cinemas - Group Condensed Balance Sheet Information:</w:t>
      </w:r>
    </w:p>
    <w:p>
      <w:pPr>
        <w:pStyle w:val="Normal"/>
        <w:spacing w:before="0" w:after="0"/>
        <w:rPr>
          <w:sz w:val="4"/>
          <w:szCs w:val="4"/>
        </w:rPr>
      </w:pPr>
      <w:r>
        <w:rPr>
          <w:sz w:val="4"/>
          <w:szCs w:val="4"/>
        </w:rPr>
      </w:r>
      <w:bookmarkStart w:id="3465" w:name="ftable38"/>
      <w:bookmarkStart w:id="3466" w:name="ftable38"/>
      <w:bookmarkEnd w:id="3466"/>
    </w:p>
    <w:tbl>
      <w:tblPr>
        <w:tblW w:w="5000" w:type="pct"/>
        <w:jc w:val="left"/>
        <w:tblInd w:w="0" w:type="dxa"/>
        <w:tblCellMar>
          <w:top w:w="0" w:type="dxa"/>
          <w:left w:w="0" w:type="dxa"/>
          <w:bottom w:w="28" w:type="dxa"/>
          <w:right w:w="0" w:type="dxa"/>
        </w:tblCellMar>
      </w:tblPr>
      <w:tblGrid>
        <w:gridCol w:w="8313"/>
        <w:gridCol w:w="215"/>
        <w:gridCol w:w="180"/>
        <w:gridCol w:w="1364"/>
        <w:gridCol w:w="133"/>
      </w:tblGrid>
      <w:tr>
        <w:trPr/>
        <w:tc>
          <w:tcPr>
            <w:tcW w:w="8313" w:type="dxa"/>
            <w:tcBorders>
              <w:bottom w:val="single" w:sz="4" w:space="0" w:color="FFFFFF"/>
            </w:tcBorders>
            <w:shd w:fill="auto" w:val="clear"/>
            <w:vAlign w:val="bottom"/>
          </w:tcPr>
          <w:p>
            <w:pPr>
              <w:pStyle w:val="TableContents"/>
              <w:spacing w:before="0" w:after="283"/>
              <w:jc w:val="left"/>
              <w:rPr/>
            </w:pPr>
            <w:r>
              <w:rPr/>
              <w:t> </w:t>
            </w:r>
          </w:p>
        </w:tc>
        <w:tc>
          <w:tcPr>
            <w:tcW w:w="215" w:type="dxa"/>
            <w:tcBorders>
              <w:bottom w:val="single" w:sz="2" w:space="0" w:color="FFFFFF"/>
            </w:tcBorders>
            <w:shd w:fill="auto" w:val="clear"/>
            <w:vAlign w:val="center"/>
          </w:tcPr>
          <w:p>
            <w:pPr>
              <w:pStyle w:val="TableContents"/>
              <w:spacing w:before="0" w:after="283"/>
              <w:rPr/>
            </w:pPr>
            <w:r>
              <w:rPr/>
              <w:t> </w:t>
            </w:r>
          </w:p>
        </w:tc>
        <w:tc>
          <w:tcPr>
            <w:tcW w:w="1544" w:type="dxa"/>
            <w:gridSpan w:val="2"/>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December 31,</w:t>
            </w:r>
          </w:p>
        </w:tc>
        <w:tc>
          <w:tcPr>
            <w:tcW w:w="133" w:type="dxa"/>
            <w:tcBorders>
              <w:bottom w:val="single" w:sz="2" w:space="0" w:color="FFFFFF"/>
            </w:tcBorders>
            <w:shd w:fill="auto" w:val="clear"/>
            <w:vAlign w:val="bottom"/>
          </w:tcPr>
          <w:p>
            <w:pPr>
              <w:pStyle w:val="TableContents"/>
              <w:spacing w:before="0" w:after="283"/>
              <w:jc w:val="left"/>
              <w:rPr/>
            </w:pPr>
            <w:r>
              <w:rPr/>
              <w:t> </w:t>
            </w:r>
          </w:p>
        </w:tc>
      </w:tr>
      <w:tr>
        <w:trPr/>
        <w:tc>
          <w:tcPr>
            <w:tcW w:w="8313" w:type="dxa"/>
            <w:tcBorders>
              <w:bottom w:val="double" w:sz="2" w:space="0" w:color="000000"/>
            </w:tcBorders>
            <w:shd w:fill="auto" w:val="clear"/>
            <w:vAlign w:val="bottom"/>
          </w:tcPr>
          <w:p>
            <w:pPr>
              <w:pStyle w:val="TableContents"/>
              <w:spacing w:before="0" w:after="283"/>
              <w:jc w:val="left"/>
              <w:rPr/>
            </w:pPr>
            <w:r>
              <w:rPr/>
              <w:t> </w:t>
            </w:r>
          </w:p>
        </w:tc>
        <w:tc>
          <w:tcPr>
            <w:tcW w:w="215" w:type="dxa"/>
            <w:tcBorders>
              <w:bottom w:val="single" w:sz="4" w:space="0" w:color="FFFFFF"/>
            </w:tcBorders>
            <w:shd w:fill="auto" w:val="clear"/>
            <w:vAlign w:val="center"/>
          </w:tcPr>
          <w:p>
            <w:pPr>
              <w:pStyle w:val="TableContents"/>
              <w:spacing w:before="0" w:after="283"/>
              <w:rPr/>
            </w:pPr>
            <w:r>
              <w:rPr/>
              <w:t> </w:t>
            </w:r>
          </w:p>
        </w:tc>
        <w:tc>
          <w:tcPr>
            <w:tcW w:w="1544"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2005</w:t>
            </w:r>
          </w:p>
        </w:tc>
        <w:tc>
          <w:tcPr>
            <w:tcW w:w="133" w:type="dxa"/>
            <w:tcBorders>
              <w:bottom w:val="single" w:sz="4" w:space="0" w:color="FFFFFF"/>
            </w:tcBorders>
            <w:shd w:fill="auto" w:val="clear"/>
            <w:vAlign w:val="bottom"/>
          </w:tcPr>
          <w:p>
            <w:pPr>
              <w:pStyle w:val="TableContents"/>
              <w:spacing w:before="0" w:after="283"/>
              <w:jc w:val="left"/>
              <w:rPr/>
            </w:pPr>
            <w:r>
              <w:rPr/>
              <w:t> </w:t>
            </w:r>
          </w:p>
        </w:tc>
      </w:tr>
      <w:tr>
        <w:trPr/>
        <w:tc>
          <w:tcPr>
            <w:tcW w:w="8313"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Current assets</w:t>
            </w:r>
          </w:p>
        </w:tc>
        <w:tc>
          <w:tcPr>
            <w:tcW w:w="215" w:type="dxa"/>
            <w:tcBorders/>
            <w:shd w:fill="CCEEFF" w:val="clear"/>
            <w:tcMar>
              <w:bottom w:w="0" w:type="dxa"/>
            </w:tcMar>
            <w:vAlign w:val="center"/>
          </w:tcPr>
          <w:p>
            <w:pPr>
              <w:pStyle w:val="TableContents"/>
              <w:spacing w:before="0" w:after="283"/>
              <w:rPr/>
            </w:pPr>
            <w:r>
              <w:rPr/>
              <w:t> </w:t>
            </w:r>
          </w:p>
        </w:tc>
        <w:tc>
          <w:tcPr>
            <w:tcW w:w="180"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bookmarkStart w:id="3467" w:name="TAB2167"/>
            <w:bookmarkEnd w:id="3467"/>
          </w:p>
        </w:tc>
        <w:tc>
          <w:tcPr>
            <w:tcW w:w="1364"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3468" w:name="TAB2168"/>
            <w:bookmarkEnd w:id="3468"/>
            <w:r>
              <w:rPr>
                <w:rFonts w:ascii="Times New Roman" w:hAnsi="Times New Roman"/>
                <w:sz w:val="20"/>
              </w:rPr>
              <w:t>805</w:t>
            </w:r>
          </w:p>
        </w:tc>
        <w:tc>
          <w:tcPr>
            <w:tcW w:w="133" w:type="dxa"/>
            <w:tcBorders/>
            <w:shd w:fill="CCEEFF" w:val="clear"/>
            <w:tcMar>
              <w:bottom w:w="0" w:type="dxa"/>
            </w:tcMar>
            <w:vAlign w:val="bottom"/>
          </w:tcPr>
          <w:p>
            <w:pPr>
              <w:pStyle w:val="TableContents"/>
              <w:spacing w:before="0" w:after="283"/>
              <w:jc w:val="left"/>
              <w:rPr/>
            </w:pPr>
            <w:r>
              <w:rPr/>
              <w:t> </w:t>
            </w:r>
          </w:p>
        </w:tc>
      </w:tr>
      <w:tr>
        <w:trPr/>
        <w:tc>
          <w:tcPr>
            <w:tcW w:w="8313"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Non current assets</w:t>
            </w:r>
          </w:p>
        </w:tc>
        <w:tc>
          <w:tcPr>
            <w:tcW w:w="215" w:type="dxa"/>
            <w:tcBorders/>
            <w:shd w:fill="FFFFFF" w:val="clear"/>
            <w:tcMar>
              <w:bottom w:w="0" w:type="dxa"/>
            </w:tcMar>
            <w:vAlign w:val="center"/>
          </w:tcPr>
          <w:p>
            <w:pPr>
              <w:pStyle w:val="TableContents"/>
              <w:spacing w:before="0" w:after="283"/>
              <w:rPr/>
            </w:pPr>
            <w:r>
              <w:rPr/>
              <w:t> </w:t>
            </w:r>
          </w:p>
        </w:tc>
        <w:tc>
          <w:tcPr>
            <w:tcW w:w="180" w:type="dxa"/>
            <w:tcBorders/>
            <w:shd w:fill="FFFFFF" w:val="clear"/>
            <w:tcMar>
              <w:bottom w:w="0" w:type="dxa"/>
            </w:tcMar>
            <w:vAlign w:val="bottom"/>
          </w:tcPr>
          <w:p>
            <w:pPr>
              <w:pStyle w:val="TableContents"/>
              <w:spacing w:before="0" w:after="283"/>
              <w:jc w:val="left"/>
              <w:rPr/>
            </w:pPr>
            <w:r>
              <w:rPr/>
              <w:t> </w:t>
            </w:r>
          </w:p>
        </w:tc>
        <w:tc>
          <w:tcPr>
            <w:tcW w:w="1364"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5,263</w:t>
            </w:r>
          </w:p>
        </w:tc>
        <w:tc>
          <w:tcPr>
            <w:tcW w:w="133" w:type="dxa"/>
            <w:tcBorders/>
            <w:shd w:fill="FFFFFF" w:val="clear"/>
            <w:tcMar>
              <w:bottom w:w="0" w:type="dxa"/>
            </w:tcMar>
            <w:vAlign w:val="bottom"/>
          </w:tcPr>
          <w:p>
            <w:pPr>
              <w:pStyle w:val="TableContents"/>
              <w:spacing w:before="0" w:after="283"/>
              <w:jc w:val="left"/>
              <w:rPr/>
            </w:pPr>
            <w:r>
              <w:rPr/>
              <w:t> </w:t>
            </w:r>
          </w:p>
        </w:tc>
      </w:tr>
      <w:tr>
        <w:trPr/>
        <w:tc>
          <w:tcPr>
            <w:tcW w:w="8313"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Current liabilities</w:t>
            </w:r>
          </w:p>
        </w:tc>
        <w:tc>
          <w:tcPr>
            <w:tcW w:w="215" w:type="dxa"/>
            <w:tcBorders/>
            <w:shd w:fill="CCEEFF" w:val="clear"/>
            <w:tcMar>
              <w:bottom w:w="0" w:type="dxa"/>
            </w:tcMar>
            <w:vAlign w:val="center"/>
          </w:tcPr>
          <w:p>
            <w:pPr>
              <w:pStyle w:val="TableContents"/>
              <w:spacing w:before="0" w:after="283"/>
              <w:rPr/>
            </w:pPr>
            <w:r>
              <w:rPr/>
              <w:t> </w:t>
            </w:r>
          </w:p>
        </w:tc>
        <w:tc>
          <w:tcPr>
            <w:tcW w:w="180" w:type="dxa"/>
            <w:tcBorders/>
            <w:shd w:fill="CCEEFF" w:val="clear"/>
            <w:tcMar>
              <w:bottom w:w="0" w:type="dxa"/>
            </w:tcMar>
            <w:vAlign w:val="bottom"/>
          </w:tcPr>
          <w:p>
            <w:pPr>
              <w:pStyle w:val="TableContents"/>
              <w:spacing w:before="0" w:after="283"/>
              <w:jc w:val="left"/>
              <w:rPr/>
            </w:pPr>
            <w:r>
              <w:rPr/>
              <w:t> </w:t>
            </w:r>
          </w:p>
        </w:tc>
        <w:tc>
          <w:tcPr>
            <w:tcW w:w="1364"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1,030</w:t>
            </w:r>
          </w:p>
        </w:tc>
        <w:tc>
          <w:tcPr>
            <w:tcW w:w="133" w:type="dxa"/>
            <w:tcBorders/>
            <w:shd w:fill="CCEEFF" w:val="clear"/>
            <w:tcMar>
              <w:bottom w:w="0" w:type="dxa"/>
            </w:tcMar>
            <w:vAlign w:val="bottom"/>
          </w:tcPr>
          <w:p>
            <w:pPr>
              <w:pStyle w:val="TableContents"/>
              <w:spacing w:before="0" w:after="283"/>
              <w:jc w:val="left"/>
              <w:rPr/>
            </w:pPr>
            <w:r>
              <w:rPr/>
              <w:t> </w:t>
            </w:r>
          </w:p>
        </w:tc>
      </w:tr>
      <w:tr>
        <w:trPr/>
        <w:tc>
          <w:tcPr>
            <w:tcW w:w="8313"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Non current liabilities</w:t>
            </w:r>
          </w:p>
        </w:tc>
        <w:tc>
          <w:tcPr>
            <w:tcW w:w="215" w:type="dxa"/>
            <w:tcBorders/>
            <w:shd w:fill="FFFFFF" w:val="clear"/>
            <w:tcMar>
              <w:bottom w:w="0" w:type="dxa"/>
            </w:tcMar>
            <w:vAlign w:val="center"/>
          </w:tcPr>
          <w:p>
            <w:pPr>
              <w:pStyle w:val="TableContents"/>
              <w:spacing w:before="0" w:after="283"/>
              <w:rPr/>
            </w:pPr>
            <w:r>
              <w:rPr/>
              <w:t> </w:t>
            </w:r>
          </w:p>
        </w:tc>
        <w:tc>
          <w:tcPr>
            <w:tcW w:w="180" w:type="dxa"/>
            <w:tcBorders/>
            <w:shd w:fill="FFFFFF" w:val="clear"/>
            <w:tcMar>
              <w:bottom w:w="0" w:type="dxa"/>
            </w:tcMar>
            <w:vAlign w:val="bottom"/>
          </w:tcPr>
          <w:p>
            <w:pPr>
              <w:pStyle w:val="TableContents"/>
              <w:spacing w:before="0" w:after="283"/>
              <w:jc w:val="left"/>
              <w:rPr/>
            </w:pPr>
            <w:r>
              <w:rPr/>
              <w:t> </w:t>
            </w:r>
          </w:p>
        </w:tc>
        <w:tc>
          <w:tcPr>
            <w:tcW w:w="1364"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3,205</w:t>
            </w:r>
          </w:p>
        </w:tc>
        <w:tc>
          <w:tcPr>
            <w:tcW w:w="133" w:type="dxa"/>
            <w:tcBorders/>
            <w:shd w:fill="FFFFFF" w:val="clear"/>
            <w:tcMar>
              <w:bottom w:w="0" w:type="dxa"/>
            </w:tcMar>
            <w:vAlign w:val="bottom"/>
          </w:tcPr>
          <w:p>
            <w:pPr>
              <w:pStyle w:val="TableContents"/>
              <w:spacing w:before="0" w:after="283"/>
              <w:jc w:val="left"/>
              <w:rPr/>
            </w:pPr>
            <w:r>
              <w:rPr/>
              <w:t> </w:t>
            </w:r>
          </w:p>
        </w:tc>
      </w:tr>
      <w:tr>
        <w:trPr/>
        <w:tc>
          <w:tcPr>
            <w:tcW w:w="8313"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Minority interest</w:t>
            </w:r>
          </w:p>
        </w:tc>
        <w:tc>
          <w:tcPr>
            <w:tcW w:w="215" w:type="dxa"/>
            <w:tcBorders/>
            <w:shd w:fill="CCEEFF" w:val="clear"/>
            <w:tcMar>
              <w:bottom w:w="0" w:type="dxa"/>
            </w:tcMar>
            <w:vAlign w:val="center"/>
          </w:tcPr>
          <w:p>
            <w:pPr>
              <w:pStyle w:val="TableContents"/>
              <w:spacing w:before="0" w:after="283"/>
              <w:rPr/>
            </w:pPr>
            <w:r>
              <w:rPr/>
              <w:t> </w:t>
            </w:r>
          </w:p>
        </w:tc>
        <w:tc>
          <w:tcPr>
            <w:tcW w:w="180" w:type="dxa"/>
            <w:tcBorders/>
            <w:shd w:fill="CCEEFF" w:val="clear"/>
            <w:tcMar>
              <w:bottom w:w="0" w:type="dxa"/>
            </w:tcMar>
            <w:vAlign w:val="bottom"/>
          </w:tcPr>
          <w:p>
            <w:pPr>
              <w:pStyle w:val="TableContents"/>
              <w:spacing w:before="0" w:after="283"/>
              <w:jc w:val="left"/>
              <w:rPr/>
            </w:pPr>
            <w:r>
              <w:rPr/>
              <w:t> </w:t>
            </w:r>
          </w:p>
        </w:tc>
        <w:tc>
          <w:tcPr>
            <w:tcW w:w="1364"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944</w:t>
            </w:r>
          </w:p>
        </w:tc>
        <w:tc>
          <w:tcPr>
            <w:tcW w:w="133" w:type="dxa"/>
            <w:tcBorders/>
            <w:shd w:fill="CCEEFF" w:val="clear"/>
            <w:tcMar>
              <w:bottom w:w="0" w:type="dxa"/>
            </w:tcMar>
            <w:vAlign w:val="bottom"/>
          </w:tcPr>
          <w:p>
            <w:pPr>
              <w:pStyle w:val="TableContents"/>
              <w:spacing w:before="0" w:after="283"/>
              <w:jc w:val="left"/>
              <w:rPr/>
            </w:pPr>
            <w:r>
              <w:rPr/>
              <w:t> </w:t>
            </w:r>
          </w:p>
        </w:tc>
      </w:tr>
    </w:tbl>
    <w:p>
      <w:pPr>
        <w:pStyle w:val="TextBody"/>
        <w:spacing w:lineRule="auto" w:line="300" w:before="0" w:after="0"/>
        <w:ind w:left="0" w:right="0" w:hanging="0"/>
        <w:jc w:val="both"/>
        <w:rPr/>
      </w:pPr>
      <w:r>
        <w:rPr/>
        <w:t> </w:t>
      </w:r>
    </w:p>
    <w:p>
      <w:pPr>
        <w:pStyle w:val="TextBody"/>
        <w:spacing w:lineRule="auto" w:line="300" w:before="0" w:after="0"/>
        <w:ind w:left="0" w:right="0" w:hanging="0"/>
        <w:jc w:val="both"/>
        <w:rPr/>
      </w:pPr>
      <w:r>
        <w:rPr>
          <w:rStyle w:val="StrongEmphasis"/>
          <w:rFonts w:ascii="Times New Roman" w:hAnsi="Times New Roman"/>
          <w:sz w:val="20"/>
        </w:rPr>
        <w:t>Berkeley Cinemas - Group Condensed Statements of Operations Information:</w:t>
      </w:r>
    </w:p>
    <w:p>
      <w:pPr>
        <w:pStyle w:val="Normal"/>
        <w:spacing w:before="0" w:after="0"/>
        <w:rPr>
          <w:sz w:val="4"/>
          <w:szCs w:val="4"/>
        </w:rPr>
      </w:pPr>
      <w:r>
        <w:rPr>
          <w:sz w:val="4"/>
          <w:szCs w:val="4"/>
        </w:rPr>
      </w:r>
      <w:bookmarkStart w:id="3469" w:name="ftable39"/>
      <w:bookmarkStart w:id="3470" w:name="ftable39"/>
      <w:bookmarkEnd w:id="3470"/>
    </w:p>
    <w:tbl>
      <w:tblPr>
        <w:tblW w:w="5000" w:type="pct"/>
        <w:jc w:val="left"/>
        <w:tblInd w:w="0" w:type="dxa"/>
        <w:tblCellMar>
          <w:top w:w="0" w:type="dxa"/>
          <w:left w:w="0" w:type="dxa"/>
          <w:bottom w:w="28" w:type="dxa"/>
          <w:right w:w="0" w:type="dxa"/>
        </w:tblCellMar>
      </w:tblPr>
      <w:tblGrid>
        <w:gridCol w:w="5604"/>
        <w:gridCol w:w="203"/>
        <w:gridCol w:w="126"/>
        <w:gridCol w:w="1164"/>
        <w:gridCol w:w="203"/>
        <w:gridCol w:w="126"/>
        <w:gridCol w:w="1164"/>
        <w:gridCol w:w="203"/>
        <w:gridCol w:w="126"/>
        <w:gridCol w:w="1164"/>
        <w:gridCol w:w="122"/>
      </w:tblGrid>
      <w:tr>
        <w:trPr/>
        <w:tc>
          <w:tcPr>
            <w:tcW w:w="5604" w:type="dxa"/>
            <w:tcBorders>
              <w:bottom w:val="single" w:sz="4" w:space="0" w:color="FFFFFF"/>
            </w:tcBorders>
            <w:shd w:fill="auto" w:val="clear"/>
            <w:vAlign w:val="bottom"/>
          </w:tcPr>
          <w:p>
            <w:pPr>
              <w:pStyle w:val="TableContents"/>
              <w:spacing w:before="0" w:after="283"/>
              <w:jc w:val="left"/>
              <w:rPr/>
            </w:pPr>
            <w:r>
              <w:rPr/>
              <w:t> </w:t>
            </w:r>
          </w:p>
        </w:tc>
        <w:tc>
          <w:tcPr>
            <w:tcW w:w="203" w:type="dxa"/>
            <w:tcBorders>
              <w:bottom w:val="single" w:sz="2" w:space="0" w:color="FFFFFF"/>
            </w:tcBorders>
            <w:shd w:fill="auto" w:val="clear"/>
            <w:vAlign w:val="center"/>
          </w:tcPr>
          <w:p>
            <w:pPr>
              <w:pStyle w:val="TableContents"/>
              <w:spacing w:before="0" w:after="283"/>
              <w:rPr/>
            </w:pPr>
            <w:r>
              <w:rPr/>
              <w:t> </w:t>
            </w:r>
          </w:p>
        </w:tc>
        <w:tc>
          <w:tcPr>
            <w:tcW w:w="4276" w:type="dxa"/>
            <w:gridSpan w:val="8"/>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December 31,</w:t>
            </w:r>
          </w:p>
        </w:tc>
        <w:tc>
          <w:tcPr>
            <w:tcW w:w="122" w:type="dxa"/>
            <w:tcBorders>
              <w:bottom w:val="single" w:sz="2" w:space="0" w:color="FFFFFF"/>
            </w:tcBorders>
            <w:shd w:fill="auto" w:val="clear"/>
            <w:vAlign w:val="bottom"/>
          </w:tcPr>
          <w:p>
            <w:pPr>
              <w:pStyle w:val="TableContents"/>
              <w:spacing w:before="0" w:after="283"/>
              <w:jc w:val="left"/>
              <w:rPr/>
            </w:pPr>
            <w:r>
              <w:rPr/>
              <w:t> </w:t>
            </w:r>
          </w:p>
        </w:tc>
      </w:tr>
      <w:tr>
        <w:trPr/>
        <w:tc>
          <w:tcPr>
            <w:tcW w:w="5604" w:type="dxa"/>
            <w:tcBorders>
              <w:bottom w:val="double" w:sz="2" w:space="0" w:color="000000"/>
            </w:tcBorders>
            <w:shd w:fill="auto" w:val="clear"/>
            <w:vAlign w:val="bottom"/>
          </w:tcPr>
          <w:p>
            <w:pPr>
              <w:pStyle w:val="TableContents"/>
              <w:spacing w:before="0" w:after="283"/>
              <w:jc w:val="left"/>
              <w:rPr/>
            </w:pPr>
            <w:r>
              <w:rPr/>
              <w:t> </w:t>
            </w:r>
          </w:p>
        </w:tc>
        <w:tc>
          <w:tcPr>
            <w:tcW w:w="203" w:type="dxa"/>
            <w:tcBorders>
              <w:bottom w:val="single" w:sz="4" w:space="0" w:color="FFFFFF"/>
            </w:tcBorders>
            <w:shd w:fill="auto" w:val="clear"/>
            <w:vAlign w:val="center"/>
          </w:tcPr>
          <w:p>
            <w:pPr>
              <w:pStyle w:val="TableContents"/>
              <w:spacing w:before="0" w:after="283"/>
              <w:rPr/>
            </w:pPr>
            <w:r>
              <w:rPr/>
              <w:t> </w:t>
            </w:r>
          </w:p>
        </w:tc>
        <w:tc>
          <w:tcPr>
            <w:tcW w:w="1290"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2006</w:t>
            </w:r>
          </w:p>
        </w:tc>
        <w:tc>
          <w:tcPr>
            <w:tcW w:w="203" w:type="dxa"/>
            <w:tcBorders>
              <w:bottom w:val="single" w:sz="4" w:space="0" w:color="FFFFFF"/>
            </w:tcBorders>
            <w:shd w:fill="auto" w:val="clear"/>
            <w:vAlign w:val="bottom"/>
          </w:tcPr>
          <w:p>
            <w:pPr>
              <w:pStyle w:val="TableContents"/>
              <w:spacing w:before="0" w:after="283"/>
              <w:jc w:val="left"/>
              <w:rPr/>
            </w:pPr>
            <w:r>
              <w:rPr/>
              <w:t> </w:t>
            </w:r>
          </w:p>
        </w:tc>
        <w:tc>
          <w:tcPr>
            <w:tcW w:w="1290"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2005</w:t>
            </w:r>
          </w:p>
        </w:tc>
        <w:tc>
          <w:tcPr>
            <w:tcW w:w="203" w:type="dxa"/>
            <w:tcBorders>
              <w:bottom w:val="single" w:sz="4" w:space="0" w:color="FFFFFF"/>
            </w:tcBorders>
            <w:shd w:fill="auto" w:val="clear"/>
            <w:vAlign w:val="bottom"/>
          </w:tcPr>
          <w:p>
            <w:pPr>
              <w:pStyle w:val="TableContents"/>
              <w:spacing w:before="0" w:after="283"/>
              <w:jc w:val="left"/>
              <w:rPr/>
            </w:pPr>
            <w:r>
              <w:rPr/>
              <w:t> </w:t>
            </w:r>
          </w:p>
        </w:tc>
        <w:tc>
          <w:tcPr>
            <w:tcW w:w="1290"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2004</w:t>
            </w:r>
          </w:p>
        </w:tc>
        <w:tc>
          <w:tcPr>
            <w:tcW w:w="122" w:type="dxa"/>
            <w:tcBorders>
              <w:bottom w:val="single" w:sz="4" w:space="0" w:color="FFFFFF"/>
            </w:tcBorders>
            <w:shd w:fill="auto" w:val="clear"/>
            <w:vAlign w:val="bottom"/>
          </w:tcPr>
          <w:p>
            <w:pPr>
              <w:pStyle w:val="TableContents"/>
              <w:spacing w:before="0" w:after="283"/>
              <w:jc w:val="left"/>
              <w:rPr/>
            </w:pPr>
            <w:r>
              <w:rPr/>
              <w:t> </w:t>
            </w:r>
          </w:p>
        </w:tc>
      </w:tr>
      <w:tr>
        <w:trPr/>
        <w:tc>
          <w:tcPr>
            <w:tcW w:w="5604"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Net revenue</w:t>
            </w:r>
          </w:p>
        </w:tc>
        <w:tc>
          <w:tcPr>
            <w:tcW w:w="203" w:type="dxa"/>
            <w:tcBorders/>
            <w:shd w:fill="CCEEFF" w:val="clear"/>
            <w:tcMar>
              <w:bottom w:w="0" w:type="dxa"/>
            </w:tcMar>
            <w:vAlign w:val="center"/>
          </w:tcPr>
          <w:p>
            <w:pPr>
              <w:pStyle w:val="TableContents"/>
              <w:spacing w:before="0" w:after="283"/>
              <w:rPr/>
            </w:pPr>
            <w:r>
              <w:rPr/>
              <w:t> </w:t>
            </w:r>
          </w:p>
        </w:tc>
        <w:tc>
          <w:tcPr>
            <w:tcW w:w="126"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bookmarkStart w:id="3471" w:name="TAB2169"/>
            <w:bookmarkEnd w:id="3471"/>
          </w:p>
        </w:tc>
        <w:tc>
          <w:tcPr>
            <w:tcW w:w="1164"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3472" w:name="TAB2170"/>
            <w:bookmarkEnd w:id="3472"/>
            <w:r>
              <w:rPr>
                <w:rFonts w:ascii="Times New Roman" w:hAnsi="Times New Roman"/>
                <w:sz w:val="20"/>
              </w:rPr>
              <w:t>3,440</w:t>
            </w:r>
          </w:p>
        </w:tc>
        <w:tc>
          <w:tcPr>
            <w:tcW w:w="203" w:type="dxa"/>
            <w:tcBorders/>
            <w:shd w:fill="CCEEFF" w:val="clear"/>
            <w:tcMar>
              <w:bottom w:w="0" w:type="dxa"/>
            </w:tcMar>
            <w:vAlign w:val="bottom"/>
          </w:tcPr>
          <w:p>
            <w:pPr>
              <w:pStyle w:val="TableContents"/>
              <w:spacing w:before="0" w:after="283"/>
              <w:jc w:val="left"/>
              <w:rPr/>
            </w:pPr>
            <w:r>
              <w:rPr/>
              <w:t> </w:t>
            </w:r>
          </w:p>
        </w:tc>
        <w:tc>
          <w:tcPr>
            <w:tcW w:w="126"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bookmarkStart w:id="3473" w:name="TAB2171"/>
            <w:bookmarkEnd w:id="3473"/>
          </w:p>
        </w:tc>
        <w:tc>
          <w:tcPr>
            <w:tcW w:w="1164"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3474" w:name="TAB2172"/>
            <w:bookmarkEnd w:id="3474"/>
            <w:r>
              <w:rPr>
                <w:rFonts w:ascii="Times New Roman" w:hAnsi="Times New Roman"/>
                <w:sz w:val="20"/>
              </w:rPr>
              <w:t>5,292</w:t>
            </w:r>
          </w:p>
        </w:tc>
        <w:tc>
          <w:tcPr>
            <w:tcW w:w="203" w:type="dxa"/>
            <w:tcBorders/>
            <w:shd w:fill="CCEEFF" w:val="clear"/>
            <w:tcMar>
              <w:bottom w:w="0" w:type="dxa"/>
            </w:tcMar>
            <w:vAlign w:val="bottom"/>
          </w:tcPr>
          <w:p>
            <w:pPr>
              <w:pStyle w:val="TableContents"/>
              <w:spacing w:before="0" w:after="283"/>
              <w:jc w:val="left"/>
              <w:rPr/>
            </w:pPr>
            <w:r>
              <w:rPr/>
              <w:t> </w:t>
            </w:r>
          </w:p>
        </w:tc>
        <w:tc>
          <w:tcPr>
            <w:tcW w:w="126"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bookmarkStart w:id="3475" w:name="TAB2173"/>
            <w:bookmarkEnd w:id="3475"/>
          </w:p>
        </w:tc>
        <w:tc>
          <w:tcPr>
            <w:tcW w:w="1164"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3476" w:name="TAB2174"/>
            <w:bookmarkEnd w:id="3476"/>
            <w:r>
              <w:rPr>
                <w:rFonts w:ascii="Times New Roman" w:hAnsi="Times New Roman"/>
                <w:sz w:val="20"/>
              </w:rPr>
              <w:t>4,952</w:t>
            </w:r>
          </w:p>
        </w:tc>
        <w:tc>
          <w:tcPr>
            <w:tcW w:w="122" w:type="dxa"/>
            <w:tcBorders/>
            <w:shd w:fill="CCEEFF" w:val="clear"/>
            <w:tcMar>
              <w:bottom w:w="0" w:type="dxa"/>
            </w:tcMar>
            <w:vAlign w:val="bottom"/>
          </w:tcPr>
          <w:p>
            <w:pPr>
              <w:pStyle w:val="TableContents"/>
              <w:spacing w:before="0" w:after="283"/>
              <w:jc w:val="left"/>
              <w:rPr/>
            </w:pPr>
            <w:r>
              <w:rPr/>
              <w:t> </w:t>
            </w:r>
          </w:p>
        </w:tc>
      </w:tr>
      <w:tr>
        <w:trPr/>
        <w:tc>
          <w:tcPr>
            <w:tcW w:w="5604"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Operating income</w:t>
            </w:r>
          </w:p>
        </w:tc>
        <w:tc>
          <w:tcPr>
            <w:tcW w:w="203" w:type="dxa"/>
            <w:tcBorders/>
            <w:shd w:fill="FFFFFF" w:val="clear"/>
            <w:tcMar>
              <w:bottom w:w="0" w:type="dxa"/>
            </w:tcMar>
            <w:vAlign w:val="center"/>
          </w:tcPr>
          <w:p>
            <w:pPr>
              <w:pStyle w:val="TableContents"/>
              <w:spacing w:before="0" w:after="283"/>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164"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1,197</w:t>
            </w:r>
          </w:p>
        </w:tc>
        <w:tc>
          <w:tcPr>
            <w:tcW w:w="203" w:type="dxa"/>
            <w:tcBorders/>
            <w:shd w:fill="FFFFFF" w:val="clear"/>
            <w:tcMar>
              <w:bottom w:w="0" w:type="dxa"/>
            </w:tcMar>
            <w:vAlign w:val="bottom"/>
          </w:tcPr>
          <w:p>
            <w:pPr>
              <w:pStyle w:val="TableContents"/>
              <w:spacing w:before="0" w:after="283"/>
              <w:jc w:val="left"/>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164"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765</w:t>
            </w:r>
          </w:p>
        </w:tc>
        <w:tc>
          <w:tcPr>
            <w:tcW w:w="203" w:type="dxa"/>
            <w:tcBorders/>
            <w:shd w:fill="FFFFFF" w:val="clear"/>
            <w:tcMar>
              <w:bottom w:w="0" w:type="dxa"/>
            </w:tcMar>
            <w:vAlign w:val="bottom"/>
          </w:tcPr>
          <w:p>
            <w:pPr>
              <w:pStyle w:val="TableContents"/>
              <w:spacing w:before="0" w:after="283"/>
              <w:jc w:val="left"/>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164"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716</w:t>
            </w:r>
          </w:p>
        </w:tc>
        <w:tc>
          <w:tcPr>
            <w:tcW w:w="122" w:type="dxa"/>
            <w:tcBorders/>
            <w:shd w:fill="FFFFFF" w:val="clear"/>
            <w:tcMar>
              <w:bottom w:w="0" w:type="dxa"/>
            </w:tcMar>
            <w:vAlign w:val="bottom"/>
          </w:tcPr>
          <w:p>
            <w:pPr>
              <w:pStyle w:val="TableContents"/>
              <w:spacing w:before="0" w:after="283"/>
              <w:jc w:val="left"/>
              <w:rPr/>
            </w:pPr>
            <w:r>
              <w:rPr/>
              <w:t> </w:t>
            </w:r>
          </w:p>
        </w:tc>
      </w:tr>
      <w:tr>
        <w:trPr/>
        <w:tc>
          <w:tcPr>
            <w:tcW w:w="5604"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Net income</w:t>
            </w:r>
          </w:p>
        </w:tc>
        <w:tc>
          <w:tcPr>
            <w:tcW w:w="203" w:type="dxa"/>
            <w:tcBorders/>
            <w:shd w:fill="CCEEFF" w:val="clear"/>
            <w:tcMar>
              <w:bottom w:w="0" w:type="dxa"/>
            </w:tcMar>
            <w:vAlign w:val="center"/>
          </w:tcPr>
          <w:p>
            <w:pPr>
              <w:pStyle w:val="TableContents"/>
              <w:spacing w:before="0" w:after="283"/>
              <w:rPr/>
            </w:pPr>
            <w:r>
              <w:rPr/>
              <w:t> </w:t>
            </w:r>
          </w:p>
        </w:tc>
        <w:tc>
          <w:tcPr>
            <w:tcW w:w="126" w:type="dxa"/>
            <w:tcBorders/>
            <w:shd w:fill="CCEEFF" w:val="clear"/>
            <w:tcMar>
              <w:bottom w:w="0" w:type="dxa"/>
            </w:tcMar>
            <w:vAlign w:val="bottom"/>
          </w:tcPr>
          <w:p>
            <w:pPr>
              <w:pStyle w:val="TableContents"/>
              <w:spacing w:before="0" w:after="283"/>
              <w:jc w:val="left"/>
              <w:rPr/>
            </w:pPr>
            <w:r>
              <w:rPr/>
              <w:t> </w:t>
            </w:r>
          </w:p>
        </w:tc>
        <w:tc>
          <w:tcPr>
            <w:tcW w:w="1164"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644</w:t>
            </w:r>
          </w:p>
        </w:tc>
        <w:tc>
          <w:tcPr>
            <w:tcW w:w="203" w:type="dxa"/>
            <w:tcBorders/>
            <w:shd w:fill="CCEEFF" w:val="clear"/>
            <w:tcMar>
              <w:bottom w:w="0" w:type="dxa"/>
            </w:tcMar>
            <w:vAlign w:val="bottom"/>
          </w:tcPr>
          <w:p>
            <w:pPr>
              <w:pStyle w:val="TableContents"/>
              <w:spacing w:before="0" w:after="283"/>
              <w:jc w:val="left"/>
              <w:rPr/>
            </w:pPr>
            <w:r>
              <w:rPr/>
              <w:t> </w:t>
            </w:r>
          </w:p>
        </w:tc>
        <w:tc>
          <w:tcPr>
            <w:tcW w:w="126" w:type="dxa"/>
            <w:tcBorders/>
            <w:shd w:fill="CCEEFF" w:val="clear"/>
            <w:tcMar>
              <w:bottom w:w="0" w:type="dxa"/>
            </w:tcMar>
            <w:vAlign w:val="bottom"/>
          </w:tcPr>
          <w:p>
            <w:pPr>
              <w:pStyle w:val="TableContents"/>
              <w:spacing w:before="0" w:after="283"/>
              <w:jc w:val="left"/>
              <w:rPr/>
            </w:pPr>
            <w:r>
              <w:rPr/>
              <w:t> </w:t>
            </w:r>
          </w:p>
        </w:tc>
        <w:tc>
          <w:tcPr>
            <w:tcW w:w="1164"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765</w:t>
            </w:r>
          </w:p>
        </w:tc>
        <w:tc>
          <w:tcPr>
            <w:tcW w:w="203" w:type="dxa"/>
            <w:tcBorders/>
            <w:shd w:fill="CCEEFF" w:val="clear"/>
            <w:tcMar>
              <w:bottom w:w="0" w:type="dxa"/>
            </w:tcMar>
            <w:vAlign w:val="bottom"/>
          </w:tcPr>
          <w:p>
            <w:pPr>
              <w:pStyle w:val="TableContents"/>
              <w:spacing w:before="0" w:after="283"/>
              <w:jc w:val="left"/>
              <w:rPr/>
            </w:pPr>
            <w:r>
              <w:rPr/>
              <w:t> </w:t>
            </w:r>
          </w:p>
        </w:tc>
        <w:tc>
          <w:tcPr>
            <w:tcW w:w="126" w:type="dxa"/>
            <w:tcBorders/>
            <w:shd w:fill="CCEEFF" w:val="clear"/>
            <w:tcMar>
              <w:bottom w:w="0" w:type="dxa"/>
            </w:tcMar>
            <w:vAlign w:val="bottom"/>
          </w:tcPr>
          <w:p>
            <w:pPr>
              <w:pStyle w:val="TableContents"/>
              <w:spacing w:before="0" w:after="283"/>
              <w:jc w:val="left"/>
              <w:rPr/>
            </w:pPr>
            <w:r>
              <w:rPr/>
              <w:t> </w:t>
            </w:r>
          </w:p>
        </w:tc>
        <w:tc>
          <w:tcPr>
            <w:tcW w:w="1164"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716</w:t>
            </w:r>
          </w:p>
        </w:tc>
        <w:tc>
          <w:tcPr>
            <w:tcW w:w="122" w:type="dxa"/>
            <w:tcBorders/>
            <w:shd w:fill="CCEEFF" w:val="clear"/>
            <w:tcMar>
              <w:bottom w:w="0" w:type="dxa"/>
            </w:tcMar>
            <w:vAlign w:val="bottom"/>
          </w:tcPr>
          <w:p>
            <w:pPr>
              <w:pStyle w:val="TableContents"/>
              <w:spacing w:before="0" w:after="283"/>
              <w:jc w:val="left"/>
              <w:rPr/>
            </w:pPr>
            <w:r>
              <w:rPr/>
              <w:t> </w:t>
            </w:r>
          </w:p>
        </w:tc>
      </w:tr>
    </w:tbl>
    <w:p>
      <w:pPr>
        <w:pStyle w:val="TextBody"/>
        <w:spacing w:lineRule="auto" w:line="300" w:before="0" w:after="0"/>
        <w:ind w:left="0" w:right="0" w:firstLine="720"/>
        <w:jc w:val="both"/>
        <w:rPr/>
      </w:pPr>
      <w:r>
        <w:rPr/>
      </w:r>
    </w:p>
    <w:p>
      <w:pPr>
        <w:pStyle w:val="TextBody"/>
        <w:spacing w:lineRule="auto" w:line="300" w:before="0" w:after="0"/>
        <w:ind w:left="0" w:right="0" w:firstLine="720"/>
        <w:jc w:val="both"/>
        <w:rPr/>
      </w:pPr>
      <w:r>
        <w:rPr>
          <w:rFonts w:ascii="Times New Roman" w:hAnsi="Times New Roman"/>
          <w:sz w:val="20"/>
        </w:rPr>
        <w:t xml:space="preserve">Additionally, effective April 1, 2006, we purchased from our Joint Venture partner the 50% share that we did not already own of the Palms cinema located in Christchurch, New Zealand for cash of $2.6 million (NZ$4.1 million) and the proportionate share of assumed debt which amounted to $987,000 (NZ$1.6 million). This 8-screen, leasehold cinema had previously been included in our Berkeley Cinemas - Palms &amp; Botany investment and was not previously consolidated for accounting purposes. Subsequent to April 1, 2006, we have consolidated this entity into our financial statements. See Note 8 - </w:t>
      </w:r>
      <w:r>
        <w:rPr>
          <w:rStyle w:val="Emphasis"/>
          <w:rFonts w:ascii="Times New Roman" w:hAnsi="Times New Roman"/>
          <w:sz w:val="20"/>
        </w:rPr>
        <w:t>Acquisitions and Property Development</w:t>
      </w:r>
      <w:r>
        <w:rPr>
          <w:rFonts w:ascii="Times New Roman" w:hAnsi="Times New Roman"/>
          <w:sz w:val="20"/>
        </w:rPr>
        <w:t>.</w:t>
      </w:r>
    </w:p>
    <w:p>
      <w:pPr>
        <w:pStyle w:val="TextBody"/>
        <w:spacing w:lineRule="auto" w:line="300" w:before="0" w:after="0"/>
        <w:ind w:left="0" w:right="0" w:firstLine="72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As of December 31, 2006, the only remaining cinema owned by this joint venture is the Botany Downs cinema, located in suburban Auckland.</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u w:val="single"/>
        </w:rPr>
      </w:pPr>
      <w:r>
        <w:rPr>
          <w:rFonts w:ascii="Times New Roman" w:hAnsi="Times New Roman"/>
          <w:sz w:val="20"/>
          <w:u w:val="single"/>
        </w:rPr>
        <w:t>Combined Condensed Financial Information</w:t>
      </w:r>
    </w:p>
    <w:p>
      <w:pPr>
        <w:pStyle w:val="TextBody"/>
        <w:spacing w:lineRule="auto" w:line="300" w:before="0" w:after="0"/>
        <w:ind w:left="0" w:right="0" w:hanging="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The combined condensed financial information for all of the above unconsolidated joint ventures and entities accounted for under the equity method is as follows; therefore, this only excludes Malulani Investments (dollars in thousands):</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pPr>
      <w:r>
        <w:rPr>
          <w:rStyle w:val="StrongEmphasis"/>
          <w:rFonts w:ascii="Times New Roman" w:hAnsi="Times New Roman"/>
          <w:sz w:val="20"/>
        </w:rPr>
        <w:t>Condensed Balance Sheet Information (Unaudited):</w:t>
      </w:r>
    </w:p>
    <w:p>
      <w:pPr>
        <w:pStyle w:val="Normal"/>
        <w:spacing w:before="0" w:after="0"/>
        <w:rPr>
          <w:sz w:val="4"/>
          <w:szCs w:val="4"/>
        </w:rPr>
      </w:pPr>
      <w:r>
        <w:rPr>
          <w:sz w:val="4"/>
          <w:szCs w:val="4"/>
        </w:rPr>
      </w:r>
      <w:bookmarkStart w:id="3477" w:name="ftable40"/>
      <w:bookmarkStart w:id="3478" w:name="ftable40"/>
      <w:bookmarkEnd w:id="3478"/>
    </w:p>
    <w:tbl>
      <w:tblPr>
        <w:tblW w:w="5000" w:type="pct"/>
        <w:jc w:val="left"/>
        <w:tblInd w:w="0" w:type="dxa"/>
        <w:tblCellMar>
          <w:top w:w="0" w:type="dxa"/>
          <w:left w:w="0" w:type="dxa"/>
          <w:bottom w:w="28" w:type="dxa"/>
          <w:right w:w="0" w:type="dxa"/>
        </w:tblCellMar>
      </w:tblPr>
      <w:tblGrid>
        <w:gridCol w:w="7014"/>
        <w:gridCol w:w="206"/>
        <w:gridCol w:w="127"/>
        <w:gridCol w:w="1203"/>
        <w:gridCol w:w="206"/>
        <w:gridCol w:w="127"/>
        <w:gridCol w:w="1203"/>
        <w:gridCol w:w="119"/>
      </w:tblGrid>
      <w:tr>
        <w:trPr/>
        <w:tc>
          <w:tcPr>
            <w:tcW w:w="7014" w:type="dxa"/>
            <w:tcBorders>
              <w:bottom w:val="single" w:sz="4" w:space="0" w:color="FFFFFF"/>
            </w:tcBorders>
            <w:shd w:fill="auto" w:val="clear"/>
            <w:vAlign w:val="bottom"/>
          </w:tcPr>
          <w:p>
            <w:pPr>
              <w:pStyle w:val="TableContents"/>
              <w:spacing w:before="0" w:after="283"/>
              <w:jc w:val="left"/>
              <w:rPr/>
            </w:pPr>
            <w:r>
              <w:rPr/>
              <w:t> </w:t>
            </w:r>
          </w:p>
        </w:tc>
        <w:tc>
          <w:tcPr>
            <w:tcW w:w="206" w:type="dxa"/>
            <w:tcBorders>
              <w:bottom w:val="single" w:sz="2" w:space="0" w:color="FFFFFF"/>
            </w:tcBorders>
            <w:shd w:fill="auto" w:val="clear"/>
            <w:vAlign w:val="center"/>
          </w:tcPr>
          <w:p>
            <w:pPr>
              <w:pStyle w:val="TableContents"/>
              <w:spacing w:before="0" w:after="283"/>
              <w:rPr/>
            </w:pPr>
            <w:r>
              <w:rPr/>
              <w:t> </w:t>
            </w:r>
          </w:p>
        </w:tc>
        <w:tc>
          <w:tcPr>
            <w:tcW w:w="2866" w:type="dxa"/>
            <w:gridSpan w:val="5"/>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December 31,</w:t>
            </w:r>
          </w:p>
        </w:tc>
        <w:tc>
          <w:tcPr>
            <w:tcW w:w="119" w:type="dxa"/>
            <w:tcBorders>
              <w:bottom w:val="single" w:sz="2" w:space="0" w:color="FFFFFF"/>
            </w:tcBorders>
            <w:shd w:fill="auto" w:val="clear"/>
            <w:vAlign w:val="bottom"/>
          </w:tcPr>
          <w:p>
            <w:pPr>
              <w:pStyle w:val="TableContents"/>
              <w:spacing w:before="0" w:after="283"/>
              <w:jc w:val="left"/>
              <w:rPr/>
            </w:pPr>
            <w:r>
              <w:rPr/>
              <w:t> </w:t>
            </w:r>
          </w:p>
        </w:tc>
      </w:tr>
      <w:tr>
        <w:trPr/>
        <w:tc>
          <w:tcPr>
            <w:tcW w:w="7014" w:type="dxa"/>
            <w:tcBorders>
              <w:bottom w:val="double" w:sz="2" w:space="0" w:color="000000"/>
            </w:tcBorders>
            <w:shd w:fill="auto" w:val="clear"/>
            <w:vAlign w:val="bottom"/>
          </w:tcPr>
          <w:p>
            <w:pPr>
              <w:pStyle w:val="TableContents"/>
              <w:spacing w:before="0" w:after="283"/>
              <w:jc w:val="left"/>
              <w:rPr/>
            </w:pPr>
            <w:r>
              <w:rPr/>
              <w:t> </w:t>
            </w:r>
          </w:p>
        </w:tc>
        <w:tc>
          <w:tcPr>
            <w:tcW w:w="206" w:type="dxa"/>
            <w:tcBorders>
              <w:bottom w:val="single" w:sz="4" w:space="0" w:color="FFFFFF"/>
            </w:tcBorders>
            <w:shd w:fill="auto" w:val="clear"/>
            <w:vAlign w:val="center"/>
          </w:tcPr>
          <w:p>
            <w:pPr>
              <w:pStyle w:val="TableContents"/>
              <w:spacing w:before="0" w:after="283"/>
              <w:rPr/>
            </w:pPr>
            <w:r>
              <w:rPr/>
              <w:t> </w:t>
            </w:r>
          </w:p>
        </w:tc>
        <w:tc>
          <w:tcPr>
            <w:tcW w:w="1330"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2006</w:t>
            </w:r>
          </w:p>
        </w:tc>
        <w:tc>
          <w:tcPr>
            <w:tcW w:w="206" w:type="dxa"/>
            <w:tcBorders>
              <w:bottom w:val="single" w:sz="4" w:space="0" w:color="FFFFFF"/>
            </w:tcBorders>
            <w:shd w:fill="auto" w:val="clear"/>
            <w:vAlign w:val="bottom"/>
          </w:tcPr>
          <w:p>
            <w:pPr>
              <w:pStyle w:val="TableContents"/>
              <w:spacing w:before="0" w:after="283"/>
              <w:jc w:val="left"/>
              <w:rPr/>
            </w:pPr>
            <w:r>
              <w:rPr/>
              <w:t> </w:t>
            </w:r>
          </w:p>
        </w:tc>
        <w:tc>
          <w:tcPr>
            <w:tcW w:w="1330"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2005</w:t>
            </w:r>
          </w:p>
        </w:tc>
        <w:tc>
          <w:tcPr>
            <w:tcW w:w="119" w:type="dxa"/>
            <w:tcBorders>
              <w:bottom w:val="single" w:sz="4" w:space="0" w:color="FFFFFF"/>
            </w:tcBorders>
            <w:shd w:fill="auto" w:val="clear"/>
            <w:vAlign w:val="bottom"/>
          </w:tcPr>
          <w:p>
            <w:pPr>
              <w:pStyle w:val="TableContents"/>
              <w:spacing w:before="0" w:after="283"/>
              <w:jc w:val="left"/>
              <w:rPr/>
            </w:pPr>
            <w:r>
              <w:rPr/>
              <w:t> </w:t>
            </w:r>
          </w:p>
        </w:tc>
      </w:tr>
      <w:tr>
        <w:trPr/>
        <w:tc>
          <w:tcPr>
            <w:tcW w:w="7014"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Current assets</w:t>
            </w:r>
          </w:p>
        </w:tc>
        <w:tc>
          <w:tcPr>
            <w:tcW w:w="206" w:type="dxa"/>
            <w:tcBorders/>
            <w:shd w:fill="CCEEFF" w:val="clear"/>
            <w:tcMar>
              <w:bottom w:w="0" w:type="dxa"/>
            </w:tcMar>
            <w:vAlign w:val="center"/>
          </w:tcPr>
          <w:p>
            <w:pPr>
              <w:pStyle w:val="TableContents"/>
              <w:spacing w:before="0" w:after="283"/>
              <w:rPr/>
            </w:pPr>
            <w:r>
              <w:rPr/>
              <w:t> </w:t>
            </w:r>
          </w:p>
        </w:tc>
        <w:tc>
          <w:tcPr>
            <w:tcW w:w="127"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bookmarkStart w:id="3479" w:name="TAB2175"/>
            <w:bookmarkEnd w:id="3479"/>
          </w:p>
        </w:tc>
        <w:tc>
          <w:tcPr>
            <w:tcW w:w="1203"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3480" w:name="TAB2176"/>
            <w:bookmarkEnd w:id="3480"/>
            <w:r>
              <w:rPr>
                <w:rFonts w:ascii="Times New Roman" w:hAnsi="Times New Roman"/>
                <w:sz w:val="20"/>
              </w:rPr>
              <w:t>10,153</w:t>
            </w:r>
          </w:p>
        </w:tc>
        <w:tc>
          <w:tcPr>
            <w:tcW w:w="206" w:type="dxa"/>
            <w:tcBorders/>
            <w:shd w:fill="CCEEFF" w:val="clear"/>
            <w:tcMar>
              <w:bottom w:w="0" w:type="dxa"/>
            </w:tcMar>
            <w:vAlign w:val="bottom"/>
          </w:tcPr>
          <w:p>
            <w:pPr>
              <w:pStyle w:val="TableContents"/>
              <w:spacing w:before="0" w:after="283"/>
              <w:jc w:val="left"/>
              <w:rPr/>
            </w:pPr>
            <w:r>
              <w:rPr/>
              <w:t> </w:t>
            </w:r>
          </w:p>
        </w:tc>
        <w:tc>
          <w:tcPr>
            <w:tcW w:w="127"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bookmarkStart w:id="3481" w:name="TAB2177"/>
            <w:bookmarkEnd w:id="3481"/>
          </w:p>
        </w:tc>
        <w:tc>
          <w:tcPr>
            <w:tcW w:w="1203"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3482" w:name="TAB2178"/>
            <w:bookmarkEnd w:id="3482"/>
            <w:r>
              <w:rPr>
                <w:rFonts w:ascii="Times New Roman" w:hAnsi="Times New Roman"/>
                <w:sz w:val="20"/>
              </w:rPr>
              <w:t>8,146</w:t>
            </w:r>
          </w:p>
        </w:tc>
        <w:tc>
          <w:tcPr>
            <w:tcW w:w="119" w:type="dxa"/>
            <w:tcBorders/>
            <w:shd w:fill="CCEEFF" w:val="clear"/>
            <w:tcMar>
              <w:bottom w:w="0" w:type="dxa"/>
            </w:tcMar>
            <w:vAlign w:val="bottom"/>
          </w:tcPr>
          <w:p>
            <w:pPr>
              <w:pStyle w:val="TableContents"/>
              <w:spacing w:before="0" w:after="283"/>
              <w:jc w:val="left"/>
              <w:rPr/>
            </w:pPr>
            <w:r>
              <w:rPr/>
              <w:t> </w:t>
            </w:r>
          </w:p>
        </w:tc>
      </w:tr>
      <w:tr>
        <w:trPr/>
        <w:tc>
          <w:tcPr>
            <w:tcW w:w="7014"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Non current assets</w:t>
            </w:r>
          </w:p>
        </w:tc>
        <w:tc>
          <w:tcPr>
            <w:tcW w:w="206" w:type="dxa"/>
            <w:tcBorders/>
            <w:shd w:fill="FFFFFF" w:val="clear"/>
            <w:tcMar>
              <w:bottom w:w="0" w:type="dxa"/>
            </w:tcMar>
            <w:vAlign w:val="center"/>
          </w:tcPr>
          <w:p>
            <w:pPr>
              <w:pStyle w:val="TableContents"/>
              <w:spacing w:before="0" w:after="283"/>
              <w:rPr/>
            </w:pPr>
            <w:r>
              <w:rPr/>
              <w:t> </w:t>
            </w:r>
          </w:p>
        </w:tc>
        <w:tc>
          <w:tcPr>
            <w:tcW w:w="127" w:type="dxa"/>
            <w:tcBorders/>
            <w:shd w:fill="FFFFFF" w:val="clear"/>
            <w:tcMar>
              <w:bottom w:w="0" w:type="dxa"/>
            </w:tcMar>
            <w:vAlign w:val="bottom"/>
          </w:tcPr>
          <w:p>
            <w:pPr>
              <w:pStyle w:val="TableContents"/>
              <w:spacing w:before="0" w:after="283"/>
              <w:jc w:val="left"/>
              <w:rPr/>
            </w:pPr>
            <w:r>
              <w:rPr/>
              <w:t> </w:t>
            </w:r>
          </w:p>
        </w:tc>
        <w:tc>
          <w:tcPr>
            <w:tcW w:w="1203"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30,573</w:t>
            </w:r>
          </w:p>
        </w:tc>
        <w:tc>
          <w:tcPr>
            <w:tcW w:w="206" w:type="dxa"/>
            <w:tcBorders/>
            <w:shd w:fill="FFFFFF" w:val="clear"/>
            <w:tcMar>
              <w:bottom w:w="0" w:type="dxa"/>
            </w:tcMar>
            <w:vAlign w:val="bottom"/>
          </w:tcPr>
          <w:p>
            <w:pPr>
              <w:pStyle w:val="TableContents"/>
              <w:spacing w:before="0" w:after="283"/>
              <w:jc w:val="left"/>
              <w:rPr/>
            </w:pPr>
            <w:r>
              <w:rPr/>
              <w:t> </w:t>
            </w:r>
          </w:p>
        </w:tc>
        <w:tc>
          <w:tcPr>
            <w:tcW w:w="127" w:type="dxa"/>
            <w:tcBorders/>
            <w:shd w:fill="FFFFFF" w:val="clear"/>
            <w:tcMar>
              <w:bottom w:w="0" w:type="dxa"/>
            </w:tcMar>
            <w:vAlign w:val="bottom"/>
          </w:tcPr>
          <w:p>
            <w:pPr>
              <w:pStyle w:val="TableContents"/>
              <w:spacing w:before="0" w:after="283"/>
              <w:jc w:val="left"/>
              <w:rPr/>
            </w:pPr>
            <w:r>
              <w:rPr/>
              <w:t> </w:t>
            </w:r>
          </w:p>
        </w:tc>
        <w:tc>
          <w:tcPr>
            <w:tcW w:w="1203"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95,184</w:t>
            </w:r>
          </w:p>
        </w:tc>
        <w:tc>
          <w:tcPr>
            <w:tcW w:w="119" w:type="dxa"/>
            <w:tcBorders/>
            <w:shd w:fill="FFFFFF" w:val="clear"/>
            <w:tcMar>
              <w:bottom w:w="0" w:type="dxa"/>
            </w:tcMar>
            <w:vAlign w:val="bottom"/>
          </w:tcPr>
          <w:p>
            <w:pPr>
              <w:pStyle w:val="TableContents"/>
              <w:spacing w:before="0" w:after="283"/>
              <w:jc w:val="left"/>
              <w:rPr/>
            </w:pPr>
            <w:r>
              <w:rPr/>
              <w:t> </w:t>
            </w:r>
          </w:p>
        </w:tc>
      </w:tr>
      <w:tr>
        <w:trPr/>
        <w:tc>
          <w:tcPr>
            <w:tcW w:w="7014"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Current liabilities</w:t>
            </w:r>
          </w:p>
        </w:tc>
        <w:tc>
          <w:tcPr>
            <w:tcW w:w="206" w:type="dxa"/>
            <w:tcBorders/>
            <w:shd w:fill="CCEEFF" w:val="clear"/>
            <w:tcMar>
              <w:bottom w:w="0" w:type="dxa"/>
            </w:tcMar>
            <w:vAlign w:val="center"/>
          </w:tcPr>
          <w:p>
            <w:pPr>
              <w:pStyle w:val="TableContents"/>
              <w:spacing w:before="0" w:after="283"/>
              <w:rPr/>
            </w:pPr>
            <w:r>
              <w:rPr/>
              <w:t> </w:t>
            </w:r>
          </w:p>
        </w:tc>
        <w:tc>
          <w:tcPr>
            <w:tcW w:w="127" w:type="dxa"/>
            <w:tcBorders/>
            <w:shd w:fill="CCEEFF" w:val="clear"/>
            <w:tcMar>
              <w:bottom w:w="0" w:type="dxa"/>
            </w:tcMar>
            <w:vAlign w:val="bottom"/>
          </w:tcPr>
          <w:p>
            <w:pPr>
              <w:pStyle w:val="TableContents"/>
              <w:spacing w:before="0" w:after="283"/>
              <w:jc w:val="left"/>
              <w:rPr/>
            </w:pPr>
            <w:r>
              <w:rPr/>
              <w:t> </w:t>
            </w:r>
          </w:p>
        </w:tc>
        <w:tc>
          <w:tcPr>
            <w:tcW w:w="1203"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5,004</w:t>
            </w:r>
          </w:p>
        </w:tc>
        <w:tc>
          <w:tcPr>
            <w:tcW w:w="206" w:type="dxa"/>
            <w:tcBorders/>
            <w:shd w:fill="CCEEFF" w:val="clear"/>
            <w:tcMar>
              <w:bottom w:w="0" w:type="dxa"/>
            </w:tcMar>
            <w:vAlign w:val="bottom"/>
          </w:tcPr>
          <w:p>
            <w:pPr>
              <w:pStyle w:val="TableContents"/>
              <w:spacing w:before="0" w:after="283"/>
              <w:jc w:val="left"/>
              <w:rPr/>
            </w:pPr>
            <w:r>
              <w:rPr/>
              <w:t> </w:t>
            </w:r>
          </w:p>
        </w:tc>
        <w:tc>
          <w:tcPr>
            <w:tcW w:w="127" w:type="dxa"/>
            <w:tcBorders/>
            <w:shd w:fill="CCEEFF" w:val="clear"/>
            <w:tcMar>
              <w:bottom w:w="0" w:type="dxa"/>
            </w:tcMar>
            <w:vAlign w:val="bottom"/>
          </w:tcPr>
          <w:p>
            <w:pPr>
              <w:pStyle w:val="TableContents"/>
              <w:spacing w:before="0" w:after="283"/>
              <w:jc w:val="left"/>
              <w:rPr/>
            </w:pPr>
            <w:r>
              <w:rPr/>
              <w:t> </w:t>
            </w:r>
          </w:p>
        </w:tc>
        <w:tc>
          <w:tcPr>
            <w:tcW w:w="1203"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9,265</w:t>
            </w:r>
          </w:p>
        </w:tc>
        <w:tc>
          <w:tcPr>
            <w:tcW w:w="119" w:type="dxa"/>
            <w:tcBorders/>
            <w:shd w:fill="CCEEFF" w:val="clear"/>
            <w:tcMar>
              <w:bottom w:w="0" w:type="dxa"/>
            </w:tcMar>
            <w:vAlign w:val="bottom"/>
          </w:tcPr>
          <w:p>
            <w:pPr>
              <w:pStyle w:val="TableContents"/>
              <w:spacing w:before="0" w:after="283"/>
              <w:jc w:val="left"/>
              <w:rPr/>
            </w:pPr>
            <w:r>
              <w:rPr/>
              <w:t> </w:t>
            </w:r>
          </w:p>
        </w:tc>
      </w:tr>
      <w:tr>
        <w:trPr/>
        <w:tc>
          <w:tcPr>
            <w:tcW w:w="7014"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Non current liabilities</w:t>
            </w:r>
          </w:p>
        </w:tc>
        <w:tc>
          <w:tcPr>
            <w:tcW w:w="206" w:type="dxa"/>
            <w:tcBorders/>
            <w:shd w:fill="FFFFFF" w:val="clear"/>
            <w:tcMar>
              <w:bottom w:w="0" w:type="dxa"/>
            </w:tcMar>
            <w:vAlign w:val="center"/>
          </w:tcPr>
          <w:p>
            <w:pPr>
              <w:pStyle w:val="TableContents"/>
              <w:spacing w:before="0" w:after="283"/>
              <w:rPr/>
            </w:pPr>
            <w:r>
              <w:rPr/>
              <w:t> </w:t>
            </w:r>
          </w:p>
        </w:tc>
        <w:tc>
          <w:tcPr>
            <w:tcW w:w="127" w:type="dxa"/>
            <w:tcBorders/>
            <w:shd w:fill="FFFFFF" w:val="clear"/>
            <w:tcMar>
              <w:bottom w:w="0" w:type="dxa"/>
            </w:tcMar>
            <w:vAlign w:val="bottom"/>
          </w:tcPr>
          <w:p>
            <w:pPr>
              <w:pStyle w:val="TableContents"/>
              <w:spacing w:before="0" w:after="283"/>
              <w:jc w:val="left"/>
              <w:rPr/>
            </w:pPr>
            <w:r>
              <w:rPr/>
              <w:t> </w:t>
            </w:r>
          </w:p>
        </w:tc>
        <w:tc>
          <w:tcPr>
            <w:tcW w:w="1203"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4,109</w:t>
            </w:r>
          </w:p>
        </w:tc>
        <w:tc>
          <w:tcPr>
            <w:tcW w:w="206" w:type="dxa"/>
            <w:tcBorders/>
            <w:shd w:fill="FFFFFF" w:val="clear"/>
            <w:tcMar>
              <w:bottom w:w="0" w:type="dxa"/>
            </w:tcMar>
            <w:vAlign w:val="bottom"/>
          </w:tcPr>
          <w:p>
            <w:pPr>
              <w:pStyle w:val="TableContents"/>
              <w:spacing w:before="0" w:after="283"/>
              <w:jc w:val="left"/>
              <w:rPr/>
            </w:pPr>
            <w:r>
              <w:rPr/>
              <w:t> </w:t>
            </w:r>
          </w:p>
        </w:tc>
        <w:tc>
          <w:tcPr>
            <w:tcW w:w="127" w:type="dxa"/>
            <w:tcBorders/>
            <w:shd w:fill="FFFFFF" w:val="clear"/>
            <w:tcMar>
              <w:bottom w:w="0" w:type="dxa"/>
            </w:tcMar>
            <w:vAlign w:val="bottom"/>
          </w:tcPr>
          <w:p>
            <w:pPr>
              <w:pStyle w:val="TableContents"/>
              <w:spacing w:before="0" w:after="283"/>
              <w:jc w:val="left"/>
              <w:rPr/>
            </w:pPr>
            <w:r>
              <w:rPr/>
              <w:t> </w:t>
            </w:r>
          </w:p>
        </w:tc>
        <w:tc>
          <w:tcPr>
            <w:tcW w:w="1203"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76,045</w:t>
            </w:r>
          </w:p>
        </w:tc>
        <w:tc>
          <w:tcPr>
            <w:tcW w:w="119" w:type="dxa"/>
            <w:tcBorders/>
            <w:shd w:fill="FFFFFF" w:val="clear"/>
            <w:tcMar>
              <w:bottom w:w="0" w:type="dxa"/>
            </w:tcMar>
            <w:vAlign w:val="bottom"/>
          </w:tcPr>
          <w:p>
            <w:pPr>
              <w:pStyle w:val="TableContents"/>
              <w:spacing w:before="0" w:after="283"/>
              <w:jc w:val="left"/>
              <w:rPr/>
            </w:pPr>
            <w:r>
              <w:rPr/>
              <w:t> </w:t>
            </w:r>
          </w:p>
        </w:tc>
      </w:tr>
      <w:tr>
        <w:trPr/>
        <w:tc>
          <w:tcPr>
            <w:tcW w:w="7014"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Minority interest</w:t>
            </w:r>
          </w:p>
        </w:tc>
        <w:tc>
          <w:tcPr>
            <w:tcW w:w="206" w:type="dxa"/>
            <w:tcBorders/>
            <w:shd w:fill="CCEEFF" w:val="clear"/>
            <w:tcMar>
              <w:bottom w:w="0" w:type="dxa"/>
            </w:tcMar>
            <w:vAlign w:val="center"/>
          </w:tcPr>
          <w:p>
            <w:pPr>
              <w:pStyle w:val="TableContents"/>
              <w:spacing w:before="0" w:after="283"/>
              <w:rPr/>
            </w:pPr>
            <w:r>
              <w:rPr/>
              <w:t> </w:t>
            </w:r>
          </w:p>
        </w:tc>
        <w:tc>
          <w:tcPr>
            <w:tcW w:w="127" w:type="dxa"/>
            <w:tcBorders/>
            <w:shd w:fill="CCEEFF" w:val="clear"/>
            <w:tcMar>
              <w:bottom w:w="0" w:type="dxa"/>
            </w:tcMar>
            <w:vAlign w:val="bottom"/>
          </w:tcPr>
          <w:p>
            <w:pPr>
              <w:pStyle w:val="TableContents"/>
              <w:spacing w:before="0" w:after="283"/>
              <w:jc w:val="left"/>
              <w:rPr/>
            </w:pPr>
            <w:r>
              <w:rPr/>
              <w:t> </w:t>
            </w:r>
          </w:p>
        </w:tc>
        <w:tc>
          <w:tcPr>
            <w:tcW w:w="1203"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19,067</w:t>
            </w:r>
          </w:p>
        </w:tc>
        <w:tc>
          <w:tcPr>
            <w:tcW w:w="206" w:type="dxa"/>
            <w:tcBorders/>
            <w:shd w:fill="CCEEFF" w:val="clear"/>
            <w:tcMar>
              <w:bottom w:w="0" w:type="dxa"/>
            </w:tcMar>
            <w:vAlign w:val="bottom"/>
          </w:tcPr>
          <w:p>
            <w:pPr>
              <w:pStyle w:val="TableContents"/>
              <w:spacing w:before="0" w:after="283"/>
              <w:jc w:val="left"/>
              <w:rPr/>
            </w:pPr>
            <w:r>
              <w:rPr/>
              <w:t> </w:t>
            </w:r>
          </w:p>
        </w:tc>
        <w:tc>
          <w:tcPr>
            <w:tcW w:w="127" w:type="dxa"/>
            <w:tcBorders/>
            <w:shd w:fill="CCEEFF" w:val="clear"/>
            <w:tcMar>
              <w:bottom w:w="0" w:type="dxa"/>
            </w:tcMar>
            <w:vAlign w:val="bottom"/>
          </w:tcPr>
          <w:p>
            <w:pPr>
              <w:pStyle w:val="TableContents"/>
              <w:spacing w:before="0" w:after="283"/>
              <w:jc w:val="left"/>
              <w:rPr/>
            </w:pPr>
            <w:r>
              <w:rPr/>
              <w:t> </w:t>
            </w:r>
          </w:p>
        </w:tc>
        <w:tc>
          <w:tcPr>
            <w:tcW w:w="1203"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14,025</w:t>
            </w:r>
          </w:p>
        </w:tc>
        <w:tc>
          <w:tcPr>
            <w:tcW w:w="119" w:type="dxa"/>
            <w:tcBorders/>
            <w:shd w:fill="CCEEFF" w:val="clear"/>
            <w:tcMar>
              <w:bottom w:w="0" w:type="dxa"/>
            </w:tcMar>
            <w:vAlign w:val="bottom"/>
          </w:tcPr>
          <w:p>
            <w:pPr>
              <w:pStyle w:val="TableContents"/>
              <w:spacing w:before="0" w:after="283"/>
              <w:jc w:val="left"/>
              <w:rPr/>
            </w:pPr>
            <w:r>
              <w:rPr/>
              <w:t> </w:t>
            </w:r>
          </w:p>
        </w:tc>
      </w:tr>
    </w:tbl>
    <w:p>
      <w:pPr>
        <w:pStyle w:val="TextBody"/>
        <w:spacing w:lineRule="auto" w:line="300" w:before="0" w:after="0"/>
        <w:ind w:left="0" w:right="0" w:hanging="0"/>
        <w:jc w:val="both"/>
        <w:rPr/>
      </w:pPr>
      <w:r>
        <w:rPr/>
      </w:r>
    </w:p>
    <w:p>
      <w:pPr>
        <w:pStyle w:val="TextBody"/>
        <w:spacing w:lineRule="auto" w:line="300" w:before="0" w:after="0"/>
        <w:ind w:left="0" w:right="0" w:hanging="0"/>
        <w:jc w:val="both"/>
        <w:rPr/>
      </w:pPr>
      <w:r>
        <w:rPr/>
      </w:r>
    </w:p>
    <w:p>
      <w:pPr>
        <w:pStyle w:val="TextBody"/>
        <w:spacing w:lineRule="auto" w:line="300" w:before="0" w:after="0"/>
        <w:ind w:left="0" w:right="0" w:hanging="0"/>
        <w:jc w:val="both"/>
        <w:rPr/>
      </w:pPr>
      <w:r>
        <w:rPr>
          <w:rStyle w:val="StrongEmphasis"/>
          <w:rFonts w:ascii="Times New Roman" w:hAnsi="Times New Roman"/>
          <w:sz w:val="20"/>
        </w:rPr>
        <w:t>Condensed Statements of Operations Information (Unaudited):</w:t>
      </w:r>
    </w:p>
    <w:p>
      <w:pPr>
        <w:pStyle w:val="Normal"/>
        <w:spacing w:before="0" w:after="0"/>
        <w:rPr>
          <w:sz w:val="4"/>
          <w:szCs w:val="4"/>
        </w:rPr>
      </w:pPr>
      <w:r>
        <w:rPr>
          <w:sz w:val="4"/>
          <w:szCs w:val="4"/>
        </w:rPr>
      </w:r>
      <w:bookmarkStart w:id="3483" w:name="ftable41"/>
      <w:bookmarkStart w:id="3484" w:name="ftable41"/>
      <w:bookmarkEnd w:id="3484"/>
    </w:p>
    <w:tbl>
      <w:tblPr>
        <w:tblW w:w="5000" w:type="pct"/>
        <w:jc w:val="left"/>
        <w:tblInd w:w="0" w:type="dxa"/>
        <w:tblCellMar>
          <w:top w:w="0" w:type="dxa"/>
          <w:left w:w="0" w:type="dxa"/>
          <w:bottom w:w="28" w:type="dxa"/>
          <w:right w:w="0" w:type="dxa"/>
        </w:tblCellMar>
      </w:tblPr>
      <w:tblGrid>
        <w:gridCol w:w="5519"/>
        <w:gridCol w:w="201"/>
        <w:gridCol w:w="127"/>
        <w:gridCol w:w="1214"/>
        <w:gridCol w:w="201"/>
        <w:gridCol w:w="127"/>
        <w:gridCol w:w="1184"/>
        <w:gridCol w:w="201"/>
        <w:gridCol w:w="127"/>
        <w:gridCol w:w="1184"/>
        <w:gridCol w:w="120"/>
      </w:tblGrid>
      <w:tr>
        <w:trPr/>
        <w:tc>
          <w:tcPr>
            <w:tcW w:w="5519" w:type="dxa"/>
            <w:tcBorders>
              <w:bottom w:val="single" w:sz="4" w:space="0" w:color="FFFFFF"/>
            </w:tcBorders>
            <w:shd w:fill="auto" w:val="clear"/>
            <w:vAlign w:val="bottom"/>
          </w:tcPr>
          <w:p>
            <w:pPr>
              <w:pStyle w:val="TableContents"/>
              <w:spacing w:before="0" w:after="283"/>
              <w:jc w:val="left"/>
              <w:rPr/>
            </w:pPr>
            <w:r>
              <w:rPr/>
              <w:t> </w:t>
            </w:r>
          </w:p>
        </w:tc>
        <w:tc>
          <w:tcPr>
            <w:tcW w:w="201" w:type="dxa"/>
            <w:tcBorders>
              <w:bottom w:val="single" w:sz="2" w:space="0" w:color="FFFFFF"/>
            </w:tcBorders>
            <w:shd w:fill="auto" w:val="clear"/>
            <w:vAlign w:val="center"/>
          </w:tcPr>
          <w:p>
            <w:pPr>
              <w:pStyle w:val="TableContents"/>
              <w:spacing w:before="0" w:after="283"/>
              <w:rPr/>
            </w:pPr>
            <w:r>
              <w:rPr/>
              <w:t> </w:t>
            </w:r>
          </w:p>
        </w:tc>
        <w:tc>
          <w:tcPr>
            <w:tcW w:w="4365" w:type="dxa"/>
            <w:gridSpan w:val="8"/>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December 31,</w:t>
            </w:r>
          </w:p>
        </w:tc>
        <w:tc>
          <w:tcPr>
            <w:tcW w:w="120" w:type="dxa"/>
            <w:tcBorders>
              <w:bottom w:val="single" w:sz="2" w:space="0" w:color="FFFFFF"/>
            </w:tcBorders>
            <w:shd w:fill="auto" w:val="clear"/>
            <w:vAlign w:val="bottom"/>
          </w:tcPr>
          <w:p>
            <w:pPr>
              <w:pStyle w:val="TableContents"/>
              <w:spacing w:before="0" w:after="283"/>
              <w:jc w:val="left"/>
              <w:rPr/>
            </w:pPr>
            <w:r>
              <w:rPr/>
              <w:t> </w:t>
            </w:r>
          </w:p>
        </w:tc>
      </w:tr>
      <w:tr>
        <w:trPr/>
        <w:tc>
          <w:tcPr>
            <w:tcW w:w="5519" w:type="dxa"/>
            <w:tcBorders>
              <w:bottom w:val="double" w:sz="2" w:space="0" w:color="000000"/>
            </w:tcBorders>
            <w:shd w:fill="auto" w:val="clear"/>
            <w:vAlign w:val="bottom"/>
          </w:tcPr>
          <w:p>
            <w:pPr>
              <w:pStyle w:val="TableContents"/>
              <w:spacing w:before="0" w:after="283"/>
              <w:jc w:val="left"/>
              <w:rPr/>
            </w:pPr>
            <w:r>
              <w:rPr/>
              <w:t> </w:t>
            </w:r>
          </w:p>
        </w:tc>
        <w:tc>
          <w:tcPr>
            <w:tcW w:w="201" w:type="dxa"/>
            <w:tcBorders>
              <w:bottom w:val="single" w:sz="4" w:space="0" w:color="FFFFFF"/>
            </w:tcBorders>
            <w:shd w:fill="auto" w:val="clear"/>
            <w:vAlign w:val="center"/>
          </w:tcPr>
          <w:p>
            <w:pPr>
              <w:pStyle w:val="TableContents"/>
              <w:spacing w:before="0" w:after="283"/>
              <w:rPr/>
            </w:pPr>
            <w:r>
              <w:rPr/>
              <w:t> </w:t>
            </w:r>
          </w:p>
        </w:tc>
        <w:tc>
          <w:tcPr>
            <w:tcW w:w="1341"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2006</w:t>
            </w:r>
          </w:p>
        </w:tc>
        <w:tc>
          <w:tcPr>
            <w:tcW w:w="201" w:type="dxa"/>
            <w:tcBorders>
              <w:bottom w:val="single" w:sz="4" w:space="0" w:color="FFFFFF"/>
            </w:tcBorders>
            <w:shd w:fill="auto" w:val="clear"/>
            <w:vAlign w:val="bottom"/>
          </w:tcPr>
          <w:p>
            <w:pPr>
              <w:pStyle w:val="TableContents"/>
              <w:spacing w:before="0" w:after="283"/>
              <w:jc w:val="left"/>
              <w:rPr/>
            </w:pPr>
            <w:r>
              <w:rPr/>
              <w:t> </w:t>
            </w:r>
          </w:p>
        </w:tc>
        <w:tc>
          <w:tcPr>
            <w:tcW w:w="1311"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2005</w:t>
            </w:r>
          </w:p>
        </w:tc>
        <w:tc>
          <w:tcPr>
            <w:tcW w:w="201" w:type="dxa"/>
            <w:tcBorders>
              <w:bottom w:val="single" w:sz="4" w:space="0" w:color="FFFFFF"/>
            </w:tcBorders>
            <w:shd w:fill="auto" w:val="clear"/>
            <w:vAlign w:val="bottom"/>
          </w:tcPr>
          <w:p>
            <w:pPr>
              <w:pStyle w:val="TableContents"/>
              <w:spacing w:before="0" w:after="283"/>
              <w:jc w:val="left"/>
              <w:rPr/>
            </w:pPr>
            <w:r>
              <w:rPr/>
              <w:t> </w:t>
            </w:r>
          </w:p>
        </w:tc>
        <w:tc>
          <w:tcPr>
            <w:tcW w:w="1311"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2004</w:t>
            </w:r>
          </w:p>
        </w:tc>
        <w:tc>
          <w:tcPr>
            <w:tcW w:w="120" w:type="dxa"/>
            <w:tcBorders>
              <w:bottom w:val="single" w:sz="4" w:space="0" w:color="FFFFFF"/>
            </w:tcBorders>
            <w:shd w:fill="auto" w:val="clear"/>
            <w:vAlign w:val="bottom"/>
          </w:tcPr>
          <w:p>
            <w:pPr>
              <w:pStyle w:val="TableContents"/>
              <w:spacing w:before="0" w:after="283"/>
              <w:jc w:val="left"/>
              <w:rPr/>
            </w:pPr>
            <w:r>
              <w:rPr/>
              <w:t> </w:t>
            </w:r>
          </w:p>
        </w:tc>
      </w:tr>
      <w:tr>
        <w:trPr/>
        <w:tc>
          <w:tcPr>
            <w:tcW w:w="5519"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Net revenue</w:t>
            </w:r>
          </w:p>
        </w:tc>
        <w:tc>
          <w:tcPr>
            <w:tcW w:w="201" w:type="dxa"/>
            <w:tcBorders/>
            <w:shd w:fill="CCEEFF" w:val="clear"/>
            <w:tcMar>
              <w:bottom w:w="0" w:type="dxa"/>
            </w:tcMar>
            <w:vAlign w:val="center"/>
          </w:tcPr>
          <w:p>
            <w:pPr>
              <w:pStyle w:val="TableContents"/>
              <w:spacing w:before="0" w:after="283"/>
              <w:rPr/>
            </w:pPr>
            <w:r>
              <w:rPr/>
              <w:t> </w:t>
            </w:r>
          </w:p>
        </w:tc>
        <w:tc>
          <w:tcPr>
            <w:tcW w:w="127"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bookmarkStart w:id="3485" w:name="TAB2179"/>
            <w:bookmarkEnd w:id="3485"/>
          </w:p>
        </w:tc>
        <w:tc>
          <w:tcPr>
            <w:tcW w:w="1214"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3486" w:name="TAB2180"/>
            <w:bookmarkEnd w:id="3486"/>
            <w:r>
              <w:rPr>
                <w:rFonts w:ascii="Times New Roman" w:hAnsi="Times New Roman"/>
                <w:sz w:val="20"/>
              </w:rPr>
              <w:t>135,675</w:t>
            </w:r>
          </w:p>
        </w:tc>
        <w:tc>
          <w:tcPr>
            <w:tcW w:w="201" w:type="dxa"/>
            <w:tcBorders/>
            <w:shd w:fill="CCEEFF" w:val="clear"/>
            <w:tcMar>
              <w:bottom w:w="0" w:type="dxa"/>
            </w:tcMar>
            <w:vAlign w:val="bottom"/>
          </w:tcPr>
          <w:p>
            <w:pPr>
              <w:pStyle w:val="TableContents"/>
              <w:spacing w:before="0" w:after="283"/>
              <w:jc w:val="left"/>
              <w:rPr/>
            </w:pPr>
            <w:r>
              <w:rPr/>
              <w:t> </w:t>
            </w:r>
          </w:p>
        </w:tc>
        <w:tc>
          <w:tcPr>
            <w:tcW w:w="127"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bookmarkStart w:id="3487" w:name="TAB2181"/>
            <w:bookmarkEnd w:id="3487"/>
          </w:p>
        </w:tc>
        <w:tc>
          <w:tcPr>
            <w:tcW w:w="1184"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3488" w:name="TAB2182"/>
            <w:bookmarkEnd w:id="3488"/>
            <w:r>
              <w:rPr>
                <w:rFonts w:ascii="Times New Roman" w:hAnsi="Times New Roman"/>
                <w:sz w:val="20"/>
              </w:rPr>
              <w:t>34,156</w:t>
            </w:r>
          </w:p>
        </w:tc>
        <w:tc>
          <w:tcPr>
            <w:tcW w:w="201" w:type="dxa"/>
            <w:tcBorders/>
            <w:shd w:fill="CCEEFF" w:val="clear"/>
            <w:tcMar>
              <w:bottom w:w="0" w:type="dxa"/>
            </w:tcMar>
            <w:vAlign w:val="bottom"/>
          </w:tcPr>
          <w:p>
            <w:pPr>
              <w:pStyle w:val="TableContents"/>
              <w:spacing w:before="0" w:after="283"/>
              <w:jc w:val="left"/>
              <w:rPr/>
            </w:pPr>
            <w:r>
              <w:rPr/>
              <w:t> </w:t>
            </w:r>
          </w:p>
        </w:tc>
        <w:tc>
          <w:tcPr>
            <w:tcW w:w="127"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bookmarkStart w:id="3489" w:name="TAB2183"/>
            <w:bookmarkEnd w:id="3489"/>
          </w:p>
        </w:tc>
        <w:tc>
          <w:tcPr>
            <w:tcW w:w="1184"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3490" w:name="TAB2184"/>
            <w:bookmarkEnd w:id="3490"/>
            <w:r>
              <w:rPr>
                <w:rFonts w:ascii="Times New Roman" w:hAnsi="Times New Roman"/>
                <w:sz w:val="20"/>
              </w:rPr>
              <w:t>21,195</w:t>
            </w:r>
          </w:p>
        </w:tc>
        <w:tc>
          <w:tcPr>
            <w:tcW w:w="120" w:type="dxa"/>
            <w:tcBorders/>
            <w:shd w:fill="CCEEFF" w:val="clear"/>
            <w:tcMar>
              <w:bottom w:w="0" w:type="dxa"/>
            </w:tcMar>
            <w:vAlign w:val="bottom"/>
          </w:tcPr>
          <w:p>
            <w:pPr>
              <w:pStyle w:val="TableContents"/>
              <w:spacing w:before="0" w:after="283"/>
              <w:jc w:val="left"/>
              <w:rPr/>
            </w:pPr>
            <w:r>
              <w:rPr/>
              <w:t> </w:t>
            </w:r>
          </w:p>
        </w:tc>
      </w:tr>
      <w:tr>
        <w:trPr/>
        <w:tc>
          <w:tcPr>
            <w:tcW w:w="5519"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Operating income</w:t>
            </w:r>
          </w:p>
        </w:tc>
        <w:tc>
          <w:tcPr>
            <w:tcW w:w="201" w:type="dxa"/>
            <w:tcBorders/>
            <w:shd w:fill="FFFFFF" w:val="clear"/>
            <w:tcMar>
              <w:bottom w:w="0" w:type="dxa"/>
            </w:tcMar>
            <w:vAlign w:val="center"/>
          </w:tcPr>
          <w:p>
            <w:pPr>
              <w:pStyle w:val="TableContents"/>
              <w:spacing w:before="0" w:after="283"/>
              <w:rPr/>
            </w:pPr>
            <w:r>
              <w:rPr/>
              <w:t> </w:t>
            </w:r>
          </w:p>
        </w:tc>
        <w:tc>
          <w:tcPr>
            <w:tcW w:w="127" w:type="dxa"/>
            <w:tcBorders/>
            <w:shd w:fill="FFFFFF" w:val="clear"/>
            <w:tcMar>
              <w:bottom w:w="0" w:type="dxa"/>
            </w:tcMar>
            <w:vAlign w:val="bottom"/>
          </w:tcPr>
          <w:p>
            <w:pPr>
              <w:pStyle w:val="TableContents"/>
              <w:spacing w:before="0" w:after="283"/>
              <w:jc w:val="left"/>
              <w:rPr/>
            </w:pPr>
            <w:r>
              <w:rPr/>
              <w:t> </w:t>
            </w:r>
          </w:p>
        </w:tc>
        <w:tc>
          <w:tcPr>
            <w:tcW w:w="1214"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36,608</w:t>
            </w:r>
          </w:p>
        </w:tc>
        <w:tc>
          <w:tcPr>
            <w:tcW w:w="201" w:type="dxa"/>
            <w:tcBorders/>
            <w:shd w:fill="FFFFFF" w:val="clear"/>
            <w:tcMar>
              <w:bottom w:w="0" w:type="dxa"/>
            </w:tcMar>
            <w:vAlign w:val="bottom"/>
          </w:tcPr>
          <w:p>
            <w:pPr>
              <w:pStyle w:val="TableContents"/>
              <w:spacing w:before="0" w:after="283"/>
              <w:jc w:val="left"/>
              <w:rPr/>
            </w:pPr>
            <w:r>
              <w:rPr/>
              <w:t> </w:t>
            </w:r>
          </w:p>
        </w:tc>
        <w:tc>
          <w:tcPr>
            <w:tcW w:w="127" w:type="dxa"/>
            <w:tcBorders/>
            <w:shd w:fill="FFFFFF" w:val="clear"/>
            <w:tcMar>
              <w:bottom w:w="0" w:type="dxa"/>
            </w:tcMar>
            <w:vAlign w:val="bottom"/>
          </w:tcPr>
          <w:p>
            <w:pPr>
              <w:pStyle w:val="TableContents"/>
              <w:spacing w:before="0" w:after="283"/>
              <w:jc w:val="left"/>
              <w:rPr/>
            </w:pPr>
            <w:r>
              <w:rPr/>
              <w:t> </w:t>
            </w:r>
          </w:p>
        </w:tc>
        <w:tc>
          <w:tcPr>
            <w:tcW w:w="1184"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5,347</w:t>
            </w:r>
          </w:p>
        </w:tc>
        <w:tc>
          <w:tcPr>
            <w:tcW w:w="201" w:type="dxa"/>
            <w:tcBorders/>
            <w:shd w:fill="FFFFFF" w:val="clear"/>
            <w:tcMar>
              <w:bottom w:w="0" w:type="dxa"/>
            </w:tcMar>
            <w:vAlign w:val="bottom"/>
          </w:tcPr>
          <w:p>
            <w:pPr>
              <w:pStyle w:val="TableContents"/>
              <w:spacing w:before="0" w:after="283"/>
              <w:jc w:val="left"/>
              <w:rPr/>
            </w:pPr>
            <w:r>
              <w:rPr/>
              <w:t> </w:t>
            </w:r>
          </w:p>
        </w:tc>
        <w:tc>
          <w:tcPr>
            <w:tcW w:w="127" w:type="dxa"/>
            <w:tcBorders/>
            <w:shd w:fill="FFFFFF" w:val="clear"/>
            <w:tcMar>
              <w:bottom w:w="0" w:type="dxa"/>
            </w:tcMar>
            <w:vAlign w:val="bottom"/>
          </w:tcPr>
          <w:p>
            <w:pPr>
              <w:pStyle w:val="TableContents"/>
              <w:spacing w:before="0" w:after="283"/>
              <w:jc w:val="left"/>
              <w:rPr/>
            </w:pPr>
            <w:r>
              <w:rPr/>
              <w:t> </w:t>
            </w:r>
          </w:p>
        </w:tc>
        <w:tc>
          <w:tcPr>
            <w:tcW w:w="1184"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7,971</w:t>
            </w:r>
          </w:p>
        </w:tc>
        <w:tc>
          <w:tcPr>
            <w:tcW w:w="120" w:type="dxa"/>
            <w:tcBorders/>
            <w:shd w:fill="FFFFFF" w:val="clear"/>
            <w:tcMar>
              <w:bottom w:w="0" w:type="dxa"/>
            </w:tcMar>
            <w:vAlign w:val="bottom"/>
          </w:tcPr>
          <w:p>
            <w:pPr>
              <w:pStyle w:val="TableContents"/>
              <w:spacing w:before="0" w:after="283"/>
              <w:jc w:val="left"/>
              <w:rPr/>
            </w:pPr>
            <w:r>
              <w:rPr/>
              <w:t> </w:t>
            </w:r>
          </w:p>
        </w:tc>
      </w:tr>
      <w:tr>
        <w:trPr/>
        <w:tc>
          <w:tcPr>
            <w:tcW w:w="5519"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Net income</w:t>
            </w:r>
          </w:p>
        </w:tc>
        <w:tc>
          <w:tcPr>
            <w:tcW w:w="201" w:type="dxa"/>
            <w:tcBorders/>
            <w:shd w:fill="CCEEFF" w:val="clear"/>
            <w:tcMar>
              <w:bottom w:w="0" w:type="dxa"/>
            </w:tcMar>
            <w:vAlign w:val="center"/>
          </w:tcPr>
          <w:p>
            <w:pPr>
              <w:pStyle w:val="TableContents"/>
              <w:spacing w:before="0" w:after="283"/>
              <w:rPr/>
            </w:pPr>
            <w:r>
              <w:rPr/>
              <w:t> </w:t>
            </w:r>
          </w:p>
        </w:tc>
        <w:tc>
          <w:tcPr>
            <w:tcW w:w="127" w:type="dxa"/>
            <w:tcBorders/>
            <w:shd w:fill="CCEEFF" w:val="clear"/>
            <w:tcMar>
              <w:bottom w:w="0" w:type="dxa"/>
            </w:tcMar>
            <w:vAlign w:val="bottom"/>
          </w:tcPr>
          <w:p>
            <w:pPr>
              <w:pStyle w:val="TableContents"/>
              <w:spacing w:before="0" w:after="283"/>
              <w:jc w:val="left"/>
              <w:rPr/>
            </w:pPr>
            <w:r>
              <w:rPr/>
              <w:t> </w:t>
            </w:r>
          </w:p>
        </w:tc>
        <w:tc>
          <w:tcPr>
            <w:tcW w:w="1214"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35,697</w:t>
            </w:r>
          </w:p>
        </w:tc>
        <w:tc>
          <w:tcPr>
            <w:tcW w:w="201" w:type="dxa"/>
            <w:tcBorders/>
            <w:shd w:fill="CCEEFF" w:val="clear"/>
            <w:tcMar>
              <w:bottom w:w="0" w:type="dxa"/>
            </w:tcMar>
            <w:vAlign w:val="bottom"/>
          </w:tcPr>
          <w:p>
            <w:pPr>
              <w:pStyle w:val="TableContents"/>
              <w:spacing w:before="0" w:after="283"/>
              <w:jc w:val="left"/>
              <w:rPr/>
            </w:pPr>
            <w:r>
              <w:rPr/>
              <w:t> </w:t>
            </w:r>
          </w:p>
        </w:tc>
        <w:tc>
          <w:tcPr>
            <w:tcW w:w="127" w:type="dxa"/>
            <w:tcBorders/>
            <w:shd w:fill="CCEEFF" w:val="clear"/>
            <w:tcMar>
              <w:bottom w:w="0" w:type="dxa"/>
            </w:tcMar>
            <w:vAlign w:val="bottom"/>
          </w:tcPr>
          <w:p>
            <w:pPr>
              <w:pStyle w:val="TableContents"/>
              <w:spacing w:before="0" w:after="283"/>
              <w:jc w:val="left"/>
              <w:rPr/>
            </w:pPr>
            <w:r>
              <w:rPr/>
              <w:t> </w:t>
            </w:r>
          </w:p>
        </w:tc>
        <w:tc>
          <w:tcPr>
            <w:tcW w:w="1184"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4,484</w:t>
            </w:r>
          </w:p>
        </w:tc>
        <w:tc>
          <w:tcPr>
            <w:tcW w:w="201" w:type="dxa"/>
            <w:tcBorders/>
            <w:shd w:fill="CCEEFF" w:val="clear"/>
            <w:tcMar>
              <w:bottom w:w="0" w:type="dxa"/>
            </w:tcMar>
            <w:vAlign w:val="bottom"/>
          </w:tcPr>
          <w:p>
            <w:pPr>
              <w:pStyle w:val="TableContents"/>
              <w:spacing w:before="0" w:after="283"/>
              <w:jc w:val="left"/>
              <w:rPr/>
            </w:pPr>
            <w:r>
              <w:rPr/>
              <w:t> </w:t>
            </w:r>
          </w:p>
        </w:tc>
        <w:tc>
          <w:tcPr>
            <w:tcW w:w="127" w:type="dxa"/>
            <w:tcBorders/>
            <w:shd w:fill="CCEEFF" w:val="clear"/>
            <w:tcMar>
              <w:bottom w:w="0" w:type="dxa"/>
            </w:tcMar>
            <w:vAlign w:val="bottom"/>
          </w:tcPr>
          <w:p>
            <w:pPr>
              <w:pStyle w:val="TableContents"/>
              <w:spacing w:before="0" w:after="283"/>
              <w:jc w:val="left"/>
              <w:rPr/>
            </w:pPr>
            <w:r>
              <w:rPr/>
              <w:t> </w:t>
            </w:r>
          </w:p>
        </w:tc>
        <w:tc>
          <w:tcPr>
            <w:tcW w:w="1184"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4,024</w:t>
            </w:r>
          </w:p>
        </w:tc>
        <w:tc>
          <w:tcPr>
            <w:tcW w:w="120" w:type="dxa"/>
            <w:tcBorders/>
            <w:shd w:fill="CCEEFF" w:val="clear"/>
            <w:tcMar>
              <w:bottom w:w="0" w:type="dxa"/>
            </w:tcMar>
            <w:vAlign w:val="bottom"/>
          </w:tcPr>
          <w:p>
            <w:pPr>
              <w:pStyle w:val="TableContents"/>
              <w:spacing w:before="0" w:after="283"/>
              <w:jc w:val="left"/>
              <w:rPr/>
            </w:pPr>
            <w:r>
              <w:rPr/>
              <w:t> </w:t>
            </w:r>
          </w:p>
        </w:tc>
      </w:tr>
    </w:tbl>
    <w:p>
      <w:pPr>
        <w:pStyle w:val="TextBody"/>
        <w:spacing w:lineRule="auto" w:line="300"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491" w:name="PGBRK96"/>
      <w:bookmarkStart w:id="3492" w:name="PGBRK96"/>
      <w:bookmarkEnd w:id="34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493" w:name="FTR96"/>
      <w:bookmarkStart w:id="3494" w:name="FTR96"/>
      <w:bookmarkEnd w:id="349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495" w:name="GLFTR96"/>
      <w:bookmarkStart w:id="3496" w:name="GLFTR96"/>
      <w:bookmarkEnd w:id="349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3497" w:name="PN96"/>
      <w:bookmarkEnd w:id="3497"/>
      <w:r>
        <w:rPr>
          <w:rFonts w:ascii="Times New Roman" w:hAnsi="Times New Roman"/>
          <w:sz w:val="16"/>
        </w:rPr>
        <w:t>-96-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498" w:name="HDR96"/>
      <w:bookmarkStart w:id="3499" w:name="HDR96"/>
      <w:bookmarkEnd w:id="349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3500" w:name="GLHDR96"/>
        <w:bookmarkEnd w:id="3500"/>
        <w:r>
          <w:rPr>
            <w:rStyle w:val="Emphasis"/>
            <w:rFonts w:ascii="Times New Roman" w:hAnsi="Times New Roman"/>
            <w:color w:val="000000"/>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300" w:before="0" w:after="0"/>
        <w:ind w:left="0" w:right="0" w:hanging="0"/>
        <w:jc w:val="left"/>
        <w:rPr/>
      </w:pPr>
      <w:r>
        <w:rPr>
          <w:rStyle w:val="StrongEmphasis"/>
          <w:rFonts w:ascii="Times New Roman" w:hAnsi="Times New Roman"/>
          <w:sz w:val="20"/>
          <w:u w:val="single"/>
        </w:rPr>
        <w:t>Note 12 - Notes Payable</w:t>
      </w:r>
    </w:p>
    <w:p>
      <w:pPr>
        <w:pStyle w:val="TextBody"/>
        <w:spacing w:lineRule="auto" w:line="300" w:before="0" w:after="0"/>
        <w:ind w:left="0" w:right="0" w:hanging="0"/>
        <w:jc w:val="both"/>
        <w:rPr/>
      </w:pPr>
      <w:r>
        <w:rPr/>
      </w:r>
    </w:p>
    <w:p>
      <w:pPr>
        <w:pStyle w:val="TextBody"/>
        <w:spacing w:lineRule="auto" w:line="300" w:before="0" w:after="0"/>
        <w:ind w:left="0" w:right="0" w:firstLine="720"/>
        <w:jc w:val="left"/>
        <w:rPr>
          <w:rFonts w:ascii="Times New Roman" w:hAnsi="Times New Roman"/>
          <w:sz w:val="20"/>
        </w:rPr>
      </w:pPr>
      <w:r>
        <w:rPr>
          <w:rFonts w:ascii="Times New Roman" w:hAnsi="Times New Roman"/>
          <w:sz w:val="20"/>
        </w:rPr>
        <w:t>Notes payable are summarized as follows (dollars in thousands):</w:t>
      </w:r>
    </w:p>
    <w:p>
      <w:pPr>
        <w:pStyle w:val="TextBody"/>
        <w:spacing w:lineRule="auto" w:line="300" w:before="0" w:after="0"/>
        <w:ind w:left="0" w:right="0" w:hanging="0"/>
        <w:jc w:val="both"/>
        <w:rPr/>
      </w:pPr>
      <w:r>
        <w:rPr/>
      </w:r>
    </w:p>
    <w:p>
      <w:pPr>
        <w:pStyle w:val="Normal"/>
        <w:spacing w:before="0" w:after="0"/>
        <w:rPr>
          <w:sz w:val="4"/>
          <w:szCs w:val="4"/>
        </w:rPr>
      </w:pPr>
      <w:r>
        <w:rPr>
          <w:sz w:val="4"/>
          <w:szCs w:val="4"/>
        </w:rPr>
      </w:r>
      <w:bookmarkStart w:id="3501" w:name="ftable42"/>
      <w:bookmarkStart w:id="3502" w:name="ftable42"/>
      <w:bookmarkEnd w:id="3502"/>
    </w:p>
    <w:tbl>
      <w:tblPr>
        <w:tblW w:w="5000" w:type="pct"/>
        <w:jc w:val="left"/>
        <w:tblInd w:w="0" w:type="dxa"/>
        <w:tblCellMar>
          <w:top w:w="0" w:type="dxa"/>
          <w:left w:w="0" w:type="dxa"/>
          <w:bottom w:w="28" w:type="dxa"/>
          <w:right w:w="0" w:type="dxa"/>
        </w:tblCellMar>
      </w:tblPr>
      <w:tblGrid>
        <w:gridCol w:w="3972"/>
        <w:gridCol w:w="187"/>
        <w:gridCol w:w="114"/>
        <w:gridCol w:w="950"/>
        <w:gridCol w:w="103"/>
        <w:gridCol w:w="114"/>
        <w:gridCol w:w="950"/>
        <w:gridCol w:w="103"/>
        <w:gridCol w:w="103"/>
        <w:gridCol w:w="1049"/>
        <w:gridCol w:w="103"/>
        <w:gridCol w:w="126"/>
        <w:gridCol w:w="992"/>
        <w:gridCol w:w="103"/>
        <w:gridCol w:w="126"/>
        <w:gridCol w:w="991"/>
        <w:gridCol w:w="119"/>
      </w:tblGrid>
      <w:tr>
        <w:trPr/>
        <w:tc>
          <w:tcPr>
            <w:tcW w:w="3972" w:type="dxa"/>
            <w:tcBorders>
              <w:bottom w:val="single" w:sz="4" w:space="0" w:color="FFFFFF"/>
            </w:tcBorders>
            <w:shd w:fill="auto" w:val="clear"/>
            <w:vAlign w:val="bottom"/>
          </w:tcPr>
          <w:p>
            <w:pPr>
              <w:pStyle w:val="TableContents"/>
              <w:spacing w:before="0" w:after="283"/>
              <w:jc w:val="left"/>
              <w:rPr/>
            </w:pPr>
            <w:r>
              <w:rPr/>
              <w:t> </w:t>
            </w:r>
          </w:p>
        </w:tc>
        <w:tc>
          <w:tcPr>
            <w:tcW w:w="187" w:type="dxa"/>
            <w:tcBorders>
              <w:bottom w:val="single" w:sz="2" w:space="0" w:color="FFFFFF"/>
            </w:tcBorders>
            <w:shd w:fill="auto" w:val="clear"/>
            <w:vAlign w:val="center"/>
          </w:tcPr>
          <w:p>
            <w:pPr>
              <w:pStyle w:val="TableContents"/>
              <w:spacing w:before="0" w:after="283"/>
              <w:rPr/>
            </w:pPr>
            <w:r>
              <w:rPr/>
              <w:t> </w:t>
            </w:r>
          </w:p>
        </w:tc>
        <w:tc>
          <w:tcPr>
            <w:tcW w:w="2231" w:type="dxa"/>
            <w:gridSpan w:val="5"/>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December 31,</w:t>
            </w:r>
          </w:p>
        </w:tc>
        <w:tc>
          <w:tcPr>
            <w:tcW w:w="103" w:type="dxa"/>
            <w:tcBorders>
              <w:bottom w:val="single" w:sz="2" w:space="0" w:color="FFFFFF"/>
            </w:tcBorders>
            <w:shd w:fill="auto" w:val="clear"/>
            <w:vAlign w:val="bottom"/>
          </w:tcPr>
          <w:p>
            <w:pPr>
              <w:pStyle w:val="TableContents"/>
              <w:spacing w:before="0" w:after="283"/>
              <w:jc w:val="left"/>
              <w:rPr/>
            </w:pPr>
            <w:r>
              <w:rPr/>
              <w:t> </w:t>
            </w:r>
          </w:p>
        </w:tc>
        <w:tc>
          <w:tcPr>
            <w:tcW w:w="1152" w:type="dxa"/>
            <w:gridSpan w:val="2"/>
            <w:tcBorders>
              <w:bottom w:val="single" w:sz="2" w:space="0" w:color="FFFFFF"/>
            </w:tcBorders>
            <w:shd w:fill="auto" w:val="clear"/>
            <w:vAlign w:val="bottom"/>
          </w:tcPr>
          <w:p>
            <w:pPr>
              <w:pStyle w:val="TableContents"/>
              <w:spacing w:before="0" w:after="283"/>
              <w:jc w:val="both"/>
              <w:rPr/>
            </w:pPr>
            <w:r>
              <w:rPr/>
              <w:t> </w:t>
            </w:r>
          </w:p>
        </w:tc>
        <w:tc>
          <w:tcPr>
            <w:tcW w:w="103" w:type="dxa"/>
            <w:tcBorders>
              <w:bottom w:val="single" w:sz="2" w:space="0" w:color="FFFFFF"/>
            </w:tcBorders>
            <w:shd w:fill="auto" w:val="clear"/>
            <w:vAlign w:val="bottom"/>
          </w:tcPr>
          <w:p>
            <w:pPr>
              <w:pStyle w:val="TableContents"/>
              <w:spacing w:before="0" w:after="283"/>
              <w:jc w:val="left"/>
              <w:rPr/>
            </w:pPr>
            <w:r>
              <w:rPr/>
              <w:t> </w:t>
            </w:r>
          </w:p>
        </w:tc>
        <w:tc>
          <w:tcPr>
            <w:tcW w:w="2338" w:type="dxa"/>
            <w:gridSpan w:val="5"/>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December 31,</w:t>
            </w:r>
          </w:p>
        </w:tc>
        <w:tc>
          <w:tcPr>
            <w:tcW w:w="119" w:type="dxa"/>
            <w:tcBorders>
              <w:bottom w:val="single" w:sz="2" w:space="0" w:color="FFFFFF"/>
            </w:tcBorders>
            <w:shd w:fill="auto" w:val="clear"/>
            <w:vAlign w:val="bottom"/>
          </w:tcPr>
          <w:p>
            <w:pPr>
              <w:pStyle w:val="TableContents"/>
              <w:spacing w:before="0" w:after="283"/>
              <w:jc w:val="left"/>
              <w:rPr/>
            </w:pPr>
            <w:r>
              <w:rPr/>
              <w:t> </w:t>
            </w:r>
          </w:p>
        </w:tc>
      </w:tr>
      <w:tr>
        <w:trPr/>
        <w:tc>
          <w:tcPr>
            <w:tcW w:w="3972" w:type="dxa"/>
            <w:tcBorders>
              <w:bottom w:val="double" w:sz="2" w:space="0" w:color="000000"/>
            </w:tcBorders>
            <w:shd w:fill="auto" w:val="clear"/>
            <w:vAlign w:val="bottom"/>
          </w:tcPr>
          <w:p>
            <w:pPr>
              <w:pStyle w:val="TableContents"/>
              <w:spacing w:lineRule="auto" w:line="300" w:before="0" w:after="0"/>
              <w:ind w:left="0" w:right="0" w:hanging="0"/>
              <w:jc w:val="left"/>
              <w:rPr/>
            </w:pPr>
            <w:r>
              <w:rPr>
                <w:rStyle w:val="StrongEmphasis"/>
                <w:rFonts w:ascii="Times New Roman" w:hAnsi="Times New Roman"/>
                <w:sz w:val="20"/>
              </w:rPr>
              <w:t>Name of Note Payable</w:t>
            </w:r>
          </w:p>
        </w:tc>
        <w:tc>
          <w:tcPr>
            <w:tcW w:w="187" w:type="dxa"/>
            <w:tcBorders>
              <w:bottom w:val="single" w:sz="4" w:space="0" w:color="FFFFFF"/>
            </w:tcBorders>
            <w:shd w:fill="auto" w:val="clear"/>
            <w:vAlign w:val="center"/>
          </w:tcPr>
          <w:p>
            <w:pPr>
              <w:pStyle w:val="TableContents"/>
              <w:spacing w:before="0" w:after="283"/>
              <w:rPr/>
            </w:pPr>
            <w:r>
              <w:rPr/>
              <w:t> </w:t>
            </w:r>
          </w:p>
        </w:tc>
        <w:tc>
          <w:tcPr>
            <w:tcW w:w="1064"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2006</w:t>
            </w:r>
          </w:p>
          <w:p>
            <w:pPr>
              <w:pStyle w:val="TableContents"/>
              <w:spacing w:lineRule="auto" w:line="300" w:before="0" w:after="0"/>
              <w:ind w:left="0" w:right="0" w:hanging="0"/>
              <w:jc w:val="center"/>
              <w:rPr/>
            </w:pPr>
            <w:r>
              <w:rPr>
                <w:rStyle w:val="StrongEmphasis"/>
                <w:rFonts w:ascii="Times New Roman" w:hAnsi="Times New Roman"/>
                <w:sz w:val="20"/>
              </w:rPr>
              <w:t>Interest Rate</w:t>
            </w:r>
          </w:p>
        </w:tc>
        <w:tc>
          <w:tcPr>
            <w:tcW w:w="103" w:type="dxa"/>
            <w:tcBorders>
              <w:bottom w:val="single" w:sz="4" w:space="0" w:color="FFFFFF"/>
            </w:tcBorders>
            <w:shd w:fill="auto" w:val="clear"/>
            <w:vAlign w:val="bottom"/>
          </w:tcPr>
          <w:p>
            <w:pPr>
              <w:pStyle w:val="TableContents"/>
              <w:spacing w:before="0" w:after="283"/>
              <w:jc w:val="left"/>
              <w:rPr/>
            </w:pPr>
            <w:r>
              <w:rPr/>
              <w:t> </w:t>
            </w:r>
          </w:p>
        </w:tc>
        <w:tc>
          <w:tcPr>
            <w:tcW w:w="1064"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2005</w:t>
            </w:r>
          </w:p>
          <w:p>
            <w:pPr>
              <w:pStyle w:val="TableContents"/>
              <w:spacing w:lineRule="auto" w:line="300" w:before="0" w:after="0"/>
              <w:ind w:left="0" w:right="0" w:hanging="0"/>
              <w:jc w:val="center"/>
              <w:rPr/>
            </w:pPr>
            <w:r>
              <w:rPr>
                <w:rStyle w:val="StrongEmphasis"/>
                <w:rFonts w:ascii="Times New Roman" w:hAnsi="Times New Roman"/>
                <w:sz w:val="20"/>
              </w:rPr>
              <w:t>Interest Rate</w:t>
            </w:r>
          </w:p>
        </w:tc>
        <w:tc>
          <w:tcPr>
            <w:tcW w:w="103" w:type="dxa"/>
            <w:tcBorders>
              <w:bottom w:val="single" w:sz="4" w:space="0" w:color="FFFFFF"/>
            </w:tcBorders>
            <w:shd w:fill="auto" w:val="clear"/>
            <w:vAlign w:val="bottom"/>
          </w:tcPr>
          <w:p>
            <w:pPr>
              <w:pStyle w:val="TableContents"/>
              <w:spacing w:before="0" w:after="283"/>
              <w:jc w:val="left"/>
              <w:rPr/>
            </w:pPr>
            <w:r>
              <w:rPr/>
              <w:t> </w:t>
            </w:r>
          </w:p>
        </w:tc>
        <w:tc>
          <w:tcPr>
            <w:tcW w:w="1152"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Maturity Date</w:t>
            </w:r>
          </w:p>
        </w:tc>
        <w:tc>
          <w:tcPr>
            <w:tcW w:w="103" w:type="dxa"/>
            <w:tcBorders>
              <w:bottom w:val="single" w:sz="4" w:space="0" w:color="FFFFFF"/>
            </w:tcBorders>
            <w:shd w:fill="auto" w:val="clear"/>
            <w:vAlign w:val="bottom"/>
          </w:tcPr>
          <w:p>
            <w:pPr>
              <w:pStyle w:val="TableContents"/>
              <w:spacing w:before="0" w:after="283"/>
              <w:jc w:val="left"/>
              <w:rPr/>
            </w:pPr>
            <w:r>
              <w:rPr/>
              <w:t> </w:t>
            </w:r>
          </w:p>
        </w:tc>
        <w:tc>
          <w:tcPr>
            <w:tcW w:w="1118"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2006 Balance</w:t>
            </w:r>
          </w:p>
        </w:tc>
        <w:tc>
          <w:tcPr>
            <w:tcW w:w="103" w:type="dxa"/>
            <w:tcBorders>
              <w:bottom w:val="single" w:sz="4" w:space="0" w:color="FFFFFF"/>
            </w:tcBorders>
            <w:shd w:fill="auto" w:val="clear"/>
            <w:vAlign w:val="bottom"/>
          </w:tcPr>
          <w:p>
            <w:pPr>
              <w:pStyle w:val="TableContents"/>
              <w:spacing w:before="0" w:after="283"/>
              <w:jc w:val="left"/>
              <w:rPr/>
            </w:pPr>
            <w:r>
              <w:rPr/>
              <w:t> </w:t>
            </w:r>
          </w:p>
        </w:tc>
        <w:tc>
          <w:tcPr>
            <w:tcW w:w="1117"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2005 Balance</w:t>
            </w:r>
          </w:p>
        </w:tc>
        <w:tc>
          <w:tcPr>
            <w:tcW w:w="119" w:type="dxa"/>
            <w:tcBorders>
              <w:bottom w:val="single" w:sz="4" w:space="0" w:color="FFFFFF"/>
            </w:tcBorders>
            <w:shd w:fill="auto" w:val="clear"/>
            <w:vAlign w:val="bottom"/>
          </w:tcPr>
          <w:p>
            <w:pPr>
              <w:pStyle w:val="TableContents"/>
              <w:spacing w:before="0" w:after="283"/>
              <w:jc w:val="left"/>
              <w:rPr/>
            </w:pPr>
            <w:r>
              <w:rPr/>
              <w:t> </w:t>
            </w:r>
          </w:p>
        </w:tc>
      </w:tr>
      <w:tr>
        <w:trPr/>
        <w:tc>
          <w:tcPr>
            <w:tcW w:w="3972"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Australian Corporate Credit Facility</w:t>
            </w:r>
          </w:p>
        </w:tc>
        <w:tc>
          <w:tcPr>
            <w:tcW w:w="187" w:type="dxa"/>
            <w:tcBorders/>
            <w:shd w:fill="CCEEFF" w:val="clear"/>
            <w:tcMar>
              <w:bottom w:w="0" w:type="dxa"/>
            </w:tcMar>
            <w:vAlign w:val="center"/>
          </w:tcPr>
          <w:p>
            <w:pPr>
              <w:pStyle w:val="TableContents"/>
              <w:spacing w:before="0" w:after="283"/>
              <w:rPr/>
            </w:pPr>
            <w:r>
              <w:rPr/>
              <w:t> </w:t>
            </w:r>
          </w:p>
        </w:tc>
        <w:tc>
          <w:tcPr>
            <w:tcW w:w="114" w:type="dxa"/>
            <w:tcBorders/>
            <w:shd w:fill="CCEEFF" w:val="clear"/>
            <w:tcMar>
              <w:bottom w:w="0" w:type="dxa"/>
            </w:tcMar>
            <w:vAlign w:val="bottom"/>
          </w:tcPr>
          <w:p>
            <w:pPr>
              <w:pStyle w:val="TableContents"/>
              <w:spacing w:before="0" w:after="283"/>
              <w:jc w:val="left"/>
              <w:rPr/>
            </w:pPr>
            <w:r>
              <w:rPr/>
              <w:t> </w:t>
            </w:r>
          </w:p>
        </w:tc>
        <w:tc>
          <w:tcPr>
            <w:tcW w:w="950" w:type="dxa"/>
            <w:tcBorders/>
            <w:shd w:fill="CCEEFF" w:val="clear"/>
            <w:tcMar>
              <w:bottom w:w="0" w:type="dxa"/>
            </w:tcM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7.33%</w:t>
            </w:r>
          </w:p>
        </w:tc>
        <w:tc>
          <w:tcPr>
            <w:tcW w:w="103" w:type="dxa"/>
            <w:tcBorders/>
            <w:shd w:fill="CCEEFF" w:val="clear"/>
            <w:tcMar>
              <w:bottom w:w="0" w:type="dxa"/>
            </w:tcMar>
            <w:vAlign w:val="bottom"/>
          </w:tcPr>
          <w:p>
            <w:pPr>
              <w:pStyle w:val="TableContents"/>
              <w:spacing w:lineRule="auto" w:line="300" w:before="0" w:after="0"/>
              <w:ind w:left="0" w:right="0" w:hanging="0"/>
              <w:jc w:val="left"/>
              <w:rPr/>
            </w:pPr>
            <w:r>
              <w:rPr/>
              <w:t> </w:t>
            </w:r>
          </w:p>
        </w:tc>
        <w:tc>
          <w:tcPr>
            <w:tcW w:w="114" w:type="dxa"/>
            <w:tcBorders/>
            <w:shd w:fill="CCEEFF" w:val="clear"/>
            <w:tcMar>
              <w:bottom w:w="0" w:type="dxa"/>
            </w:tcMar>
            <w:vAlign w:val="bottom"/>
          </w:tcPr>
          <w:p>
            <w:pPr>
              <w:pStyle w:val="TableContents"/>
              <w:spacing w:before="0" w:after="283"/>
              <w:jc w:val="left"/>
              <w:rPr/>
            </w:pPr>
            <w:r>
              <w:rPr/>
              <w:t> </w:t>
            </w:r>
          </w:p>
        </w:tc>
        <w:tc>
          <w:tcPr>
            <w:tcW w:w="950" w:type="dxa"/>
            <w:tcBorders/>
            <w:shd w:fill="CCEEFF" w:val="clear"/>
            <w:tcMar>
              <w:bottom w:w="0" w:type="dxa"/>
            </w:tcM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6.96%</w:t>
            </w:r>
          </w:p>
        </w:tc>
        <w:tc>
          <w:tcPr>
            <w:tcW w:w="103" w:type="dxa"/>
            <w:tcBorders/>
            <w:shd w:fill="CCEEFF" w:val="clear"/>
            <w:tcMar>
              <w:bottom w:w="0" w:type="dxa"/>
            </w:tcMar>
            <w:vAlign w:val="bottom"/>
          </w:tcPr>
          <w:p>
            <w:pPr>
              <w:pStyle w:val="TableContents"/>
              <w:spacing w:lineRule="auto" w:line="300" w:before="0" w:after="0"/>
              <w:ind w:left="0" w:right="0" w:hanging="0"/>
              <w:jc w:val="left"/>
              <w:rPr/>
            </w:pPr>
            <w:r>
              <w:rPr/>
              <w:t> </w:t>
            </w:r>
          </w:p>
        </w:tc>
        <w:tc>
          <w:tcPr>
            <w:tcW w:w="103" w:type="dxa"/>
            <w:tcBorders/>
            <w:shd w:fill="CCEEFF" w:val="clear"/>
            <w:tcMar>
              <w:bottom w:w="0" w:type="dxa"/>
            </w:tcMar>
            <w:vAlign w:val="bottom"/>
          </w:tcPr>
          <w:p>
            <w:pPr>
              <w:pStyle w:val="TableContents"/>
              <w:spacing w:before="0" w:after="283"/>
              <w:jc w:val="left"/>
              <w:rPr/>
            </w:pPr>
            <w:r>
              <w:rPr/>
              <w:t> </w:t>
            </w:r>
          </w:p>
        </w:tc>
        <w:tc>
          <w:tcPr>
            <w:tcW w:w="1049" w:type="dxa"/>
            <w:tcBorders/>
            <w:shd w:fill="CCEEFF" w:val="clear"/>
            <w:tcMar>
              <w:bottom w:w="0" w:type="dxa"/>
            </w:tcM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January 1, 2009</w:t>
            </w:r>
          </w:p>
        </w:tc>
        <w:tc>
          <w:tcPr>
            <w:tcW w:w="103" w:type="dxa"/>
            <w:tcBorders/>
            <w:shd w:fill="CCEEFF" w:val="clear"/>
            <w:tcMar>
              <w:bottom w:w="0" w:type="dxa"/>
            </w:tcMar>
            <w:vAlign w:val="bottom"/>
          </w:tcPr>
          <w:p>
            <w:pPr>
              <w:pStyle w:val="TableContents"/>
              <w:spacing w:before="0" w:after="283"/>
              <w:jc w:val="left"/>
              <w:rPr/>
            </w:pPr>
            <w:r>
              <w:rPr/>
              <w:t> </w:t>
            </w:r>
          </w:p>
        </w:tc>
        <w:tc>
          <w:tcPr>
            <w:tcW w:w="126"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992"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70,516</w:t>
            </w:r>
          </w:p>
        </w:tc>
        <w:tc>
          <w:tcPr>
            <w:tcW w:w="103" w:type="dxa"/>
            <w:tcBorders/>
            <w:shd w:fill="CCEEFF" w:val="clear"/>
            <w:tcMar>
              <w:bottom w:w="0" w:type="dxa"/>
            </w:tcMar>
            <w:vAlign w:val="bottom"/>
          </w:tcPr>
          <w:p>
            <w:pPr>
              <w:pStyle w:val="TableContents"/>
              <w:spacing w:before="0" w:after="283"/>
              <w:jc w:val="left"/>
              <w:rPr/>
            </w:pPr>
            <w:r>
              <w:rPr/>
              <w:t> </w:t>
            </w:r>
          </w:p>
        </w:tc>
        <w:tc>
          <w:tcPr>
            <w:tcW w:w="126"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991"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32,442</w:t>
            </w:r>
          </w:p>
        </w:tc>
        <w:tc>
          <w:tcPr>
            <w:tcW w:w="119" w:type="dxa"/>
            <w:tcBorders/>
            <w:shd w:fill="CCEEFF" w:val="clear"/>
            <w:tcMar>
              <w:bottom w:w="0" w:type="dxa"/>
            </w:tcMar>
            <w:vAlign w:val="bottom"/>
          </w:tcPr>
          <w:p>
            <w:pPr>
              <w:pStyle w:val="TableContents"/>
              <w:spacing w:before="0" w:after="283"/>
              <w:jc w:val="left"/>
              <w:rPr/>
            </w:pPr>
            <w:r>
              <w:rPr/>
              <w:t> </w:t>
            </w:r>
          </w:p>
        </w:tc>
      </w:tr>
      <w:tr>
        <w:trPr/>
        <w:tc>
          <w:tcPr>
            <w:tcW w:w="3972"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Australian Newmarket Construction Loan</w:t>
            </w:r>
          </w:p>
        </w:tc>
        <w:tc>
          <w:tcPr>
            <w:tcW w:w="187" w:type="dxa"/>
            <w:tcBorders/>
            <w:shd w:fill="FFFFFF" w:val="clear"/>
            <w:tcMar>
              <w:bottom w:w="0" w:type="dxa"/>
            </w:tcMar>
            <w:vAlign w:val="center"/>
          </w:tcPr>
          <w:p>
            <w:pPr>
              <w:pStyle w:val="TableContents"/>
              <w:spacing w:before="0" w:after="283"/>
              <w:rPr/>
            </w:pPr>
            <w:r>
              <w:rPr/>
              <w:t> </w:t>
            </w:r>
          </w:p>
        </w:tc>
        <w:tc>
          <w:tcPr>
            <w:tcW w:w="114" w:type="dxa"/>
            <w:tcBorders/>
            <w:shd w:fill="FFFFFF" w:val="clear"/>
            <w:tcMar>
              <w:bottom w:w="0" w:type="dxa"/>
            </w:tcMar>
            <w:vAlign w:val="bottom"/>
          </w:tcPr>
          <w:p>
            <w:pPr>
              <w:pStyle w:val="TableContents"/>
              <w:spacing w:before="0" w:after="283"/>
              <w:jc w:val="left"/>
              <w:rPr/>
            </w:pPr>
            <w:r>
              <w:rPr/>
              <w:t> </w:t>
            </w:r>
          </w:p>
        </w:tc>
        <w:tc>
          <w:tcPr>
            <w:tcW w:w="950" w:type="dxa"/>
            <w:tcBorders/>
            <w:shd w:fill="FFFFFF" w:val="clear"/>
            <w:tcMar>
              <w:bottom w:w="0" w:type="dxa"/>
            </w:tcM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N/A</w:t>
            </w:r>
          </w:p>
        </w:tc>
        <w:tc>
          <w:tcPr>
            <w:tcW w:w="103" w:type="dxa"/>
            <w:tcBorders/>
            <w:shd w:fill="FFFFFF" w:val="clear"/>
            <w:tcMar>
              <w:bottom w:w="0" w:type="dxa"/>
            </w:tcMar>
            <w:vAlign w:val="bottom"/>
          </w:tcPr>
          <w:p>
            <w:pPr>
              <w:pStyle w:val="TableContents"/>
              <w:spacing w:before="0" w:after="283"/>
              <w:jc w:val="left"/>
              <w:rPr/>
            </w:pPr>
            <w:r>
              <w:rPr/>
              <w:t> </w:t>
            </w:r>
          </w:p>
        </w:tc>
        <w:tc>
          <w:tcPr>
            <w:tcW w:w="114" w:type="dxa"/>
            <w:tcBorders/>
            <w:shd w:fill="FFFFFF" w:val="clear"/>
            <w:tcMar>
              <w:bottom w:w="0" w:type="dxa"/>
            </w:tcMar>
            <w:vAlign w:val="bottom"/>
          </w:tcPr>
          <w:p>
            <w:pPr>
              <w:pStyle w:val="TableContents"/>
              <w:spacing w:before="0" w:after="283"/>
              <w:jc w:val="left"/>
              <w:rPr/>
            </w:pPr>
            <w:r>
              <w:rPr/>
              <w:t> </w:t>
            </w:r>
          </w:p>
        </w:tc>
        <w:tc>
          <w:tcPr>
            <w:tcW w:w="950" w:type="dxa"/>
            <w:tcBorders/>
            <w:shd w:fill="FFFFFF" w:val="clear"/>
            <w:tcMar>
              <w:bottom w:w="0" w:type="dxa"/>
            </w:tcM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7.34%</w:t>
            </w:r>
          </w:p>
        </w:tc>
        <w:tc>
          <w:tcPr>
            <w:tcW w:w="103" w:type="dxa"/>
            <w:tcBorders/>
            <w:shd w:fill="FFFFFF" w:val="clear"/>
            <w:tcMar>
              <w:bottom w:w="0" w:type="dxa"/>
            </w:tcMar>
            <w:vAlign w:val="bottom"/>
          </w:tcPr>
          <w:p>
            <w:pPr>
              <w:pStyle w:val="TableContents"/>
              <w:spacing w:lineRule="auto" w:line="300" w:before="0" w:after="0"/>
              <w:ind w:left="0" w:right="0" w:hanging="0"/>
              <w:jc w:val="left"/>
              <w:rPr/>
            </w:pPr>
            <w:r>
              <w:rPr/>
              <w:t> </w:t>
            </w:r>
          </w:p>
        </w:tc>
        <w:tc>
          <w:tcPr>
            <w:tcW w:w="103" w:type="dxa"/>
            <w:tcBorders/>
            <w:shd w:fill="FFFFFF" w:val="clear"/>
            <w:tcMar>
              <w:bottom w:w="0" w:type="dxa"/>
            </w:tcMar>
            <w:vAlign w:val="bottom"/>
          </w:tcPr>
          <w:p>
            <w:pPr>
              <w:pStyle w:val="TableContents"/>
              <w:spacing w:before="0" w:after="283"/>
              <w:jc w:val="left"/>
              <w:rPr/>
            </w:pPr>
            <w:r>
              <w:rPr/>
              <w:t> </w:t>
            </w:r>
          </w:p>
        </w:tc>
        <w:tc>
          <w:tcPr>
            <w:tcW w:w="1049" w:type="dxa"/>
            <w:tcBorders/>
            <w:shd w:fill="FFFFFF" w:val="clear"/>
            <w:tcMar>
              <w:bottom w:w="0" w:type="dxa"/>
            </w:tcM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January 1, 2009</w:t>
            </w:r>
          </w:p>
        </w:tc>
        <w:tc>
          <w:tcPr>
            <w:tcW w:w="103" w:type="dxa"/>
            <w:tcBorders/>
            <w:shd w:fill="FFFFFF" w:val="clear"/>
            <w:tcMar>
              <w:bottom w:w="0" w:type="dxa"/>
            </w:tcMar>
            <w:vAlign w:val="bottom"/>
          </w:tcPr>
          <w:p>
            <w:pPr>
              <w:pStyle w:val="TableContents"/>
              <w:spacing w:before="0" w:after="283"/>
              <w:jc w:val="left"/>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992"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103" w:type="dxa"/>
            <w:tcBorders/>
            <w:shd w:fill="FFFFFF" w:val="clear"/>
            <w:tcMar>
              <w:bottom w:w="0" w:type="dxa"/>
            </w:tcMar>
            <w:vAlign w:val="bottom"/>
          </w:tcPr>
          <w:p>
            <w:pPr>
              <w:pStyle w:val="TableContents"/>
              <w:spacing w:before="0" w:after="283"/>
              <w:jc w:val="left"/>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991"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21,701</w:t>
            </w:r>
          </w:p>
        </w:tc>
        <w:tc>
          <w:tcPr>
            <w:tcW w:w="119" w:type="dxa"/>
            <w:tcBorders/>
            <w:shd w:fill="FFFFFF" w:val="clear"/>
            <w:tcMar>
              <w:bottom w:w="0" w:type="dxa"/>
            </w:tcMar>
            <w:vAlign w:val="bottom"/>
          </w:tcPr>
          <w:p>
            <w:pPr>
              <w:pStyle w:val="TableContents"/>
              <w:spacing w:before="0" w:after="283"/>
              <w:jc w:val="left"/>
              <w:rPr/>
            </w:pPr>
            <w:r>
              <w:rPr/>
              <w:t> </w:t>
            </w:r>
          </w:p>
        </w:tc>
      </w:tr>
      <w:tr>
        <w:trPr/>
        <w:tc>
          <w:tcPr>
            <w:tcW w:w="3972"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Australian Shopping Center Loans</w:t>
            </w:r>
          </w:p>
        </w:tc>
        <w:tc>
          <w:tcPr>
            <w:tcW w:w="187" w:type="dxa"/>
            <w:tcBorders/>
            <w:shd w:fill="CCEEFF" w:val="clear"/>
            <w:tcMar>
              <w:bottom w:w="0" w:type="dxa"/>
            </w:tcMar>
            <w:vAlign w:val="center"/>
          </w:tcPr>
          <w:p>
            <w:pPr>
              <w:pStyle w:val="TableContents"/>
              <w:spacing w:before="0" w:after="283"/>
              <w:rPr/>
            </w:pPr>
            <w:r>
              <w:rPr/>
              <w:t> </w:t>
            </w:r>
          </w:p>
        </w:tc>
        <w:tc>
          <w:tcPr>
            <w:tcW w:w="114" w:type="dxa"/>
            <w:tcBorders/>
            <w:shd w:fill="CCEEFF" w:val="clear"/>
            <w:tcMar>
              <w:bottom w:w="0" w:type="dxa"/>
            </w:tcMar>
            <w:vAlign w:val="bottom"/>
          </w:tcPr>
          <w:p>
            <w:pPr>
              <w:pStyle w:val="TableContents"/>
              <w:spacing w:before="0" w:after="283"/>
              <w:jc w:val="left"/>
              <w:rPr/>
            </w:pPr>
            <w:r>
              <w:rPr/>
              <w:t> </w:t>
            </w:r>
          </w:p>
        </w:tc>
        <w:tc>
          <w:tcPr>
            <w:tcW w:w="950" w:type="dxa"/>
            <w:tcBorders/>
            <w:shd w:fill="CCEEFF" w:val="clear"/>
            <w:tcMar>
              <w:bottom w:w="0" w:type="dxa"/>
            </w:tcM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w:t>
            </w:r>
          </w:p>
        </w:tc>
        <w:tc>
          <w:tcPr>
            <w:tcW w:w="103" w:type="dxa"/>
            <w:tcBorders/>
            <w:shd w:fill="CCEEFF" w:val="clear"/>
            <w:tcMar>
              <w:bottom w:w="0" w:type="dxa"/>
            </w:tcMar>
            <w:vAlign w:val="bottom"/>
          </w:tcPr>
          <w:p>
            <w:pPr>
              <w:pStyle w:val="TableContents"/>
              <w:spacing w:before="0" w:after="283"/>
              <w:jc w:val="left"/>
              <w:rPr/>
            </w:pPr>
            <w:r>
              <w:rPr/>
              <w:t> </w:t>
            </w:r>
          </w:p>
        </w:tc>
        <w:tc>
          <w:tcPr>
            <w:tcW w:w="114" w:type="dxa"/>
            <w:tcBorders/>
            <w:shd w:fill="CCEEFF" w:val="clear"/>
            <w:tcMar>
              <w:bottom w:w="0" w:type="dxa"/>
            </w:tcMar>
            <w:vAlign w:val="bottom"/>
          </w:tcPr>
          <w:p>
            <w:pPr>
              <w:pStyle w:val="TableContents"/>
              <w:spacing w:before="0" w:after="283"/>
              <w:jc w:val="left"/>
              <w:rPr/>
            </w:pPr>
            <w:r>
              <w:rPr/>
              <w:t> </w:t>
            </w:r>
          </w:p>
        </w:tc>
        <w:tc>
          <w:tcPr>
            <w:tcW w:w="950" w:type="dxa"/>
            <w:tcBorders/>
            <w:shd w:fill="CCEEFF" w:val="clear"/>
            <w:tcMar>
              <w:bottom w:w="0" w:type="dxa"/>
            </w:tcM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w:t>
            </w:r>
          </w:p>
        </w:tc>
        <w:tc>
          <w:tcPr>
            <w:tcW w:w="103" w:type="dxa"/>
            <w:tcBorders/>
            <w:shd w:fill="CCEEFF" w:val="clear"/>
            <w:tcMar>
              <w:bottom w:w="0" w:type="dxa"/>
            </w:tcMar>
            <w:vAlign w:val="bottom"/>
          </w:tcPr>
          <w:p>
            <w:pPr>
              <w:pStyle w:val="TableContents"/>
              <w:spacing w:before="0" w:after="283"/>
              <w:jc w:val="left"/>
              <w:rPr/>
            </w:pPr>
            <w:r>
              <w:rPr/>
              <w:t> </w:t>
            </w:r>
          </w:p>
        </w:tc>
        <w:tc>
          <w:tcPr>
            <w:tcW w:w="103" w:type="dxa"/>
            <w:tcBorders/>
            <w:shd w:fill="CCEEFF" w:val="clear"/>
            <w:tcMar>
              <w:bottom w:w="0" w:type="dxa"/>
            </w:tcMar>
            <w:vAlign w:val="bottom"/>
          </w:tcPr>
          <w:p>
            <w:pPr>
              <w:pStyle w:val="TableContents"/>
              <w:spacing w:before="0" w:after="283"/>
              <w:jc w:val="left"/>
              <w:rPr/>
            </w:pPr>
            <w:r>
              <w:rPr/>
              <w:t> </w:t>
            </w:r>
          </w:p>
        </w:tc>
        <w:tc>
          <w:tcPr>
            <w:tcW w:w="1049" w:type="dxa"/>
            <w:tcBorders/>
            <w:shd w:fill="CCEEFF" w:val="clear"/>
            <w:tcMar>
              <w:bottom w:w="0" w:type="dxa"/>
            </w:tcM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2007-2013</w:t>
            </w:r>
          </w:p>
        </w:tc>
        <w:tc>
          <w:tcPr>
            <w:tcW w:w="103" w:type="dxa"/>
            <w:tcBorders/>
            <w:shd w:fill="CCEEFF" w:val="clear"/>
            <w:tcMar>
              <w:bottom w:w="0" w:type="dxa"/>
            </w:tcMar>
            <w:vAlign w:val="bottom"/>
          </w:tcPr>
          <w:p>
            <w:pPr>
              <w:pStyle w:val="TableContents"/>
              <w:spacing w:before="0" w:after="283"/>
              <w:jc w:val="left"/>
              <w:rPr/>
            </w:pPr>
            <w:r>
              <w:rPr/>
              <w:t> </w:t>
            </w:r>
          </w:p>
        </w:tc>
        <w:tc>
          <w:tcPr>
            <w:tcW w:w="126" w:type="dxa"/>
            <w:tcBorders/>
            <w:shd w:fill="CCEEFF" w:val="clear"/>
            <w:tcMar>
              <w:bottom w:w="0" w:type="dxa"/>
            </w:tcMar>
            <w:vAlign w:val="bottom"/>
          </w:tcPr>
          <w:p>
            <w:pPr>
              <w:pStyle w:val="TableContents"/>
              <w:spacing w:before="0" w:after="283"/>
              <w:jc w:val="left"/>
              <w:rPr/>
            </w:pPr>
            <w:r>
              <w:rPr/>
              <w:t> </w:t>
            </w:r>
          </w:p>
        </w:tc>
        <w:tc>
          <w:tcPr>
            <w:tcW w:w="992"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1,147</w:t>
            </w:r>
          </w:p>
        </w:tc>
        <w:tc>
          <w:tcPr>
            <w:tcW w:w="103" w:type="dxa"/>
            <w:tcBorders/>
            <w:shd w:fill="CCEEFF" w:val="clear"/>
            <w:tcMar>
              <w:bottom w:w="0" w:type="dxa"/>
            </w:tcMar>
            <w:vAlign w:val="bottom"/>
          </w:tcPr>
          <w:p>
            <w:pPr>
              <w:pStyle w:val="TableContents"/>
              <w:spacing w:before="0" w:after="283"/>
              <w:jc w:val="left"/>
              <w:rPr/>
            </w:pPr>
            <w:r>
              <w:rPr/>
              <w:t> </w:t>
            </w:r>
          </w:p>
        </w:tc>
        <w:tc>
          <w:tcPr>
            <w:tcW w:w="126" w:type="dxa"/>
            <w:tcBorders/>
            <w:shd w:fill="CCEEFF" w:val="clear"/>
            <w:tcMar>
              <w:bottom w:w="0" w:type="dxa"/>
            </w:tcMar>
            <w:vAlign w:val="bottom"/>
          </w:tcPr>
          <w:p>
            <w:pPr>
              <w:pStyle w:val="TableContents"/>
              <w:spacing w:before="0" w:after="283"/>
              <w:jc w:val="left"/>
              <w:rPr/>
            </w:pPr>
            <w:r>
              <w:rPr/>
              <w:t> </w:t>
            </w:r>
          </w:p>
        </w:tc>
        <w:tc>
          <w:tcPr>
            <w:tcW w:w="991"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1,169</w:t>
            </w:r>
          </w:p>
        </w:tc>
        <w:tc>
          <w:tcPr>
            <w:tcW w:w="119" w:type="dxa"/>
            <w:tcBorders/>
            <w:shd w:fill="CCEEFF" w:val="clear"/>
            <w:tcMar>
              <w:bottom w:w="0" w:type="dxa"/>
            </w:tcMar>
            <w:vAlign w:val="bottom"/>
          </w:tcPr>
          <w:p>
            <w:pPr>
              <w:pStyle w:val="TableContents"/>
              <w:spacing w:before="0" w:after="283"/>
              <w:jc w:val="left"/>
              <w:rPr/>
            </w:pPr>
            <w:r>
              <w:rPr/>
              <w:t> </w:t>
            </w:r>
          </w:p>
        </w:tc>
      </w:tr>
      <w:tr>
        <w:trPr/>
        <w:tc>
          <w:tcPr>
            <w:tcW w:w="3972"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New Zealand Corporate Credit Facility</w:t>
            </w:r>
          </w:p>
        </w:tc>
        <w:tc>
          <w:tcPr>
            <w:tcW w:w="187" w:type="dxa"/>
            <w:tcBorders/>
            <w:shd w:fill="FFFFFF" w:val="clear"/>
            <w:tcMar>
              <w:bottom w:w="0" w:type="dxa"/>
            </w:tcMar>
            <w:vAlign w:val="center"/>
          </w:tcPr>
          <w:p>
            <w:pPr>
              <w:pStyle w:val="TableContents"/>
              <w:spacing w:before="0" w:after="283"/>
              <w:rPr/>
            </w:pPr>
            <w:r>
              <w:rPr/>
              <w:t> </w:t>
            </w:r>
          </w:p>
        </w:tc>
        <w:tc>
          <w:tcPr>
            <w:tcW w:w="114" w:type="dxa"/>
            <w:tcBorders/>
            <w:shd w:fill="FFFFFF" w:val="clear"/>
            <w:tcMar>
              <w:bottom w:w="0" w:type="dxa"/>
            </w:tcMar>
            <w:vAlign w:val="bottom"/>
          </w:tcPr>
          <w:p>
            <w:pPr>
              <w:pStyle w:val="TableContents"/>
              <w:spacing w:before="0" w:after="283"/>
              <w:jc w:val="left"/>
              <w:rPr/>
            </w:pPr>
            <w:r>
              <w:rPr/>
              <w:t> </w:t>
            </w:r>
          </w:p>
        </w:tc>
        <w:tc>
          <w:tcPr>
            <w:tcW w:w="950" w:type="dxa"/>
            <w:tcBorders/>
            <w:shd w:fill="FFFFFF" w:val="clear"/>
            <w:tcMar>
              <w:bottom w:w="0" w:type="dxa"/>
            </w:tcM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9.15%</w:t>
            </w:r>
          </w:p>
        </w:tc>
        <w:tc>
          <w:tcPr>
            <w:tcW w:w="103" w:type="dxa"/>
            <w:tcBorders/>
            <w:shd w:fill="FFFFFF" w:val="clear"/>
            <w:tcMar>
              <w:bottom w:w="0" w:type="dxa"/>
            </w:tcMar>
            <w:vAlign w:val="bottom"/>
          </w:tcPr>
          <w:p>
            <w:pPr>
              <w:pStyle w:val="TableContents"/>
              <w:spacing w:lineRule="auto" w:line="300" w:before="0" w:after="0"/>
              <w:ind w:left="0" w:right="0" w:hanging="0"/>
              <w:jc w:val="left"/>
              <w:rPr/>
            </w:pPr>
            <w:r>
              <w:rPr/>
              <w:t> </w:t>
            </w:r>
          </w:p>
        </w:tc>
        <w:tc>
          <w:tcPr>
            <w:tcW w:w="114" w:type="dxa"/>
            <w:tcBorders/>
            <w:shd w:fill="FFFFFF" w:val="clear"/>
            <w:tcMar>
              <w:bottom w:w="0" w:type="dxa"/>
            </w:tcMar>
            <w:vAlign w:val="bottom"/>
          </w:tcPr>
          <w:p>
            <w:pPr>
              <w:pStyle w:val="TableContents"/>
              <w:spacing w:before="0" w:after="283"/>
              <w:jc w:val="left"/>
              <w:rPr/>
            </w:pPr>
            <w:r>
              <w:rPr/>
              <w:t> </w:t>
            </w:r>
          </w:p>
        </w:tc>
        <w:tc>
          <w:tcPr>
            <w:tcW w:w="950" w:type="dxa"/>
            <w:tcBorders/>
            <w:shd w:fill="FFFFFF" w:val="clear"/>
            <w:tcMar>
              <w:bottom w:w="0" w:type="dxa"/>
            </w:tcM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9.15%</w:t>
            </w:r>
          </w:p>
        </w:tc>
        <w:tc>
          <w:tcPr>
            <w:tcW w:w="103" w:type="dxa"/>
            <w:tcBorders/>
            <w:shd w:fill="FFFFFF" w:val="clear"/>
            <w:tcMar>
              <w:bottom w:w="0" w:type="dxa"/>
            </w:tcMar>
            <w:vAlign w:val="bottom"/>
          </w:tcPr>
          <w:p>
            <w:pPr>
              <w:pStyle w:val="TableContents"/>
              <w:spacing w:lineRule="auto" w:line="300" w:before="0" w:after="0"/>
              <w:ind w:left="0" w:right="0" w:hanging="0"/>
              <w:jc w:val="left"/>
              <w:rPr/>
            </w:pPr>
            <w:r>
              <w:rPr/>
              <w:t> </w:t>
            </w:r>
          </w:p>
        </w:tc>
        <w:tc>
          <w:tcPr>
            <w:tcW w:w="103" w:type="dxa"/>
            <w:tcBorders/>
            <w:shd w:fill="FFFFFF" w:val="clear"/>
            <w:tcMar>
              <w:bottom w:w="0" w:type="dxa"/>
            </w:tcMar>
            <w:vAlign w:val="bottom"/>
          </w:tcPr>
          <w:p>
            <w:pPr>
              <w:pStyle w:val="TableContents"/>
              <w:spacing w:before="0" w:after="283"/>
              <w:jc w:val="left"/>
              <w:rPr/>
            </w:pPr>
            <w:r>
              <w:rPr/>
              <w:t> </w:t>
            </w:r>
          </w:p>
        </w:tc>
        <w:tc>
          <w:tcPr>
            <w:tcW w:w="1049" w:type="dxa"/>
            <w:tcBorders/>
            <w:shd w:fill="FFFFFF" w:val="clear"/>
            <w:tcMar>
              <w:bottom w:w="0" w:type="dxa"/>
            </w:tcM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November 23, 2009</w:t>
            </w:r>
          </w:p>
        </w:tc>
        <w:tc>
          <w:tcPr>
            <w:tcW w:w="103" w:type="dxa"/>
            <w:tcBorders/>
            <w:shd w:fill="FFFFFF" w:val="clear"/>
            <w:tcMar>
              <w:bottom w:w="0" w:type="dxa"/>
            </w:tcMar>
            <w:vAlign w:val="bottom"/>
          </w:tcPr>
          <w:p>
            <w:pPr>
              <w:pStyle w:val="TableContents"/>
              <w:spacing w:before="0" w:after="283"/>
              <w:jc w:val="left"/>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992"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35,230</w:t>
            </w:r>
          </w:p>
        </w:tc>
        <w:tc>
          <w:tcPr>
            <w:tcW w:w="103" w:type="dxa"/>
            <w:tcBorders/>
            <w:shd w:fill="FFFFFF" w:val="clear"/>
            <w:tcMar>
              <w:bottom w:w="0" w:type="dxa"/>
            </w:tcMar>
            <w:vAlign w:val="bottom"/>
          </w:tcPr>
          <w:p>
            <w:pPr>
              <w:pStyle w:val="TableContents"/>
              <w:spacing w:before="0" w:after="283"/>
              <w:jc w:val="left"/>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991"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34,225</w:t>
            </w:r>
          </w:p>
        </w:tc>
        <w:tc>
          <w:tcPr>
            <w:tcW w:w="119" w:type="dxa"/>
            <w:tcBorders/>
            <w:shd w:fill="FFFFFF" w:val="clear"/>
            <w:tcMar>
              <w:bottom w:w="0" w:type="dxa"/>
            </w:tcMar>
            <w:vAlign w:val="bottom"/>
          </w:tcPr>
          <w:p>
            <w:pPr>
              <w:pStyle w:val="TableContents"/>
              <w:spacing w:before="0" w:after="283"/>
              <w:jc w:val="left"/>
              <w:rPr/>
            </w:pPr>
            <w:r>
              <w:rPr/>
              <w:t> </w:t>
            </w:r>
          </w:p>
        </w:tc>
      </w:tr>
      <w:tr>
        <w:trPr/>
        <w:tc>
          <w:tcPr>
            <w:tcW w:w="3972"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New Zealand Movieland Note Payable</w:t>
            </w:r>
          </w:p>
        </w:tc>
        <w:tc>
          <w:tcPr>
            <w:tcW w:w="187" w:type="dxa"/>
            <w:tcBorders/>
            <w:shd w:fill="CCEEFF" w:val="clear"/>
            <w:tcMar>
              <w:bottom w:w="0" w:type="dxa"/>
            </w:tcMar>
            <w:vAlign w:val="center"/>
          </w:tcPr>
          <w:p>
            <w:pPr>
              <w:pStyle w:val="TableContents"/>
              <w:spacing w:before="0" w:after="283"/>
              <w:rPr/>
            </w:pPr>
            <w:r>
              <w:rPr/>
              <w:t> </w:t>
            </w:r>
          </w:p>
        </w:tc>
        <w:tc>
          <w:tcPr>
            <w:tcW w:w="114" w:type="dxa"/>
            <w:tcBorders/>
            <w:shd w:fill="CCEEFF" w:val="clear"/>
            <w:tcMar>
              <w:bottom w:w="0" w:type="dxa"/>
            </w:tcMar>
            <w:vAlign w:val="bottom"/>
          </w:tcPr>
          <w:p>
            <w:pPr>
              <w:pStyle w:val="TableContents"/>
              <w:spacing w:before="0" w:after="283"/>
              <w:jc w:val="left"/>
              <w:rPr/>
            </w:pPr>
            <w:r>
              <w:rPr/>
              <w:t> </w:t>
            </w:r>
          </w:p>
        </w:tc>
        <w:tc>
          <w:tcPr>
            <w:tcW w:w="950" w:type="dxa"/>
            <w:tcBorders/>
            <w:shd w:fill="CCEEFF" w:val="clear"/>
            <w:tcMar>
              <w:bottom w:w="0" w:type="dxa"/>
            </w:tcM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N/A</w:t>
            </w:r>
          </w:p>
        </w:tc>
        <w:tc>
          <w:tcPr>
            <w:tcW w:w="103" w:type="dxa"/>
            <w:tcBorders/>
            <w:shd w:fill="CCEEFF" w:val="clear"/>
            <w:tcMar>
              <w:bottom w:w="0" w:type="dxa"/>
            </w:tcMar>
            <w:vAlign w:val="bottom"/>
          </w:tcPr>
          <w:p>
            <w:pPr>
              <w:pStyle w:val="TableContents"/>
              <w:spacing w:before="0" w:after="283"/>
              <w:jc w:val="left"/>
              <w:rPr/>
            </w:pPr>
            <w:r>
              <w:rPr/>
              <w:t> </w:t>
            </w:r>
          </w:p>
        </w:tc>
        <w:tc>
          <w:tcPr>
            <w:tcW w:w="114" w:type="dxa"/>
            <w:tcBorders/>
            <w:shd w:fill="CCEEFF" w:val="clear"/>
            <w:tcMar>
              <w:bottom w:w="0" w:type="dxa"/>
            </w:tcMar>
            <w:vAlign w:val="bottom"/>
          </w:tcPr>
          <w:p>
            <w:pPr>
              <w:pStyle w:val="TableContents"/>
              <w:spacing w:before="0" w:after="283"/>
              <w:jc w:val="left"/>
              <w:rPr/>
            </w:pPr>
            <w:r>
              <w:rPr/>
              <w:t> </w:t>
            </w:r>
          </w:p>
        </w:tc>
        <w:tc>
          <w:tcPr>
            <w:tcW w:w="950" w:type="dxa"/>
            <w:tcBorders/>
            <w:shd w:fill="CCEEFF" w:val="clear"/>
            <w:tcMar>
              <w:bottom w:w="0" w:type="dxa"/>
            </w:tcM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5.50%</w:t>
            </w:r>
          </w:p>
        </w:tc>
        <w:tc>
          <w:tcPr>
            <w:tcW w:w="103" w:type="dxa"/>
            <w:tcBorders/>
            <w:shd w:fill="CCEEFF" w:val="clear"/>
            <w:tcMar>
              <w:bottom w:w="0" w:type="dxa"/>
            </w:tcMar>
            <w:vAlign w:val="bottom"/>
          </w:tcPr>
          <w:p>
            <w:pPr>
              <w:pStyle w:val="TableContents"/>
              <w:spacing w:lineRule="auto" w:line="300" w:before="0" w:after="0"/>
              <w:ind w:left="0" w:right="0" w:hanging="0"/>
              <w:jc w:val="left"/>
              <w:rPr/>
            </w:pPr>
            <w:r>
              <w:rPr/>
              <w:t> </w:t>
            </w:r>
          </w:p>
        </w:tc>
        <w:tc>
          <w:tcPr>
            <w:tcW w:w="103" w:type="dxa"/>
            <w:tcBorders/>
            <w:shd w:fill="CCEEFF" w:val="clear"/>
            <w:tcMar>
              <w:bottom w:w="0" w:type="dxa"/>
            </w:tcMar>
            <w:vAlign w:val="bottom"/>
          </w:tcPr>
          <w:p>
            <w:pPr>
              <w:pStyle w:val="TableContents"/>
              <w:spacing w:before="0" w:after="283"/>
              <w:jc w:val="left"/>
              <w:rPr/>
            </w:pPr>
            <w:r>
              <w:rPr/>
              <w:t> </w:t>
            </w:r>
          </w:p>
        </w:tc>
        <w:tc>
          <w:tcPr>
            <w:tcW w:w="1049" w:type="dxa"/>
            <w:tcBorders/>
            <w:shd w:fill="CCEEFF" w:val="clear"/>
            <w:tcMar>
              <w:bottom w:w="0" w:type="dxa"/>
            </w:tcM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February 26, 2006</w:t>
            </w:r>
          </w:p>
        </w:tc>
        <w:tc>
          <w:tcPr>
            <w:tcW w:w="103" w:type="dxa"/>
            <w:tcBorders/>
            <w:shd w:fill="CCEEFF" w:val="clear"/>
            <w:tcMar>
              <w:bottom w:w="0" w:type="dxa"/>
            </w:tcMar>
            <w:vAlign w:val="bottom"/>
          </w:tcPr>
          <w:p>
            <w:pPr>
              <w:pStyle w:val="TableContents"/>
              <w:spacing w:before="0" w:after="283"/>
              <w:jc w:val="left"/>
              <w:rPr/>
            </w:pPr>
            <w:r>
              <w:rPr/>
              <w:t> </w:t>
            </w:r>
          </w:p>
        </w:tc>
        <w:tc>
          <w:tcPr>
            <w:tcW w:w="126" w:type="dxa"/>
            <w:tcBorders/>
            <w:shd w:fill="CCEEFF" w:val="clear"/>
            <w:tcMar>
              <w:bottom w:w="0" w:type="dxa"/>
            </w:tcMar>
            <w:vAlign w:val="bottom"/>
          </w:tcPr>
          <w:p>
            <w:pPr>
              <w:pStyle w:val="TableContents"/>
              <w:spacing w:before="0" w:after="283"/>
              <w:jc w:val="left"/>
              <w:rPr/>
            </w:pPr>
            <w:r>
              <w:rPr/>
              <w:t> </w:t>
            </w:r>
          </w:p>
        </w:tc>
        <w:tc>
          <w:tcPr>
            <w:tcW w:w="992"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103" w:type="dxa"/>
            <w:tcBorders/>
            <w:shd w:fill="CCEEFF" w:val="clear"/>
            <w:tcMar>
              <w:bottom w:w="0" w:type="dxa"/>
            </w:tcMar>
            <w:vAlign w:val="bottom"/>
          </w:tcPr>
          <w:p>
            <w:pPr>
              <w:pStyle w:val="TableContents"/>
              <w:spacing w:before="0" w:after="283"/>
              <w:jc w:val="left"/>
              <w:rPr/>
            </w:pPr>
            <w:r>
              <w:rPr/>
              <w:t> </w:t>
            </w:r>
          </w:p>
        </w:tc>
        <w:tc>
          <w:tcPr>
            <w:tcW w:w="126" w:type="dxa"/>
            <w:tcBorders/>
            <w:shd w:fill="CCEEFF" w:val="clear"/>
            <w:tcMar>
              <w:bottom w:w="0" w:type="dxa"/>
            </w:tcMar>
            <w:vAlign w:val="bottom"/>
          </w:tcPr>
          <w:p>
            <w:pPr>
              <w:pStyle w:val="TableContents"/>
              <w:spacing w:before="0" w:after="283"/>
              <w:jc w:val="left"/>
              <w:rPr/>
            </w:pPr>
            <w:r>
              <w:rPr/>
              <w:t> </w:t>
            </w:r>
          </w:p>
        </w:tc>
        <w:tc>
          <w:tcPr>
            <w:tcW w:w="991"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537</w:t>
            </w:r>
          </w:p>
        </w:tc>
        <w:tc>
          <w:tcPr>
            <w:tcW w:w="119" w:type="dxa"/>
            <w:tcBorders/>
            <w:shd w:fill="CCEEFF" w:val="clear"/>
            <w:tcMar>
              <w:bottom w:w="0" w:type="dxa"/>
            </w:tcMar>
            <w:vAlign w:val="bottom"/>
          </w:tcPr>
          <w:p>
            <w:pPr>
              <w:pStyle w:val="TableContents"/>
              <w:spacing w:before="0" w:after="283"/>
              <w:jc w:val="left"/>
              <w:rPr/>
            </w:pPr>
            <w:r>
              <w:rPr/>
              <w:t> </w:t>
            </w:r>
          </w:p>
        </w:tc>
      </w:tr>
      <w:tr>
        <w:trPr/>
        <w:tc>
          <w:tcPr>
            <w:tcW w:w="3972"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 xml:space="preserve">US Sutton Hill Capital Note 1 - Related Party </w:t>
            </w:r>
          </w:p>
        </w:tc>
        <w:tc>
          <w:tcPr>
            <w:tcW w:w="187" w:type="dxa"/>
            <w:tcBorders/>
            <w:shd w:fill="FFFFFF" w:val="clear"/>
            <w:tcMar>
              <w:bottom w:w="0" w:type="dxa"/>
            </w:tcMar>
            <w:vAlign w:val="center"/>
          </w:tcPr>
          <w:p>
            <w:pPr>
              <w:pStyle w:val="TableContents"/>
              <w:spacing w:before="0" w:after="283"/>
              <w:rPr/>
            </w:pPr>
            <w:r>
              <w:rPr/>
              <w:t> </w:t>
            </w:r>
          </w:p>
        </w:tc>
        <w:tc>
          <w:tcPr>
            <w:tcW w:w="114" w:type="dxa"/>
            <w:tcBorders/>
            <w:shd w:fill="FFFFFF" w:val="clear"/>
            <w:tcMar>
              <w:bottom w:w="0" w:type="dxa"/>
            </w:tcMar>
            <w:vAlign w:val="bottom"/>
          </w:tcPr>
          <w:p>
            <w:pPr>
              <w:pStyle w:val="TableContents"/>
              <w:spacing w:before="0" w:after="283"/>
              <w:jc w:val="left"/>
              <w:rPr/>
            </w:pPr>
            <w:r>
              <w:rPr/>
              <w:t> </w:t>
            </w:r>
          </w:p>
        </w:tc>
        <w:tc>
          <w:tcPr>
            <w:tcW w:w="950" w:type="dxa"/>
            <w:tcBorders/>
            <w:shd w:fill="FFFFFF" w:val="clear"/>
            <w:tcMar>
              <w:bottom w:w="0" w:type="dxa"/>
            </w:tcM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9.69%</w:t>
            </w:r>
          </w:p>
        </w:tc>
        <w:tc>
          <w:tcPr>
            <w:tcW w:w="103" w:type="dxa"/>
            <w:tcBorders/>
            <w:shd w:fill="FFFFFF" w:val="clear"/>
            <w:tcMar>
              <w:bottom w:w="0" w:type="dxa"/>
            </w:tcMar>
            <w:vAlign w:val="bottom"/>
          </w:tcPr>
          <w:p>
            <w:pPr>
              <w:pStyle w:val="TableContents"/>
              <w:spacing w:lineRule="auto" w:line="300" w:before="0" w:after="0"/>
              <w:ind w:left="0" w:right="0" w:hanging="0"/>
              <w:jc w:val="left"/>
              <w:rPr/>
            </w:pPr>
            <w:r>
              <w:rPr/>
              <w:t> </w:t>
            </w:r>
          </w:p>
        </w:tc>
        <w:tc>
          <w:tcPr>
            <w:tcW w:w="114" w:type="dxa"/>
            <w:tcBorders/>
            <w:shd w:fill="FFFFFF" w:val="clear"/>
            <w:tcMar>
              <w:bottom w:w="0" w:type="dxa"/>
            </w:tcMar>
            <w:vAlign w:val="bottom"/>
          </w:tcPr>
          <w:p>
            <w:pPr>
              <w:pStyle w:val="TableContents"/>
              <w:spacing w:before="0" w:after="283"/>
              <w:jc w:val="left"/>
              <w:rPr/>
            </w:pPr>
            <w:r>
              <w:rPr/>
              <w:t> </w:t>
            </w:r>
          </w:p>
        </w:tc>
        <w:tc>
          <w:tcPr>
            <w:tcW w:w="950" w:type="dxa"/>
            <w:tcBorders/>
            <w:shd w:fill="FFFFFF" w:val="clear"/>
            <w:tcMar>
              <w:bottom w:w="0" w:type="dxa"/>
            </w:tcM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9.26%</w:t>
            </w:r>
          </w:p>
        </w:tc>
        <w:tc>
          <w:tcPr>
            <w:tcW w:w="103" w:type="dxa"/>
            <w:tcBorders/>
            <w:shd w:fill="FFFFFF" w:val="clear"/>
            <w:tcMar>
              <w:bottom w:w="0" w:type="dxa"/>
            </w:tcMar>
            <w:vAlign w:val="bottom"/>
          </w:tcPr>
          <w:p>
            <w:pPr>
              <w:pStyle w:val="TableContents"/>
              <w:spacing w:lineRule="auto" w:line="300" w:before="0" w:after="0"/>
              <w:ind w:left="0" w:right="0" w:hanging="0"/>
              <w:jc w:val="left"/>
              <w:rPr/>
            </w:pPr>
            <w:r>
              <w:rPr/>
              <w:t> </w:t>
            </w:r>
          </w:p>
        </w:tc>
        <w:tc>
          <w:tcPr>
            <w:tcW w:w="103" w:type="dxa"/>
            <w:tcBorders/>
            <w:shd w:fill="FFFFFF" w:val="clear"/>
            <w:tcMar>
              <w:bottom w:w="0" w:type="dxa"/>
            </w:tcMar>
            <w:vAlign w:val="bottom"/>
          </w:tcPr>
          <w:p>
            <w:pPr>
              <w:pStyle w:val="TableContents"/>
              <w:spacing w:before="0" w:after="283"/>
              <w:jc w:val="left"/>
              <w:rPr/>
            </w:pPr>
            <w:r>
              <w:rPr/>
              <w:t> </w:t>
            </w:r>
          </w:p>
        </w:tc>
        <w:tc>
          <w:tcPr>
            <w:tcW w:w="1049" w:type="dxa"/>
            <w:tcBorders/>
            <w:shd w:fill="FFFFFF" w:val="clear"/>
            <w:tcMar>
              <w:bottom w:w="0" w:type="dxa"/>
            </w:tcM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July 28, 2007</w:t>
            </w:r>
          </w:p>
        </w:tc>
        <w:tc>
          <w:tcPr>
            <w:tcW w:w="103" w:type="dxa"/>
            <w:tcBorders/>
            <w:shd w:fill="FFFFFF" w:val="clear"/>
            <w:tcMar>
              <w:bottom w:w="0" w:type="dxa"/>
            </w:tcMar>
            <w:vAlign w:val="bottom"/>
          </w:tcPr>
          <w:p>
            <w:pPr>
              <w:pStyle w:val="TableContents"/>
              <w:spacing w:before="0" w:after="283"/>
              <w:jc w:val="left"/>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992"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5,000</w:t>
            </w:r>
          </w:p>
        </w:tc>
        <w:tc>
          <w:tcPr>
            <w:tcW w:w="103" w:type="dxa"/>
            <w:tcBorders/>
            <w:shd w:fill="FFFFFF" w:val="clear"/>
            <w:tcMar>
              <w:bottom w:w="0" w:type="dxa"/>
            </w:tcMar>
            <w:vAlign w:val="bottom"/>
          </w:tcPr>
          <w:p>
            <w:pPr>
              <w:pStyle w:val="TableContents"/>
              <w:spacing w:before="0" w:after="283"/>
              <w:jc w:val="left"/>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991"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5,000</w:t>
            </w:r>
          </w:p>
        </w:tc>
        <w:tc>
          <w:tcPr>
            <w:tcW w:w="119" w:type="dxa"/>
            <w:tcBorders/>
            <w:shd w:fill="FFFFFF" w:val="clear"/>
            <w:tcMar>
              <w:bottom w:w="0" w:type="dxa"/>
            </w:tcMar>
            <w:vAlign w:val="bottom"/>
          </w:tcPr>
          <w:p>
            <w:pPr>
              <w:pStyle w:val="TableContents"/>
              <w:spacing w:before="0" w:after="283"/>
              <w:jc w:val="left"/>
              <w:rPr/>
            </w:pPr>
            <w:r>
              <w:rPr/>
              <w:t> </w:t>
            </w:r>
          </w:p>
        </w:tc>
      </w:tr>
      <w:tr>
        <w:trPr/>
        <w:tc>
          <w:tcPr>
            <w:tcW w:w="3972"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US Royal George Theatre Term Loan</w:t>
            </w:r>
          </w:p>
        </w:tc>
        <w:tc>
          <w:tcPr>
            <w:tcW w:w="187" w:type="dxa"/>
            <w:tcBorders/>
            <w:shd w:fill="CCEEFF" w:val="clear"/>
            <w:tcMar>
              <w:bottom w:w="0" w:type="dxa"/>
            </w:tcMar>
            <w:vAlign w:val="center"/>
          </w:tcPr>
          <w:p>
            <w:pPr>
              <w:pStyle w:val="TableContents"/>
              <w:spacing w:before="0" w:after="283"/>
              <w:rPr/>
            </w:pPr>
            <w:r>
              <w:rPr/>
              <w:t> </w:t>
            </w:r>
          </w:p>
        </w:tc>
        <w:tc>
          <w:tcPr>
            <w:tcW w:w="114" w:type="dxa"/>
            <w:tcBorders/>
            <w:shd w:fill="CCEEFF" w:val="clear"/>
            <w:tcMar>
              <w:bottom w:w="0" w:type="dxa"/>
            </w:tcMar>
            <w:vAlign w:val="bottom"/>
          </w:tcPr>
          <w:p>
            <w:pPr>
              <w:pStyle w:val="TableContents"/>
              <w:spacing w:before="0" w:after="283"/>
              <w:jc w:val="left"/>
              <w:rPr/>
            </w:pPr>
            <w:r>
              <w:rPr/>
              <w:t> </w:t>
            </w:r>
          </w:p>
        </w:tc>
        <w:tc>
          <w:tcPr>
            <w:tcW w:w="950" w:type="dxa"/>
            <w:tcBorders/>
            <w:shd w:fill="CCEEFF" w:val="clear"/>
            <w:tcMar>
              <w:bottom w:w="0" w:type="dxa"/>
            </w:tcM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7.86%</w:t>
            </w:r>
          </w:p>
        </w:tc>
        <w:tc>
          <w:tcPr>
            <w:tcW w:w="103" w:type="dxa"/>
            <w:tcBorders/>
            <w:shd w:fill="CCEEFF" w:val="clear"/>
            <w:tcMar>
              <w:bottom w:w="0" w:type="dxa"/>
            </w:tcMar>
            <w:vAlign w:val="bottom"/>
          </w:tcPr>
          <w:p>
            <w:pPr>
              <w:pStyle w:val="TableContents"/>
              <w:spacing w:lineRule="auto" w:line="300" w:before="0" w:after="0"/>
              <w:ind w:left="0" w:right="0" w:hanging="0"/>
              <w:jc w:val="left"/>
              <w:rPr/>
            </w:pPr>
            <w:r>
              <w:rPr/>
              <w:t> </w:t>
            </w:r>
          </w:p>
        </w:tc>
        <w:tc>
          <w:tcPr>
            <w:tcW w:w="114" w:type="dxa"/>
            <w:tcBorders/>
            <w:shd w:fill="CCEEFF" w:val="clear"/>
            <w:tcMar>
              <w:bottom w:w="0" w:type="dxa"/>
            </w:tcMar>
            <w:vAlign w:val="bottom"/>
          </w:tcPr>
          <w:p>
            <w:pPr>
              <w:pStyle w:val="TableContents"/>
              <w:spacing w:before="0" w:after="283"/>
              <w:jc w:val="left"/>
              <w:rPr/>
            </w:pPr>
            <w:r>
              <w:rPr/>
              <w:t> </w:t>
            </w:r>
          </w:p>
        </w:tc>
        <w:tc>
          <w:tcPr>
            <w:tcW w:w="950" w:type="dxa"/>
            <w:tcBorders/>
            <w:shd w:fill="CCEEFF" w:val="clear"/>
            <w:tcMar>
              <w:bottom w:w="0" w:type="dxa"/>
            </w:tcM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6.97%</w:t>
            </w:r>
          </w:p>
        </w:tc>
        <w:tc>
          <w:tcPr>
            <w:tcW w:w="103" w:type="dxa"/>
            <w:tcBorders/>
            <w:shd w:fill="CCEEFF" w:val="clear"/>
            <w:tcMar>
              <w:bottom w:w="0" w:type="dxa"/>
            </w:tcMar>
            <w:vAlign w:val="bottom"/>
          </w:tcPr>
          <w:p>
            <w:pPr>
              <w:pStyle w:val="TableContents"/>
              <w:spacing w:lineRule="auto" w:line="300" w:before="0" w:after="0"/>
              <w:ind w:left="0" w:right="0" w:hanging="0"/>
              <w:jc w:val="left"/>
              <w:rPr/>
            </w:pPr>
            <w:r>
              <w:rPr/>
              <w:t> </w:t>
            </w:r>
          </w:p>
        </w:tc>
        <w:tc>
          <w:tcPr>
            <w:tcW w:w="103" w:type="dxa"/>
            <w:tcBorders/>
            <w:shd w:fill="CCEEFF" w:val="clear"/>
            <w:tcMar>
              <w:bottom w:w="0" w:type="dxa"/>
            </w:tcMar>
            <w:vAlign w:val="bottom"/>
          </w:tcPr>
          <w:p>
            <w:pPr>
              <w:pStyle w:val="TableContents"/>
              <w:spacing w:before="0" w:after="283"/>
              <w:jc w:val="left"/>
              <w:rPr/>
            </w:pPr>
            <w:r>
              <w:rPr/>
              <w:t> </w:t>
            </w:r>
          </w:p>
        </w:tc>
        <w:tc>
          <w:tcPr>
            <w:tcW w:w="1049" w:type="dxa"/>
            <w:tcBorders/>
            <w:shd w:fill="CCEEFF" w:val="clear"/>
            <w:tcMar>
              <w:bottom w:w="0" w:type="dxa"/>
            </w:tcM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November 29, 2007</w:t>
            </w:r>
          </w:p>
        </w:tc>
        <w:tc>
          <w:tcPr>
            <w:tcW w:w="103" w:type="dxa"/>
            <w:tcBorders/>
            <w:shd w:fill="CCEEFF" w:val="clear"/>
            <w:tcMar>
              <w:bottom w:w="0" w:type="dxa"/>
            </w:tcMar>
            <w:vAlign w:val="bottom"/>
          </w:tcPr>
          <w:p>
            <w:pPr>
              <w:pStyle w:val="TableContents"/>
              <w:spacing w:before="0" w:after="283"/>
              <w:jc w:val="left"/>
              <w:rPr/>
            </w:pPr>
            <w:r>
              <w:rPr/>
              <w:t> </w:t>
            </w:r>
          </w:p>
        </w:tc>
        <w:tc>
          <w:tcPr>
            <w:tcW w:w="126" w:type="dxa"/>
            <w:tcBorders/>
            <w:shd w:fill="CCEEFF" w:val="clear"/>
            <w:tcMar>
              <w:bottom w:w="0" w:type="dxa"/>
            </w:tcMar>
            <w:vAlign w:val="bottom"/>
          </w:tcPr>
          <w:p>
            <w:pPr>
              <w:pStyle w:val="TableContents"/>
              <w:spacing w:before="0" w:after="283"/>
              <w:jc w:val="left"/>
              <w:rPr/>
            </w:pPr>
            <w:r>
              <w:rPr/>
              <w:t> </w:t>
            </w:r>
          </w:p>
        </w:tc>
        <w:tc>
          <w:tcPr>
            <w:tcW w:w="992"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1,819</w:t>
            </w:r>
          </w:p>
        </w:tc>
        <w:tc>
          <w:tcPr>
            <w:tcW w:w="103" w:type="dxa"/>
            <w:tcBorders/>
            <w:shd w:fill="CCEEFF" w:val="clear"/>
            <w:tcMar>
              <w:bottom w:w="0" w:type="dxa"/>
            </w:tcMar>
            <w:vAlign w:val="bottom"/>
          </w:tcPr>
          <w:p>
            <w:pPr>
              <w:pStyle w:val="TableContents"/>
              <w:spacing w:before="0" w:after="283"/>
              <w:jc w:val="left"/>
              <w:rPr/>
            </w:pPr>
            <w:r>
              <w:rPr/>
              <w:t> </w:t>
            </w:r>
          </w:p>
        </w:tc>
        <w:tc>
          <w:tcPr>
            <w:tcW w:w="126" w:type="dxa"/>
            <w:tcBorders/>
            <w:shd w:fill="CCEEFF" w:val="clear"/>
            <w:tcMar>
              <w:bottom w:w="0" w:type="dxa"/>
            </w:tcMar>
            <w:vAlign w:val="bottom"/>
          </w:tcPr>
          <w:p>
            <w:pPr>
              <w:pStyle w:val="TableContents"/>
              <w:spacing w:before="0" w:after="283"/>
              <w:jc w:val="left"/>
              <w:rPr/>
            </w:pPr>
            <w:r>
              <w:rPr/>
              <w:t> </w:t>
            </w:r>
          </w:p>
        </w:tc>
        <w:tc>
          <w:tcPr>
            <w:tcW w:w="991"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1,986</w:t>
            </w:r>
          </w:p>
        </w:tc>
        <w:tc>
          <w:tcPr>
            <w:tcW w:w="119" w:type="dxa"/>
            <w:tcBorders/>
            <w:shd w:fill="CCEEFF" w:val="clear"/>
            <w:tcMar>
              <w:bottom w:w="0" w:type="dxa"/>
            </w:tcMar>
            <w:vAlign w:val="bottom"/>
          </w:tcPr>
          <w:p>
            <w:pPr>
              <w:pStyle w:val="TableContents"/>
              <w:spacing w:before="0" w:after="283"/>
              <w:jc w:val="left"/>
              <w:rPr/>
            </w:pPr>
            <w:r>
              <w:rPr/>
              <w:t> </w:t>
            </w:r>
          </w:p>
        </w:tc>
      </w:tr>
      <w:tr>
        <w:trPr/>
        <w:tc>
          <w:tcPr>
            <w:tcW w:w="3972"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US Sutton Hill Capital Note 2 - Related Party</w:t>
            </w:r>
          </w:p>
        </w:tc>
        <w:tc>
          <w:tcPr>
            <w:tcW w:w="187" w:type="dxa"/>
            <w:tcBorders/>
            <w:shd w:fill="FFFFFF" w:val="clear"/>
            <w:tcMar>
              <w:bottom w:w="0" w:type="dxa"/>
            </w:tcMar>
            <w:vAlign w:val="center"/>
          </w:tcPr>
          <w:p>
            <w:pPr>
              <w:pStyle w:val="TableContents"/>
              <w:spacing w:before="0" w:after="283"/>
              <w:rPr/>
            </w:pPr>
            <w:r>
              <w:rPr/>
              <w:t> </w:t>
            </w:r>
          </w:p>
        </w:tc>
        <w:tc>
          <w:tcPr>
            <w:tcW w:w="114" w:type="dxa"/>
            <w:tcBorders/>
            <w:shd w:fill="FFFFFF" w:val="clear"/>
            <w:tcMar>
              <w:bottom w:w="0" w:type="dxa"/>
            </w:tcMar>
            <w:vAlign w:val="bottom"/>
          </w:tcPr>
          <w:p>
            <w:pPr>
              <w:pStyle w:val="TableContents"/>
              <w:spacing w:before="0" w:after="283"/>
              <w:jc w:val="left"/>
              <w:rPr/>
            </w:pPr>
            <w:r>
              <w:rPr/>
              <w:t> </w:t>
            </w:r>
          </w:p>
        </w:tc>
        <w:tc>
          <w:tcPr>
            <w:tcW w:w="950" w:type="dxa"/>
            <w:tcBorders/>
            <w:shd w:fill="FFFFFF" w:val="clear"/>
            <w:tcMar>
              <w:bottom w:w="0" w:type="dxa"/>
            </w:tcM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8.25%</w:t>
            </w:r>
          </w:p>
        </w:tc>
        <w:tc>
          <w:tcPr>
            <w:tcW w:w="103" w:type="dxa"/>
            <w:tcBorders/>
            <w:shd w:fill="FFFFFF" w:val="clear"/>
            <w:tcMar>
              <w:bottom w:w="0" w:type="dxa"/>
            </w:tcMar>
            <w:vAlign w:val="bottom"/>
          </w:tcPr>
          <w:p>
            <w:pPr>
              <w:pStyle w:val="TableContents"/>
              <w:spacing w:lineRule="auto" w:line="300" w:before="0" w:after="0"/>
              <w:ind w:left="0" w:right="0" w:hanging="0"/>
              <w:jc w:val="left"/>
              <w:rPr/>
            </w:pPr>
            <w:r>
              <w:rPr/>
              <w:t> </w:t>
            </w:r>
          </w:p>
        </w:tc>
        <w:tc>
          <w:tcPr>
            <w:tcW w:w="114" w:type="dxa"/>
            <w:tcBorders/>
            <w:shd w:fill="FFFFFF" w:val="clear"/>
            <w:tcMar>
              <w:bottom w:w="0" w:type="dxa"/>
            </w:tcMar>
            <w:vAlign w:val="bottom"/>
          </w:tcPr>
          <w:p>
            <w:pPr>
              <w:pStyle w:val="TableContents"/>
              <w:spacing w:before="0" w:after="283"/>
              <w:jc w:val="left"/>
              <w:rPr/>
            </w:pPr>
            <w:r>
              <w:rPr/>
              <w:t> </w:t>
            </w:r>
          </w:p>
        </w:tc>
        <w:tc>
          <w:tcPr>
            <w:tcW w:w="950" w:type="dxa"/>
            <w:tcBorders/>
            <w:shd w:fill="FFFFFF" w:val="clear"/>
            <w:tcMar>
              <w:bottom w:w="0" w:type="dxa"/>
            </w:tcM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8.25%</w:t>
            </w:r>
          </w:p>
        </w:tc>
        <w:tc>
          <w:tcPr>
            <w:tcW w:w="103" w:type="dxa"/>
            <w:tcBorders/>
            <w:shd w:fill="FFFFFF" w:val="clear"/>
            <w:tcMar>
              <w:bottom w:w="0" w:type="dxa"/>
            </w:tcMar>
            <w:vAlign w:val="bottom"/>
          </w:tcPr>
          <w:p>
            <w:pPr>
              <w:pStyle w:val="TableContents"/>
              <w:spacing w:lineRule="auto" w:line="300" w:before="0" w:after="0"/>
              <w:ind w:left="0" w:right="0" w:hanging="0"/>
              <w:jc w:val="left"/>
              <w:rPr/>
            </w:pPr>
            <w:r>
              <w:rPr/>
              <w:t> </w:t>
            </w:r>
          </w:p>
        </w:tc>
        <w:tc>
          <w:tcPr>
            <w:tcW w:w="103" w:type="dxa"/>
            <w:tcBorders/>
            <w:shd w:fill="FFFFFF" w:val="clear"/>
            <w:tcMar>
              <w:bottom w:w="0" w:type="dxa"/>
            </w:tcMar>
            <w:vAlign w:val="bottom"/>
          </w:tcPr>
          <w:p>
            <w:pPr>
              <w:pStyle w:val="TableContents"/>
              <w:spacing w:before="0" w:after="283"/>
              <w:jc w:val="left"/>
              <w:rPr/>
            </w:pPr>
            <w:r>
              <w:rPr/>
              <w:t> </w:t>
            </w:r>
          </w:p>
        </w:tc>
        <w:tc>
          <w:tcPr>
            <w:tcW w:w="1049" w:type="dxa"/>
            <w:tcBorders/>
            <w:shd w:fill="FFFFFF" w:val="clear"/>
            <w:tcMar>
              <w:bottom w:w="0" w:type="dxa"/>
            </w:tcM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December 31, 2010</w:t>
            </w:r>
          </w:p>
        </w:tc>
        <w:tc>
          <w:tcPr>
            <w:tcW w:w="103" w:type="dxa"/>
            <w:tcBorders/>
            <w:shd w:fill="FFFFFF" w:val="clear"/>
            <w:tcMar>
              <w:bottom w:w="0" w:type="dxa"/>
            </w:tcMar>
            <w:vAlign w:val="bottom"/>
          </w:tcPr>
          <w:p>
            <w:pPr>
              <w:pStyle w:val="TableContents"/>
              <w:spacing w:before="0" w:after="283"/>
              <w:jc w:val="left"/>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992"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9,000</w:t>
            </w:r>
          </w:p>
        </w:tc>
        <w:tc>
          <w:tcPr>
            <w:tcW w:w="103" w:type="dxa"/>
            <w:tcBorders/>
            <w:shd w:fill="FFFFFF" w:val="clear"/>
            <w:tcMar>
              <w:bottom w:w="0" w:type="dxa"/>
            </w:tcMar>
            <w:vAlign w:val="bottom"/>
          </w:tcPr>
          <w:p>
            <w:pPr>
              <w:pStyle w:val="TableContents"/>
              <w:spacing w:before="0" w:after="283"/>
              <w:jc w:val="left"/>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991"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9,000</w:t>
            </w:r>
          </w:p>
        </w:tc>
        <w:tc>
          <w:tcPr>
            <w:tcW w:w="119" w:type="dxa"/>
            <w:tcBorders/>
            <w:shd w:fill="FFFFFF" w:val="clear"/>
            <w:tcMar>
              <w:bottom w:w="0" w:type="dxa"/>
            </w:tcMar>
            <w:vAlign w:val="bottom"/>
          </w:tcPr>
          <w:p>
            <w:pPr>
              <w:pStyle w:val="TableContents"/>
              <w:spacing w:before="0" w:after="283"/>
              <w:jc w:val="left"/>
              <w:rPr/>
            </w:pPr>
            <w:r>
              <w:rPr/>
              <w:t> </w:t>
            </w:r>
          </w:p>
        </w:tc>
      </w:tr>
      <w:tr>
        <w:trPr/>
        <w:tc>
          <w:tcPr>
            <w:tcW w:w="3972" w:type="dxa"/>
            <w:tcBorders>
              <w:bottom w:val="sing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US Union Square Theatre Term Loan</w:t>
            </w:r>
          </w:p>
        </w:tc>
        <w:tc>
          <w:tcPr>
            <w:tcW w:w="187" w:type="dxa"/>
            <w:tcBorders>
              <w:bottom w:val="single" w:sz="4" w:space="0" w:color="CCEEFF"/>
            </w:tcBorders>
            <w:shd w:fill="CCEEFF" w:val="clear"/>
            <w:vAlign w:val="center"/>
          </w:tcPr>
          <w:p>
            <w:pPr>
              <w:pStyle w:val="TableContents"/>
              <w:spacing w:before="0" w:after="283"/>
              <w:rPr/>
            </w:pPr>
            <w:r>
              <w:rPr/>
              <w:t> </w:t>
            </w:r>
          </w:p>
        </w:tc>
        <w:tc>
          <w:tcPr>
            <w:tcW w:w="114" w:type="dxa"/>
            <w:tcBorders>
              <w:bottom w:val="single" w:sz="2" w:space="0" w:color="000000"/>
            </w:tcBorders>
            <w:shd w:fill="CCEEFF" w:val="clear"/>
            <w:vAlign w:val="bottom"/>
          </w:tcPr>
          <w:p>
            <w:pPr>
              <w:pStyle w:val="TableContents"/>
              <w:spacing w:before="0" w:after="283"/>
              <w:jc w:val="left"/>
              <w:rPr/>
            </w:pPr>
            <w:r>
              <w:rPr/>
              <w:t> </w:t>
            </w:r>
          </w:p>
        </w:tc>
        <w:tc>
          <w:tcPr>
            <w:tcW w:w="950" w:type="dxa"/>
            <w:tcBorders>
              <w:bottom w:val="single" w:sz="2" w:space="0" w:color="000000"/>
            </w:tcBorders>
            <w:shd w:fill="CCEEFF" w:val="cle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6.26%</w:t>
            </w:r>
          </w:p>
        </w:tc>
        <w:tc>
          <w:tcPr>
            <w:tcW w:w="103" w:type="dxa"/>
            <w:tcBorders>
              <w:bottom w:val="single" w:sz="4" w:space="0" w:color="CCEEFF"/>
            </w:tcBorders>
            <w:shd w:fill="CCEEFF" w:val="clear"/>
            <w:vAlign w:val="bottom"/>
          </w:tcPr>
          <w:p>
            <w:pPr>
              <w:pStyle w:val="TableContents"/>
              <w:spacing w:lineRule="auto" w:line="300" w:before="0" w:after="0"/>
              <w:ind w:left="0" w:right="0" w:hanging="0"/>
              <w:jc w:val="left"/>
              <w:rPr/>
            </w:pPr>
            <w:r>
              <w:rPr/>
              <w:t> </w:t>
            </w:r>
          </w:p>
        </w:tc>
        <w:tc>
          <w:tcPr>
            <w:tcW w:w="114" w:type="dxa"/>
            <w:tcBorders>
              <w:bottom w:val="single" w:sz="2" w:space="0" w:color="000000"/>
            </w:tcBorders>
            <w:shd w:fill="CCEEFF" w:val="clear"/>
            <w:vAlign w:val="bottom"/>
          </w:tcPr>
          <w:p>
            <w:pPr>
              <w:pStyle w:val="TableContents"/>
              <w:spacing w:before="0" w:after="283"/>
              <w:jc w:val="left"/>
              <w:rPr/>
            </w:pPr>
            <w:r>
              <w:rPr/>
              <w:t> </w:t>
            </w:r>
          </w:p>
        </w:tc>
        <w:tc>
          <w:tcPr>
            <w:tcW w:w="950" w:type="dxa"/>
            <w:tcBorders>
              <w:bottom w:val="single" w:sz="2" w:space="0" w:color="000000"/>
            </w:tcBorders>
            <w:shd w:fill="CCEEFF" w:val="cle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7.31%</w:t>
            </w:r>
          </w:p>
        </w:tc>
        <w:tc>
          <w:tcPr>
            <w:tcW w:w="103" w:type="dxa"/>
            <w:tcBorders>
              <w:bottom w:val="single" w:sz="4" w:space="0" w:color="CCEEFF"/>
            </w:tcBorders>
            <w:shd w:fill="CCEEFF" w:val="clear"/>
            <w:vAlign w:val="bottom"/>
          </w:tcPr>
          <w:p>
            <w:pPr>
              <w:pStyle w:val="TableContents"/>
              <w:spacing w:lineRule="auto" w:line="300" w:before="0" w:after="0"/>
              <w:ind w:left="0" w:right="0" w:hanging="0"/>
              <w:jc w:val="left"/>
              <w:rPr/>
            </w:pPr>
            <w:r>
              <w:rPr/>
              <w:t> </w:t>
            </w:r>
          </w:p>
        </w:tc>
        <w:tc>
          <w:tcPr>
            <w:tcW w:w="103" w:type="dxa"/>
            <w:tcBorders>
              <w:bottom w:val="single" w:sz="2" w:space="0" w:color="000000"/>
            </w:tcBorders>
            <w:shd w:fill="CCEEFF" w:val="clear"/>
            <w:vAlign w:val="bottom"/>
          </w:tcPr>
          <w:p>
            <w:pPr>
              <w:pStyle w:val="TableContents"/>
              <w:spacing w:before="0" w:after="283"/>
              <w:jc w:val="left"/>
              <w:rPr/>
            </w:pPr>
            <w:r>
              <w:rPr/>
              <w:t> </w:t>
            </w:r>
          </w:p>
        </w:tc>
        <w:tc>
          <w:tcPr>
            <w:tcW w:w="1049" w:type="dxa"/>
            <w:tcBorders>
              <w:bottom w:val="single" w:sz="2" w:space="0" w:color="000000"/>
            </w:tcBorders>
            <w:shd w:fill="CCEEFF" w:val="cle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January 1, 2010</w:t>
            </w:r>
          </w:p>
        </w:tc>
        <w:tc>
          <w:tcPr>
            <w:tcW w:w="103" w:type="dxa"/>
            <w:tcBorders>
              <w:bottom w:val="single" w:sz="4" w:space="0" w:color="CCEEFF"/>
            </w:tcBorders>
            <w:shd w:fill="CCEEFF" w:val="clear"/>
            <w:vAlign w:val="bottom"/>
          </w:tcPr>
          <w:p>
            <w:pPr>
              <w:pStyle w:val="TableContents"/>
              <w:spacing w:before="0" w:after="283"/>
              <w:jc w:val="left"/>
              <w:rPr/>
            </w:pPr>
            <w:r>
              <w:rPr/>
              <w:t> </w:t>
            </w:r>
          </w:p>
        </w:tc>
        <w:tc>
          <w:tcPr>
            <w:tcW w:w="126" w:type="dxa"/>
            <w:tcBorders>
              <w:bottom w:val="single" w:sz="2" w:space="0" w:color="000000"/>
            </w:tcBorders>
            <w:shd w:fill="CCEEFF" w:val="clear"/>
            <w:vAlign w:val="bottom"/>
          </w:tcPr>
          <w:p>
            <w:pPr>
              <w:pStyle w:val="TableContents"/>
              <w:spacing w:before="0" w:after="283"/>
              <w:jc w:val="left"/>
              <w:rPr/>
            </w:pPr>
            <w:r>
              <w:rPr/>
              <w:t> </w:t>
            </w:r>
          </w:p>
        </w:tc>
        <w:tc>
          <w:tcPr>
            <w:tcW w:w="992"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7,500</w:t>
            </w:r>
          </w:p>
        </w:tc>
        <w:tc>
          <w:tcPr>
            <w:tcW w:w="103" w:type="dxa"/>
            <w:tcBorders>
              <w:bottom w:val="single" w:sz="4" w:space="0" w:color="CCEEFF"/>
            </w:tcBorders>
            <w:shd w:fill="CCEEFF" w:val="clear"/>
            <w:vAlign w:val="bottom"/>
          </w:tcPr>
          <w:p>
            <w:pPr>
              <w:pStyle w:val="TableContents"/>
              <w:spacing w:before="0" w:after="283"/>
              <w:jc w:val="left"/>
              <w:rPr/>
            </w:pPr>
            <w:r>
              <w:rPr/>
              <w:t> </w:t>
            </w:r>
          </w:p>
        </w:tc>
        <w:tc>
          <w:tcPr>
            <w:tcW w:w="126" w:type="dxa"/>
            <w:tcBorders>
              <w:bottom w:val="single" w:sz="2" w:space="0" w:color="000000"/>
            </w:tcBorders>
            <w:shd w:fill="CCEEFF" w:val="clear"/>
            <w:vAlign w:val="bottom"/>
          </w:tcPr>
          <w:p>
            <w:pPr>
              <w:pStyle w:val="TableContents"/>
              <w:spacing w:before="0" w:after="283"/>
              <w:jc w:val="left"/>
              <w:rPr/>
            </w:pPr>
            <w:r>
              <w:rPr/>
              <w:t> </w:t>
            </w:r>
          </w:p>
        </w:tc>
        <w:tc>
          <w:tcPr>
            <w:tcW w:w="991"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3,260</w:t>
            </w:r>
          </w:p>
        </w:tc>
        <w:tc>
          <w:tcPr>
            <w:tcW w:w="119" w:type="dxa"/>
            <w:tcBorders>
              <w:bottom w:val="single" w:sz="4" w:space="0" w:color="CCEEFF"/>
            </w:tcBorders>
            <w:shd w:fill="CCEEFF" w:val="clear"/>
            <w:vAlign w:val="bottom"/>
          </w:tcPr>
          <w:p>
            <w:pPr>
              <w:pStyle w:val="TableContents"/>
              <w:spacing w:before="0" w:after="283"/>
              <w:jc w:val="left"/>
              <w:rPr/>
            </w:pPr>
            <w:r>
              <w:rPr/>
              <w:t> </w:t>
            </w:r>
          </w:p>
        </w:tc>
      </w:tr>
      <w:tr>
        <w:trPr/>
        <w:tc>
          <w:tcPr>
            <w:tcW w:w="3972" w:type="dxa"/>
            <w:tcBorders>
              <w:bottom w:val="double" w:sz="2" w:space="0" w:color="000000"/>
            </w:tcBorders>
            <w:shd w:fill="FFFFFF" w:val="clear"/>
            <w:vAlign w:val="bottom"/>
          </w:tcPr>
          <w:p>
            <w:pPr>
              <w:pStyle w:val="TableContents"/>
              <w:spacing w:lineRule="auto" w:line="300" w:before="0" w:after="0"/>
              <w:ind w:left="720" w:right="0" w:hanging="0"/>
              <w:jc w:val="left"/>
              <w:rPr>
                <w:rFonts w:ascii="Times New Roman" w:hAnsi="Times New Roman"/>
                <w:sz w:val="20"/>
              </w:rPr>
            </w:pPr>
            <w:bookmarkStart w:id="3503" w:name="TAB11652"/>
            <w:bookmarkEnd w:id="3503"/>
            <w:r>
              <w:rPr>
                <w:rFonts w:ascii="Times New Roman" w:hAnsi="Times New Roman"/>
                <w:sz w:val="20"/>
              </w:rPr>
              <w:t>Total Notes Payable</w:t>
            </w:r>
          </w:p>
        </w:tc>
        <w:tc>
          <w:tcPr>
            <w:tcW w:w="187" w:type="dxa"/>
            <w:tcBorders>
              <w:bottom w:val="single" w:sz="4" w:space="0" w:color="FFFFFF"/>
            </w:tcBorders>
            <w:shd w:fill="FFFFFF" w:val="clear"/>
            <w:vAlign w:val="center"/>
          </w:tcPr>
          <w:p>
            <w:pPr>
              <w:pStyle w:val="TableContents"/>
              <w:spacing w:before="0" w:after="283"/>
              <w:rPr/>
            </w:pPr>
            <w:r>
              <w:rPr/>
              <w:t> </w:t>
            </w:r>
          </w:p>
        </w:tc>
        <w:tc>
          <w:tcPr>
            <w:tcW w:w="114" w:type="dxa"/>
            <w:tcBorders>
              <w:bottom w:val="double" w:sz="2" w:space="0" w:color="000000"/>
            </w:tcBorders>
            <w:shd w:fill="FFFFFF" w:val="clear"/>
            <w:vAlign w:val="bottom"/>
          </w:tcPr>
          <w:p>
            <w:pPr>
              <w:pStyle w:val="TableContents"/>
              <w:spacing w:before="0" w:after="283"/>
              <w:jc w:val="left"/>
              <w:rPr/>
            </w:pPr>
            <w:r>
              <w:rPr/>
              <w:t> </w:t>
            </w:r>
          </w:p>
        </w:tc>
        <w:tc>
          <w:tcPr>
            <w:tcW w:w="950" w:type="dxa"/>
            <w:tcBorders>
              <w:bottom w:val="double" w:sz="2" w:space="0" w:color="000000"/>
            </w:tcBorders>
            <w:shd w:fill="FFFFFF" w:val="clear"/>
            <w:vAlign w:val="bottom"/>
          </w:tcPr>
          <w:p>
            <w:pPr>
              <w:pStyle w:val="TableContents"/>
              <w:spacing w:before="0" w:after="283"/>
              <w:jc w:val="right"/>
              <w:rPr/>
            </w:pPr>
            <w:r>
              <w:rPr/>
              <w:t> </w:t>
            </w:r>
          </w:p>
        </w:tc>
        <w:tc>
          <w:tcPr>
            <w:tcW w:w="103" w:type="dxa"/>
            <w:tcBorders>
              <w:bottom w:val="single" w:sz="4" w:space="0" w:color="FFFFFF"/>
            </w:tcBorders>
            <w:shd w:fill="FFFFFF" w:val="clear"/>
            <w:vAlign w:val="bottom"/>
          </w:tcPr>
          <w:p>
            <w:pPr>
              <w:pStyle w:val="TableContents"/>
              <w:spacing w:before="0" w:after="283"/>
              <w:jc w:val="left"/>
              <w:rPr/>
            </w:pPr>
            <w:r>
              <w:rPr/>
              <w:t> </w:t>
            </w:r>
          </w:p>
        </w:tc>
        <w:tc>
          <w:tcPr>
            <w:tcW w:w="114" w:type="dxa"/>
            <w:tcBorders>
              <w:bottom w:val="double" w:sz="2" w:space="0" w:color="000000"/>
            </w:tcBorders>
            <w:shd w:fill="FFFFFF" w:val="clear"/>
            <w:vAlign w:val="bottom"/>
          </w:tcPr>
          <w:p>
            <w:pPr>
              <w:pStyle w:val="TableContents"/>
              <w:spacing w:before="0" w:after="283"/>
              <w:jc w:val="left"/>
              <w:rPr/>
            </w:pPr>
            <w:r>
              <w:rPr/>
              <w:t> </w:t>
            </w:r>
          </w:p>
        </w:tc>
        <w:tc>
          <w:tcPr>
            <w:tcW w:w="950" w:type="dxa"/>
            <w:tcBorders>
              <w:bottom w:val="double" w:sz="2" w:space="0" w:color="000000"/>
            </w:tcBorders>
            <w:shd w:fill="FFFFFF" w:val="clear"/>
            <w:vAlign w:val="bottom"/>
          </w:tcPr>
          <w:p>
            <w:pPr>
              <w:pStyle w:val="TableContents"/>
              <w:spacing w:before="0" w:after="283"/>
              <w:jc w:val="right"/>
              <w:rPr/>
            </w:pPr>
            <w:r>
              <w:rPr/>
              <w:t> </w:t>
            </w:r>
          </w:p>
        </w:tc>
        <w:tc>
          <w:tcPr>
            <w:tcW w:w="103" w:type="dxa"/>
            <w:tcBorders>
              <w:bottom w:val="single" w:sz="4" w:space="0" w:color="FFFFFF"/>
            </w:tcBorders>
            <w:shd w:fill="FFFFFF" w:val="clear"/>
            <w:vAlign w:val="bottom"/>
          </w:tcPr>
          <w:p>
            <w:pPr>
              <w:pStyle w:val="TableContents"/>
              <w:spacing w:before="0" w:after="283"/>
              <w:jc w:val="left"/>
              <w:rPr/>
            </w:pPr>
            <w:r>
              <w:rPr/>
              <w:t> </w:t>
            </w:r>
          </w:p>
        </w:tc>
        <w:tc>
          <w:tcPr>
            <w:tcW w:w="103" w:type="dxa"/>
            <w:tcBorders>
              <w:bottom w:val="double" w:sz="2" w:space="0" w:color="000000"/>
            </w:tcBorders>
            <w:shd w:fill="FFFFFF" w:val="clear"/>
            <w:vAlign w:val="bottom"/>
          </w:tcPr>
          <w:p>
            <w:pPr>
              <w:pStyle w:val="TableContents"/>
              <w:spacing w:before="0" w:after="283"/>
              <w:jc w:val="left"/>
              <w:rPr/>
            </w:pPr>
            <w:r>
              <w:rPr/>
              <w:t> </w:t>
            </w:r>
          </w:p>
        </w:tc>
        <w:tc>
          <w:tcPr>
            <w:tcW w:w="1049" w:type="dxa"/>
            <w:tcBorders>
              <w:bottom w:val="double" w:sz="2" w:space="0" w:color="000000"/>
            </w:tcBorders>
            <w:shd w:fill="FFFFFF" w:val="clear"/>
            <w:vAlign w:val="bottom"/>
          </w:tcPr>
          <w:p>
            <w:pPr>
              <w:pStyle w:val="TableContents"/>
              <w:spacing w:before="0" w:after="283"/>
              <w:jc w:val="right"/>
              <w:rPr/>
            </w:pPr>
            <w:r>
              <w:rPr/>
              <w:t> </w:t>
            </w:r>
          </w:p>
        </w:tc>
        <w:tc>
          <w:tcPr>
            <w:tcW w:w="103" w:type="dxa"/>
            <w:tcBorders>
              <w:bottom w:val="single" w:sz="4" w:space="0" w:color="FFFFFF"/>
            </w:tcBorders>
            <w:shd w:fill="FFFFFF" w:val="clear"/>
            <w:vAlign w:val="bottom"/>
          </w:tcPr>
          <w:p>
            <w:pPr>
              <w:pStyle w:val="TableContents"/>
              <w:spacing w:before="0" w:after="283"/>
              <w:jc w:val="left"/>
              <w:rPr/>
            </w:pPr>
            <w:r>
              <w:rPr/>
              <w:t> </w:t>
            </w:r>
          </w:p>
        </w:tc>
        <w:tc>
          <w:tcPr>
            <w:tcW w:w="126" w:type="dxa"/>
            <w:tcBorders>
              <w:bottom w:val="doub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992"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130,212</w:t>
            </w:r>
          </w:p>
        </w:tc>
        <w:tc>
          <w:tcPr>
            <w:tcW w:w="103" w:type="dxa"/>
            <w:tcBorders>
              <w:bottom w:val="single" w:sz="4" w:space="0" w:color="FFFFFF"/>
            </w:tcBorders>
            <w:shd w:fill="FFFFFF" w:val="clear"/>
            <w:vAlign w:val="bottom"/>
          </w:tcPr>
          <w:p>
            <w:pPr>
              <w:pStyle w:val="TableContents"/>
              <w:spacing w:before="0" w:after="283"/>
              <w:jc w:val="left"/>
              <w:rPr/>
            </w:pPr>
            <w:r>
              <w:rPr/>
              <w:t> </w:t>
            </w:r>
          </w:p>
        </w:tc>
        <w:tc>
          <w:tcPr>
            <w:tcW w:w="126" w:type="dxa"/>
            <w:tcBorders>
              <w:bottom w:val="doub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991"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109,320</w:t>
            </w:r>
          </w:p>
        </w:tc>
        <w:tc>
          <w:tcPr>
            <w:tcW w:w="119" w:type="dxa"/>
            <w:tcBorders>
              <w:bottom w:val="single" w:sz="4" w:space="0" w:color="FFFFFF"/>
            </w:tcBorders>
            <w:shd w:fill="FFFFFF" w:val="clear"/>
            <w:vAlign w:val="bottom"/>
          </w:tcPr>
          <w:p>
            <w:pPr>
              <w:pStyle w:val="TableContents"/>
              <w:spacing w:before="0" w:after="283"/>
              <w:jc w:val="left"/>
              <w:rPr/>
            </w:pPr>
            <w:r>
              <w:rPr/>
              <w:t> </w:t>
            </w:r>
          </w:p>
        </w:tc>
      </w:tr>
    </w:tbl>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u w:val="single"/>
        </w:rPr>
      </w:pPr>
      <w:r>
        <w:rPr>
          <w:rFonts w:ascii="Times New Roman" w:hAnsi="Times New Roman"/>
          <w:sz w:val="20"/>
          <w:u w:val="single"/>
        </w:rPr>
        <w:t>Australia</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pPr>
      <w:r>
        <w:rPr>
          <w:rStyle w:val="Emphasis"/>
          <w:rFonts w:ascii="Times New Roman" w:hAnsi="Times New Roman"/>
          <w:sz w:val="20"/>
          <w:u w:val="single"/>
        </w:rPr>
        <w:t>Australian Corporate Credit Facility</w:t>
      </w:r>
    </w:p>
    <w:p>
      <w:pPr>
        <w:pStyle w:val="TextBody"/>
        <w:spacing w:lineRule="auto" w:line="300" w:before="0" w:after="0"/>
        <w:ind w:left="0" w:right="0" w:hanging="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As prescribed by the credit agreement, during 2006, our Australian Corporate Credit Facility with the Bank of Western Australia, Ltd through our Australian subsidiary, Reading Entertainment Australia Pty Ltd (the “Australia Credit Facility”) was combined with our Newmarket Construction Loan during the first quarter of 2006 upon completion of the retail portions of our Newmarket ETRC. At December 31, 2006, the combined total borrowing limit of our Australian Corporate Credit Facility was $78.8 million (AUS$100.0 million). At December 31, 2006, we had drawn a total of $70.5 million (AUS$89.4 million) against this facility and issued lease guarantees as the lessee of $3.2 million (AUS$4.0 million) leaving an available, undrawn balance of $5.1 million (AUS$6.5 million). Effective September 30, 2006, we renegotiated our Australian Corporate Credit Facility. Under the new terms, it is unlikely that we will be required to make any further principal payments on the loan until the facility comes to term on January 1, 2009.</w:t>
      </w:r>
    </w:p>
    <w:p>
      <w:pPr>
        <w:pStyle w:val="TextBody"/>
        <w:spacing w:lineRule="auto" w:line="300" w:before="0" w:after="0"/>
        <w:ind w:left="0" w:right="0" w:firstLine="720"/>
        <w:jc w:val="both"/>
        <w:rPr/>
      </w:pPr>
      <w:r>
        <w:rPr/>
      </w:r>
    </w:p>
    <w:p>
      <w:pPr>
        <w:pStyle w:val="TextBody"/>
        <w:spacing w:lineRule="auto" w:line="300" w:before="0" w:after="0"/>
        <w:ind w:left="0" w:right="0" w:firstLine="720"/>
        <w:jc w:val="both"/>
        <w:rPr/>
      </w:pPr>
      <w:r>
        <w:rPr>
          <w:rFonts w:ascii="Times New Roman" w:hAnsi="Times New Roman"/>
          <w:sz w:val="20"/>
        </w:rPr>
        <w:t xml:space="preserve">During 2006, we drew down $4.8 million (AUS$6.3 million) to purchase the Palms - Christchurch Cinema and to payoff the Palms - Christchurch Cinema bank debt (see Note 8 - </w:t>
      </w:r>
      <w:r>
        <w:rPr>
          <w:rStyle w:val="Emphasis"/>
          <w:rFonts w:ascii="Times New Roman" w:hAnsi="Times New Roman"/>
          <w:sz w:val="20"/>
        </w:rPr>
        <w:t>Acquisitions and Property Development</w:t>
      </w:r>
      <w:r>
        <w:rPr>
          <w:rFonts w:ascii="Times New Roman" w:hAnsi="Times New Roman"/>
          <w:sz w:val="20"/>
        </w:rPr>
        <w:t xml:space="preserve">), $2.2 million (AUS$3.0 million) to purchase a 0.4 acre commercial site adjacent to our Moonee Ponds property in Melbourne, Australia, $1.6 million (AUS$2.2 million) to purchase a commercial development in Indooroopilly a suburb of Brisbane, Australia, and $1.1 million (AUS$1.4 million) to make capital improvements to our existing cinema sites. Additionally, we drew down $2.3 million (AUS$3.1 million) on our Newmarket Construction Loan used to finance the completion of the retail portions of our Newmarket Shopping Centre development in Brisbane, Australia. </w:t>
      </w:r>
    </w:p>
    <w:p>
      <w:pPr>
        <w:pStyle w:val="TextBody"/>
        <w:spacing w:lineRule="auto" w:line="300" w:before="0" w:after="0"/>
        <w:ind w:left="0" w:right="0" w:firstLine="720"/>
        <w:jc w:val="both"/>
        <w:rPr/>
      </w:pPr>
      <w:r>
        <w:rPr/>
      </w:r>
    </w:p>
    <w:p>
      <w:pPr>
        <w:pStyle w:val="TextBody"/>
        <w:spacing w:lineRule="auto" w:line="300" w:before="0" w:after="0"/>
        <w:ind w:left="0" w:right="0" w:firstLine="720"/>
        <w:jc w:val="both"/>
        <w:rPr/>
      </w:pPr>
      <w:r>
        <w:rPr>
          <w:rFonts w:ascii="Times New Roman" w:hAnsi="Times New Roman"/>
          <w:sz w:val="20"/>
        </w:rPr>
        <w:t xml:space="preserve">This credit facility is secured by substantially all of our cinema assets in Australia, but has not been guaranteed by any company other than several of our wholly owned Australian subsidiaries. The credit facility includes a number of affirmative and negative covenants designed to protect the Bank’s security interests. The most restrictive covenant of the facility is a limitation on the total amount that we are able to drawdown based on the total assets that are securing the loan. Our Australian Credit Facility provides for floating interest rates based on the Bank Bill Swap Bid Rate (BBSY bid rate), but requires that not less than 70% of the loan be swapped into fixed rate obligations. For further information regarding our swap agreements, see Note 13 - </w:t>
      </w:r>
      <w:r>
        <w:rPr>
          <w:rStyle w:val="Emphasis"/>
          <w:rFonts w:ascii="Times New Roman" w:hAnsi="Times New Roman"/>
          <w:sz w:val="20"/>
        </w:rPr>
        <w:t>Derivative Instruments</w:t>
      </w:r>
      <w:r>
        <w:rPr>
          <w:rFonts w:ascii="Times New Roman" w:hAnsi="Times New Roman"/>
          <w:sz w:val="20"/>
        </w:rPr>
        <w:t>. All interest rates above include a 1.00% interest rate margin.</w:t>
      </w:r>
    </w:p>
    <w:p>
      <w:pPr>
        <w:pStyle w:val="TextBody"/>
        <w:spacing w:lineRule="auto" w:line="300" w:before="0" w:after="0"/>
        <w:ind w:left="0" w:right="0" w:firstLine="720"/>
        <w:jc w:val="both"/>
        <w:rPr/>
      </w:pPr>
      <w:r>
        <w:rPr/>
      </w:r>
    </w:p>
    <w:p>
      <w:pPr>
        <w:pStyle w:val="TextBody"/>
        <w:spacing w:lineRule="auto" w:line="300" w:before="0" w:after="0"/>
        <w:ind w:left="0" w:right="0" w:hanging="0"/>
        <w:jc w:val="both"/>
        <w:rPr/>
      </w:pPr>
      <w:r>
        <w:rPr>
          <w:rStyle w:val="Emphasis"/>
          <w:rFonts w:ascii="Times New Roman" w:hAnsi="Times New Roman"/>
          <w:sz w:val="20"/>
          <w:u w:val="single"/>
        </w:rPr>
        <w:t>Fair Value of Interest Rate Swap Agreements</w:t>
      </w:r>
    </w:p>
    <w:p>
      <w:pPr>
        <w:pStyle w:val="TextBody"/>
        <w:spacing w:lineRule="auto" w:line="300" w:before="0" w:after="0"/>
        <w:ind w:left="0" w:right="0" w:hanging="0"/>
        <w:jc w:val="both"/>
        <w:rPr/>
      </w:pPr>
      <w:r>
        <w:rPr/>
      </w:r>
    </w:p>
    <w:p>
      <w:pPr>
        <w:pStyle w:val="TextBody"/>
        <w:spacing w:lineRule="auto" w:line="300" w:before="0" w:after="0"/>
        <w:ind w:left="0" w:right="0" w:firstLine="720"/>
        <w:jc w:val="both"/>
        <w:rPr/>
      </w:pPr>
      <w:r>
        <w:rPr>
          <w:rFonts w:ascii="Times New Roman" w:hAnsi="Times New Roman"/>
          <w:sz w:val="20"/>
        </w:rPr>
        <w:t xml:space="preserve">In accordance with SFAS No. 133, we marked our Australian interest rate swap instruments to market resulting in an $845,000 (AUS$1.1 million) decrease, $171,000 (AUS$180,000) increase, and a $91,000 (AUS$118,000) increase to interest expense during 2006, 2005 and 2004, respectively (See Note 13 - </w:t>
      </w:r>
      <w:r>
        <w:rPr>
          <w:rStyle w:val="Emphasis"/>
          <w:rFonts w:ascii="Times New Roman" w:hAnsi="Times New Roman"/>
          <w:sz w:val="20"/>
        </w:rPr>
        <w:t>Derivative Instruments</w:t>
      </w:r>
      <w:r>
        <w:rPr>
          <w:rFonts w:ascii="Times New Roman" w:hAnsi="Times New Roman"/>
          <w:sz w:val="20"/>
        </w:rPr>
        <w:t>).</w:t>
      </w:r>
    </w:p>
    <w:p>
      <w:pPr>
        <w:pStyle w:val="TextBody"/>
        <w:spacing w:lineRule="auto" w:line="300"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504" w:name="PGBRK97"/>
      <w:bookmarkStart w:id="3505" w:name="PGBRK97"/>
      <w:bookmarkEnd w:id="350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506" w:name="FTR97"/>
      <w:bookmarkStart w:id="3507" w:name="FTR97"/>
      <w:bookmarkEnd w:id="350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508" w:name="GLFTR97"/>
      <w:bookmarkStart w:id="3509" w:name="GLFTR97"/>
      <w:bookmarkEnd w:id="350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3510" w:name="PN97"/>
      <w:bookmarkEnd w:id="3510"/>
      <w:r>
        <w:rPr>
          <w:rFonts w:ascii="Times New Roman" w:hAnsi="Times New Roman"/>
          <w:sz w:val="16"/>
        </w:rPr>
        <w:t>-97-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511" w:name="HDR97"/>
      <w:bookmarkStart w:id="3512" w:name="HDR97"/>
      <w:bookmarkEnd w:id="351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3513" w:name="GLHDR97"/>
        <w:bookmarkEnd w:id="3513"/>
        <w:r>
          <w:rPr>
            <w:rStyle w:val="Emphasis"/>
            <w:rFonts w:ascii="Times New Roman" w:hAnsi="Times New Roman"/>
            <w:color w:val="000000"/>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300" w:before="0" w:after="0"/>
        <w:ind w:left="0" w:right="0" w:hanging="0"/>
        <w:jc w:val="both"/>
        <w:rPr/>
      </w:pPr>
      <w:r>
        <w:rPr>
          <w:rStyle w:val="Emphasis"/>
          <w:rFonts w:ascii="Times New Roman" w:hAnsi="Times New Roman"/>
          <w:sz w:val="20"/>
          <w:u w:val="single"/>
        </w:rPr>
        <w:t>Australian Shopping Center Loans</w:t>
      </w:r>
    </w:p>
    <w:p>
      <w:pPr>
        <w:pStyle w:val="TextBody"/>
        <w:spacing w:lineRule="auto" w:line="300" w:before="0" w:after="0"/>
        <w:ind w:left="0" w:right="0" w:hanging="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As part of the Anderson Circuit, in July 2004, we assumed the three loans on the properties of Epping, Rhodes, and West Lakes. The total amount assumed on the transaction date was $1.5 million (AUS$2.1 million) and the loans carry no interest as long as we make timely principal payments of approximately $250,000 (AUS$320,000) per year. The balance of these loans at December 31, 2006 and 2005 was $1.1 million (AUS$1.4 million) and $1.2 million (AUS$1.6 million), respectively. Early repayment is possible without penalty. The only recourse on default of these loans is the security on the properties.</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u w:val="single"/>
        </w:rPr>
      </w:pPr>
      <w:r>
        <w:rPr>
          <w:rFonts w:ascii="Times New Roman" w:hAnsi="Times New Roman"/>
          <w:sz w:val="20"/>
          <w:u w:val="single"/>
        </w:rPr>
        <w:t>New Zealand</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pPr>
      <w:r>
        <w:rPr>
          <w:rStyle w:val="Emphasis"/>
          <w:rFonts w:ascii="Times New Roman" w:hAnsi="Times New Roman"/>
          <w:sz w:val="20"/>
          <w:u w:val="single"/>
        </w:rPr>
        <w:t>Corporate Credit Facility</w:t>
      </w:r>
    </w:p>
    <w:p>
      <w:pPr>
        <w:pStyle w:val="TextBody"/>
        <w:spacing w:lineRule="auto" w:line="300" w:before="0" w:after="0"/>
        <w:ind w:left="0" w:right="0" w:hanging="0"/>
        <w:jc w:val="both"/>
        <w:rPr/>
      </w:pPr>
      <w:r>
        <w:rPr/>
      </w:r>
    </w:p>
    <w:p>
      <w:pPr>
        <w:pStyle w:val="TextBody"/>
        <w:spacing w:lineRule="auto" w:line="300" w:before="0" w:after="0"/>
        <w:ind w:left="720" w:right="0" w:hanging="0"/>
        <w:jc w:val="both"/>
        <w:rPr>
          <w:rFonts w:ascii="Times New Roman" w:hAnsi="Times New Roman"/>
          <w:sz w:val="20"/>
        </w:rPr>
      </w:pPr>
      <w:bookmarkStart w:id="3514" w:name="TAB11653"/>
      <w:bookmarkEnd w:id="3514"/>
      <w:r>
        <w:rPr>
          <w:rFonts w:ascii="Times New Roman" w:hAnsi="Times New Roman"/>
          <w:sz w:val="20"/>
        </w:rPr>
        <w:t>On December 15, 2006, our New Zealand Corporate Credit Facility with the Westpac Banking Corporation was increased from $35.2 million (NZ$50.0 million) to $42.3 million (NZ$60.0 million) and the facility’s related principal payment were deferred to begin in February 2009 after which we will be required to make quarterly principal payments of $750,000 till the loan comes due in November 2009. During 2004, this credit facility had replaced our existing $20.9 million (NZ$31.3 million) credit facility, with Bank of New Zealand, with a $35.5 million (NZ$50.0 million) credit facility with Westpac Banking Corporation. The facility is secured by substantially all of our New Zealand assets, but has not been guaranteed by any entity other than several of our New Zealand subsidiaries. The facility expires on November 23, 2009. The credit facility had been fully drawn in order to repay the replaced facility and to finance our 2004 acquisitions of six cinemas (27 screens) and three underlying fee interests in New Zealand. The facility includes various affirmative and negative covenants designed to protect the bank’s security, limits capital expenditures and the repatriation of funds out of New Zealand without the approval of the bank. Also included in the restrictive covenants of the facility is the restriction of transferring funds from subsidiary to parent. Interest on the facility is a floating rate based on the 90-day Bank Bill Bid Rate (BBBR). At December 31, 2006 that rate was 9.15% (which includes a 1.45% interest rate margin) and the amount outstanding was $35.2 million (NZ$50.0 million).</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pPr>
      <w:r>
        <w:rPr>
          <w:rStyle w:val="Emphasis"/>
          <w:rFonts w:ascii="Times New Roman" w:hAnsi="Times New Roman"/>
          <w:sz w:val="20"/>
          <w:u w:val="single"/>
        </w:rPr>
        <w:t>Movieland Note Payable</w:t>
      </w:r>
    </w:p>
    <w:p>
      <w:pPr>
        <w:pStyle w:val="TextBody"/>
        <w:spacing w:lineRule="auto" w:line="300" w:before="0" w:after="0"/>
        <w:ind w:left="0" w:right="0" w:hanging="0"/>
        <w:jc w:val="both"/>
        <w:rPr/>
      </w:pPr>
      <w:r>
        <w:rPr/>
      </w:r>
    </w:p>
    <w:p>
      <w:pPr>
        <w:pStyle w:val="TextBody"/>
        <w:spacing w:lineRule="auto" w:line="300" w:before="0" w:after="0"/>
        <w:ind w:left="720" w:right="0" w:hanging="0"/>
        <w:jc w:val="both"/>
        <w:rPr>
          <w:rFonts w:ascii="Times New Roman" w:hAnsi="Times New Roman"/>
          <w:sz w:val="20"/>
        </w:rPr>
      </w:pPr>
      <w:bookmarkStart w:id="3515" w:name="TAB11654"/>
      <w:bookmarkEnd w:id="3515"/>
      <w:r>
        <w:rPr>
          <w:rFonts w:ascii="Times New Roman" w:hAnsi="Times New Roman"/>
          <w:sz w:val="20"/>
        </w:rPr>
        <w:t>On February 27, 2006, we paid off the balance of our New Zealand Movieland Note Payable which we had issued in August 2004 in connection with the purchase of our Movieland Circuit. The balance of the purchase money promissory note was paid in full for $520,000 (NZ$784,000) plus $14,000 (NZ$22,000) of accrued interest.</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u w:val="single"/>
        </w:rPr>
      </w:pPr>
      <w:r>
        <w:rPr>
          <w:rFonts w:ascii="Times New Roman" w:hAnsi="Times New Roman"/>
          <w:sz w:val="20"/>
          <w:u w:val="single"/>
        </w:rPr>
        <w:t>Domestic</w:t>
      </w:r>
    </w:p>
    <w:p>
      <w:pPr>
        <w:pStyle w:val="TextBody"/>
        <w:spacing w:lineRule="auto" w:line="300" w:before="0" w:after="0"/>
        <w:ind w:left="0" w:right="0" w:hanging="0"/>
        <w:jc w:val="both"/>
        <w:rPr/>
      </w:pPr>
      <w:r>
        <w:rPr/>
      </w:r>
    </w:p>
    <w:p>
      <w:pPr>
        <w:pStyle w:val="TextBody"/>
        <w:spacing w:lineRule="auto" w:line="300" w:before="0" w:after="0"/>
        <w:ind w:left="0" w:right="0" w:hanging="0"/>
        <w:jc w:val="left"/>
        <w:rPr/>
      </w:pPr>
      <w:r>
        <w:rPr>
          <w:rStyle w:val="Emphasis"/>
          <w:rFonts w:ascii="Times New Roman" w:hAnsi="Times New Roman"/>
          <w:sz w:val="20"/>
          <w:u w:val="single"/>
        </w:rPr>
        <w:t>Sutton Hill Capital Note 1 - City Cinemas Standby Credit Facility</w:t>
      </w:r>
    </w:p>
    <w:p>
      <w:pPr>
        <w:pStyle w:val="TextBody"/>
        <w:spacing w:lineRule="auto" w:line="300" w:before="0" w:after="0"/>
        <w:ind w:left="0" w:right="0" w:hanging="0"/>
        <w:jc w:val="left"/>
        <w:rPr/>
      </w:pPr>
      <w:r>
        <w:rPr/>
      </w:r>
    </w:p>
    <w:p>
      <w:pPr>
        <w:pStyle w:val="TextBody"/>
        <w:spacing w:lineRule="auto" w:line="300" w:before="0" w:after="0"/>
        <w:ind w:left="0" w:right="0" w:firstLine="720"/>
        <w:jc w:val="both"/>
        <w:rPr/>
      </w:pPr>
      <w:r>
        <w:rPr>
          <w:rFonts w:ascii="Times New Roman" w:hAnsi="Times New Roman"/>
          <w:sz w:val="20"/>
        </w:rPr>
        <w:t xml:space="preserve">In connection with the City Cinemas Transaction, we undertook to lend SHC up to $28.0 million commencing in July 2007. With the release of the Murray Hill cinema from the Operating Lease in February 2002, this obligation decreased to $18.0 million. As more fully described in Note 25 - </w:t>
      </w:r>
      <w:r>
        <w:rPr>
          <w:rStyle w:val="Emphasis"/>
          <w:rFonts w:ascii="Times New Roman" w:hAnsi="Times New Roman"/>
          <w:sz w:val="20"/>
        </w:rPr>
        <w:t>Related Parties and Transactions</w:t>
      </w:r>
      <w:r>
        <w:rPr>
          <w:rFonts w:ascii="Times New Roman" w:hAnsi="Times New Roman"/>
          <w:sz w:val="20"/>
        </w:rPr>
        <w:t xml:space="preserve">, the City Cinemas Standby Credit Facility, in connection with the sale of the Sutton Property, the Operating Lease was further reduced by $5.0 million from $18.0 million to $13.0 million and the draw down date was changed to the earlier of October 2005 or the payment of the Sutton Purchase Money Note. </w:t>
      </w:r>
    </w:p>
    <w:p>
      <w:pPr>
        <w:pStyle w:val="TextBody"/>
        <w:spacing w:before="0" w:after="0"/>
        <w:rPr/>
      </w:pPr>
      <w:r>
        <w:rPr/>
        <w:t> </w:t>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 xml:space="preserve">Prior to the sale of the Sutton Property in 2003, our funding obligation under the City Cinemas Standby Credit Facility was not recorded on our Consolidated Balance Sheet. Instead, it was disclosed as an off balance sheet future loan commitment. Following the October 2003 sale of the Sutton Property, this loan commitment was recorded as an “other non-current liability” on our Consolidated Balance Sheet. On September 14, 2004, the Sutton Purchase Money Note was paid, and $13.0 million of the proceeds were called by SHC as the final drawdown of the City Cinemas Standby Credit Facility. </w:t>
      </w:r>
    </w:p>
    <w:p>
      <w:pPr>
        <w:pStyle w:val="TextBody"/>
        <w:spacing w:lineRule="auto" w:line="300" w:before="0" w:after="0"/>
        <w:ind w:left="0" w:right="0" w:firstLine="720"/>
        <w:jc w:val="both"/>
        <w:rPr/>
      </w:pPr>
      <w:r>
        <w:rPr/>
      </w:r>
    </w:p>
    <w:p>
      <w:pPr>
        <w:pStyle w:val="TextBody"/>
        <w:spacing w:lineRule="auto" w:line="300" w:before="0" w:after="0"/>
        <w:ind w:left="0" w:right="0" w:firstLine="720"/>
        <w:jc w:val="both"/>
        <w:rPr/>
      </w:pPr>
      <w:r>
        <w:rPr>
          <w:rFonts w:ascii="Times New Roman" w:hAnsi="Times New Roman"/>
          <w:sz w:val="20"/>
        </w:rPr>
        <w:t>On September 14, 2004, we issued a $5.0 million promissory note to SHC which carries an interest rate at December 31, 2006 of 9.69% per annum with interest only payments payable monthly and a balloon principal payment due on July 28, 2007, the loan maturity date. We used the proceeds to in part invest in 205-209 East 57</w:t>
      </w:r>
      <w:r>
        <w:rPr>
          <w:rFonts w:ascii="Times New Roman" w:hAnsi="Times New Roman"/>
          <w:position w:val="7"/>
          <w:sz w:val="16"/>
          <w:sz w:val="20"/>
        </w:rPr>
        <w:t>th</w:t>
      </w:r>
      <w:r>
        <w:rPr/>
        <w:t xml:space="preserve"> </w:t>
      </w:r>
      <w:r>
        <w:rPr>
          <w:rFonts w:ascii="Times New Roman" w:hAnsi="Times New Roman"/>
          <w:sz w:val="20"/>
        </w:rPr>
        <w:t>Street Associates, LLC a limited liability company formed to redevelop our former cinema site at 205 East 57</w:t>
      </w:r>
      <w:r>
        <w:rPr>
          <w:rFonts w:ascii="Times New Roman" w:hAnsi="Times New Roman"/>
          <w:position w:val="7"/>
          <w:sz w:val="16"/>
          <w:sz w:val="20"/>
        </w:rPr>
        <w:t>th</w:t>
      </w:r>
      <w:r>
        <w:rPr/>
        <w:t xml:space="preserve"> </w:t>
      </w:r>
      <w:r>
        <w:rPr>
          <w:rFonts w:ascii="Times New Roman" w:hAnsi="Times New Roman"/>
          <w:sz w:val="20"/>
        </w:rPr>
        <w:t>Street in Manhattan.</w:t>
      </w:r>
    </w:p>
    <w:p>
      <w:pPr>
        <w:pStyle w:val="TextBody"/>
        <w:spacing w:before="0" w:after="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516" w:name="PGBRK98"/>
      <w:bookmarkStart w:id="3517" w:name="PGBRK98"/>
      <w:bookmarkEnd w:id="351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518" w:name="FTR98"/>
      <w:bookmarkStart w:id="3519" w:name="FTR98"/>
      <w:bookmarkEnd w:id="35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520" w:name="GLFTR98"/>
      <w:bookmarkStart w:id="3521" w:name="GLFTR98"/>
      <w:bookmarkEnd w:id="352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3522" w:name="PN98"/>
      <w:bookmarkEnd w:id="3522"/>
      <w:r>
        <w:rPr>
          <w:rFonts w:ascii="Times New Roman" w:hAnsi="Times New Roman"/>
          <w:sz w:val="16"/>
        </w:rPr>
        <w:t>-98-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523" w:name="HDR98"/>
      <w:bookmarkStart w:id="3524" w:name="HDR98"/>
      <w:bookmarkEnd w:id="352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3525" w:name="GLHDR98"/>
        <w:bookmarkEnd w:id="3525"/>
        <w:r>
          <w:rPr>
            <w:rStyle w:val="Emphasis"/>
            <w:rFonts w:ascii="Times New Roman" w:hAnsi="Times New Roman"/>
            <w:color w:val="000000"/>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300" w:before="0" w:after="0"/>
        <w:ind w:left="0" w:right="0" w:hanging="0"/>
        <w:jc w:val="both"/>
        <w:rPr/>
      </w:pPr>
      <w:r>
        <w:rPr>
          <w:rStyle w:val="Emphasis"/>
          <w:rFonts w:ascii="Times New Roman" w:hAnsi="Times New Roman"/>
          <w:sz w:val="20"/>
          <w:u w:val="single"/>
        </w:rPr>
        <w:t xml:space="preserve">Royal George Theatre Term Loan </w:t>
      </w:r>
    </w:p>
    <w:p>
      <w:pPr>
        <w:pStyle w:val="TextBody"/>
        <w:spacing w:lineRule="auto" w:line="300" w:before="0" w:after="0"/>
        <w:ind w:left="0" w:right="0" w:hanging="0"/>
        <w:jc w:val="both"/>
        <w:rPr/>
      </w:pPr>
      <w:r>
        <w:rPr/>
      </w:r>
    </w:p>
    <w:p>
      <w:pPr>
        <w:pStyle w:val="TextBody"/>
        <w:spacing w:lineRule="auto" w:line="300" w:before="0" w:after="0"/>
        <w:ind w:left="720" w:right="0" w:hanging="0"/>
        <w:jc w:val="both"/>
        <w:rPr>
          <w:rFonts w:ascii="Times New Roman" w:hAnsi="Times New Roman"/>
          <w:sz w:val="20"/>
        </w:rPr>
      </w:pPr>
      <w:bookmarkStart w:id="3526" w:name="TAB11655"/>
      <w:bookmarkEnd w:id="3526"/>
      <w:r>
        <w:rPr>
          <w:rFonts w:ascii="Times New Roman" w:hAnsi="Times New Roman"/>
          <w:sz w:val="20"/>
        </w:rPr>
        <w:t>On November 29, 2002, we entered into a $2.5 million loan agreement with a financial institution, secured by our Royal George Theatre in Chicago, Illinois. The loan is a 5-year term loan that accrues a variable interest rate payable monthly in arrears. As of December 31, 2006, the interest rate on the loan was 7.86% paid monthly in conjunction with the monthly scheduled principal payment. The loan agreement contains various covenants. The most restrictive covenant is that we must maintain the ratio of EBITDA (as defined by the loan agreement) to capital expenditures, taxes and loan payments of at least 1.1 to 1. We owed $1.8 million and $2.0 million on this term loan as of December 31, 2006 and 2005, respectively.</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pPr>
      <w:r>
        <w:rPr>
          <w:rStyle w:val="Emphasis"/>
          <w:rFonts w:ascii="Times New Roman" w:hAnsi="Times New Roman"/>
          <w:sz w:val="20"/>
          <w:u w:val="single"/>
        </w:rPr>
        <w:t>Sutton Hill Capital Note 2</w:t>
      </w:r>
      <w:r>
        <w:rPr>
          <w:rStyle w:val="Emphasis"/>
          <w:u w:val="single"/>
        </w:rPr>
        <w:t> </w:t>
      </w:r>
    </w:p>
    <w:p>
      <w:pPr>
        <w:pStyle w:val="TextBody"/>
        <w:spacing w:lineRule="auto" w:line="300" w:before="0" w:after="0"/>
        <w:ind w:left="0" w:right="0" w:hanging="0"/>
        <w:jc w:val="both"/>
        <w:rPr/>
      </w:pPr>
      <w:r>
        <w:rPr/>
      </w:r>
    </w:p>
    <w:p>
      <w:pPr>
        <w:pStyle w:val="TextBody"/>
        <w:spacing w:lineRule="auto" w:line="300" w:before="0" w:after="0"/>
        <w:ind w:left="0" w:right="0" w:firstLine="720"/>
        <w:jc w:val="both"/>
        <w:rPr/>
      </w:pPr>
      <w:r>
        <w:rPr>
          <w:rFonts w:ascii="Times New Roman" w:hAnsi="Times New Roman"/>
          <w:sz w:val="20"/>
        </w:rPr>
        <w:t>On September 19, 2005, we issued a $9.0 million promissory note, bearing interest at a fixed rate of 8.25% with interest only payments payable monthly and a balloon principal payment due on December 31, 2010, the loan maturity date, in exchange for the tenant’s interest in the ground lease estate that is currently between (i) our fee ownership of the underlying land and (ii) our current possessory interest as the tenant in the building and improvements constituting the Cinemas 1, 2 &amp; 3 in Manhattan. This tenant’s ground lease interest was purchased from Sutton Hill Capital LLC (“SHC”). As SHC is a related party to our corporation, our Board’s Audit and Conflicts Committee, comprised entirely of outside independent directors, and subsequently our entire Board of Directors unanimously approved issuance of debt in connection with the purchase of the property. The Cinemas 1, 2 &amp; 3 is located on 3</w:t>
      </w:r>
      <w:r>
        <w:rPr>
          <w:rFonts w:ascii="Times New Roman" w:hAnsi="Times New Roman"/>
          <w:position w:val="7"/>
          <w:sz w:val="16"/>
          <w:sz w:val="20"/>
        </w:rPr>
        <w:t>rd</w:t>
      </w:r>
      <w:r>
        <w:rPr/>
        <w:t xml:space="preserve"> </w:t>
      </w:r>
      <w:r>
        <w:rPr>
          <w:rFonts w:ascii="Times New Roman" w:hAnsi="Times New Roman"/>
          <w:sz w:val="20"/>
        </w:rPr>
        <w:t>Avenue between 59</w:t>
      </w:r>
      <w:r>
        <w:rPr>
          <w:rFonts w:ascii="Times New Roman" w:hAnsi="Times New Roman"/>
          <w:position w:val="7"/>
          <w:sz w:val="16"/>
          <w:sz w:val="20"/>
        </w:rPr>
        <w:t>th</w:t>
      </w:r>
      <w:r>
        <w:rPr/>
        <w:t xml:space="preserve"> </w:t>
      </w:r>
      <w:r>
        <w:rPr>
          <w:rFonts w:ascii="Times New Roman" w:hAnsi="Times New Roman"/>
          <w:sz w:val="20"/>
        </w:rPr>
        <w:t>and 60</w:t>
      </w:r>
      <w:r>
        <w:rPr>
          <w:rFonts w:ascii="Times New Roman" w:hAnsi="Times New Roman"/>
          <w:position w:val="7"/>
          <w:sz w:val="16"/>
          <w:sz w:val="20"/>
        </w:rPr>
        <w:t>th</w:t>
      </w:r>
      <w:r>
        <w:rPr/>
        <w:t xml:space="preserve"> </w:t>
      </w:r>
      <w:r>
        <w:rPr>
          <w:rFonts w:ascii="Times New Roman" w:hAnsi="Times New Roman"/>
          <w:sz w:val="20"/>
        </w:rPr>
        <w:t>Streets.</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pPr>
      <w:r>
        <w:rPr>
          <w:rStyle w:val="Emphasis"/>
          <w:rFonts w:ascii="Times New Roman" w:hAnsi="Times New Roman"/>
          <w:sz w:val="20"/>
          <w:u w:val="single"/>
        </w:rPr>
        <w:t>Union Square Theatre Term Loan</w:t>
      </w:r>
    </w:p>
    <w:p>
      <w:pPr>
        <w:pStyle w:val="TextBody"/>
        <w:spacing w:lineRule="auto" w:line="300" w:before="0" w:after="0"/>
        <w:ind w:left="0" w:right="0" w:hanging="0"/>
        <w:jc w:val="both"/>
        <w:rPr/>
      </w:pPr>
      <w:r>
        <w:rPr/>
      </w:r>
    </w:p>
    <w:p>
      <w:pPr>
        <w:pStyle w:val="TextBody"/>
        <w:spacing w:lineRule="auto" w:line="300" w:before="0" w:after="0"/>
        <w:ind w:left="720" w:right="0" w:hanging="0"/>
        <w:jc w:val="both"/>
        <w:rPr>
          <w:rFonts w:ascii="Times New Roman" w:hAnsi="Times New Roman"/>
          <w:sz w:val="20"/>
        </w:rPr>
      </w:pPr>
      <w:bookmarkStart w:id="3527" w:name="TAB11656"/>
      <w:bookmarkEnd w:id="3527"/>
      <w:r>
        <w:rPr>
          <w:rFonts w:ascii="Times New Roman" w:hAnsi="Times New Roman"/>
          <w:sz w:val="20"/>
        </w:rPr>
        <w:t xml:space="preserve">On December 4, 2006, we renegotiated our loan agreement which is secured by our Union Square Theatre in Manhattan. The new loan increased our borrowing amount from $3.2 million to $7.5 million and reduced our annual interest rate from 7.31% to 6.26%. This new three-year term loan requires monthly scheduled principal and interest payments. We owed $7.5 million and $3.3 million on this term loan for the years ended December 31, 2006 and 2005, respectively. While this loan is structured as a limited recourse liability (the only collateral being our Union Square building and the tenant leases with respect to that building), this limited recourse structure is somewhat offset by our inter-company obligation under the lease of the live theater portion of the building, which provides for an annual rent of $546,000. </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u w:val="single"/>
        </w:rPr>
      </w:pPr>
      <w:r>
        <w:rPr>
          <w:rFonts w:ascii="Times New Roman" w:hAnsi="Times New Roman"/>
          <w:sz w:val="20"/>
          <w:u w:val="single"/>
        </w:rPr>
        <w:t>Summary of Notes Payable</w:t>
      </w:r>
    </w:p>
    <w:p>
      <w:pPr>
        <w:pStyle w:val="TextBody"/>
        <w:spacing w:lineRule="auto" w:line="300" w:before="0" w:after="0"/>
        <w:ind w:left="0" w:right="0" w:hanging="0"/>
        <w:jc w:val="both"/>
        <w:rPr/>
      </w:pPr>
      <w:r>
        <w:rPr/>
      </w:r>
    </w:p>
    <w:p>
      <w:pPr>
        <w:pStyle w:val="TextBody"/>
        <w:spacing w:lineRule="auto" w:line="300" w:before="0" w:after="0"/>
        <w:ind w:left="720" w:right="0" w:hanging="0"/>
        <w:jc w:val="both"/>
        <w:rPr>
          <w:rFonts w:ascii="Times New Roman" w:hAnsi="Times New Roman"/>
          <w:sz w:val="20"/>
        </w:rPr>
      </w:pPr>
      <w:bookmarkStart w:id="3528" w:name="TAB11657"/>
      <w:bookmarkEnd w:id="3528"/>
      <w:r>
        <w:rPr>
          <w:rFonts w:ascii="Times New Roman" w:hAnsi="Times New Roman"/>
          <w:sz w:val="20"/>
        </w:rPr>
        <w:t>Our aggregate future principal loan payments are as follows (dollars in thousands):</w:t>
      </w:r>
    </w:p>
    <w:p>
      <w:pPr>
        <w:pStyle w:val="TextBody"/>
        <w:spacing w:lineRule="auto" w:line="300" w:before="0" w:after="0"/>
        <w:ind w:left="0" w:right="0" w:hanging="0"/>
        <w:jc w:val="both"/>
        <w:rPr/>
      </w:pPr>
      <w:r>
        <w:rPr/>
      </w:r>
    </w:p>
    <w:p>
      <w:pPr>
        <w:pStyle w:val="Normal"/>
        <w:spacing w:lineRule="auto" w:line="300" w:before="0" w:after="0"/>
        <w:jc w:val="both"/>
        <w:rPr>
          <w:sz w:val="4"/>
          <w:szCs w:val="4"/>
        </w:rPr>
      </w:pPr>
      <w:r>
        <w:rPr>
          <w:sz w:val="4"/>
          <w:szCs w:val="4"/>
        </w:rPr>
      </w:r>
      <w:bookmarkStart w:id="3529" w:name="ftable43"/>
      <w:bookmarkStart w:id="3530" w:name="ftable43"/>
      <w:bookmarkEnd w:id="3530"/>
    </w:p>
    <w:tbl>
      <w:tblPr>
        <w:tblW w:w="5000" w:type="pct"/>
        <w:jc w:val="left"/>
        <w:tblInd w:w="0" w:type="dxa"/>
        <w:tblCellMar>
          <w:top w:w="0" w:type="dxa"/>
          <w:left w:w="0" w:type="dxa"/>
          <w:bottom w:w="28" w:type="dxa"/>
          <w:right w:w="0" w:type="dxa"/>
        </w:tblCellMar>
      </w:tblPr>
      <w:tblGrid>
        <w:gridCol w:w="8497"/>
        <w:gridCol w:w="209"/>
        <w:gridCol w:w="129"/>
        <w:gridCol w:w="1251"/>
        <w:gridCol w:w="119"/>
      </w:tblGrid>
      <w:tr>
        <w:trPr/>
        <w:tc>
          <w:tcPr>
            <w:tcW w:w="8497" w:type="dxa"/>
            <w:tcBorders>
              <w:bottom w:val="double" w:sz="2" w:space="0" w:color="000000"/>
            </w:tcBorders>
            <w:shd w:fill="auto" w:val="clear"/>
            <w:vAlign w:val="bottom"/>
          </w:tcPr>
          <w:p>
            <w:pPr>
              <w:pStyle w:val="TableContents"/>
              <w:spacing w:lineRule="auto" w:line="300" w:before="0" w:after="0"/>
              <w:ind w:left="0" w:right="0" w:hanging="0"/>
              <w:jc w:val="left"/>
              <w:rPr/>
            </w:pPr>
            <w:r>
              <w:rPr>
                <w:rStyle w:val="StrongEmphasis"/>
                <w:rFonts w:ascii="Times New Roman" w:hAnsi="Times New Roman"/>
                <w:sz w:val="20"/>
              </w:rPr>
              <w:t xml:space="preserve">Year Ending December 31, </w:t>
            </w:r>
          </w:p>
        </w:tc>
        <w:tc>
          <w:tcPr>
            <w:tcW w:w="209" w:type="dxa"/>
            <w:tcBorders>
              <w:bottom w:val="single" w:sz="4" w:space="0" w:color="FFFFFF"/>
            </w:tcBorders>
            <w:shd w:fill="auto" w:val="clear"/>
            <w:vAlign w:val="center"/>
          </w:tcPr>
          <w:p>
            <w:pPr>
              <w:pStyle w:val="TableContents"/>
              <w:spacing w:before="0" w:after="283"/>
              <w:rPr/>
            </w:pPr>
            <w:r>
              <w:rPr/>
              <w:t> </w:t>
            </w:r>
          </w:p>
        </w:tc>
        <w:tc>
          <w:tcPr>
            <w:tcW w:w="1380" w:type="dxa"/>
            <w:gridSpan w:val="2"/>
            <w:tcBorders>
              <w:bottom w:val="double" w:sz="2" w:space="0" w:color="000000"/>
            </w:tcBorders>
            <w:shd w:fill="auto" w:val="clear"/>
            <w:vAlign w:val="bottom"/>
          </w:tcPr>
          <w:p>
            <w:pPr>
              <w:pStyle w:val="TableContents"/>
              <w:spacing w:before="0" w:after="283"/>
              <w:rPr/>
            </w:pPr>
            <w:r>
              <w:rPr/>
              <w:t> </w:t>
            </w:r>
          </w:p>
        </w:tc>
        <w:tc>
          <w:tcPr>
            <w:tcW w:w="119" w:type="dxa"/>
            <w:tcBorders>
              <w:bottom w:val="single" w:sz="4" w:space="0" w:color="FFFFFF"/>
            </w:tcBorders>
            <w:shd w:fill="auto" w:val="clear"/>
            <w:vAlign w:val="bottom"/>
          </w:tcPr>
          <w:p>
            <w:pPr>
              <w:pStyle w:val="TableContents"/>
              <w:spacing w:before="0" w:after="283"/>
              <w:jc w:val="left"/>
              <w:rPr/>
            </w:pPr>
            <w:r>
              <w:rPr/>
              <w:t> </w:t>
            </w:r>
          </w:p>
        </w:tc>
      </w:tr>
      <w:tr>
        <w:trPr/>
        <w:tc>
          <w:tcPr>
            <w:tcW w:w="8497" w:type="dxa"/>
            <w:tcBorders/>
            <w:shd w:fill="CCEEFF" w:val="clear"/>
            <w:tcMar>
              <w:bottom w:w="0" w:type="dxa"/>
            </w:tcMar>
            <w:vAlign w:val="bottom"/>
          </w:tcPr>
          <w:p>
            <w:pPr>
              <w:pStyle w:val="TableContents"/>
              <w:spacing w:lineRule="auto" w:line="300" w:before="0" w:after="0"/>
              <w:ind w:left="540" w:right="0" w:hanging="0"/>
              <w:jc w:val="left"/>
              <w:rPr>
                <w:rFonts w:ascii="Times New Roman" w:hAnsi="Times New Roman"/>
                <w:sz w:val="20"/>
              </w:rPr>
            </w:pPr>
            <w:bookmarkStart w:id="3531" w:name="TAB11658"/>
            <w:bookmarkEnd w:id="3531"/>
            <w:r>
              <w:rPr>
                <w:rFonts w:ascii="Times New Roman" w:hAnsi="Times New Roman"/>
                <w:sz w:val="20"/>
              </w:rPr>
              <w:t>2007</w:t>
            </w:r>
          </w:p>
        </w:tc>
        <w:tc>
          <w:tcPr>
            <w:tcW w:w="209" w:type="dxa"/>
            <w:tcBorders/>
            <w:shd w:fill="CCEEFF" w:val="clear"/>
            <w:tcMar>
              <w:bottom w:w="0" w:type="dxa"/>
            </w:tcMar>
            <w:vAlign w:val="center"/>
          </w:tcPr>
          <w:p>
            <w:pPr>
              <w:pStyle w:val="TableContents"/>
              <w:spacing w:before="0" w:after="283"/>
              <w:rPr/>
            </w:pPr>
            <w:r>
              <w:rPr/>
              <w:t> </w:t>
            </w:r>
          </w:p>
        </w:tc>
        <w:tc>
          <w:tcPr>
            <w:tcW w:w="129"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bookmarkStart w:id="3532" w:name="TAB2185"/>
            <w:bookmarkEnd w:id="3532"/>
          </w:p>
        </w:tc>
        <w:tc>
          <w:tcPr>
            <w:tcW w:w="1251"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3533" w:name="TAB2186"/>
            <w:bookmarkEnd w:id="3533"/>
            <w:r>
              <w:rPr>
                <w:rFonts w:ascii="Times New Roman" w:hAnsi="Times New Roman"/>
                <w:sz w:val="20"/>
              </w:rPr>
              <w:t>7,237</w:t>
            </w:r>
          </w:p>
        </w:tc>
        <w:tc>
          <w:tcPr>
            <w:tcW w:w="119" w:type="dxa"/>
            <w:tcBorders/>
            <w:shd w:fill="CCEEFF" w:val="clear"/>
            <w:tcMar>
              <w:bottom w:w="0" w:type="dxa"/>
            </w:tcMar>
            <w:vAlign w:val="bottom"/>
          </w:tcPr>
          <w:p>
            <w:pPr>
              <w:pStyle w:val="TableContents"/>
              <w:spacing w:before="0" w:after="283"/>
              <w:jc w:val="left"/>
              <w:rPr/>
            </w:pPr>
            <w:r>
              <w:rPr/>
              <w:t> </w:t>
            </w:r>
          </w:p>
        </w:tc>
      </w:tr>
      <w:tr>
        <w:trPr/>
        <w:tc>
          <w:tcPr>
            <w:tcW w:w="8497" w:type="dxa"/>
            <w:tcBorders/>
            <w:shd w:fill="FFFFFF" w:val="clear"/>
            <w:tcMar>
              <w:bottom w:w="0" w:type="dxa"/>
            </w:tcMar>
            <w:vAlign w:val="bottom"/>
          </w:tcPr>
          <w:p>
            <w:pPr>
              <w:pStyle w:val="TableContents"/>
              <w:spacing w:lineRule="auto" w:line="300" w:before="0" w:after="0"/>
              <w:ind w:left="540" w:right="0" w:hanging="0"/>
              <w:jc w:val="left"/>
              <w:rPr>
                <w:rFonts w:ascii="Times New Roman" w:hAnsi="Times New Roman"/>
                <w:sz w:val="20"/>
              </w:rPr>
            </w:pPr>
            <w:bookmarkStart w:id="3534" w:name="TAB11659"/>
            <w:bookmarkEnd w:id="3534"/>
            <w:r>
              <w:rPr>
                <w:rFonts w:ascii="Times New Roman" w:hAnsi="Times New Roman"/>
                <w:sz w:val="20"/>
              </w:rPr>
              <w:t>2008</w:t>
            </w:r>
          </w:p>
        </w:tc>
        <w:tc>
          <w:tcPr>
            <w:tcW w:w="209" w:type="dxa"/>
            <w:tcBorders/>
            <w:shd w:fill="FFFFFF" w:val="clear"/>
            <w:tcMar>
              <w:bottom w:w="0" w:type="dxa"/>
            </w:tcMar>
            <w:vAlign w:val="center"/>
          </w:tcPr>
          <w:p>
            <w:pPr>
              <w:pStyle w:val="TableContents"/>
              <w:spacing w:before="0" w:after="283"/>
              <w:rPr/>
            </w:pPr>
            <w:r>
              <w:rPr/>
              <w:t> </w:t>
            </w:r>
          </w:p>
        </w:tc>
        <w:tc>
          <w:tcPr>
            <w:tcW w:w="129" w:type="dxa"/>
            <w:tcBorders/>
            <w:shd w:fill="FFFFFF" w:val="clear"/>
            <w:tcMar>
              <w:bottom w:w="0" w:type="dxa"/>
            </w:tcMar>
            <w:vAlign w:val="bottom"/>
          </w:tcPr>
          <w:p>
            <w:pPr>
              <w:pStyle w:val="TableContents"/>
              <w:spacing w:before="0" w:after="283"/>
              <w:jc w:val="left"/>
              <w:rPr/>
            </w:pPr>
            <w:r>
              <w:rPr/>
              <w:t> </w:t>
            </w:r>
          </w:p>
        </w:tc>
        <w:tc>
          <w:tcPr>
            <w:tcW w:w="1251"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363</w:t>
            </w:r>
          </w:p>
        </w:tc>
        <w:tc>
          <w:tcPr>
            <w:tcW w:w="119" w:type="dxa"/>
            <w:tcBorders/>
            <w:shd w:fill="FFFFFF" w:val="clear"/>
            <w:tcMar>
              <w:bottom w:w="0" w:type="dxa"/>
            </w:tcMar>
            <w:vAlign w:val="bottom"/>
          </w:tcPr>
          <w:p>
            <w:pPr>
              <w:pStyle w:val="TableContents"/>
              <w:spacing w:before="0" w:after="283"/>
              <w:jc w:val="left"/>
              <w:rPr/>
            </w:pPr>
            <w:r>
              <w:rPr/>
              <w:t> </w:t>
            </w:r>
          </w:p>
        </w:tc>
      </w:tr>
      <w:tr>
        <w:trPr/>
        <w:tc>
          <w:tcPr>
            <w:tcW w:w="8497" w:type="dxa"/>
            <w:tcBorders/>
            <w:shd w:fill="CCEEFF" w:val="clear"/>
            <w:tcMar>
              <w:bottom w:w="0" w:type="dxa"/>
            </w:tcMar>
            <w:vAlign w:val="bottom"/>
          </w:tcPr>
          <w:p>
            <w:pPr>
              <w:pStyle w:val="TableContents"/>
              <w:spacing w:lineRule="auto" w:line="300" w:before="0" w:after="0"/>
              <w:ind w:left="540" w:right="0" w:hanging="0"/>
              <w:jc w:val="left"/>
              <w:rPr>
                <w:rFonts w:ascii="Times New Roman" w:hAnsi="Times New Roman"/>
                <w:sz w:val="20"/>
              </w:rPr>
            </w:pPr>
            <w:bookmarkStart w:id="3535" w:name="TAB11660"/>
            <w:bookmarkEnd w:id="3535"/>
            <w:r>
              <w:rPr>
                <w:rFonts w:ascii="Times New Roman" w:hAnsi="Times New Roman"/>
                <w:sz w:val="20"/>
              </w:rPr>
              <w:t>2009</w:t>
            </w:r>
          </w:p>
        </w:tc>
        <w:tc>
          <w:tcPr>
            <w:tcW w:w="209" w:type="dxa"/>
            <w:tcBorders/>
            <w:shd w:fill="CCEEFF" w:val="clear"/>
            <w:tcMar>
              <w:bottom w:w="0" w:type="dxa"/>
            </w:tcMar>
            <w:vAlign w:val="center"/>
          </w:tcPr>
          <w:p>
            <w:pPr>
              <w:pStyle w:val="TableContents"/>
              <w:spacing w:before="0" w:after="283"/>
              <w:rPr/>
            </w:pPr>
            <w:r>
              <w:rPr/>
              <w:t> </w:t>
            </w:r>
          </w:p>
        </w:tc>
        <w:tc>
          <w:tcPr>
            <w:tcW w:w="129" w:type="dxa"/>
            <w:tcBorders/>
            <w:shd w:fill="CCEEFF" w:val="clear"/>
            <w:tcMar>
              <w:bottom w:w="0" w:type="dxa"/>
            </w:tcMar>
            <w:vAlign w:val="bottom"/>
          </w:tcPr>
          <w:p>
            <w:pPr>
              <w:pStyle w:val="TableContents"/>
              <w:spacing w:before="0" w:after="283"/>
              <w:jc w:val="left"/>
              <w:rPr/>
            </w:pPr>
            <w:r>
              <w:rPr/>
              <w:t> </w:t>
            </w:r>
          </w:p>
        </w:tc>
        <w:tc>
          <w:tcPr>
            <w:tcW w:w="1251"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106,123</w:t>
            </w:r>
          </w:p>
        </w:tc>
        <w:tc>
          <w:tcPr>
            <w:tcW w:w="119" w:type="dxa"/>
            <w:tcBorders/>
            <w:shd w:fill="CCEEFF" w:val="clear"/>
            <w:tcMar>
              <w:bottom w:w="0" w:type="dxa"/>
            </w:tcMar>
            <w:vAlign w:val="bottom"/>
          </w:tcPr>
          <w:p>
            <w:pPr>
              <w:pStyle w:val="TableContents"/>
              <w:spacing w:before="0" w:after="283"/>
              <w:jc w:val="left"/>
              <w:rPr/>
            </w:pPr>
            <w:r>
              <w:rPr/>
              <w:t> </w:t>
            </w:r>
          </w:p>
        </w:tc>
      </w:tr>
      <w:tr>
        <w:trPr/>
        <w:tc>
          <w:tcPr>
            <w:tcW w:w="8497" w:type="dxa"/>
            <w:tcBorders/>
            <w:shd w:fill="FFFFFF" w:val="clear"/>
            <w:tcMar>
              <w:bottom w:w="0" w:type="dxa"/>
            </w:tcMar>
            <w:vAlign w:val="bottom"/>
          </w:tcPr>
          <w:p>
            <w:pPr>
              <w:pStyle w:val="TableContents"/>
              <w:spacing w:lineRule="auto" w:line="300" w:before="0" w:after="0"/>
              <w:ind w:left="540" w:right="0" w:hanging="0"/>
              <w:jc w:val="left"/>
              <w:rPr>
                <w:rFonts w:ascii="Times New Roman" w:hAnsi="Times New Roman"/>
                <w:sz w:val="20"/>
              </w:rPr>
            </w:pPr>
            <w:bookmarkStart w:id="3536" w:name="TAB11661"/>
            <w:bookmarkEnd w:id="3536"/>
            <w:r>
              <w:rPr>
                <w:rFonts w:ascii="Times New Roman" w:hAnsi="Times New Roman"/>
                <w:sz w:val="20"/>
              </w:rPr>
              <w:t>2010</w:t>
            </w:r>
          </w:p>
        </w:tc>
        <w:tc>
          <w:tcPr>
            <w:tcW w:w="209" w:type="dxa"/>
            <w:tcBorders/>
            <w:shd w:fill="FFFFFF" w:val="clear"/>
            <w:tcMar>
              <w:bottom w:w="0" w:type="dxa"/>
            </w:tcMar>
            <w:vAlign w:val="center"/>
          </w:tcPr>
          <w:p>
            <w:pPr>
              <w:pStyle w:val="TableContents"/>
              <w:spacing w:before="0" w:after="283"/>
              <w:rPr/>
            </w:pPr>
            <w:r>
              <w:rPr/>
              <w:t> </w:t>
            </w:r>
          </w:p>
        </w:tc>
        <w:tc>
          <w:tcPr>
            <w:tcW w:w="129" w:type="dxa"/>
            <w:tcBorders/>
            <w:shd w:fill="FFFFFF" w:val="clear"/>
            <w:tcMar>
              <w:bottom w:w="0" w:type="dxa"/>
            </w:tcMar>
            <w:vAlign w:val="bottom"/>
          </w:tcPr>
          <w:p>
            <w:pPr>
              <w:pStyle w:val="TableContents"/>
              <w:spacing w:before="0" w:after="283"/>
              <w:jc w:val="left"/>
              <w:rPr/>
            </w:pPr>
            <w:r>
              <w:rPr/>
              <w:t> </w:t>
            </w:r>
          </w:p>
        </w:tc>
        <w:tc>
          <w:tcPr>
            <w:tcW w:w="1251"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16,055</w:t>
            </w:r>
          </w:p>
        </w:tc>
        <w:tc>
          <w:tcPr>
            <w:tcW w:w="119" w:type="dxa"/>
            <w:tcBorders/>
            <w:shd w:fill="FFFFFF" w:val="clear"/>
            <w:tcMar>
              <w:bottom w:w="0" w:type="dxa"/>
            </w:tcMar>
            <w:vAlign w:val="bottom"/>
          </w:tcPr>
          <w:p>
            <w:pPr>
              <w:pStyle w:val="TableContents"/>
              <w:spacing w:before="0" w:after="283"/>
              <w:jc w:val="left"/>
              <w:rPr/>
            </w:pPr>
            <w:r>
              <w:rPr/>
              <w:t> </w:t>
            </w:r>
          </w:p>
        </w:tc>
      </w:tr>
      <w:tr>
        <w:trPr/>
        <w:tc>
          <w:tcPr>
            <w:tcW w:w="8497" w:type="dxa"/>
            <w:tcBorders/>
            <w:shd w:fill="CCEEFF" w:val="clear"/>
            <w:tcMar>
              <w:bottom w:w="0" w:type="dxa"/>
            </w:tcMar>
            <w:vAlign w:val="bottom"/>
          </w:tcPr>
          <w:p>
            <w:pPr>
              <w:pStyle w:val="TableContents"/>
              <w:spacing w:lineRule="auto" w:line="300" w:before="0" w:after="0"/>
              <w:ind w:left="540" w:right="0" w:hanging="0"/>
              <w:jc w:val="left"/>
              <w:rPr>
                <w:rFonts w:ascii="Times New Roman" w:hAnsi="Times New Roman"/>
                <w:sz w:val="20"/>
              </w:rPr>
            </w:pPr>
            <w:bookmarkStart w:id="3537" w:name="TAB11662"/>
            <w:bookmarkEnd w:id="3537"/>
            <w:r>
              <w:rPr>
                <w:rFonts w:ascii="Times New Roman" w:hAnsi="Times New Roman"/>
                <w:sz w:val="20"/>
              </w:rPr>
              <w:t>2011</w:t>
            </w:r>
          </w:p>
        </w:tc>
        <w:tc>
          <w:tcPr>
            <w:tcW w:w="209" w:type="dxa"/>
            <w:tcBorders/>
            <w:shd w:fill="CCEEFF" w:val="clear"/>
            <w:tcMar>
              <w:bottom w:w="0" w:type="dxa"/>
            </w:tcMar>
            <w:vAlign w:val="center"/>
          </w:tcPr>
          <w:p>
            <w:pPr>
              <w:pStyle w:val="TableContents"/>
              <w:spacing w:before="0" w:after="283"/>
              <w:rPr/>
            </w:pPr>
            <w:r>
              <w:rPr/>
              <w:t> </w:t>
            </w:r>
          </w:p>
        </w:tc>
        <w:tc>
          <w:tcPr>
            <w:tcW w:w="129" w:type="dxa"/>
            <w:tcBorders/>
            <w:shd w:fill="CCEEFF" w:val="clear"/>
            <w:tcMar>
              <w:bottom w:w="0" w:type="dxa"/>
            </w:tcMar>
            <w:vAlign w:val="bottom"/>
          </w:tcPr>
          <w:p>
            <w:pPr>
              <w:pStyle w:val="TableContents"/>
              <w:spacing w:before="0" w:after="283"/>
              <w:jc w:val="left"/>
              <w:rPr/>
            </w:pPr>
            <w:r>
              <w:rPr/>
              <w:t> </w:t>
            </w:r>
          </w:p>
        </w:tc>
        <w:tc>
          <w:tcPr>
            <w:tcW w:w="1251"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158</w:t>
            </w:r>
          </w:p>
        </w:tc>
        <w:tc>
          <w:tcPr>
            <w:tcW w:w="119" w:type="dxa"/>
            <w:tcBorders/>
            <w:shd w:fill="CCEEFF" w:val="clear"/>
            <w:tcMar>
              <w:bottom w:w="0" w:type="dxa"/>
            </w:tcMar>
            <w:vAlign w:val="bottom"/>
          </w:tcPr>
          <w:p>
            <w:pPr>
              <w:pStyle w:val="TableContents"/>
              <w:spacing w:before="0" w:after="283"/>
              <w:jc w:val="left"/>
              <w:rPr/>
            </w:pPr>
            <w:r>
              <w:rPr/>
              <w:t> </w:t>
            </w:r>
          </w:p>
        </w:tc>
      </w:tr>
      <w:tr>
        <w:trPr/>
        <w:tc>
          <w:tcPr>
            <w:tcW w:w="8497" w:type="dxa"/>
            <w:tcBorders>
              <w:bottom w:val="sing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Thereafter</w:t>
            </w:r>
          </w:p>
        </w:tc>
        <w:tc>
          <w:tcPr>
            <w:tcW w:w="209" w:type="dxa"/>
            <w:tcBorders>
              <w:bottom w:val="single" w:sz="2" w:space="0" w:color="FFFFFF"/>
            </w:tcBorders>
            <w:shd w:fill="FFFFFF" w:val="clear"/>
            <w:vAlign w:val="center"/>
          </w:tcPr>
          <w:p>
            <w:pPr>
              <w:pStyle w:val="TableContents"/>
              <w:spacing w:before="0" w:after="283"/>
              <w:rPr/>
            </w:pPr>
            <w:r>
              <w:rPr/>
              <w:t> </w:t>
            </w:r>
          </w:p>
        </w:tc>
        <w:tc>
          <w:tcPr>
            <w:tcW w:w="129" w:type="dxa"/>
            <w:tcBorders>
              <w:bottom w:val="single" w:sz="2" w:space="0" w:color="000000"/>
            </w:tcBorders>
            <w:shd w:fill="FFFFFF" w:val="clear"/>
            <w:vAlign w:val="bottom"/>
          </w:tcPr>
          <w:p>
            <w:pPr>
              <w:pStyle w:val="TableContents"/>
              <w:spacing w:before="0" w:after="283"/>
              <w:jc w:val="left"/>
              <w:rPr/>
            </w:pPr>
            <w:r>
              <w:rPr/>
              <w:t> </w:t>
            </w:r>
          </w:p>
        </w:tc>
        <w:tc>
          <w:tcPr>
            <w:tcW w:w="1251"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276</w:t>
            </w:r>
          </w:p>
        </w:tc>
        <w:tc>
          <w:tcPr>
            <w:tcW w:w="119" w:type="dxa"/>
            <w:tcBorders>
              <w:bottom w:val="single" w:sz="2" w:space="0" w:color="FFFFFF"/>
            </w:tcBorders>
            <w:shd w:fill="FFFFFF" w:val="clear"/>
            <w:vAlign w:val="bottom"/>
          </w:tcPr>
          <w:p>
            <w:pPr>
              <w:pStyle w:val="TableContents"/>
              <w:spacing w:before="0" w:after="283"/>
              <w:jc w:val="left"/>
              <w:rPr/>
            </w:pPr>
            <w:r>
              <w:rPr/>
              <w:t> </w:t>
            </w:r>
          </w:p>
        </w:tc>
      </w:tr>
      <w:tr>
        <w:trPr/>
        <w:tc>
          <w:tcPr>
            <w:tcW w:w="8497" w:type="dxa"/>
            <w:tcBorders>
              <w:bottom w:val="doub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Total future principal loan payments</w:t>
            </w:r>
          </w:p>
        </w:tc>
        <w:tc>
          <w:tcPr>
            <w:tcW w:w="209" w:type="dxa"/>
            <w:tcBorders>
              <w:bottom w:val="single" w:sz="4" w:space="0" w:color="CCEEFF"/>
            </w:tcBorders>
            <w:shd w:fill="CCEEFF" w:val="clear"/>
            <w:vAlign w:val="center"/>
          </w:tcPr>
          <w:p>
            <w:pPr>
              <w:pStyle w:val="TableContents"/>
              <w:spacing w:before="0" w:after="283"/>
              <w:rPr/>
            </w:pPr>
            <w:r>
              <w:rPr/>
              <w:t> </w:t>
            </w:r>
          </w:p>
        </w:tc>
        <w:tc>
          <w:tcPr>
            <w:tcW w:w="129" w:type="dxa"/>
            <w:tcBorders>
              <w:bottom w:val="doub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bookmarkStart w:id="3538" w:name="TAB2187"/>
            <w:bookmarkEnd w:id="3538"/>
          </w:p>
        </w:tc>
        <w:tc>
          <w:tcPr>
            <w:tcW w:w="1251" w:type="dxa"/>
            <w:tcBorders>
              <w:bottom w:val="doub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3539" w:name="TAB2188"/>
            <w:bookmarkEnd w:id="3539"/>
            <w:r>
              <w:rPr>
                <w:rFonts w:ascii="Times New Roman" w:hAnsi="Times New Roman"/>
                <w:sz w:val="20"/>
              </w:rPr>
              <w:t>130,212</w:t>
            </w:r>
          </w:p>
        </w:tc>
        <w:tc>
          <w:tcPr>
            <w:tcW w:w="119" w:type="dxa"/>
            <w:tcBorders>
              <w:bottom w:val="single" w:sz="4" w:space="0" w:color="CCEEFF"/>
            </w:tcBorders>
            <w:shd w:fill="CCEEFF" w:val="clear"/>
            <w:vAlign w:val="bottom"/>
          </w:tcPr>
          <w:p>
            <w:pPr>
              <w:pStyle w:val="TableContents"/>
              <w:spacing w:before="0" w:after="283"/>
              <w:jc w:val="left"/>
              <w:rPr/>
            </w:pPr>
            <w:r>
              <w:rPr/>
              <w:t> </w:t>
            </w:r>
          </w:p>
        </w:tc>
      </w:tr>
    </w:tbl>
    <w:p>
      <w:pPr>
        <w:pStyle w:val="TextBody"/>
        <w:spacing w:lineRule="auto" w:line="300" w:before="0" w:after="0"/>
        <w:ind w:left="0" w:right="0" w:hanging="0"/>
        <w:jc w:val="left"/>
        <w:rPr/>
      </w:pPr>
      <w:r>
        <w:rPr/>
      </w:r>
    </w:p>
    <w:p>
      <w:pPr>
        <w:pStyle w:val="TextBody"/>
        <w:spacing w:lineRule="auto" w:line="300" w:before="0" w:after="0"/>
        <w:ind w:left="720" w:right="0" w:hanging="0"/>
        <w:jc w:val="both"/>
        <w:rPr>
          <w:rFonts w:ascii="Times New Roman" w:hAnsi="Times New Roman"/>
          <w:sz w:val="20"/>
        </w:rPr>
      </w:pPr>
      <w:bookmarkStart w:id="3540" w:name="TAB11663"/>
      <w:bookmarkEnd w:id="3540"/>
      <w:r>
        <w:rPr>
          <w:rFonts w:ascii="Times New Roman" w:hAnsi="Times New Roman"/>
          <w:sz w:val="20"/>
        </w:rPr>
        <w:t>Since approximately $106.9 million of our total debt of $130.2 million at December 31, 2006 consisted of debt denominated in Australian and New Zealand dollars, the U.S dollar amounts of these repayments will fluctuate in accordance with the relative values of these currencies.</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pPr>
      <w:r>
        <w:rPr/>
      </w:r>
    </w:p>
    <w:p>
      <w:pPr>
        <w:pStyle w:val="TextBody"/>
        <w:spacing w:lineRule="auto" w:line="300" w:before="0" w:after="0"/>
        <w:ind w:left="0" w:right="0" w:hanging="0"/>
        <w:jc w:val="both"/>
        <w:rPr/>
      </w:pPr>
      <w:r>
        <w:rPr>
          <w:rStyle w:val="StrongEmphasis"/>
          <w:rFonts w:ascii="Times New Roman" w:hAnsi="Times New Roman"/>
          <w:sz w:val="20"/>
          <w:u w:val="single"/>
        </w:rPr>
        <w:t>Note 13 - Derivative Instruments</w:t>
      </w:r>
    </w:p>
    <w:p>
      <w:pPr>
        <w:pStyle w:val="TextBody"/>
        <w:spacing w:lineRule="auto" w:line="300" w:before="0" w:after="0"/>
        <w:ind w:left="0" w:right="0" w:hanging="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We are exposed to interest rate changes from our outstanding floating rate borrowings. We manage our fixed to floating rate debt mix to mitigate the impact of adverse changes in interest rates on earnings and cash flows and on the market value of our borrowings. From time to time, we may enter into interest rate hedging contracts which effectively convert a portion of our Australian dollar and/or New Zealand dollar denominated variable rate debt to a fixed rate over the term of the interest rate swap. In the case of our Australian borrowings, we are presently required to</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541" w:name="PGBRK99"/>
      <w:bookmarkStart w:id="3542" w:name="PGBRK99"/>
      <w:bookmarkEnd w:id="354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543" w:name="FTR99"/>
      <w:bookmarkStart w:id="3544" w:name="FTR99"/>
      <w:bookmarkEnd w:id="354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545" w:name="GLFTR99"/>
      <w:bookmarkStart w:id="3546" w:name="GLFTR99"/>
      <w:bookmarkEnd w:id="354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3547" w:name="PN99"/>
      <w:bookmarkEnd w:id="3547"/>
      <w:r>
        <w:rPr>
          <w:rFonts w:ascii="Times New Roman" w:hAnsi="Times New Roman"/>
          <w:sz w:val="16"/>
        </w:rPr>
        <w:t>-99-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548" w:name="HDR99"/>
      <w:bookmarkStart w:id="3549" w:name="HDR99"/>
      <w:bookmarkEnd w:id="354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3550" w:name="GLHDR99"/>
        <w:bookmarkEnd w:id="3550"/>
        <w:r>
          <w:rPr>
            <w:rStyle w:val="Emphasis"/>
            <w:rFonts w:ascii="Times New Roman" w:hAnsi="Times New Roman"/>
            <w:color w:val="000000"/>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swap no less than 70% of our drawdowns under our Australian Corporate Credit Facility into fixed interest rate obligations.</w:t>
      </w:r>
    </w:p>
    <w:p>
      <w:pPr>
        <w:pStyle w:val="TextBody"/>
        <w:spacing w:lineRule="auto" w:line="300" w:before="0" w:after="0"/>
        <w:ind w:left="0" w:right="0" w:hanging="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The following table sets forth the terms of our interest rate swap derivative instruments at December 31, 2006 and 2005:</w:t>
      </w:r>
    </w:p>
    <w:p>
      <w:pPr>
        <w:pStyle w:val="TextBody"/>
        <w:spacing w:lineRule="auto" w:line="300" w:before="0" w:after="0"/>
        <w:ind w:left="0" w:right="0" w:hanging="0"/>
        <w:jc w:val="both"/>
        <w:rPr/>
      </w:pPr>
      <w:r>
        <w:rPr/>
      </w:r>
    </w:p>
    <w:p>
      <w:pPr>
        <w:pStyle w:val="Normal"/>
        <w:spacing w:before="0" w:after="0"/>
        <w:rPr>
          <w:sz w:val="4"/>
          <w:szCs w:val="4"/>
        </w:rPr>
      </w:pPr>
      <w:r>
        <w:rPr>
          <w:sz w:val="4"/>
          <w:szCs w:val="4"/>
        </w:rPr>
      </w:r>
      <w:bookmarkStart w:id="3551" w:name="ftable44"/>
      <w:bookmarkStart w:id="3552" w:name="ftable44"/>
      <w:bookmarkEnd w:id="3552"/>
    </w:p>
    <w:tbl>
      <w:tblPr>
        <w:tblW w:w="5000" w:type="pct"/>
        <w:jc w:val="left"/>
        <w:tblInd w:w="0" w:type="dxa"/>
        <w:tblCellMar>
          <w:top w:w="0" w:type="dxa"/>
          <w:left w:w="0" w:type="dxa"/>
          <w:bottom w:w="28" w:type="dxa"/>
          <w:right w:w="0" w:type="dxa"/>
        </w:tblCellMar>
      </w:tblPr>
      <w:tblGrid>
        <w:gridCol w:w="4073"/>
        <w:gridCol w:w="193"/>
        <w:gridCol w:w="125"/>
        <w:gridCol w:w="1254"/>
        <w:gridCol w:w="193"/>
        <w:gridCol w:w="106"/>
        <w:gridCol w:w="1145"/>
        <w:gridCol w:w="193"/>
        <w:gridCol w:w="106"/>
        <w:gridCol w:w="1181"/>
        <w:gridCol w:w="193"/>
        <w:gridCol w:w="106"/>
        <w:gridCol w:w="1218"/>
        <w:gridCol w:w="119"/>
      </w:tblGrid>
      <w:tr>
        <w:trPr/>
        <w:tc>
          <w:tcPr>
            <w:tcW w:w="4073" w:type="dxa"/>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Type of Instrument</w:t>
            </w:r>
          </w:p>
        </w:tc>
        <w:tc>
          <w:tcPr>
            <w:tcW w:w="193" w:type="dxa"/>
            <w:tcBorders>
              <w:bottom w:val="single" w:sz="2" w:space="0" w:color="FFFFFF"/>
            </w:tcBorders>
            <w:shd w:fill="auto" w:val="clear"/>
            <w:vAlign w:val="center"/>
          </w:tcPr>
          <w:p>
            <w:pPr>
              <w:pStyle w:val="TableContents"/>
              <w:spacing w:before="0" w:after="283"/>
              <w:rPr/>
            </w:pPr>
            <w:r>
              <w:rPr/>
              <w:t> </w:t>
            </w:r>
          </w:p>
        </w:tc>
        <w:tc>
          <w:tcPr>
            <w:tcW w:w="1379" w:type="dxa"/>
            <w:gridSpan w:val="2"/>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Notional Amount</w:t>
            </w:r>
          </w:p>
        </w:tc>
        <w:tc>
          <w:tcPr>
            <w:tcW w:w="193" w:type="dxa"/>
            <w:tcBorders>
              <w:bottom w:val="single" w:sz="2" w:space="0" w:color="FFFFFF"/>
            </w:tcBorders>
            <w:shd w:fill="auto" w:val="clear"/>
            <w:vAlign w:val="bottom"/>
          </w:tcPr>
          <w:p>
            <w:pPr>
              <w:pStyle w:val="TableContents"/>
              <w:spacing w:before="0" w:after="283"/>
              <w:jc w:val="left"/>
              <w:rPr/>
            </w:pPr>
            <w:r>
              <w:rPr/>
              <w:t> </w:t>
            </w:r>
          </w:p>
        </w:tc>
        <w:tc>
          <w:tcPr>
            <w:tcW w:w="1251" w:type="dxa"/>
            <w:gridSpan w:val="2"/>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Pay Fixed Rate</w:t>
            </w:r>
          </w:p>
        </w:tc>
        <w:tc>
          <w:tcPr>
            <w:tcW w:w="193" w:type="dxa"/>
            <w:tcBorders>
              <w:bottom w:val="single" w:sz="2" w:space="0" w:color="FFFFFF"/>
            </w:tcBorders>
            <w:shd w:fill="auto" w:val="clear"/>
            <w:vAlign w:val="bottom"/>
          </w:tcPr>
          <w:p>
            <w:pPr>
              <w:pStyle w:val="TableContents"/>
              <w:spacing w:before="0" w:after="283"/>
              <w:jc w:val="left"/>
              <w:rPr/>
            </w:pPr>
            <w:r>
              <w:rPr/>
              <w:t> </w:t>
            </w:r>
          </w:p>
        </w:tc>
        <w:tc>
          <w:tcPr>
            <w:tcW w:w="1287" w:type="dxa"/>
            <w:gridSpan w:val="2"/>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Receive Variable Rate</w:t>
            </w:r>
          </w:p>
        </w:tc>
        <w:tc>
          <w:tcPr>
            <w:tcW w:w="193" w:type="dxa"/>
            <w:tcBorders>
              <w:bottom w:val="single" w:sz="2" w:space="0" w:color="FFFFFF"/>
            </w:tcBorders>
            <w:shd w:fill="auto" w:val="clear"/>
            <w:vAlign w:val="bottom"/>
          </w:tcPr>
          <w:p>
            <w:pPr>
              <w:pStyle w:val="TableContents"/>
              <w:spacing w:before="0" w:after="283"/>
              <w:jc w:val="left"/>
              <w:rPr/>
            </w:pPr>
            <w:r>
              <w:rPr/>
              <w:t> </w:t>
            </w:r>
          </w:p>
        </w:tc>
        <w:tc>
          <w:tcPr>
            <w:tcW w:w="1324" w:type="dxa"/>
            <w:gridSpan w:val="2"/>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Maturity Date</w:t>
            </w:r>
          </w:p>
        </w:tc>
        <w:tc>
          <w:tcPr>
            <w:tcW w:w="119" w:type="dxa"/>
            <w:tcBorders>
              <w:bottom w:val="single" w:sz="2" w:space="0" w:color="FFFFFF"/>
            </w:tcBorders>
            <w:shd w:fill="auto" w:val="clear"/>
            <w:vAlign w:val="bottom"/>
          </w:tcPr>
          <w:p>
            <w:pPr>
              <w:pStyle w:val="TableContents"/>
              <w:spacing w:before="0" w:after="283"/>
              <w:jc w:val="left"/>
              <w:rPr/>
            </w:pPr>
            <w:r>
              <w:rPr/>
              <w:t> </w:t>
            </w:r>
          </w:p>
        </w:tc>
      </w:tr>
      <w:tr>
        <w:trPr/>
        <w:tc>
          <w:tcPr>
            <w:tcW w:w="4073"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Interest rate swap</w:t>
            </w:r>
          </w:p>
        </w:tc>
        <w:tc>
          <w:tcPr>
            <w:tcW w:w="193" w:type="dxa"/>
            <w:tcBorders/>
            <w:shd w:fill="CCEEFF" w:val="clear"/>
            <w:tcMar>
              <w:bottom w:w="0" w:type="dxa"/>
            </w:tcMar>
            <w:vAlign w:val="center"/>
          </w:tcPr>
          <w:p>
            <w:pPr>
              <w:pStyle w:val="TableContents"/>
              <w:spacing w:before="0" w:after="283"/>
              <w:rPr/>
            </w:pPr>
            <w:r>
              <w:rPr/>
              <w:t> </w:t>
            </w:r>
          </w:p>
        </w:tc>
        <w:tc>
          <w:tcPr>
            <w:tcW w:w="125"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3553" w:name="TAB11664"/>
            <w:bookmarkEnd w:id="3553"/>
            <w:r>
              <w:rPr>
                <w:rFonts w:ascii="Times New Roman" w:hAnsi="Times New Roman"/>
                <w:sz w:val="20"/>
              </w:rPr>
              <w:t>$</w:t>
            </w:r>
          </w:p>
        </w:tc>
        <w:tc>
          <w:tcPr>
            <w:tcW w:w="1254"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3554" w:name="TAB11665"/>
            <w:bookmarkEnd w:id="3554"/>
            <w:r>
              <w:rPr>
                <w:rFonts w:ascii="Times New Roman" w:hAnsi="Times New Roman"/>
                <w:sz w:val="20"/>
              </w:rPr>
              <w:t>8,870,000</w:t>
            </w:r>
          </w:p>
        </w:tc>
        <w:tc>
          <w:tcPr>
            <w:tcW w:w="193"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1145" w:type="dxa"/>
            <w:tcBorders/>
            <w:shd w:fill="CCEEFF" w:val="clear"/>
            <w:tcMar>
              <w:bottom w:w="0" w:type="dxa"/>
            </w:tcM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5.7000%</w:t>
            </w:r>
          </w:p>
        </w:tc>
        <w:tc>
          <w:tcPr>
            <w:tcW w:w="193" w:type="dxa"/>
            <w:tcBorders/>
            <w:shd w:fill="CCEEFF" w:val="clear"/>
            <w:tcMar>
              <w:bottom w:w="0" w:type="dxa"/>
            </w:tcMar>
            <w:vAlign w:val="bottom"/>
          </w:tcPr>
          <w:p>
            <w:pPr>
              <w:pStyle w:val="TableContents"/>
              <w:spacing w:lineRule="auto" w:line="300" w:before="0" w:after="0"/>
              <w:ind w:left="0" w:right="0" w:hanging="0"/>
              <w:jc w:val="lef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1181" w:type="dxa"/>
            <w:tcBorders/>
            <w:shd w:fill="CCEEFF" w:val="clear"/>
            <w:tcMar>
              <w:bottom w:w="0" w:type="dxa"/>
            </w:tcM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6.2233%</w:t>
            </w:r>
          </w:p>
        </w:tc>
        <w:tc>
          <w:tcPr>
            <w:tcW w:w="193" w:type="dxa"/>
            <w:tcBorders/>
            <w:shd w:fill="CCEEFF" w:val="clear"/>
            <w:tcMar>
              <w:bottom w:w="0" w:type="dxa"/>
            </w:tcMar>
            <w:vAlign w:val="bottom"/>
          </w:tcPr>
          <w:p>
            <w:pPr>
              <w:pStyle w:val="TableContents"/>
              <w:spacing w:lineRule="auto" w:line="300" w:before="0" w:after="0"/>
              <w:ind w:left="0" w:right="0" w:hanging="0"/>
              <w:jc w:val="lef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1218" w:type="dxa"/>
            <w:tcBorders/>
            <w:shd w:fill="CCEEFF" w:val="clear"/>
            <w:tcMar>
              <w:bottom w:w="0" w:type="dxa"/>
            </w:tcM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December 31, 2007</w:t>
            </w:r>
          </w:p>
        </w:tc>
        <w:tc>
          <w:tcPr>
            <w:tcW w:w="119" w:type="dxa"/>
            <w:tcBorders/>
            <w:shd w:fill="CCEEFF" w:val="clear"/>
            <w:tcMar>
              <w:bottom w:w="0" w:type="dxa"/>
            </w:tcMar>
            <w:vAlign w:val="bottom"/>
          </w:tcPr>
          <w:p>
            <w:pPr>
              <w:pStyle w:val="TableContents"/>
              <w:spacing w:before="0" w:after="283"/>
              <w:jc w:val="left"/>
              <w:rPr/>
            </w:pPr>
            <w:r>
              <w:rPr/>
              <w:t> </w:t>
            </w:r>
          </w:p>
        </w:tc>
      </w:tr>
      <w:tr>
        <w:trPr/>
        <w:tc>
          <w:tcPr>
            <w:tcW w:w="4073"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Interest rate swap</w:t>
            </w:r>
          </w:p>
        </w:tc>
        <w:tc>
          <w:tcPr>
            <w:tcW w:w="193" w:type="dxa"/>
            <w:tcBorders/>
            <w:shd w:fill="FFFFFF" w:val="clear"/>
            <w:tcMar>
              <w:bottom w:w="0" w:type="dxa"/>
            </w:tcMar>
            <w:vAlign w:val="center"/>
          </w:tcPr>
          <w:p>
            <w:pPr>
              <w:pStyle w:val="TableContents"/>
              <w:spacing w:before="0" w:after="283"/>
              <w:rPr/>
            </w:pPr>
            <w:r>
              <w:rPr/>
              <w:t> </w:t>
            </w:r>
          </w:p>
        </w:tc>
        <w:tc>
          <w:tcPr>
            <w:tcW w:w="125"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3555" w:name="TAB11666"/>
            <w:bookmarkEnd w:id="3555"/>
            <w:r>
              <w:rPr>
                <w:rFonts w:ascii="Times New Roman" w:hAnsi="Times New Roman"/>
                <w:sz w:val="20"/>
              </w:rPr>
              <w:t>$</w:t>
            </w:r>
          </w:p>
        </w:tc>
        <w:tc>
          <w:tcPr>
            <w:tcW w:w="1254"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3556" w:name="TAB11667"/>
            <w:bookmarkEnd w:id="3556"/>
            <w:r>
              <w:rPr>
                <w:rFonts w:ascii="Times New Roman" w:hAnsi="Times New Roman"/>
                <w:sz w:val="20"/>
              </w:rPr>
              <w:t>12,812,000</w:t>
            </w:r>
          </w:p>
        </w:tc>
        <w:tc>
          <w:tcPr>
            <w:tcW w:w="193"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145" w:type="dxa"/>
            <w:tcBorders/>
            <w:shd w:fill="FFFFFF" w:val="clear"/>
            <w:tcMar>
              <w:bottom w:w="0" w:type="dxa"/>
            </w:tcM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6.4400%</w:t>
            </w:r>
          </w:p>
        </w:tc>
        <w:tc>
          <w:tcPr>
            <w:tcW w:w="193" w:type="dxa"/>
            <w:tcBorders/>
            <w:shd w:fill="FFFFFF" w:val="clear"/>
            <w:tcMar>
              <w:bottom w:w="0" w:type="dxa"/>
            </w:tcMar>
            <w:vAlign w:val="bottom"/>
          </w:tcPr>
          <w:p>
            <w:pPr>
              <w:pStyle w:val="TableContents"/>
              <w:spacing w:lineRule="auto" w:line="300" w:before="0" w:after="0"/>
              <w:ind w:left="0" w:right="0" w:hanging="0"/>
              <w:jc w:val="lef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181" w:type="dxa"/>
            <w:tcBorders/>
            <w:shd w:fill="FFFFFF" w:val="clear"/>
            <w:tcMar>
              <w:bottom w:w="0" w:type="dxa"/>
            </w:tcM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6.2233%</w:t>
            </w:r>
          </w:p>
        </w:tc>
        <w:tc>
          <w:tcPr>
            <w:tcW w:w="193" w:type="dxa"/>
            <w:tcBorders/>
            <w:shd w:fill="FFFFFF" w:val="clear"/>
            <w:tcMar>
              <w:bottom w:w="0" w:type="dxa"/>
            </w:tcMar>
            <w:vAlign w:val="bottom"/>
          </w:tcPr>
          <w:p>
            <w:pPr>
              <w:pStyle w:val="TableContents"/>
              <w:spacing w:lineRule="auto" w:line="300" w:before="0" w:after="0"/>
              <w:ind w:left="0" w:right="0" w:hanging="0"/>
              <w:jc w:val="lef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218" w:type="dxa"/>
            <w:tcBorders/>
            <w:shd w:fill="FFFFFF" w:val="clear"/>
            <w:tcMar>
              <w:bottom w:w="0" w:type="dxa"/>
            </w:tcM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December 31, 2008</w:t>
            </w:r>
          </w:p>
        </w:tc>
        <w:tc>
          <w:tcPr>
            <w:tcW w:w="119" w:type="dxa"/>
            <w:tcBorders/>
            <w:shd w:fill="FFFFFF" w:val="clear"/>
            <w:tcMar>
              <w:bottom w:w="0" w:type="dxa"/>
            </w:tcMar>
            <w:vAlign w:val="bottom"/>
          </w:tcPr>
          <w:p>
            <w:pPr>
              <w:pStyle w:val="TableContents"/>
              <w:spacing w:before="0" w:after="283"/>
              <w:jc w:val="left"/>
              <w:rPr/>
            </w:pPr>
            <w:r>
              <w:rPr/>
              <w:t> </w:t>
            </w:r>
          </w:p>
        </w:tc>
      </w:tr>
      <w:tr>
        <w:trPr/>
        <w:tc>
          <w:tcPr>
            <w:tcW w:w="4073"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Interest rate swap</w:t>
            </w:r>
          </w:p>
        </w:tc>
        <w:tc>
          <w:tcPr>
            <w:tcW w:w="193" w:type="dxa"/>
            <w:tcBorders/>
            <w:shd w:fill="CCEEFF" w:val="clear"/>
            <w:tcMar>
              <w:bottom w:w="0" w:type="dxa"/>
            </w:tcMar>
            <w:vAlign w:val="center"/>
          </w:tcPr>
          <w:p>
            <w:pPr>
              <w:pStyle w:val="TableContents"/>
              <w:spacing w:before="0" w:after="283"/>
              <w:rPr/>
            </w:pPr>
            <w:r>
              <w:rPr/>
              <w:t> </w:t>
            </w:r>
          </w:p>
        </w:tc>
        <w:tc>
          <w:tcPr>
            <w:tcW w:w="125"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3557" w:name="TAB11668"/>
            <w:bookmarkEnd w:id="3557"/>
            <w:r>
              <w:rPr>
                <w:rFonts w:ascii="Times New Roman" w:hAnsi="Times New Roman"/>
                <w:sz w:val="20"/>
              </w:rPr>
              <w:t>$</w:t>
            </w:r>
          </w:p>
        </w:tc>
        <w:tc>
          <w:tcPr>
            <w:tcW w:w="1254"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3558" w:name="TAB11669"/>
            <w:bookmarkEnd w:id="3558"/>
            <w:r>
              <w:rPr>
                <w:rFonts w:ascii="Times New Roman" w:hAnsi="Times New Roman"/>
                <w:sz w:val="20"/>
              </w:rPr>
              <w:t>12,871,000</w:t>
            </w:r>
          </w:p>
        </w:tc>
        <w:tc>
          <w:tcPr>
            <w:tcW w:w="193"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1145" w:type="dxa"/>
            <w:tcBorders/>
            <w:shd w:fill="CCEEFF" w:val="clear"/>
            <w:tcMar>
              <w:bottom w:w="0" w:type="dxa"/>
            </w:tcM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6.6800%</w:t>
            </w:r>
          </w:p>
        </w:tc>
        <w:tc>
          <w:tcPr>
            <w:tcW w:w="193" w:type="dxa"/>
            <w:tcBorders/>
            <w:shd w:fill="CCEEFF" w:val="clear"/>
            <w:tcMar>
              <w:bottom w:w="0" w:type="dxa"/>
            </w:tcMar>
            <w:vAlign w:val="bottom"/>
          </w:tcPr>
          <w:p>
            <w:pPr>
              <w:pStyle w:val="TableContents"/>
              <w:spacing w:lineRule="auto" w:line="300" w:before="0" w:after="0"/>
              <w:ind w:left="0" w:right="0" w:hanging="0"/>
              <w:jc w:val="lef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1181" w:type="dxa"/>
            <w:tcBorders/>
            <w:shd w:fill="CCEEFF" w:val="clear"/>
            <w:tcMar>
              <w:bottom w:w="0" w:type="dxa"/>
            </w:tcM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6.2233%</w:t>
            </w:r>
          </w:p>
        </w:tc>
        <w:tc>
          <w:tcPr>
            <w:tcW w:w="193" w:type="dxa"/>
            <w:tcBorders/>
            <w:shd w:fill="CCEEFF" w:val="clear"/>
            <w:tcMar>
              <w:bottom w:w="0" w:type="dxa"/>
            </w:tcMar>
            <w:vAlign w:val="bottom"/>
          </w:tcPr>
          <w:p>
            <w:pPr>
              <w:pStyle w:val="TableContents"/>
              <w:spacing w:lineRule="auto" w:line="300" w:before="0" w:after="0"/>
              <w:ind w:left="0" w:right="0" w:hanging="0"/>
              <w:jc w:val="lef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1218" w:type="dxa"/>
            <w:tcBorders/>
            <w:shd w:fill="CCEEFF" w:val="clear"/>
            <w:tcMar>
              <w:bottom w:w="0" w:type="dxa"/>
            </w:tcM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December 31, 2008</w:t>
            </w:r>
          </w:p>
        </w:tc>
        <w:tc>
          <w:tcPr>
            <w:tcW w:w="119" w:type="dxa"/>
            <w:tcBorders/>
            <w:shd w:fill="CCEEFF" w:val="clear"/>
            <w:tcMar>
              <w:bottom w:w="0" w:type="dxa"/>
            </w:tcMar>
            <w:vAlign w:val="bottom"/>
          </w:tcPr>
          <w:p>
            <w:pPr>
              <w:pStyle w:val="TableContents"/>
              <w:spacing w:before="0" w:after="283"/>
              <w:jc w:val="left"/>
              <w:rPr/>
            </w:pPr>
            <w:r>
              <w:rPr/>
              <w:t> </w:t>
            </w:r>
          </w:p>
        </w:tc>
      </w:tr>
      <w:tr>
        <w:trPr/>
        <w:tc>
          <w:tcPr>
            <w:tcW w:w="4073"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Interest rate swap</w:t>
            </w:r>
          </w:p>
        </w:tc>
        <w:tc>
          <w:tcPr>
            <w:tcW w:w="193" w:type="dxa"/>
            <w:tcBorders/>
            <w:shd w:fill="FFFFFF" w:val="clear"/>
            <w:tcMar>
              <w:bottom w:w="0" w:type="dxa"/>
            </w:tcMar>
            <w:vAlign w:val="center"/>
          </w:tcPr>
          <w:p>
            <w:pPr>
              <w:pStyle w:val="TableContents"/>
              <w:spacing w:before="0" w:after="283"/>
              <w:rPr/>
            </w:pPr>
            <w:r>
              <w:rPr/>
              <w:t> </w:t>
            </w:r>
          </w:p>
        </w:tc>
        <w:tc>
          <w:tcPr>
            <w:tcW w:w="125"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3559" w:name="TAB11670"/>
            <w:bookmarkEnd w:id="3559"/>
            <w:r>
              <w:rPr>
                <w:rFonts w:ascii="Times New Roman" w:hAnsi="Times New Roman"/>
                <w:sz w:val="20"/>
              </w:rPr>
              <w:t>$</w:t>
            </w:r>
          </w:p>
        </w:tc>
        <w:tc>
          <w:tcPr>
            <w:tcW w:w="1254"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3560" w:name="TAB11671"/>
            <w:bookmarkEnd w:id="3560"/>
            <w:r>
              <w:rPr>
                <w:rFonts w:ascii="Times New Roman" w:hAnsi="Times New Roman"/>
                <w:sz w:val="20"/>
              </w:rPr>
              <w:t>9,598,000</w:t>
            </w:r>
          </w:p>
        </w:tc>
        <w:tc>
          <w:tcPr>
            <w:tcW w:w="193"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145" w:type="dxa"/>
            <w:tcBorders/>
            <w:shd w:fill="FFFFFF" w:val="clear"/>
            <w:tcMar>
              <w:bottom w:w="0" w:type="dxa"/>
            </w:tcM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5.8800%</w:t>
            </w:r>
          </w:p>
        </w:tc>
        <w:tc>
          <w:tcPr>
            <w:tcW w:w="193" w:type="dxa"/>
            <w:tcBorders/>
            <w:shd w:fill="FFFFFF" w:val="clear"/>
            <w:tcMar>
              <w:bottom w:w="0" w:type="dxa"/>
            </w:tcMar>
            <w:vAlign w:val="bottom"/>
          </w:tcPr>
          <w:p>
            <w:pPr>
              <w:pStyle w:val="TableContents"/>
              <w:spacing w:lineRule="auto" w:line="300" w:before="0" w:after="0"/>
              <w:ind w:left="0" w:right="0" w:hanging="0"/>
              <w:jc w:val="lef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181" w:type="dxa"/>
            <w:tcBorders/>
            <w:shd w:fill="FFFFFF" w:val="clear"/>
            <w:tcMar>
              <w:bottom w:w="0" w:type="dxa"/>
            </w:tcM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6.2233%</w:t>
            </w:r>
          </w:p>
        </w:tc>
        <w:tc>
          <w:tcPr>
            <w:tcW w:w="193" w:type="dxa"/>
            <w:tcBorders/>
            <w:shd w:fill="FFFFFF" w:val="clear"/>
            <w:tcMar>
              <w:bottom w:w="0" w:type="dxa"/>
            </w:tcMar>
            <w:vAlign w:val="bottom"/>
          </w:tcPr>
          <w:p>
            <w:pPr>
              <w:pStyle w:val="TableContents"/>
              <w:spacing w:lineRule="auto" w:line="300" w:before="0" w:after="0"/>
              <w:ind w:left="0" w:right="0" w:hanging="0"/>
              <w:jc w:val="lef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218" w:type="dxa"/>
            <w:tcBorders/>
            <w:shd w:fill="FFFFFF" w:val="clear"/>
            <w:tcMar>
              <w:bottom w:w="0" w:type="dxa"/>
            </w:tcM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December 31, 2008</w:t>
            </w:r>
          </w:p>
        </w:tc>
        <w:tc>
          <w:tcPr>
            <w:tcW w:w="119" w:type="dxa"/>
            <w:tcBorders/>
            <w:shd w:fill="FFFFFF" w:val="clear"/>
            <w:tcMar>
              <w:bottom w:w="0" w:type="dxa"/>
            </w:tcMar>
            <w:vAlign w:val="bottom"/>
          </w:tcPr>
          <w:p>
            <w:pPr>
              <w:pStyle w:val="TableContents"/>
              <w:spacing w:before="0" w:after="283"/>
              <w:jc w:val="left"/>
              <w:rPr/>
            </w:pPr>
            <w:r>
              <w:rPr/>
              <w:t> </w:t>
            </w:r>
          </w:p>
        </w:tc>
      </w:tr>
      <w:tr>
        <w:trPr/>
        <w:tc>
          <w:tcPr>
            <w:tcW w:w="4073"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Interest rate swap</w:t>
            </w:r>
          </w:p>
        </w:tc>
        <w:tc>
          <w:tcPr>
            <w:tcW w:w="193" w:type="dxa"/>
            <w:tcBorders/>
            <w:shd w:fill="CCEEFF" w:val="clear"/>
            <w:tcMar>
              <w:bottom w:w="0" w:type="dxa"/>
            </w:tcMar>
            <w:vAlign w:val="center"/>
          </w:tcPr>
          <w:p>
            <w:pPr>
              <w:pStyle w:val="TableContents"/>
              <w:spacing w:before="0" w:after="283"/>
              <w:rPr/>
            </w:pPr>
            <w:r>
              <w:rPr/>
              <w:t> </w:t>
            </w:r>
          </w:p>
        </w:tc>
        <w:tc>
          <w:tcPr>
            <w:tcW w:w="125"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3561" w:name="TAB11672"/>
            <w:bookmarkEnd w:id="3561"/>
            <w:r>
              <w:rPr>
                <w:rFonts w:ascii="Times New Roman" w:hAnsi="Times New Roman"/>
                <w:sz w:val="20"/>
              </w:rPr>
              <w:t>$</w:t>
            </w:r>
          </w:p>
        </w:tc>
        <w:tc>
          <w:tcPr>
            <w:tcW w:w="1254"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3562" w:name="TAB11673"/>
            <w:bookmarkEnd w:id="3562"/>
            <w:r>
              <w:rPr>
                <w:rFonts w:ascii="Times New Roman" w:hAnsi="Times New Roman"/>
                <w:sz w:val="20"/>
              </w:rPr>
              <w:t>2,759,000</w:t>
            </w:r>
          </w:p>
        </w:tc>
        <w:tc>
          <w:tcPr>
            <w:tcW w:w="193"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1145" w:type="dxa"/>
            <w:tcBorders/>
            <w:shd w:fill="CCEEFF" w:val="clear"/>
            <w:tcMar>
              <w:bottom w:w="0" w:type="dxa"/>
            </w:tcM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6.3600%</w:t>
            </w:r>
          </w:p>
        </w:tc>
        <w:tc>
          <w:tcPr>
            <w:tcW w:w="193" w:type="dxa"/>
            <w:tcBorders/>
            <w:shd w:fill="CCEEFF" w:val="clear"/>
            <w:tcMar>
              <w:bottom w:w="0" w:type="dxa"/>
            </w:tcMar>
            <w:vAlign w:val="bottom"/>
          </w:tcPr>
          <w:p>
            <w:pPr>
              <w:pStyle w:val="TableContents"/>
              <w:spacing w:lineRule="auto" w:line="300" w:before="0" w:after="0"/>
              <w:ind w:left="0" w:right="0" w:hanging="0"/>
              <w:jc w:val="lef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1181" w:type="dxa"/>
            <w:tcBorders/>
            <w:shd w:fill="CCEEFF" w:val="clear"/>
            <w:tcMar>
              <w:bottom w:w="0" w:type="dxa"/>
            </w:tcM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6.2233%</w:t>
            </w:r>
          </w:p>
        </w:tc>
        <w:tc>
          <w:tcPr>
            <w:tcW w:w="193" w:type="dxa"/>
            <w:tcBorders/>
            <w:shd w:fill="CCEEFF" w:val="clear"/>
            <w:tcMar>
              <w:bottom w:w="0" w:type="dxa"/>
            </w:tcMar>
            <w:vAlign w:val="bottom"/>
          </w:tcPr>
          <w:p>
            <w:pPr>
              <w:pStyle w:val="TableContents"/>
              <w:spacing w:lineRule="auto" w:line="300" w:before="0" w:after="0"/>
              <w:ind w:left="0" w:right="0" w:hanging="0"/>
              <w:jc w:val="lef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1218" w:type="dxa"/>
            <w:tcBorders/>
            <w:shd w:fill="CCEEFF" w:val="clear"/>
            <w:tcMar>
              <w:bottom w:w="0" w:type="dxa"/>
            </w:tcM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December 31, 2008</w:t>
            </w:r>
          </w:p>
        </w:tc>
        <w:tc>
          <w:tcPr>
            <w:tcW w:w="119" w:type="dxa"/>
            <w:tcBorders/>
            <w:shd w:fill="CCEEFF" w:val="clear"/>
            <w:tcMar>
              <w:bottom w:w="0" w:type="dxa"/>
            </w:tcMar>
            <w:vAlign w:val="bottom"/>
          </w:tcPr>
          <w:p>
            <w:pPr>
              <w:pStyle w:val="TableContents"/>
              <w:spacing w:before="0" w:after="283"/>
              <w:jc w:val="left"/>
              <w:rPr/>
            </w:pPr>
            <w:r>
              <w:rPr/>
              <w:t> </w:t>
            </w:r>
          </w:p>
        </w:tc>
      </w:tr>
    </w:tbl>
    <w:p>
      <w:pPr>
        <w:pStyle w:val="TextBody"/>
        <w:spacing w:lineRule="auto" w:line="300" w:before="0" w:after="0"/>
        <w:ind w:left="0" w:right="0" w:hanging="0"/>
        <w:jc w:val="both"/>
        <w:rPr/>
      </w:pPr>
      <w:r>
        <w:rPr/>
      </w:r>
    </w:p>
    <w:p>
      <w:pPr>
        <w:pStyle w:val="TextBody"/>
        <w:spacing w:lineRule="auto" w:line="300" w:before="0" w:after="0"/>
        <w:ind w:left="0" w:right="0" w:firstLine="720"/>
        <w:jc w:val="both"/>
        <w:rPr/>
      </w:pPr>
      <w:r>
        <w:rPr>
          <w:rFonts w:ascii="Times New Roman" w:hAnsi="Times New Roman"/>
          <w:sz w:val="20"/>
        </w:rPr>
        <w:t xml:space="preserve">In accordance with SFAS No. 133 </w:t>
      </w:r>
      <w:r>
        <w:rPr>
          <w:rStyle w:val="Emphasis"/>
          <w:rFonts w:ascii="Times New Roman" w:hAnsi="Times New Roman"/>
          <w:sz w:val="20"/>
        </w:rPr>
        <w:t>Accounting for Derivative Instruments and Hedging Activities</w:t>
      </w:r>
      <w:r>
        <w:rPr>
          <w:rFonts w:ascii="Times New Roman" w:hAnsi="Times New Roman"/>
          <w:sz w:val="20"/>
        </w:rPr>
        <w:t>, we marked our Australian interest swap instruments to market on the consolidated balance sheet resulting in a $845,000 (AUS$1.1 million) decrease to interest expense during 2006, a $171,000 (AUS$180,000) increase to interest expense during 2005, and a $91,000 (AUS$118,000) increase to interest expense during 2004. At December 31, 2006 we recorded the fair market value of our interest rate swaps at $206,000 (AUS$261,000) as an other long-term asset. At December 31, 2005, we recorded the fair market value of our interest rate swaps at $638,000 (AUS$870,000) as an other long-term liability. In accordance with SFAS No. 133, we have not designated any of our current interest rate swap positions as financial reporting hedges.</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pPr>
      <w:r>
        <w:rPr/>
      </w:r>
    </w:p>
    <w:p>
      <w:pPr>
        <w:pStyle w:val="TextBody"/>
        <w:spacing w:lineRule="auto" w:line="300" w:before="0" w:after="0"/>
        <w:ind w:left="0" w:right="0" w:hanging="0"/>
        <w:jc w:val="left"/>
        <w:rPr/>
      </w:pPr>
      <w:r>
        <w:rPr>
          <w:rStyle w:val="StrongEmphasis"/>
          <w:rFonts w:ascii="Times New Roman" w:hAnsi="Times New Roman"/>
          <w:sz w:val="20"/>
          <w:u w:val="single"/>
        </w:rPr>
        <w:t>Note 14 - Income Taxes</w:t>
      </w:r>
    </w:p>
    <w:p>
      <w:pPr>
        <w:pStyle w:val="TextBody"/>
        <w:spacing w:lineRule="auto" w:line="300" w:before="0" w:after="0"/>
        <w:ind w:left="0" w:right="0" w:hanging="0"/>
        <w:jc w:val="left"/>
        <w:rPr/>
      </w:pPr>
      <w:r>
        <w:rPr/>
      </w:r>
    </w:p>
    <w:p>
      <w:pPr>
        <w:pStyle w:val="TextBody"/>
        <w:spacing w:lineRule="auto" w:line="300" w:before="0" w:after="0"/>
        <w:ind w:left="720" w:right="0" w:hanging="0"/>
        <w:jc w:val="left"/>
        <w:rPr>
          <w:rFonts w:ascii="Times New Roman" w:hAnsi="Times New Roman"/>
          <w:sz w:val="20"/>
        </w:rPr>
      </w:pPr>
      <w:r>
        <w:rPr>
          <w:rFonts w:ascii="Times New Roman" w:hAnsi="Times New Roman"/>
          <w:sz w:val="20"/>
        </w:rPr>
        <w:t xml:space="preserve">Income (loss) before income tax expense includes the following (dollars in thousands): </w:t>
      </w:r>
    </w:p>
    <w:p>
      <w:pPr>
        <w:pStyle w:val="TextBody"/>
        <w:spacing w:lineRule="auto" w:line="300" w:before="0" w:after="0"/>
        <w:ind w:left="0" w:right="0" w:hanging="0"/>
        <w:jc w:val="left"/>
        <w:rPr/>
      </w:pPr>
      <w:r>
        <w:rPr/>
      </w:r>
    </w:p>
    <w:p>
      <w:pPr>
        <w:pStyle w:val="Normal"/>
        <w:spacing w:before="0" w:after="0"/>
        <w:rPr>
          <w:sz w:val="4"/>
          <w:szCs w:val="4"/>
        </w:rPr>
      </w:pPr>
      <w:r>
        <w:rPr>
          <w:sz w:val="4"/>
          <w:szCs w:val="4"/>
        </w:rPr>
      </w:r>
      <w:bookmarkStart w:id="3563" w:name="ftable45"/>
      <w:bookmarkStart w:id="3564" w:name="ftable45"/>
      <w:bookmarkEnd w:id="3564"/>
    </w:p>
    <w:tbl>
      <w:tblPr>
        <w:tblW w:w="5000" w:type="pct"/>
        <w:jc w:val="left"/>
        <w:tblInd w:w="0" w:type="dxa"/>
        <w:tblCellMar>
          <w:top w:w="0" w:type="dxa"/>
          <w:left w:w="0" w:type="dxa"/>
          <w:bottom w:w="28" w:type="dxa"/>
          <w:right w:w="0" w:type="dxa"/>
        </w:tblCellMar>
      </w:tblPr>
      <w:tblGrid>
        <w:gridCol w:w="5619"/>
        <w:gridCol w:w="200"/>
        <w:gridCol w:w="125"/>
        <w:gridCol w:w="1160"/>
        <w:gridCol w:w="205"/>
        <w:gridCol w:w="125"/>
        <w:gridCol w:w="1160"/>
        <w:gridCol w:w="205"/>
        <w:gridCol w:w="125"/>
        <w:gridCol w:w="1160"/>
        <w:gridCol w:w="121"/>
      </w:tblGrid>
      <w:tr>
        <w:trPr/>
        <w:tc>
          <w:tcPr>
            <w:tcW w:w="5619" w:type="dxa"/>
            <w:tcBorders>
              <w:bottom w:val="single" w:sz="4" w:space="0" w:color="FFFFFF"/>
            </w:tcBorders>
            <w:shd w:fill="auto" w:val="clear"/>
            <w:vAlign w:val="bottom"/>
          </w:tcPr>
          <w:p>
            <w:pPr>
              <w:pStyle w:val="TableContents"/>
              <w:spacing w:before="0" w:after="283"/>
              <w:jc w:val="left"/>
              <w:rPr/>
            </w:pPr>
            <w:r>
              <w:rPr/>
              <w:t> </w:t>
            </w:r>
          </w:p>
        </w:tc>
        <w:tc>
          <w:tcPr>
            <w:tcW w:w="200" w:type="dxa"/>
            <w:tcBorders>
              <w:bottom w:val="single" w:sz="2" w:space="0" w:color="FFFFFF"/>
            </w:tcBorders>
            <w:shd w:fill="auto" w:val="clear"/>
            <w:vAlign w:val="center"/>
          </w:tcPr>
          <w:p>
            <w:pPr>
              <w:pStyle w:val="TableContents"/>
              <w:spacing w:before="0" w:after="283"/>
              <w:rPr/>
            </w:pPr>
            <w:r>
              <w:rPr/>
              <w:t> </w:t>
            </w:r>
          </w:p>
        </w:tc>
        <w:tc>
          <w:tcPr>
            <w:tcW w:w="4265" w:type="dxa"/>
            <w:gridSpan w:val="8"/>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Year Ended December 31,</w:t>
            </w:r>
          </w:p>
        </w:tc>
        <w:tc>
          <w:tcPr>
            <w:tcW w:w="121" w:type="dxa"/>
            <w:tcBorders>
              <w:bottom w:val="single" w:sz="2" w:space="0" w:color="FFFFFF"/>
            </w:tcBorders>
            <w:shd w:fill="auto" w:val="clear"/>
            <w:vAlign w:val="bottom"/>
          </w:tcPr>
          <w:p>
            <w:pPr>
              <w:pStyle w:val="TableContents"/>
              <w:spacing w:before="0" w:after="283"/>
              <w:jc w:val="left"/>
              <w:rPr/>
            </w:pPr>
            <w:r>
              <w:rPr/>
              <w:t> </w:t>
            </w:r>
          </w:p>
        </w:tc>
      </w:tr>
      <w:tr>
        <w:trPr/>
        <w:tc>
          <w:tcPr>
            <w:tcW w:w="5619" w:type="dxa"/>
            <w:tcBorders>
              <w:bottom w:val="double" w:sz="2" w:space="0" w:color="000000"/>
            </w:tcBorders>
            <w:shd w:fill="auto" w:val="clear"/>
            <w:vAlign w:val="bottom"/>
          </w:tcPr>
          <w:p>
            <w:pPr>
              <w:pStyle w:val="TableContents"/>
              <w:spacing w:before="0" w:after="283"/>
              <w:jc w:val="left"/>
              <w:rPr/>
            </w:pPr>
            <w:r>
              <w:rPr/>
              <w:t> </w:t>
            </w:r>
          </w:p>
        </w:tc>
        <w:tc>
          <w:tcPr>
            <w:tcW w:w="200" w:type="dxa"/>
            <w:tcBorders>
              <w:bottom w:val="single" w:sz="4" w:space="0" w:color="FFFFFF"/>
            </w:tcBorders>
            <w:shd w:fill="auto" w:val="clear"/>
            <w:vAlign w:val="center"/>
          </w:tcPr>
          <w:p>
            <w:pPr>
              <w:pStyle w:val="TableContents"/>
              <w:spacing w:before="0" w:after="283"/>
              <w:rPr/>
            </w:pPr>
            <w:r>
              <w:rPr/>
              <w:t> </w:t>
            </w:r>
          </w:p>
        </w:tc>
        <w:tc>
          <w:tcPr>
            <w:tcW w:w="1285"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2006</w:t>
            </w:r>
          </w:p>
        </w:tc>
        <w:tc>
          <w:tcPr>
            <w:tcW w:w="205" w:type="dxa"/>
            <w:tcBorders>
              <w:bottom w:val="single" w:sz="4" w:space="0" w:color="FFFFFF"/>
            </w:tcBorders>
            <w:shd w:fill="auto" w:val="clear"/>
            <w:vAlign w:val="bottom"/>
          </w:tcPr>
          <w:p>
            <w:pPr>
              <w:pStyle w:val="TableContents"/>
              <w:spacing w:before="0" w:after="283"/>
              <w:jc w:val="left"/>
              <w:rPr/>
            </w:pPr>
            <w:r>
              <w:rPr/>
              <w:t> </w:t>
            </w:r>
          </w:p>
        </w:tc>
        <w:tc>
          <w:tcPr>
            <w:tcW w:w="1285"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2005</w:t>
            </w:r>
          </w:p>
        </w:tc>
        <w:tc>
          <w:tcPr>
            <w:tcW w:w="205" w:type="dxa"/>
            <w:tcBorders>
              <w:bottom w:val="single" w:sz="4" w:space="0" w:color="FFFFFF"/>
            </w:tcBorders>
            <w:shd w:fill="auto" w:val="clear"/>
            <w:vAlign w:val="bottom"/>
          </w:tcPr>
          <w:p>
            <w:pPr>
              <w:pStyle w:val="TableContents"/>
              <w:spacing w:before="0" w:after="283"/>
              <w:jc w:val="left"/>
              <w:rPr/>
            </w:pPr>
            <w:r>
              <w:rPr/>
              <w:t> </w:t>
            </w:r>
          </w:p>
        </w:tc>
        <w:tc>
          <w:tcPr>
            <w:tcW w:w="1285"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2004</w:t>
            </w:r>
          </w:p>
        </w:tc>
        <w:tc>
          <w:tcPr>
            <w:tcW w:w="121" w:type="dxa"/>
            <w:tcBorders>
              <w:bottom w:val="single" w:sz="4" w:space="0" w:color="FFFFFF"/>
            </w:tcBorders>
            <w:shd w:fill="auto" w:val="clear"/>
            <w:vAlign w:val="bottom"/>
          </w:tcPr>
          <w:p>
            <w:pPr>
              <w:pStyle w:val="TableContents"/>
              <w:spacing w:before="0" w:after="283"/>
              <w:jc w:val="left"/>
              <w:rPr/>
            </w:pPr>
            <w:r>
              <w:rPr/>
              <w:t> </w:t>
            </w:r>
          </w:p>
        </w:tc>
      </w:tr>
      <w:tr>
        <w:trPr/>
        <w:tc>
          <w:tcPr>
            <w:tcW w:w="5619"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United States</w:t>
            </w:r>
          </w:p>
        </w:tc>
        <w:tc>
          <w:tcPr>
            <w:tcW w:w="200" w:type="dxa"/>
            <w:tcBorders/>
            <w:shd w:fill="CCEEFF" w:val="clear"/>
            <w:tcMar>
              <w:bottom w:w="0" w:type="dxa"/>
            </w:tcMar>
            <w:vAlign w:val="center"/>
          </w:tcPr>
          <w:p>
            <w:pPr>
              <w:pStyle w:val="TableContents"/>
              <w:spacing w:before="0" w:after="283"/>
              <w:rPr/>
            </w:pPr>
            <w:r>
              <w:rPr/>
              <w:t> </w:t>
            </w:r>
          </w:p>
        </w:tc>
        <w:tc>
          <w:tcPr>
            <w:tcW w:w="125"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3565" w:name="TAB11674"/>
            <w:bookmarkEnd w:id="3565"/>
            <w:r>
              <w:rPr>
                <w:rFonts w:ascii="Times New Roman" w:hAnsi="Times New Roman"/>
                <w:sz w:val="20"/>
              </w:rPr>
              <w:t>$</w:t>
            </w:r>
          </w:p>
        </w:tc>
        <w:tc>
          <w:tcPr>
            <w:tcW w:w="1160"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3566" w:name="TAB11675"/>
            <w:bookmarkEnd w:id="3566"/>
            <w:r>
              <w:rPr>
                <w:rFonts w:ascii="Times New Roman" w:hAnsi="Times New Roman"/>
                <w:sz w:val="20"/>
              </w:rPr>
              <w:t>(4,460</w:t>
            </w:r>
          </w:p>
        </w:tc>
        <w:tc>
          <w:tcPr>
            <w:tcW w:w="205"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3567" w:name="TAB11676"/>
            <w:bookmarkEnd w:id="3567"/>
            <w:r>
              <w:rPr>
                <w:rFonts w:ascii="Times New Roman" w:hAnsi="Times New Roman"/>
                <w:sz w:val="20"/>
              </w:rPr>
              <w:t>)</w:t>
            </w:r>
          </w:p>
        </w:tc>
        <w:tc>
          <w:tcPr>
            <w:tcW w:w="125"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3568" w:name="TAB11677"/>
            <w:bookmarkEnd w:id="3568"/>
            <w:r>
              <w:rPr>
                <w:rFonts w:ascii="Times New Roman" w:hAnsi="Times New Roman"/>
                <w:sz w:val="20"/>
              </w:rPr>
              <w:t>$</w:t>
            </w:r>
          </w:p>
        </w:tc>
        <w:tc>
          <w:tcPr>
            <w:tcW w:w="1160"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3569" w:name="TAB11678"/>
            <w:bookmarkEnd w:id="3569"/>
            <w:r>
              <w:rPr>
                <w:rFonts w:ascii="Times New Roman" w:hAnsi="Times New Roman"/>
                <w:sz w:val="20"/>
              </w:rPr>
              <w:t>(1,863</w:t>
            </w:r>
          </w:p>
        </w:tc>
        <w:tc>
          <w:tcPr>
            <w:tcW w:w="205"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3570" w:name="TAB11679"/>
            <w:bookmarkEnd w:id="3570"/>
            <w:r>
              <w:rPr>
                <w:rFonts w:ascii="Times New Roman" w:hAnsi="Times New Roman"/>
                <w:sz w:val="20"/>
              </w:rPr>
              <w:t>)</w:t>
            </w:r>
          </w:p>
        </w:tc>
        <w:tc>
          <w:tcPr>
            <w:tcW w:w="125"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3571" w:name="TAB11680"/>
            <w:bookmarkEnd w:id="3571"/>
            <w:r>
              <w:rPr>
                <w:rFonts w:ascii="Times New Roman" w:hAnsi="Times New Roman"/>
                <w:sz w:val="20"/>
              </w:rPr>
              <w:t>$</w:t>
            </w:r>
          </w:p>
        </w:tc>
        <w:tc>
          <w:tcPr>
            <w:tcW w:w="1160"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3572" w:name="TAB11681"/>
            <w:bookmarkEnd w:id="3572"/>
            <w:r>
              <w:rPr>
                <w:rFonts w:ascii="Times New Roman" w:hAnsi="Times New Roman"/>
                <w:sz w:val="20"/>
              </w:rPr>
              <w:t>20</w:t>
            </w:r>
          </w:p>
        </w:tc>
        <w:tc>
          <w:tcPr>
            <w:tcW w:w="121" w:type="dxa"/>
            <w:tcBorders/>
            <w:shd w:fill="CCEEFF" w:val="clear"/>
            <w:tcMar>
              <w:bottom w:w="0" w:type="dxa"/>
            </w:tcMar>
            <w:vAlign w:val="bottom"/>
          </w:tcPr>
          <w:p>
            <w:pPr>
              <w:pStyle w:val="TableContents"/>
              <w:spacing w:before="0" w:after="283"/>
              <w:jc w:val="left"/>
              <w:rPr/>
            </w:pPr>
            <w:r>
              <w:rPr/>
              <w:t> </w:t>
            </w:r>
          </w:p>
        </w:tc>
      </w:tr>
      <w:tr>
        <w:trPr/>
        <w:tc>
          <w:tcPr>
            <w:tcW w:w="5619" w:type="dxa"/>
            <w:tcBorders>
              <w:bottom w:val="sing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Foreign</w:t>
            </w:r>
          </w:p>
        </w:tc>
        <w:tc>
          <w:tcPr>
            <w:tcW w:w="200" w:type="dxa"/>
            <w:tcBorders>
              <w:bottom w:val="single" w:sz="2" w:space="0" w:color="FFFFFF"/>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vAlign w:val="bottom"/>
          </w:tcPr>
          <w:p>
            <w:pPr>
              <w:pStyle w:val="TableContents"/>
              <w:spacing w:before="0" w:after="283"/>
              <w:jc w:val="left"/>
              <w:rPr/>
            </w:pPr>
            <w:r>
              <w:rPr/>
              <w:t> </w:t>
            </w:r>
          </w:p>
        </w:tc>
        <w:tc>
          <w:tcPr>
            <w:tcW w:w="1160"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(2,403</w:t>
            </w:r>
          </w:p>
        </w:tc>
        <w:tc>
          <w:tcPr>
            <w:tcW w:w="205" w:type="dxa"/>
            <w:tcBorders>
              <w:bottom w:val="single" w:sz="2" w:space="0" w:color="FFFFFF"/>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25" w:type="dxa"/>
            <w:tcBorders>
              <w:bottom w:val="single" w:sz="2" w:space="0" w:color="000000"/>
            </w:tcBorders>
            <w:shd w:fill="FFFFFF" w:val="clear"/>
            <w:vAlign w:val="bottom"/>
          </w:tcPr>
          <w:p>
            <w:pPr>
              <w:pStyle w:val="TableContents"/>
              <w:spacing w:before="0" w:after="283"/>
              <w:jc w:val="left"/>
              <w:rPr/>
            </w:pPr>
            <w:r>
              <w:rPr/>
              <w:t> </w:t>
            </w:r>
          </w:p>
        </w:tc>
        <w:tc>
          <w:tcPr>
            <w:tcW w:w="1160"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2,689</w:t>
            </w:r>
          </w:p>
        </w:tc>
        <w:tc>
          <w:tcPr>
            <w:tcW w:w="205" w:type="dxa"/>
            <w:tcBorders>
              <w:bottom w:val="single" w:sz="2" w:space="0" w:color="FFFFFF"/>
            </w:tcBorders>
            <w:shd w:fill="FFFFFF" w:val="clear"/>
            <w:vAlign w:val="bottom"/>
          </w:tcPr>
          <w:p>
            <w:pPr>
              <w:pStyle w:val="TableContents"/>
              <w:spacing w:before="0" w:after="283"/>
              <w:jc w:val="left"/>
              <w:rPr/>
            </w:pPr>
            <w:r>
              <w:rPr/>
              <w:t> </w:t>
            </w:r>
          </w:p>
        </w:tc>
        <w:tc>
          <w:tcPr>
            <w:tcW w:w="125" w:type="dxa"/>
            <w:tcBorders>
              <w:bottom w:val="single" w:sz="2" w:space="0" w:color="000000"/>
            </w:tcBorders>
            <w:shd w:fill="FFFFFF" w:val="clear"/>
            <w:vAlign w:val="bottom"/>
          </w:tcPr>
          <w:p>
            <w:pPr>
              <w:pStyle w:val="TableContents"/>
              <w:spacing w:before="0" w:after="283"/>
              <w:jc w:val="left"/>
              <w:rPr/>
            </w:pPr>
            <w:r>
              <w:rPr/>
              <w:t> </w:t>
            </w:r>
          </w:p>
        </w:tc>
        <w:tc>
          <w:tcPr>
            <w:tcW w:w="1160"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(9,117</w:t>
            </w:r>
          </w:p>
        </w:tc>
        <w:tc>
          <w:tcPr>
            <w:tcW w:w="121" w:type="dxa"/>
            <w:tcBorders>
              <w:bottom w:val="single" w:sz="2" w:space="0" w:color="FFFFFF"/>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r>
      <w:tr>
        <w:trPr/>
        <w:tc>
          <w:tcPr>
            <w:tcW w:w="5619" w:type="dxa"/>
            <w:tcBorders/>
            <w:shd w:fill="CCEEFF" w:val="clear"/>
            <w:tcMar>
              <w:bottom w:w="0" w:type="dxa"/>
            </w:tcMar>
            <w:vAlign w:val="bottom"/>
          </w:tcPr>
          <w:p>
            <w:pPr>
              <w:pStyle w:val="TableContents"/>
              <w:spacing w:lineRule="auto" w:line="300" w:before="0" w:after="0"/>
              <w:ind w:left="0" w:right="0" w:hanging="0"/>
              <w:jc w:val="left"/>
              <w:rPr/>
            </w:pPr>
            <w:r>
              <w:rPr>
                <w:rStyle w:val="StrongEmphasis"/>
                <w:rFonts w:ascii="Times New Roman" w:hAnsi="Times New Roman"/>
                <w:sz w:val="20"/>
              </w:rPr>
              <w:t>Income (loss) before income tax expense and equity earnings of unconsolidated joint ventures and entities</w:t>
            </w:r>
          </w:p>
        </w:tc>
        <w:tc>
          <w:tcPr>
            <w:tcW w:w="200" w:type="dxa"/>
            <w:tcBorders/>
            <w:shd w:fill="CCEEFF" w:val="clear"/>
            <w:tcMar>
              <w:bottom w:w="0" w:type="dxa"/>
            </w:tcMar>
            <w:vAlign w:val="center"/>
          </w:tcPr>
          <w:p>
            <w:pPr>
              <w:pStyle w:val="TableContents"/>
              <w:spacing w:before="0" w:after="283"/>
              <w:rPr/>
            </w:pPr>
            <w:r>
              <w:rPr/>
              <w:t> </w:t>
            </w:r>
          </w:p>
        </w:tc>
        <w:tc>
          <w:tcPr>
            <w:tcW w:w="125"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3573" w:name="TAB11682"/>
            <w:bookmarkEnd w:id="3573"/>
            <w:r>
              <w:rPr>
                <w:rFonts w:ascii="Times New Roman" w:hAnsi="Times New Roman"/>
                <w:sz w:val="20"/>
              </w:rPr>
              <w:t>$</w:t>
            </w:r>
          </w:p>
        </w:tc>
        <w:tc>
          <w:tcPr>
            <w:tcW w:w="1160"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3574" w:name="TAB11683"/>
            <w:bookmarkEnd w:id="3574"/>
            <w:r>
              <w:rPr>
                <w:rFonts w:ascii="Times New Roman" w:hAnsi="Times New Roman"/>
                <w:sz w:val="20"/>
              </w:rPr>
              <w:t>(6,863</w:t>
            </w:r>
          </w:p>
        </w:tc>
        <w:tc>
          <w:tcPr>
            <w:tcW w:w="205"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3575" w:name="TAB11684"/>
            <w:bookmarkEnd w:id="3575"/>
            <w:r>
              <w:rPr>
                <w:rFonts w:ascii="Times New Roman" w:hAnsi="Times New Roman"/>
                <w:sz w:val="20"/>
              </w:rPr>
              <w:t>)</w:t>
            </w:r>
          </w:p>
        </w:tc>
        <w:tc>
          <w:tcPr>
            <w:tcW w:w="125"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3576" w:name="TAB11685"/>
            <w:bookmarkEnd w:id="3576"/>
            <w:r>
              <w:rPr>
                <w:rFonts w:ascii="Times New Roman" w:hAnsi="Times New Roman"/>
                <w:sz w:val="20"/>
              </w:rPr>
              <w:t>$</w:t>
            </w:r>
          </w:p>
        </w:tc>
        <w:tc>
          <w:tcPr>
            <w:tcW w:w="1160"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3577" w:name="TAB11686"/>
            <w:bookmarkEnd w:id="3577"/>
            <w:r>
              <w:rPr>
                <w:rFonts w:ascii="Times New Roman" w:hAnsi="Times New Roman"/>
                <w:sz w:val="20"/>
              </w:rPr>
              <w:t>826</w:t>
            </w:r>
          </w:p>
        </w:tc>
        <w:tc>
          <w:tcPr>
            <w:tcW w:w="205"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3578" w:name="TAB11687"/>
            <w:bookmarkEnd w:id="3578"/>
            <w:r>
              <w:rPr>
                <w:rFonts w:ascii="Times New Roman" w:hAnsi="Times New Roman"/>
                <w:sz w:val="20"/>
              </w:rPr>
              <w:t>$</w:t>
            </w:r>
          </w:p>
        </w:tc>
        <w:tc>
          <w:tcPr>
            <w:tcW w:w="1160"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3579" w:name="TAB11688"/>
            <w:bookmarkEnd w:id="3579"/>
            <w:r>
              <w:rPr>
                <w:rFonts w:ascii="Times New Roman" w:hAnsi="Times New Roman"/>
                <w:sz w:val="20"/>
              </w:rPr>
              <w:t>(9,097</w:t>
            </w:r>
          </w:p>
        </w:tc>
        <w:tc>
          <w:tcPr>
            <w:tcW w:w="121"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3580" w:name="TAB11689"/>
            <w:bookmarkEnd w:id="3580"/>
            <w:r>
              <w:rPr>
                <w:rFonts w:ascii="Times New Roman" w:hAnsi="Times New Roman"/>
                <w:sz w:val="20"/>
              </w:rPr>
              <w:t>)</w:t>
            </w:r>
          </w:p>
        </w:tc>
      </w:tr>
      <w:tr>
        <w:trPr/>
        <w:tc>
          <w:tcPr>
            <w:tcW w:w="5619" w:type="dxa"/>
            <w:tcBorders/>
            <w:shd w:fill="FFFFFF" w:val="clear"/>
            <w:tcMar>
              <w:bottom w:w="0" w:type="dxa"/>
            </w:tcMar>
            <w:vAlign w:val="bottom"/>
          </w:tcPr>
          <w:p>
            <w:pPr>
              <w:pStyle w:val="TableContents"/>
              <w:spacing w:lineRule="auto" w:line="300" w:before="0" w:after="0"/>
              <w:ind w:left="0" w:right="0" w:hanging="0"/>
              <w:jc w:val="left"/>
              <w:rPr/>
            </w:pPr>
            <w:r>
              <w:rPr>
                <w:rStyle w:val="Emphasis"/>
                <w:rFonts w:ascii="Times New Roman" w:hAnsi="Times New Roman"/>
                <w:sz w:val="20"/>
              </w:rPr>
              <w:t>Equity earnings and gain on sale of unconsolidated subsidiary</w:t>
            </w:r>
            <w:r>
              <w:rPr>
                <w:rFonts w:ascii="Times New Roman" w:hAnsi="Times New Roman"/>
                <w:sz w:val="20"/>
              </w:rPr>
              <w:t>:</w:t>
            </w:r>
          </w:p>
        </w:tc>
        <w:tc>
          <w:tcPr>
            <w:tcW w:w="200" w:type="dxa"/>
            <w:tcBorders/>
            <w:shd w:fill="FFFFFF" w:val="clear"/>
            <w:tcMar>
              <w:bottom w:w="0" w:type="dxa"/>
            </w:tcMar>
            <w:vAlign w:val="center"/>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60" w:type="dxa"/>
            <w:tcBorders/>
            <w:shd w:fill="FFFFFF" w:val="clear"/>
            <w:tcMar>
              <w:bottom w:w="0" w:type="dxa"/>
            </w:tcMar>
            <w:vAlign w:val="bottom"/>
          </w:tcPr>
          <w:p>
            <w:pPr>
              <w:pStyle w:val="TableContents"/>
              <w:spacing w:before="0" w:after="283"/>
              <w:jc w:val="right"/>
              <w:rPr/>
            </w:pPr>
            <w:r>
              <w:rPr/>
              <w:t> </w:t>
            </w:r>
          </w:p>
        </w:tc>
        <w:tc>
          <w:tcPr>
            <w:tcW w:w="205"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60" w:type="dxa"/>
            <w:tcBorders/>
            <w:shd w:fill="FFFFFF" w:val="clear"/>
            <w:tcMar>
              <w:bottom w:w="0" w:type="dxa"/>
            </w:tcMar>
            <w:vAlign w:val="bottom"/>
          </w:tcPr>
          <w:p>
            <w:pPr>
              <w:pStyle w:val="TableContents"/>
              <w:spacing w:before="0" w:after="283"/>
              <w:jc w:val="right"/>
              <w:rPr/>
            </w:pPr>
            <w:r>
              <w:rPr/>
              <w:t> </w:t>
            </w:r>
          </w:p>
        </w:tc>
        <w:tc>
          <w:tcPr>
            <w:tcW w:w="205"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60" w:type="dxa"/>
            <w:tcBorders/>
            <w:shd w:fill="FFFFFF" w:val="clear"/>
            <w:tcMar>
              <w:bottom w:w="0" w:type="dxa"/>
            </w:tcMar>
            <w:vAlign w:val="bottom"/>
          </w:tcPr>
          <w:p>
            <w:pPr>
              <w:pStyle w:val="TableContents"/>
              <w:spacing w:before="0" w:after="283"/>
              <w:jc w:val="right"/>
              <w:rPr/>
            </w:pPr>
            <w:r>
              <w:rPr/>
              <w:t> </w:t>
            </w:r>
          </w:p>
        </w:tc>
        <w:tc>
          <w:tcPr>
            <w:tcW w:w="121" w:type="dxa"/>
            <w:tcBorders/>
            <w:shd w:fill="FFFFFF" w:val="clear"/>
            <w:tcMar>
              <w:bottom w:w="0" w:type="dxa"/>
            </w:tcMar>
            <w:vAlign w:val="bottom"/>
          </w:tcPr>
          <w:p>
            <w:pPr>
              <w:pStyle w:val="TableContents"/>
              <w:spacing w:before="0" w:after="283"/>
              <w:jc w:val="left"/>
              <w:rPr/>
            </w:pPr>
            <w:r>
              <w:rPr/>
              <w:t> </w:t>
            </w:r>
          </w:p>
        </w:tc>
      </w:tr>
      <w:tr>
        <w:trPr/>
        <w:tc>
          <w:tcPr>
            <w:tcW w:w="5619"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United States</w:t>
            </w:r>
          </w:p>
        </w:tc>
        <w:tc>
          <w:tcPr>
            <w:tcW w:w="200" w:type="dxa"/>
            <w:tcBorders/>
            <w:shd w:fill="CCEEFF" w:val="clear"/>
            <w:tcMar>
              <w:bottom w:w="0" w:type="dxa"/>
            </w:tcMar>
            <w:vAlign w:val="center"/>
          </w:tcPr>
          <w:p>
            <w:pPr>
              <w:pStyle w:val="TableContents"/>
              <w:spacing w:before="0" w:after="283"/>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160"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3581" w:name="TAB11690"/>
            <w:bookmarkEnd w:id="3581"/>
            <w:r>
              <w:rPr>
                <w:rFonts w:ascii="Times New Roman" w:hAnsi="Times New Roman"/>
                <w:sz w:val="20"/>
              </w:rPr>
              <w:t>8,277</w:t>
            </w:r>
          </w:p>
        </w:tc>
        <w:tc>
          <w:tcPr>
            <w:tcW w:w="205"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160"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3582" w:name="TAB11691"/>
            <w:bookmarkEnd w:id="3582"/>
            <w:r>
              <w:rPr>
                <w:rFonts w:ascii="Times New Roman" w:hAnsi="Times New Roman"/>
                <w:sz w:val="20"/>
              </w:rPr>
              <w:t>(56</w:t>
            </w:r>
          </w:p>
        </w:tc>
        <w:tc>
          <w:tcPr>
            <w:tcW w:w="205"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3583" w:name="TAB11692"/>
            <w:bookmarkEnd w:id="3583"/>
            <w:r>
              <w:rPr>
                <w:rFonts w:ascii="Times New Roman" w:hAnsi="Times New Roman"/>
                <w:sz w:val="20"/>
              </w:rPr>
              <w:t>)</w:t>
            </w:r>
          </w:p>
        </w:tc>
        <w:tc>
          <w:tcPr>
            <w:tcW w:w="125" w:type="dxa"/>
            <w:tcBorders/>
            <w:shd w:fill="CCEEFF" w:val="clear"/>
            <w:tcMar>
              <w:bottom w:w="0" w:type="dxa"/>
            </w:tcMar>
            <w:vAlign w:val="bottom"/>
          </w:tcPr>
          <w:p>
            <w:pPr>
              <w:pStyle w:val="TableContents"/>
              <w:spacing w:before="0" w:after="283"/>
              <w:jc w:val="left"/>
              <w:rPr/>
            </w:pPr>
            <w:r>
              <w:rPr/>
              <w:t> </w:t>
            </w:r>
          </w:p>
        </w:tc>
        <w:tc>
          <w:tcPr>
            <w:tcW w:w="1160"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3584" w:name="TAB11693"/>
            <w:bookmarkEnd w:id="3584"/>
            <w:r>
              <w:rPr>
                <w:rFonts w:ascii="Times New Roman" w:hAnsi="Times New Roman"/>
                <w:sz w:val="20"/>
              </w:rPr>
              <w:t>--</w:t>
            </w:r>
          </w:p>
        </w:tc>
        <w:tc>
          <w:tcPr>
            <w:tcW w:w="121" w:type="dxa"/>
            <w:tcBorders/>
            <w:shd w:fill="CCEEFF" w:val="clear"/>
            <w:tcMar>
              <w:bottom w:w="0" w:type="dxa"/>
            </w:tcMar>
            <w:vAlign w:val="bottom"/>
          </w:tcPr>
          <w:p>
            <w:pPr>
              <w:pStyle w:val="TableContents"/>
              <w:spacing w:before="0" w:after="283"/>
              <w:jc w:val="left"/>
              <w:rPr/>
            </w:pPr>
            <w:r>
              <w:rPr/>
              <w:t> </w:t>
            </w:r>
          </w:p>
        </w:tc>
      </w:tr>
      <w:tr>
        <w:trPr/>
        <w:tc>
          <w:tcPr>
            <w:tcW w:w="5619" w:type="dxa"/>
            <w:tcBorders>
              <w:bottom w:val="sing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Foreign</w:t>
            </w:r>
          </w:p>
        </w:tc>
        <w:tc>
          <w:tcPr>
            <w:tcW w:w="200" w:type="dxa"/>
            <w:tcBorders>
              <w:bottom w:val="single" w:sz="2" w:space="0" w:color="FFFFFF"/>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vAlign w:val="bottom"/>
          </w:tcPr>
          <w:p>
            <w:pPr>
              <w:pStyle w:val="TableContents"/>
              <w:spacing w:before="0" w:after="283"/>
              <w:jc w:val="left"/>
              <w:rPr/>
            </w:pPr>
            <w:r>
              <w:rPr/>
              <w:t> </w:t>
            </w:r>
          </w:p>
        </w:tc>
        <w:tc>
          <w:tcPr>
            <w:tcW w:w="1160"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3585" w:name="TAB11694"/>
            <w:bookmarkEnd w:id="3585"/>
            <w:r>
              <w:rPr>
                <w:rFonts w:ascii="Times New Roman" w:hAnsi="Times New Roman"/>
                <w:sz w:val="20"/>
              </w:rPr>
              <w:t>4,712</w:t>
            </w:r>
          </w:p>
        </w:tc>
        <w:tc>
          <w:tcPr>
            <w:tcW w:w="205" w:type="dxa"/>
            <w:tcBorders>
              <w:bottom w:val="single" w:sz="2" w:space="0" w:color="FFFFFF"/>
            </w:tcBorders>
            <w:shd w:fill="FFFFFF" w:val="clear"/>
            <w:vAlign w:val="bottom"/>
          </w:tcPr>
          <w:p>
            <w:pPr>
              <w:pStyle w:val="TableContents"/>
              <w:spacing w:before="0" w:after="283"/>
              <w:jc w:val="left"/>
              <w:rPr/>
            </w:pPr>
            <w:r>
              <w:rPr/>
              <w:t> </w:t>
            </w:r>
          </w:p>
        </w:tc>
        <w:tc>
          <w:tcPr>
            <w:tcW w:w="125" w:type="dxa"/>
            <w:tcBorders>
              <w:bottom w:val="single" w:sz="2" w:space="0" w:color="000000"/>
            </w:tcBorders>
            <w:shd w:fill="FFFFFF" w:val="clear"/>
            <w:vAlign w:val="bottom"/>
          </w:tcPr>
          <w:p>
            <w:pPr>
              <w:pStyle w:val="TableContents"/>
              <w:spacing w:before="0" w:after="283"/>
              <w:jc w:val="left"/>
              <w:rPr/>
            </w:pPr>
            <w:r>
              <w:rPr/>
              <w:t> </w:t>
            </w:r>
          </w:p>
        </w:tc>
        <w:tc>
          <w:tcPr>
            <w:tcW w:w="1160"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3586" w:name="TAB11695"/>
            <w:bookmarkEnd w:id="3586"/>
            <w:r>
              <w:rPr>
                <w:rFonts w:ascii="Times New Roman" w:hAnsi="Times New Roman"/>
                <w:sz w:val="20"/>
              </w:rPr>
              <w:t>1,428</w:t>
            </w:r>
          </w:p>
        </w:tc>
        <w:tc>
          <w:tcPr>
            <w:tcW w:w="205" w:type="dxa"/>
            <w:tcBorders>
              <w:bottom w:val="single" w:sz="2" w:space="0" w:color="FFFFFF"/>
            </w:tcBorders>
            <w:shd w:fill="FFFFFF" w:val="clear"/>
            <w:vAlign w:val="bottom"/>
          </w:tcPr>
          <w:p>
            <w:pPr>
              <w:pStyle w:val="TableContents"/>
              <w:spacing w:before="0" w:after="283"/>
              <w:jc w:val="left"/>
              <w:rPr/>
            </w:pPr>
            <w:r>
              <w:rPr/>
              <w:t> </w:t>
            </w:r>
          </w:p>
        </w:tc>
        <w:tc>
          <w:tcPr>
            <w:tcW w:w="125" w:type="dxa"/>
            <w:tcBorders>
              <w:bottom w:val="single" w:sz="2" w:space="0" w:color="000000"/>
            </w:tcBorders>
            <w:shd w:fill="FFFFFF" w:val="clear"/>
            <w:vAlign w:val="bottom"/>
          </w:tcPr>
          <w:p>
            <w:pPr>
              <w:pStyle w:val="TableContents"/>
              <w:spacing w:before="0" w:after="283"/>
              <w:jc w:val="left"/>
              <w:rPr/>
            </w:pPr>
            <w:r>
              <w:rPr/>
              <w:t> </w:t>
            </w:r>
          </w:p>
        </w:tc>
        <w:tc>
          <w:tcPr>
            <w:tcW w:w="1160"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3587" w:name="TAB11696"/>
            <w:bookmarkEnd w:id="3587"/>
            <w:r>
              <w:rPr>
                <w:rFonts w:ascii="Times New Roman" w:hAnsi="Times New Roman"/>
                <w:sz w:val="20"/>
              </w:rPr>
              <w:t>1,680</w:t>
            </w:r>
          </w:p>
        </w:tc>
        <w:tc>
          <w:tcPr>
            <w:tcW w:w="121" w:type="dxa"/>
            <w:tcBorders>
              <w:bottom w:val="single" w:sz="2" w:space="0" w:color="FFFFFF"/>
            </w:tcBorders>
            <w:shd w:fill="FFFFFF" w:val="clear"/>
            <w:vAlign w:val="bottom"/>
          </w:tcPr>
          <w:p>
            <w:pPr>
              <w:pStyle w:val="TableContents"/>
              <w:spacing w:before="0" w:after="283"/>
              <w:jc w:val="left"/>
              <w:rPr/>
            </w:pPr>
            <w:r>
              <w:rPr/>
              <w:t> </w:t>
            </w:r>
          </w:p>
        </w:tc>
      </w:tr>
      <w:tr>
        <w:trPr/>
        <w:tc>
          <w:tcPr>
            <w:tcW w:w="5619" w:type="dxa"/>
            <w:tcBorders>
              <w:bottom w:val="double" w:sz="2" w:space="0" w:color="000000"/>
            </w:tcBorders>
            <w:shd w:fill="CCEEFF" w:val="clear"/>
            <w:vAlign w:val="bottom"/>
          </w:tcPr>
          <w:p>
            <w:pPr>
              <w:pStyle w:val="TableContents"/>
              <w:spacing w:lineRule="auto" w:line="300" w:before="0" w:after="0"/>
              <w:ind w:left="0" w:right="0" w:hanging="0"/>
              <w:jc w:val="left"/>
              <w:rPr/>
            </w:pPr>
            <w:r>
              <w:rPr>
                <w:rStyle w:val="StrongEmphasis"/>
                <w:rFonts w:ascii="Times New Roman" w:hAnsi="Times New Roman"/>
                <w:sz w:val="20"/>
              </w:rPr>
              <w:t>Income (loss) before income tax expense</w:t>
            </w:r>
          </w:p>
        </w:tc>
        <w:tc>
          <w:tcPr>
            <w:tcW w:w="200" w:type="dxa"/>
            <w:tcBorders>
              <w:bottom w:val="single" w:sz="4" w:space="0" w:color="CCEEFF"/>
            </w:tcBorders>
            <w:shd w:fill="CCEEFF" w:val="clear"/>
            <w:vAlign w:val="center"/>
          </w:tcPr>
          <w:p>
            <w:pPr>
              <w:pStyle w:val="TableContents"/>
              <w:spacing w:before="0" w:after="283"/>
              <w:rPr/>
            </w:pPr>
            <w:r>
              <w:rPr/>
              <w:t> </w:t>
            </w:r>
          </w:p>
        </w:tc>
        <w:tc>
          <w:tcPr>
            <w:tcW w:w="125" w:type="dxa"/>
            <w:tcBorders>
              <w:bottom w:val="doub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bookmarkStart w:id="3588" w:name="TAB11697"/>
            <w:bookmarkEnd w:id="3588"/>
            <w:r>
              <w:rPr>
                <w:rFonts w:ascii="Times New Roman" w:hAnsi="Times New Roman"/>
                <w:sz w:val="20"/>
              </w:rPr>
              <w:t>$</w:t>
            </w:r>
          </w:p>
        </w:tc>
        <w:tc>
          <w:tcPr>
            <w:tcW w:w="1160" w:type="dxa"/>
            <w:tcBorders>
              <w:bottom w:val="doub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3589" w:name="TAB11698"/>
            <w:bookmarkEnd w:id="3589"/>
            <w:r>
              <w:rPr>
                <w:rFonts w:ascii="Times New Roman" w:hAnsi="Times New Roman"/>
                <w:sz w:val="20"/>
              </w:rPr>
              <w:t>6,126</w:t>
            </w:r>
          </w:p>
        </w:tc>
        <w:tc>
          <w:tcPr>
            <w:tcW w:w="205" w:type="dxa"/>
            <w:tcBorders>
              <w:bottom w:val="single" w:sz="4" w:space="0" w:color="CCEEFF"/>
            </w:tcBorders>
            <w:shd w:fill="CCEEFF" w:val="clear"/>
            <w:vAlign w:val="bottom"/>
          </w:tcPr>
          <w:p>
            <w:pPr>
              <w:pStyle w:val="TableContents"/>
              <w:spacing w:before="0" w:after="283"/>
              <w:jc w:val="left"/>
              <w:rPr/>
            </w:pPr>
            <w:r>
              <w:rPr/>
              <w:t> </w:t>
            </w:r>
          </w:p>
        </w:tc>
        <w:tc>
          <w:tcPr>
            <w:tcW w:w="125" w:type="dxa"/>
            <w:tcBorders>
              <w:bottom w:val="doub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bookmarkStart w:id="3590" w:name="TAB11699"/>
            <w:bookmarkEnd w:id="3590"/>
            <w:r>
              <w:rPr>
                <w:rFonts w:ascii="Times New Roman" w:hAnsi="Times New Roman"/>
                <w:sz w:val="20"/>
              </w:rPr>
              <w:t>$</w:t>
            </w:r>
          </w:p>
        </w:tc>
        <w:tc>
          <w:tcPr>
            <w:tcW w:w="1160" w:type="dxa"/>
            <w:tcBorders>
              <w:bottom w:val="doub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3591" w:name="TAB11700"/>
            <w:bookmarkEnd w:id="3591"/>
            <w:r>
              <w:rPr>
                <w:rFonts w:ascii="Times New Roman" w:hAnsi="Times New Roman"/>
                <w:sz w:val="20"/>
              </w:rPr>
              <w:t>2,198</w:t>
            </w:r>
          </w:p>
        </w:tc>
        <w:tc>
          <w:tcPr>
            <w:tcW w:w="205" w:type="dxa"/>
            <w:tcBorders>
              <w:bottom w:val="single" w:sz="4" w:space="0" w:color="CCEEFF"/>
            </w:tcBorders>
            <w:shd w:fill="CCEEFF" w:val="clear"/>
            <w:vAlign w:val="bottom"/>
          </w:tcPr>
          <w:p>
            <w:pPr>
              <w:pStyle w:val="TableContents"/>
              <w:spacing w:before="0" w:after="283"/>
              <w:jc w:val="left"/>
              <w:rPr/>
            </w:pPr>
            <w:r>
              <w:rPr/>
              <w:t> </w:t>
            </w:r>
          </w:p>
        </w:tc>
        <w:tc>
          <w:tcPr>
            <w:tcW w:w="125" w:type="dxa"/>
            <w:tcBorders>
              <w:bottom w:val="doub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bookmarkStart w:id="3592" w:name="TAB11701"/>
            <w:bookmarkEnd w:id="3592"/>
            <w:r>
              <w:rPr>
                <w:rFonts w:ascii="Times New Roman" w:hAnsi="Times New Roman"/>
                <w:sz w:val="20"/>
              </w:rPr>
              <w:t>$</w:t>
            </w:r>
          </w:p>
        </w:tc>
        <w:tc>
          <w:tcPr>
            <w:tcW w:w="1160" w:type="dxa"/>
            <w:tcBorders>
              <w:bottom w:val="doub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3593" w:name="TAB11702"/>
            <w:bookmarkEnd w:id="3593"/>
            <w:r>
              <w:rPr>
                <w:rFonts w:ascii="Times New Roman" w:hAnsi="Times New Roman"/>
                <w:sz w:val="20"/>
              </w:rPr>
              <w:t>(7,417</w:t>
            </w:r>
          </w:p>
        </w:tc>
        <w:tc>
          <w:tcPr>
            <w:tcW w:w="121" w:type="dxa"/>
            <w:tcBorders>
              <w:bottom w:val="single" w:sz="4" w:space="0" w:color="CCEEFF"/>
            </w:tcBorders>
            <w:shd w:fill="CCEEFF" w:val="clear"/>
            <w:vAlign w:val="bottom"/>
          </w:tcPr>
          <w:p>
            <w:pPr>
              <w:pStyle w:val="TableContents"/>
              <w:spacing w:lineRule="auto" w:line="300" w:before="0" w:after="0"/>
              <w:ind w:left="0" w:right="0" w:hanging="0"/>
              <w:jc w:val="left"/>
              <w:rPr>
                <w:rFonts w:ascii="Times New Roman" w:hAnsi="Times New Roman"/>
                <w:sz w:val="20"/>
              </w:rPr>
            </w:pPr>
            <w:bookmarkStart w:id="3594" w:name="TAB11703"/>
            <w:bookmarkEnd w:id="3594"/>
            <w:r>
              <w:rPr>
                <w:rFonts w:ascii="Times New Roman" w:hAnsi="Times New Roman"/>
                <w:sz w:val="20"/>
              </w:rPr>
              <w:t>)</w:t>
            </w:r>
          </w:p>
        </w:tc>
      </w:tr>
    </w:tbl>
    <w:p>
      <w:pPr>
        <w:pStyle w:val="TextBody"/>
        <w:spacing w:lineRule="auto" w:line="300" w:before="0" w:after="0"/>
        <w:ind w:left="0" w:right="0" w:hanging="0"/>
        <w:jc w:val="left"/>
        <w:rPr/>
      </w:pPr>
      <w:r>
        <w:rPr/>
      </w:r>
    </w:p>
    <w:p>
      <w:pPr>
        <w:pStyle w:val="TextBody"/>
        <w:spacing w:lineRule="auto" w:line="300" w:before="0" w:after="0"/>
        <w:ind w:left="0" w:right="0" w:firstLine="720"/>
        <w:jc w:val="left"/>
        <w:rPr>
          <w:rFonts w:ascii="Times New Roman" w:hAnsi="Times New Roman"/>
          <w:sz w:val="20"/>
        </w:rPr>
      </w:pPr>
      <w:r>
        <w:rPr>
          <w:rFonts w:ascii="Times New Roman" w:hAnsi="Times New Roman"/>
          <w:sz w:val="20"/>
        </w:rPr>
        <w:t>Significant components of the provision for income taxes are as follows (dollars in thousands):</w:t>
      </w:r>
    </w:p>
    <w:p>
      <w:pPr>
        <w:pStyle w:val="TextBody"/>
        <w:spacing w:lineRule="auto" w:line="300" w:before="0" w:after="0"/>
        <w:ind w:left="0" w:right="0" w:hanging="0"/>
        <w:jc w:val="left"/>
        <w:rPr/>
      </w:pPr>
      <w:r>
        <w:rPr/>
      </w:r>
    </w:p>
    <w:p>
      <w:pPr>
        <w:pStyle w:val="Normal"/>
        <w:spacing w:before="0" w:after="0"/>
        <w:rPr>
          <w:sz w:val="4"/>
          <w:szCs w:val="4"/>
        </w:rPr>
      </w:pPr>
      <w:r>
        <w:rPr>
          <w:sz w:val="4"/>
          <w:szCs w:val="4"/>
        </w:rPr>
      </w:r>
      <w:bookmarkStart w:id="3595" w:name="ftable46"/>
      <w:bookmarkStart w:id="3596" w:name="ftable46"/>
      <w:bookmarkEnd w:id="3596"/>
    </w:p>
    <w:tbl>
      <w:tblPr>
        <w:tblW w:w="5000" w:type="pct"/>
        <w:jc w:val="left"/>
        <w:tblInd w:w="0" w:type="dxa"/>
        <w:tblCellMar>
          <w:top w:w="0" w:type="dxa"/>
          <w:left w:w="0" w:type="dxa"/>
          <w:bottom w:w="28" w:type="dxa"/>
          <w:right w:w="0" w:type="dxa"/>
        </w:tblCellMar>
      </w:tblPr>
      <w:tblGrid>
        <w:gridCol w:w="5608"/>
        <w:gridCol w:w="203"/>
        <w:gridCol w:w="127"/>
        <w:gridCol w:w="1162"/>
        <w:gridCol w:w="203"/>
        <w:gridCol w:w="127"/>
        <w:gridCol w:w="1162"/>
        <w:gridCol w:w="203"/>
        <w:gridCol w:w="127"/>
        <w:gridCol w:w="1162"/>
        <w:gridCol w:w="121"/>
      </w:tblGrid>
      <w:tr>
        <w:trPr/>
        <w:tc>
          <w:tcPr>
            <w:tcW w:w="5608" w:type="dxa"/>
            <w:tcBorders>
              <w:bottom w:val="single" w:sz="4" w:space="0" w:color="FFFFFF"/>
            </w:tcBorders>
            <w:shd w:fill="auto" w:val="clear"/>
            <w:vAlign w:val="bottom"/>
          </w:tcPr>
          <w:p>
            <w:pPr>
              <w:pStyle w:val="TableContents"/>
              <w:spacing w:before="0" w:after="283"/>
              <w:jc w:val="left"/>
              <w:rPr/>
            </w:pPr>
            <w:r>
              <w:rPr/>
              <w:t> </w:t>
            </w:r>
          </w:p>
        </w:tc>
        <w:tc>
          <w:tcPr>
            <w:tcW w:w="203" w:type="dxa"/>
            <w:tcBorders>
              <w:bottom w:val="single" w:sz="2" w:space="0" w:color="FFFFFF"/>
            </w:tcBorders>
            <w:shd w:fill="auto" w:val="clear"/>
            <w:vAlign w:val="center"/>
          </w:tcPr>
          <w:p>
            <w:pPr>
              <w:pStyle w:val="TableContents"/>
              <w:spacing w:before="0" w:after="283"/>
              <w:rPr/>
            </w:pPr>
            <w:r>
              <w:rPr/>
              <w:t> </w:t>
            </w:r>
          </w:p>
        </w:tc>
        <w:tc>
          <w:tcPr>
            <w:tcW w:w="4273" w:type="dxa"/>
            <w:gridSpan w:val="8"/>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Year Ended December 31,</w:t>
            </w:r>
          </w:p>
        </w:tc>
        <w:tc>
          <w:tcPr>
            <w:tcW w:w="121" w:type="dxa"/>
            <w:tcBorders>
              <w:bottom w:val="single" w:sz="2" w:space="0" w:color="FFFFFF"/>
            </w:tcBorders>
            <w:shd w:fill="auto" w:val="clear"/>
            <w:vAlign w:val="bottom"/>
          </w:tcPr>
          <w:p>
            <w:pPr>
              <w:pStyle w:val="TableContents"/>
              <w:spacing w:before="0" w:after="283"/>
              <w:jc w:val="left"/>
              <w:rPr/>
            </w:pPr>
            <w:r>
              <w:rPr/>
              <w:t> </w:t>
            </w:r>
          </w:p>
        </w:tc>
      </w:tr>
      <w:tr>
        <w:trPr/>
        <w:tc>
          <w:tcPr>
            <w:tcW w:w="5608" w:type="dxa"/>
            <w:tcBorders>
              <w:bottom w:val="double" w:sz="2" w:space="0" w:color="000000"/>
            </w:tcBorders>
            <w:shd w:fill="auto" w:val="clear"/>
            <w:vAlign w:val="bottom"/>
          </w:tcPr>
          <w:p>
            <w:pPr>
              <w:pStyle w:val="TableContents"/>
              <w:spacing w:before="0" w:after="283"/>
              <w:jc w:val="left"/>
              <w:rPr/>
            </w:pPr>
            <w:r>
              <w:rPr/>
              <w:t> </w:t>
            </w:r>
          </w:p>
        </w:tc>
        <w:tc>
          <w:tcPr>
            <w:tcW w:w="203" w:type="dxa"/>
            <w:tcBorders>
              <w:bottom w:val="single" w:sz="4" w:space="0" w:color="FFFFFF"/>
            </w:tcBorders>
            <w:shd w:fill="auto" w:val="clear"/>
            <w:vAlign w:val="center"/>
          </w:tcPr>
          <w:p>
            <w:pPr>
              <w:pStyle w:val="TableContents"/>
              <w:spacing w:before="0" w:after="283"/>
              <w:rPr/>
            </w:pPr>
            <w:r>
              <w:rPr/>
              <w:t> </w:t>
            </w:r>
          </w:p>
        </w:tc>
        <w:tc>
          <w:tcPr>
            <w:tcW w:w="1289"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2006</w:t>
            </w:r>
          </w:p>
        </w:tc>
        <w:tc>
          <w:tcPr>
            <w:tcW w:w="203" w:type="dxa"/>
            <w:tcBorders>
              <w:bottom w:val="single" w:sz="4" w:space="0" w:color="FFFFFF"/>
            </w:tcBorders>
            <w:shd w:fill="auto" w:val="clear"/>
            <w:vAlign w:val="bottom"/>
          </w:tcPr>
          <w:p>
            <w:pPr>
              <w:pStyle w:val="TableContents"/>
              <w:spacing w:before="0" w:after="283"/>
              <w:jc w:val="left"/>
              <w:rPr/>
            </w:pPr>
            <w:r>
              <w:rPr/>
              <w:t> </w:t>
            </w:r>
          </w:p>
        </w:tc>
        <w:tc>
          <w:tcPr>
            <w:tcW w:w="1289"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2005</w:t>
            </w:r>
          </w:p>
        </w:tc>
        <w:tc>
          <w:tcPr>
            <w:tcW w:w="203" w:type="dxa"/>
            <w:tcBorders>
              <w:bottom w:val="single" w:sz="4" w:space="0" w:color="FFFFFF"/>
            </w:tcBorders>
            <w:shd w:fill="auto" w:val="clear"/>
            <w:vAlign w:val="bottom"/>
          </w:tcPr>
          <w:p>
            <w:pPr>
              <w:pStyle w:val="TableContents"/>
              <w:spacing w:before="0" w:after="283"/>
              <w:jc w:val="left"/>
              <w:rPr/>
            </w:pPr>
            <w:r>
              <w:rPr/>
              <w:t> </w:t>
            </w:r>
          </w:p>
        </w:tc>
        <w:tc>
          <w:tcPr>
            <w:tcW w:w="1289"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2004</w:t>
            </w:r>
          </w:p>
        </w:tc>
        <w:tc>
          <w:tcPr>
            <w:tcW w:w="121" w:type="dxa"/>
            <w:tcBorders>
              <w:bottom w:val="single" w:sz="4" w:space="0" w:color="FFFFFF"/>
            </w:tcBorders>
            <w:shd w:fill="auto" w:val="clear"/>
            <w:vAlign w:val="bottom"/>
          </w:tcPr>
          <w:p>
            <w:pPr>
              <w:pStyle w:val="TableContents"/>
              <w:spacing w:before="0" w:after="283"/>
              <w:jc w:val="left"/>
              <w:rPr/>
            </w:pPr>
            <w:r>
              <w:rPr/>
              <w:t> </w:t>
            </w:r>
          </w:p>
        </w:tc>
      </w:tr>
      <w:tr>
        <w:trPr/>
        <w:tc>
          <w:tcPr>
            <w:tcW w:w="5608" w:type="dxa"/>
            <w:tcBorders/>
            <w:shd w:fill="auto" w:val="clear"/>
            <w:tcMar>
              <w:bottom w:w="0" w:type="dxa"/>
            </w:tcMar>
            <w:vAlign w:val="bottom"/>
          </w:tcPr>
          <w:p>
            <w:pPr>
              <w:pStyle w:val="TableContents"/>
              <w:spacing w:lineRule="auto" w:line="300" w:before="0" w:after="0"/>
              <w:ind w:left="0" w:right="0" w:hanging="0"/>
              <w:jc w:val="left"/>
              <w:rPr/>
            </w:pPr>
            <w:r>
              <w:rPr>
                <w:rStyle w:val="StrongEmphasis"/>
                <w:rFonts w:ascii="Times New Roman" w:hAnsi="Times New Roman"/>
                <w:sz w:val="20"/>
              </w:rPr>
              <w:t>Current income tax expense (benefit)</w:t>
            </w:r>
          </w:p>
        </w:tc>
        <w:tc>
          <w:tcPr>
            <w:tcW w:w="203" w:type="dxa"/>
            <w:tcBorders/>
            <w:shd w:fill="auto" w:val="clear"/>
            <w:tcMar>
              <w:bottom w:w="0" w:type="dxa"/>
            </w:tcMar>
            <w:vAlign w:val="center"/>
          </w:tcPr>
          <w:p>
            <w:pPr>
              <w:pStyle w:val="TableContents"/>
              <w:spacing w:before="0" w:after="283"/>
              <w:rPr/>
            </w:pPr>
            <w:r>
              <w:rPr/>
              <w:t> </w:t>
            </w:r>
          </w:p>
        </w:tc>
        <w:tc>
          <w:tcPr>
            <w:tcW w:w="1289" w:type="dxa"/>
            <w:gridSpan w:val="2"/>
            <w:tcBorders/>
            <w:shd w:fill="auto" w:val="clear"/>
            <w:tcMar>
              <w:bottom w:w="0" w:type="dxa"/>
            </w:tcMar>
            <w:vAlign w:val="bottom"/>
          </w:tcPr>
          <w:p>
            <w:pPr>
              <w:pStyle w:val="TableContents"/>
              <w:spacing w:before="0" w:after="283"/>
              <w:jc w:val="left"/>
              <w:rPr/>
            </w:pPr>
            <w:r>
              <w:rPr/>
              <w:t> </w:t>
            </w:r>
          </w:p>
        </w:tc>
        <w:tc>
          <w:tcPr>
            <w:tcW w:w="203" w:type="dxa"/>
            <w:tcBorders/>
            <w:shd w:fill="auto" w:val="clear"/>
            <w:tcMar>
              <w:bottom w:w="0" w:type="dxa"/>
            </w:tcMar>
            <w:vAlign w:val="bottom"/>
          </w:tcPr>
          <w:p>
            <w:pPr>
              <w:pStyle w:val="TableContents"/>
              <w:spacing w:before="0" w:after="283"/>
              <w:jc w:val="left"/>
              <w:rPr/>
            </w:pPr>
            <w:r>
              <w:rPr/>
              <w:t> </w:t>
            </w:r>
          </w:p>
        </w:tc>
        <w:tc>
          <w:tcPr>
            <w:tcW w:w="1289" w:type="dxa"/>
            <w:gridSpan w:val="2"/>
            <w:tcBorders/>
            <w:shd w:fill="auto" w:val="clear"/>
            <w:tcMar>
              <w:bottom w:w="0" w:type="dxa"/>
            </w:tcMar>
            <w:vAlign w:val="bottom"/>
          </w:tcPr>
          <w:p>
            <w:pPr>
              <w:pStyle w:val="TableContents"/>
              <w:spacing w:before="0" w:after="283"/>
              <w:jc w:val="left"/>
              <w:rPr/>
            </w:pPr>
            <w:r>
              <w:rPr/>
              <w:t> </w:t>
            </w:r>
          </w:p>
        </w:tc>
        <w:tc>
          <w:tcPr>
            <w:tcW w:w="203" w:type="dxa"/>
            <w:tcBorders/>
            <w:shd w:fill="auto" w:val="clear"/>
            <w:tcMar>
              <w:bottom w:w="0" w:type="dxa"/>
            </w:tcMar>
            <w:vAlign w:val="bottom"/>
          </w:tcPr>
          <w:p>
            <w:pPr>
              <w:pStyle w:val="TableContents"/>
              <w:spacing w:before="0" w:after="283"/>
              <w:jc w:val="left"/>
              <w:rPr/>
            </w:pPr>
            <w:r>
              <w:rPr/>
              <w:t> </w:t>
            </w:r>
          </w:p>
        </w:tc>
        <w:tc>
          <w:tcPr>
            <w:tcW w:w="1289" w:type="dxa"/>
            <w:gridSpan w:val="2"/>
            <w:tcBorders/>
            <w:shd w:fill="auto" w:val="clear"/>
            <w:tcMar>
              <w:bottom w:w="0" w:type="dxa"/>
            </w:tcMar>
            <w:vAlign w:val="bottom"/>
          </w:tcPr>
          <w:p>
            <w:pPr>
              <w:pStyle w:val="TableContents"/>
              <w:spacing w:before="0" w:after="283"/>
              <w:jc w:val="left"/>
              <w:rPr/>
            </w:pPr>
            <w:r>
              <w:rPr/>
              <w:t> </w:t>
            </w:r>
          </w:p>
        </w:tc>
        <w:tc>
          <w:tcPr>
            <w:tcW w:w="121" w:type="dxa"/>
            <w:tcBorders/>
            <w:shd w:fill="auto" w:val="clear"/>
            <w:tcMar>
              <w:bottom w:w="0" w:type="dxa"/>
            </w:tcMar>
            <w:vAlign w:val="bottom"/>
          </w:tcPr>
          <w:p>
            <w:pPr>
              <w:pStyle w:val="TableContents"/>
              <w:spacing w:before="0" w:after="283"/>
              <w:jc w:val="left"/>
              <w:rPr/>
            </w:pPr>
            <w:r>
              <w:rPr/>
              <w:t> </w:t>
            </w:r>
          </w:p>
        </w:tc>
      </w:tr>
      <w:tr>
        <w:trPr/>
        <w:tc>
          <w:tcPr>
            <w:tcW w:w="5608" w:type="dxa"/>
            <w:tcBorders/>
            <w:shd w:fill="CCEEFF" w:val="clear"/>
            <w:tcMar>
              <w:bottom w:w="0" w:type="dxa"/>
            </w:tcMar>
            <w:vAlign w:val="bottom"/>
          </w:tcPr>
          <w:p>
            <w:pPr>
              <w:pStyle w:val="TableContents"/>
              <w:spacing w:lineRule="auto" w:line="300" w:before="0" w:after="0"/>
              <w:ind w:left="0" w:right="0" w:firstLine="360"/>
              <w:jc w:val="left"/>
              <w:rPr>
                <w:rFonts w:ascii="Times New Roman" w:hAnsi="Times New Roman"/>
                <w:sz w:val="20"/>
              </w:rPr>
            </w:pPr>
            <w:r>
              <w:rPr>
                <w:rFonts w:ascii="Times New Roman" w:hAnsi="Times New Roman"/>
                <w:sz w:val="20"/>
              </w:rPr>
              <w:t>Federal</w:t>
            </w:r>
          </w:p>
        </w:tc>
        <w:tc>
          <w:tcPr>
            <w:tcW w:w="203" w:type="dxa"/>
            <w:tcBorders/>
            <w:shd w:fill="CCEEFF" w:val="clear"/>
            <w:tcMar>
              <w:bottom w:w="0" w:type="dxa"/>
            </w:tcMar>
            <w:vAlign w:val="center"/>
          </w:tcPr>
          <w:p>
            <w:pPr>
              <w:pStyle w:val="TableContents"/>
              <w:spacing w:before="0" w:after="283"/>
              <w:rPr/>
            </w:pPr>
            <w:r>
              <w:rPr/>
              <w:t> </w:t>
            </w:r>
          </w:p>
        </w:tc>
        <w:tc>
          <w:tcPr>
            <w:tcW w:w="127"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bookmarkStart w:id="3597" w:name="TAB2189"/>
            <w:bookmarkEnd w:id="3597"/>
          </w:p>
        </w:tc>
        <w:tc>
          <w:tcPr>
            <w:tcW w:w="1162"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3598" w:name="TAB2190"/>
            <w:bookmarkEnd w:id="3598"/>
            <w:r>
              <w:rPr>
                <w:rFonts w:ascii="Times New Roman" w:hAnsi="Times New Roman"/>
                <w:sz w:val="20"/>
              </w:rPr>
              <w:t>688</w:t>
            </w:r>
          </w:p>
        </w:tc>
        <w:tc>
          <w:tcPr>
            <w:tcW w:w="203" w:type="dxa"/>
            <w:tcBorders/>
            <w:shd w:fill="CCEEFF" w:val="clear"/>
            <w:tcMar>
              <w:bottom w:w="0" w:type="dxa"/>
            </w:tcMar>
            <w:vAlign w:val="bottom"/>
          </w:tcPr>
          <w:p>
            <w:pPr>
              <w:pStyle w:val="TableContents"/>
              <w:spacing w:before="0" w:after="283"/>
              <w:jc w:val="left"/>
              <w:rPr/>
            </w:pPr>
            <w:r>
              <w:rPr/>
              <w:t> </w:t>
            </w:r>
          </w:p>
        </w:tc>
        <w:tc>
          <w:tcPr>
            <w:tcW w:w="127"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bookmarkStart w:id="3599" w:name="TAB2191"/>
            <w:bookmarkEnd w:id="3599"/>
          </w:p>
        </w:tc>
        <w:tc>
          <w:tcPr>
            <w:tcW w:w="1162"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3600" w:name="TAB2192"/>
            <w:bookmarkEnd w:id="3600"/>
            <w:r>
              <w:rPr>
                <w:rFonts w:ascii="Times New Roman" w:hAnsi="Times New Roman"/>
                <w:sz w:val="20"/>
              </w:rPr>
              <w:t>444</w:t>
            </w:r>
          </w:p>
        </w:tc>
        <w:tc>
          <w:tcPr>
            <w:tcW w:w="203" w:type="dxa"/>
            <w:tcBorders/>
            <w:shd w:fill="CCEEFF" w:val="clear"/>
            <w:tcMar>
              <w:bottom w:w="0" w:type="dxa"/>
            </w:tcMar>
            <w:vAlign w:val="bottom"/>
          </w:tcPr>
          <w:p>
            <w:pPr>
              <w:pStyle w:val="TableContents"/>
              <w:spacing w:before="0" w:after="283"/>
              <w:jc w:val="left"/>
              <w:rPr/>
            </w:pPr>
            <w:r>
              <w:rPr/>
              <w:t> </w:t>
            </w:r>
          </w:p>
        </w:tc>
        <w:tc>
          <w:tcPr>
            <w:tcW w:w="127"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bookmarkStart w:id="3601" w:name="TAB2193"/>
            <w:bookmarkEnd w:id="3601"/>
          </w:p>
        </w:tc>
        <w:tc>
          <w:tcPr>
            <w:tcW w:w="1162"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3602" w:name="TAB2194"/>
            <w:bookmarkEnd w:id="3602"/>
            <w:r>
              <w:rPr>
                <w:rFonts w:ascii="Times New Roman" w:hAnsi="Times New Roman"/>
                <w:sz w:val="20"/>
              </w:rPr>
              <w:t>--</w:t>
            </w:r>
          </w:p>
        </w:tc>
        <w:tc>
          <w:tcPr>
            <w:tcW w:w="121" w:type="dxa"/>
            <w:tcBorders/>
            <w:shd w:fill="CCEEFF" w:val="clear"/>
            <w:tcMar>
              <w:bottom w:w="0" w:type="dxa"/>
            </w:tcMar>
            <w:vAlign w:val="bottom"/>
          </w:tcPr>
          <w:p>
            <w:pPr>
              <w:pStyle w:val="TableContents"/>
              <w:spacing w:before="0" w:after="283"/>
              <w:jc w:val="left"/>
              <w:rPr/>
            </w:pPr>
            <w:r>
              <w:rPr/>
              <w:t> </w:t>
            </w:r>
          </w:p>
        </w:tc>
      </w:tr>
      <w:tr>
        <w:trPr/>
        <w:tc>
          <w:tcPr>
            <w:tcW w:w="5608" w:type="dxa"/>
            <w:tcBorders/>
            <w:shd w:fill="FFFFFF" w:val="clear"/>
            <w:tcMar>
              <w:bottom w:w="0" w:type="dxa"/>
            </w:tcMar>
            <w:vAlign w:val="bottom"/>
          </w:tcPr>
          <w:p>
            <w:pPr>
              <w:pStyle w:val="TableContents"/>
              <w:spacing w:lineRule="auto" w:line="300" w:before="0" w:after="0"/>
              <w:ind w:left="0" w:right="0" w:firstLine="360"/>
              <w:jc w:val="left"/>
              <w:rPr>
                <w:rFonts w:ascii="Times New Roman" w:hAnsi="Times New Roman"/>
                <w:sz w:val="20"/>
              </w:rPr>
            </w:pPr>
            <w:r>
              <w:rPr>
                <w:rFonts w:ascii="Times New Roman" w:hAnsi="Times New Roman"/>
                <w:sz w:val="20"/>
              </w:rPr>
              <w:t xml:space="preserve">State </w:t>
            </w:r>
          </w:p>
        </w:tc>
        <w:tc>
          <w:tcPr>
            <w:tcW w:w="203" w:type="dxa"/>
            <w:tcBorders/>
            <w:shd w:fill="FFFFFF" w:val="clear"/>
            <w:tcMar>
              <w:bottom w:w="0" w:type="dxa"/>
            </w:tcMar>
            <w:vAlign w:val="center"/>
          </w:tcPr>
          <w:p>
            <w:pPr>
              <w:pStyle w:val="TableContents"/>
              <w:spacing w:before="0" w:after="283"/>
              <w:rPr/>
            </w:pPr>
            <w:r>
              <w:rPr/>
              <w:t> </w:t>
            </w:r>
          </w:p>
        </w:tc>
        <w:tc>
          <w:tcPr>
            <w:tcW w:w="127" w:type="dxa"/>
            <w:tcBorders/>
            <w:shd w:fill="FFFFFF" w:val="clear"/>
            <w:tcMar>
              <w:bottom w:w="0" w:type="dxa"/>
            </w:tcMar>
            <w:vAlign w:val="bottom"/>
          </w:tcPr>
          <w:p>
            <w:pPr>
              <w:pStyle w:val="TableContents"/>
              <w:spacing w:before="0" w:after="283"/>
              <w:jc w:val="left"/>
              <w:rPr/>
            </w:pPr>
            <w:r>
              <w:rPr/>
              <w:t> </w:t>
            </w:r>
          </w:p>
        </w:tc>
        <w:tc>
          <w:tcPr>
            <w:tcW w:w="1162"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409</w:t>
            </w:r>
          </w:p>
        </w:tc>
        <w:tc>
          <w:tcPr>
            <w:tcW w:w="203" w:type="dxa"/>
            <w:tcBorders/>
            <w:shd w:fill="FFFFFF" w:val="clear"/>
            <w:tcMar>
              <w:bottom w:w="0" w:type="dxa"/>
            </w:tcMar>
            <w:vAlign w:val="bottom"/>
          </w:tcPr>
          <w:p>
            <w:pPr>
              <w:pStyle w:val="TableContents"/>
              <w:spacing w:before="0" w:after="283"/>
              <w:jc w:val="left"/>
              <w:rPr/>
            </w:pPr>
            <w:r>
              <w:rPr/>
              <w:t> </w:t>
            </w:r>
          </w:p>
        </w:tc>
        <w:tc>
          <w:tcPr>
            <w:tcW w:w="127" w:type="dxa"/>
            <w:tcBorders/>
            <w:shd w:fill="FFFFFF" w:val="clear"/>
            <w:tcMar>
              <w:bottom w:w="0" w:type="dxa"/>
            </w:tcMar>
            <w:vAlign w:val="bottom"/>
          </w:tcPr>
          <w:p>
            <w:pPr>
              <w:pStyle w:val="TableContents"/>
              <w:spacing w:before="0" w:after="283"/>
              <w:jc w:val="left"/>
              <w:rPr/>
            </w:pPr>
            <w:r>
              <w:rPr/>
              <w:t> </w:t>
            </w:r>
          </w:p>
        </w:tc>
        <w:tc>
          <w:tcPr>
            <w:tcW w:w="1162"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186</w:t>
            </w:r>
          </w:p>
        </w:tc>
        <w:tc>
          <w:tcPr>
            <w:tcW w:w="203" w:type="dxa"/>
            <w:tcBorders/>
            <w:shd w:fill="FFFFFF" w:val="clear"/>
            <w:tcMar>
              <w:bottom w:w="0" w:type="dxa"/>
            </w:tcMar>
            <w:vAlign w:val="bottom"/>
          </w:tcPr>
          <w:p>
            <w:pPr>
              <w:pStyle w:val="TableContents"/>
              <w:spacing w:before="0" w:after="283"/>
              <w:jc w:val="left"/>
              <w:rPr/>
            </w:pPr>
            <w:r>
              <w:rPr/>
              <w:t> </w:t>
            </w:r>
          </w:p>
        </w:tc>
        <w:tc>
          <w:tcPr>
            <w:tcW w:w="127" w:type="dxa"/>
            <w:tcBorders/>
            <w:shd w:fill="FFFFFF" w:val="clear"/>
            <w:tcMar>
              <w:bottom w:w="0" w:type="dxa"/>
            </w:tcMar>
            <w:vAlign w:val="bottom"/>
          </w:tcPr>
          <w:p>
            <w:pPr>
              <w:pStyle w:val="TableContents"/>
              <w:spacing w:before="0" w:after="283"/>
              <w:jc w:val="left"/>
              <w:rPr/>
            </w:pPr>
            <w:r>
              <w:rPr/>
              <w:t> </w:t>
            </w:r>
          </w:p>
        </w:tc>
        <w:tc>
          <w:tcPr>
            <w:tcW w:w="1162"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216</w:t>
            </w:r>
          </w:p>
        </w:tc>
        <w:tc>
          <w:tcPr>
            <w:tcW w:w="121" w:type="dxa"/>
            <w:tcBorders/>
            <w:shd w:fill="FFFFFF" w:val="clear"/>
            <w:tcMar>
              <w:bottom w:w="0" w:type="dxa"/>
            </w:tcMar>
            <w:vAlign w:val="bottom"/>
          </w:tcPr>
          <w:p>
            <w:pPr>
              <w:pStyle w:val="TableContents"/>
              <w:spacing w:before="0" w:after="283"/>
              <w:jc w:val="left"/>
              <w:rPr/>
            </w:pPr>
            <w:r>
              <w:rPr/>
              <w:t> </w:t>
            </w:r>
          </w:p>
        </w:tc>
      </w:tr>
      <w:tr>
        <w:trPr/>
        <w:tc>
          <w:tcPr>
            <w:tcW w:w="5608" w:type="dxa"/>
            <w:tcBorders>
              <w:bottom w:val="single" w:sz="2" w:space="0" w:color="000000"/>
            </w:tcBorders>
            <w:shd w:fill="CCEEFF" w:val="clear"/>
            <w:vAlign w:val="bottom"/>
          </w:tcPr>
          <w:p>
            <w:pPr>
              <w:pStyle w:val="TableContents"/>
              <w:spacing w:lineRule="auto" w:line="300" w:before="0" w:after="0"/>
              <w:ind w:left="0" w:right="0" w:firstLine="360"/>
              <w:jc w:val="left"/>
              <w:rPr>
                <w:rFonts w:ascii="Times New Roman" w:hAnsi="Times New Roman"/>
                <w:sz w:val="20"/>
              </w:rPr>
            </w:pPr>
            <w:r>
              <w:rPr>
                <w:rFonts w:ascii="Times New Roman" w:hAnsi="Times New Roman"/>
                <w:sz w:val="20"/>
              </w:rPr>
              <w:t xml:space="preserve">Foreign </w:t>
            </w:r>
          </w:p>
        </w:tc>
        <w:tc>
          <w:tcPr>
            <w:tcW w:w="203" w:type="dxa"/>
            <w:tcBorders>
              <w:bottom w:val="single" w:sz="4" w:space="0" w:color="CCEEFF"/>
            </w:tcBorders>
            <w:shd w:fill="CCEEFF" w:val="clear"/>
            <w:vAlign w:val="center"/>
          </w:tcPr>
          <w:p>
            <w:pPr>
              <w:pStyle w:val="TableContents"/>
              <w:spacing w:before="0" w:after="283"/>
              <w:rPr/>
            </w:pPr>
            <w:r>
              <w:rPr/>
              <w:t> </w:t>
            </w:r>
          </w:p>
        </w:tc>
        <w:tc>
          <w:tcPr>
            <w:tcW w:w="127" w:type="dxa"/>
            <w:tcBorders>
              <w:bottom w:val="single" w:sz="2" w:space="0" w:color="000000"/>
            </w:tcBorders>
            <w:shd w:fill="CCEEFF" w:val="clear"/>
            <w:vAlign w:val="bottom"/>
          </w:tcPr>
          <w:p>
            <w:pPr>
              <w:pStyle w:val="TableContents"/>
              <w:spacing w:before="0" w:after="283"/>
              <w:jc w:val="left"/>
              <w:rPr/>
            </w:pPr>
            <w:r>
              <w:rPr/>
              <w:t> </w:t>
            </w:r>
          </w:p>
        </w:tc>
        <w:tc>
          <w:tcPr>
            <w:tcW w:w="1162"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1,173</w:t>
            </w:r>
          </w:p>
        </w:tc>
        <w:tc>
          <w:tcPr>
            <w:tcW w:w="203" w:type="dxa"/>
            <w:tcBorders>
              <w:bottom w:val="single" w:sz="4" w:space="0" w:color="CCEEFF"/>
            </w:tcBorders>
            <w:shd w:fill="CCEEFF" w:val="clear"/>
            <w:vAlign w:val="bottom"/>
          </w:tcPr>
          <w:p>
            <w:pPr>
              <w:pStyle w:val="TableContents"/>
              <w:spacing w:before="0" w:after="283"/>
              <w:jc w:val="left"/>
              <w:rPr/>
            </w:pPr>
            <w:r>
              <w:rPr/>
              <w:t> </w:t>
            </w:r>
          </w:p>
        </w:tc>
        <w:tc>
          <w:tcPr>
            <w:tcW w:w="127" w:type="dxa"/>
            <w:tcBorders>
              <w:bottom w:val="single" w:sz="2" w:space="0" w:color="000000"/>
            </w:tcBorders>
            <w:shd w:fill="CCEEFF" w:val="clear"/>
            <w:vAlign w:val="bottom"/>
          </w:tcPr>
          <w:p>
            <w:pPr>
              <w:pStyle w:val="TableContents"/>
              <w:spacing w:before="0" w:after="283"/>
              <w:jc w:val="left"/>
              <w:rPr/>
            </w:pPr>
            <w:r>
              <w:rPr/>
              <w:t> </w:t>
            </w:r>
          </w:p>
        </w:tc>
        <w:tc>
          <w:tcPr>
            <w:tcW w:w="1162"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579</w:t>
            </w:r>
          </w:p>
        </w:tc>
        <w:tc>
          <w:tcPr>
            <w:tcW w:w="203" w:type="dxa"/>
            <w:tcBorders>
              <w:bottom w:val="single" w:sz="4" w:space="0" w:color="CCEEFF"/>
            </w:tcBorders>
            <w:shd w:fill="CCEEFF" w:val="clear"/>
            <w:vAlign w:val="bottom"/>
          </w:tcPr>
          <w:p>
            <w:pPr>
              <w:pStyle w:val="TableContents"/>
              <w:spacing w:before="0" w:after="283"/>
              <w:jc w:val="left"/>
              <w:rPr/>
            </w:pPr>
            <w:r>
              <w:rPr/>
              <w:t> </w:t>
            </w:r>
          </w:p>
        </w:tc>
        <w:tc>
          <w:tcPr>
            <w:tcW w:w="127" w:type="dxa"/>
            <w:tcBorders>
              <w:bottom w:val="single" w:sz="2" w:space="0" w:color="000000"/>
            </w:tcBorders>
            <w:shd w:fill="CCEEFF" w:val="clear"/>
            <w:vAlign w:val="bottom"/>
          </w:tcPr>
          <w:p>
            <w:pPr>
              <w:pStyle w:val="TableContents"/>
              <w:spacing w:before="0" w:after="283"/>
              <w:jc w:val="left"/>
              <w:rPr/>
            </w:pPr>
            <w:r>
              <w:rPr/>
              <w:t> </w:t>
            </w:r>
          </w:p>
        </w:tc>
        <w:tc>
          <w:tcPr>
            <w:tcW w:w="1162"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830</w:t>
            </w:r>
          </w:p>
        </w:tc>
        <w:tc>
          <w:tcPr>
            <w:tcW w:w="121" w:type="dxa"/>
            <w:tcBorders>
              <w:bottom w:val="single" w:sz="4" w:space="0" w:color="CCEEFF"/>
            </w:tcBorders>
            <w:shd w:fill="CCEEFF" w:val="clear"/>
            <w:vAlign w:val="bottom"/>
          </w:tcPr>
          <w:p>
            <w:pPr>
              <w:pStyle w:val="TableContents"/>
              <w:spacing w:before="0" w:after="283"/>
              <w:jc w:val="left"/>
              <w:rPr/>
            </w:pPr>
            <w:r>
              <w:rPr/>
              <w:t> </w:t>
            </w:r>
          </w:p>
        </w:tc>
      </w:tr>
      <w:tr>
        <w:trPr/>
        <w:tc>
          <w:tcPr>
            <w:tcW w:w="5608" w:type="dxa"/>
            <w:tcBorders>
              <w:bottom w:val="single" w:sz="2" w:space="0" w:color="000000"/>
            </w:tcBorders>
            <w:shd w:fill="FFFFFF" w:val="clear"/>
            <w:vAlign w:val="bottom"/>
          </w:tcPr>
          <w:p>
            <w:pPr>
              <w:pStyle w:val="TableContents"/>
              <w:spacing w:lineRule="auto" w:line="300" w:before="0" w:after="0"/>
              <w:ind w:left="0" w:right="0" w:firstLine="540"/>
              <w:jc w:val="left"/>
              <w:rPr>
                <w:rFonts w:ascii="Times New Roman" w:hAnsi="Times New Roman"/>
                <w:sz w:val="20"/>
              </w:rPr>
            </w:pPr>
            <w:r>
              <w:rPr>
                <w:rFonts w:ascii="Times New Roman" w:hAnsi="Times New Roman"/>
                <w:sz w:val="20"/>
              </w:rPr>
              <w:t>Total</w:t>
            </w:r>
          </w:p>
        </w:tc>
        <w:tc>
          <w:tcPr>
            <w:tcW w:w="203" w:type="dxa"/>
            <w:tcBorders>
              <w:bottom w:val="single" w:sz="2" w:space="0" w:color="FFFFFF"/>
            </w:tcBorders>
            <w:shd w:fill="FFFFFF" w:val="clear"/>
            <w:vAlign w:val="center"/>
          </w:tcPr>
          <w:p>
            <w:pPr>
              <w:pStyle w:val="TableContents"/>
              <w:spacing w:before="0" w:after="283"/>
              <w:rPr/>
            </w:pPr>
            <w:r>
              <w:rPr/>
              <w:t> </w:t>
            </w:r>
          </w:p>
        </w:tc>
        <w:tc>
          <w:tcPr>
            <w:tcW w:w="127" w:type="dxa"/>
            <w:tcBorders>
              <w:bottom w:val="single" w:sz="2" w:space="0" w:color="000000"/>
            </w:tcBorders>
            <w:shd w:fill="FFFFFF" w:val="clear"/>
            <w:vAlign w:val="bottom"/>
          </w:tcPr>
          <w:p>
            <w:pPr>
              <w:pStyle w:val="TableContents"/>
              <w:spacing w:before="0" w:after="283"/>
              <w:jc w:val="left"/>
              <w:rPr/>
            </w:pPr>
            <w:r>
              <w:rPr/>
              <w:t> </w:t>
            </w:r>
          </w:p>
        </w:tc>
        <w:tc>
          <w:tcPr>
            <w:tcW w:w="1162"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2,270</w:t>
            </w:r>
          </w:p>
        </w:tc>
        <w:tc>
          <w:tcPr>
            <w:tcW w:w="203" w:type="dxa"/>
            <w:tcBorders>
              <w:bottom w:val="single" w:sz="2" w:space="0" w:color="FFFFFF"/>
            </w:tcBorders>
            <w:shd w:fill="FFFFFF" w:val="clear"/>
            <w:vAlign w:val="bottom"/>
          </w:tcPr>
          <w:p>
            <w:pPr>
              <w:pStyle w:val="TableContents"/>
              <w:spacing w:before="0" w:after="283"/>
              <w:jc w:val="left"/>
              <w:rPr/>
            </w:pPr>
            <w:r>
              <w:rPr/>
              <w:t> </w:t>
            </w:r>
          </w:p>
        </w:tc>
        <w:tc>
          <w:tcPr>
            <w:tcW w:w="127" w:type="dxa"/>
            <w:tcBorders>
              <w:bottom w:val="single" w:sz="2" w:space="0" w:color="000000"/>
            </w:tcBorders>
            <w:shd w:fill="FFFFFF" w:val="clear"/>
            <w:vAlign w:val="bottom"/>
          </w:tcPr>
          <w:p>
            <w:pPr>
              <w:pStyle w:val="TableContents"/>
              <w:spacing w:before="0" w:after="283"/>
              <w:jc w:val="left"/>
              <w:rPr/>
            </w:pPr>
            <w:r>
              <w:rPr/>
              <w:t> </w:t>
            </w:r>
          </w:p>
        </w:tc>
        <w:tc>
          <w:tcPr>
            <w:tcW w:w="1162"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1,209</w:t>
            </w:r>
          </w:p>
        </w:tc>
        <w:tc>
          <w:tcPr>
            <w:tcW w:w="203" w:type="dxa"/>
            <w:tcBorders>
              <w:bottom w:val="single" w:sz="2" w:space="0" w:color="FFFFFF"/>
            </w:tcBorders>
            <w:shd w:fill="FFFFFF" w:val="clear"/>
            <w:vAlign w:val="bottom"/>
          </w:tcPr>
          <w:p>
            <w:pPr>
              <w:pStyle w:val="TableContents"/>
              <w:spacing w:before="0" w:after="283"/>
              <w:jc w:val="left"/>
              <w:rPr/>
            </w:pPr>
            <w:r>
              <w:rPr/>
              <w:t> </w:t>
            </w:r>
          </w:p>
        </w:tc>
        <w:tc>
          <w:tcPr>
            <w:tcW w:w="127" w:type="dxa"/>
            <w:tcBorders>
              <w:bottom w:val="single" w:sz="2" w:space="0" w:color="000000"/>
            </w:tcBorders>
            <w:shd w:fill="FFFFFF" w:val="clear"/>
            <w:vAlign w:val="bottom"/>
          </w:tcPr>
          <w:p>
            <w:pPr>
              <w:pStyle w:val="TableContents"/>
              <w:spacing w:before="0" w:after="283"/>
              <w:jc w:val="left"/>
              <w:rPr/>
            </w:pPr>
            <w:r>
              <w:rPr/>
              <w:t> </w:t>
            </w:r>
          </w:p>
        </w:tc>
        <w:tc>
          <w:tcPr>
            <w:tcW w:w="1162"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1,046</w:t>
            </w:r>
          </w:p>
        </w:tc>
        <w:tc>
          <w:tcPr>
            <w:tcW w:w="121" w:type="dxa"/>
            <w:tcBorders>
              <w:bottom w:val="single" w:sz="2" w:space="0" w:color="FFFFFF"/>
            </w:tcBorders>
            <w:shd w:fill="FFFFFF" w:val="clear"/>
            <w:vAlign w:val="bottom"/>
          </w:tcPr>
          <w:p>
            <w:pPr>
              <w:pStyle w:val="TableContents"/>
              <w:spacing w:before="0" w:after="283"/>
              <w:jc w:val="left"/>
              <w:rPr/>
            </w:pPr>
            <w:r>
              <w:rPr/>
              <w:t> </w:t>
            </w:r>
          </w:p>
        </w:tc>
      </w:tr>
      <w:tr>
        <w:trPr/>
        <w:tc>
          <w:tcPr>
            <w:tcW w:w="5608" w:type="dxa"/>
            <w:tcBorders/>
            <w:shd w:fill="CCEEFF" w:val="clear"/>
            <w:tcMar>
              <w:bottom w:w="0" w:type="dxa"/>
            </w:tcMar>
            <w:vAlign w:val="bottom"/>
          </w:tcPr>
          <w:p>
            <w:pPr>
              <w:pStyle w:val="TableContents"/>
              <w:spacing w:lineRule="auto" w:line="300" w:before="0" w:after="0"/>
              <w:ind w:left="0" w:right="0" w:hanging="0"/>
              <w:jc w:val="left"/>
              <w:rPr/>
            </w:pPr>
            <w:r>
              <w:rPr>
                <w:rStyle w:val="StrongEmphasis"/>
                <w:rFonts w:ascii="Times New Roman" w:hAnsi="Times New Roman"/>
                <w:sz w:val="20"/>
              </w:rPr>
              <w:t>Deferred income tax expense</w:t>
            </w:r>
          </w:p>
        </w:tc>
        <w:tc>
          <w:tcPr>
            <w:tcW w:w="203" w:type="dxa"/>
            <w:tcBorders/>
            <w:shd w:fill="CCEEFF" w:val="clear"/>
            <w:tcMar>
              <w:bottom w:w="0" w:type="dxa"/>
            </w:tcMar>
            <w:vAlign w:val="center"/>
          </w:tcPr>
          <w:p>
            <w:pPr>
              <w:pStyle w:val="TableContents"/>
              <w:spacing w:before="0" w:after="283"/>
              <w:rPr/>
            </w:pPr>
            <w:r>
              <w:rPr/>
              <w:t> </w:t>
            </w:r>
          </w:p>
        </w:tc>
        <w:tc>
          <w:tcPr>
            <w:tcW w:w="127" w:type="dxa"/>
            <w:tcBorders/>
            <w:shd w:fill="CCEEFF" w:val="clear"/>
            <w:tcMar>
              <w:bottom w:w="0" w:type="dxa"/>
            </w:tcMar>
            <w:vAlign w:val="bottom"/>
          </w:tcPr>
          <w:p>
            <w:pPr>
              <w:pStyle w:val="TableContents"/>
              <w:spacing w:before="0" w:after="283"/>
              <w:jc w:val="left"/>
              <w:rPr/>
            </w:pPr>
            <w:r>
              <w:rPr/>
              <w:t> </w:t>
            </w:r>
          </w:p>
        </w:tc>
        <w:tc>
          <w:tcPr>
            <w:tcW w:w="1162" w:type="dxa"/>
            <w:tcBorders/>
            <w:shd w:fill="CCEEFF" w:val="clear"/>
            <w:tcMar>
              <w:bottom w:w="0" w:type="dxa"/>
            </w:tcMar>
            <w:vAlign w:val="bottom"/>
          </w:tcPr>
          <w:p>
            <w:pPr>
              <w:pStyle w:val="TableContents"/>
              <w:spacing w:before="0" w:after="283"/>
              <w:jc w:val="right"/>
              <w:rPr/>
            </w:pPr>
            <w:r>
              <w:rPr/>
              <w:t> </w:t>
            </w:r>
          </w:p>
        </w:tc>
        <w:tc>
          <w:tcPr>
            <w:tcW w:w="203" w:type="dxa"/>
            <w:tcBorders/>
            <w:shd w:fill="CCEEFF" w:val="clear"/>
            <w:tcMar>
              <w:bottom w:w="0" w:type="dxa"/>
            </w:tcMar>
            <w:vAlign w:val="bottom"/>
          </w:tcPr>
          <w:p>
            <w:pPr>
              <w:pStyle w:val="TableContents"/>
              <w:spacing w:before="0" w:after="283"/>
              <w:jc w:val="left"/>
              <w:rPr/>
            </w:pPr>
            <w:r>
              <w:rPr/>
              <w:t> </w:t>
            </w:r>
          </w:p>
        </w:tc>
        <w:tc>
          <w:tcPr>
            <w:tcW w:w="127" w:type="dxa"/>
            <w:tcBorders/>
            <w:shd w:fill="CCEEFF" w:val="clear"/>
            <w:tcMar>
              <w:bottom w:w="0" w:type="dxa"/>
            </w:tcMar>
            <w:vAlign w:val="bottom"/>
          </w:tcPr>
          <w:p>
            <w:pPr>
              <w:pStyle w:val="TableContents"/>
              <w:spacing w:before="0" w:after="283"/>
              <w:jc w:val="left"/>
              <w:rPr/>
            </w:pPr>
            <w:r>
              <w:rPr/>
              <w:t> </w:t>
            </w:r>
          </w:p>
        </w:tc>
        <w:tc>
          <w:tcPr>
            <w:tcW w:w="1162" w:type="dxa"/>
            <w:tcBorders/>
            <w:shd w:fill="CCEEFF" w:val="clear"/>
            <w:tcMar>
              <w:bottom w:w="0" w:type="dxa"/>
            </w:tcMar>
            <w:vAlign w:val="bottom"/>
          </w:tcPr>
          <w:p>
            <w:pPr>
              <w:pStyle w:val="TableContents"/>
              <w:spacing w:before="0" w:after="283"/>
              <w:jc w:val="right"/>
              <w:rPr/>
            </w:pPr>
            <w:r>
              <w:rPr/>
              <w:t> </w:t>
            </w:r>
          </w:p>
        </w:tc>
        <w:tc>
          <w:tcPr>
            <w:tcW w:w="203" w:type="dxa"/>
            <w:tcBorders/>
            <w:shd w:fill="CCEEFF" w:val="clear"/>
            <w:tcMar>
              <w:bottom w:w="0" w:type="dxa"/>
            </w:tcMar>
            <w:vAlign w:val="bottom"/>
          </w:tcPr>
          <w:p>
            <w:pPr>
              <w:pStyle w:val="TableContents"/>
              <w:spacing w:before="0" w:after="283"/>
              <w:jc w:val="left"/>
              <w:rPr/>
            </w:pPr>
            <w:r>
              <w:rPr/>
              <w:t> </w:t>
            </w:r>
          </w:p>
        </w:tc>
        <w:tc>
          <w:tcPr>
            <w:tcW w:w="127" w:type="dxa"/>
            <w:tcBorders/>
            <w:shd w:fill="CCEEFF" w:val="clear"/>
            <w:tcMar>
              <w:bottom w:w="0" w:type="dxa"/>
            </w:tcMar>
            <w:vAlign w:val="bottom"/>
          </w:tcPr>
          <w:p>
            <w:pPr>
              <w:pStyle w:val="TableContents"/>
              <w:spacing w:before="0" w:after="283"/>
              <w:jc w:val="left"/>
              <w:rPr/>
            </w:pPr>
            <w:r>
              <w:rPr/>
              <w:t> </w:t>
            </w:r>
          </w:p>
        </w:tc>
        <w:tc>
          <w:tcPr>
            <w:tcW w:w="1162" w:type="dxa"/>
            <w:tcBorders/>
            <w:shd w:fill="CCEEFF" w:val="clear"/>
            <w:tcMar>
              <w:bottom w:w="0" w:type="dxa"/>
            </w:tcMar>
            <w:vAlign w:val="bottom"/>
          </w:tcPr>
          <w:p>
            <w:pPr>
              <w:pStyle w:val="TableContents"/>
              <w:spacing w:before="0" w:after="283"/>
              <w:jc w:val="right"/>
              <w:rPr/>
            </w:pPr>
            <w:r>
              <w:rPr/>
              <w:t> </w:t>
            </w:r>
          </w:p>
        </w:tc>
        <w:tc>
          <w:tcPr>
            <w:tcW w:w="121" w:type="dxa"/>
            <w:tcBorders/>
            <w:shd w:fill="CCEEFF" w:val="clear"/>
            <w:tcMar>
              <w:bottom w:w="0" w:type="dxa"/>
            </w:tcMar>
            <w:vAlign w:val="bottom"/>
          </w:tcPr>
          <w:p>
            <w:pPr>
              <w:pStyle w:val="TableContents"/>
              <w:spacing w:before="0" w:after="283"/>
              <w:jc w:val="left"/>
              <w:rPr/>
            </w:pPr>
            <w:r>
              <w:rPr/>
              <w:t> </w:t>
            </w:r>
          </w:p>
        </w:tc>
      </w:tr>
      <w:tr>
        <w:trPr/>
        <w:tc>
          <w:tcPr>
            <w:tcW w:w="5608" w:type="dxa"/>
            <w:tcBorders/>
            <w:shd w:fill="FFFFFF" w:val="clear"/>
            <w:tcMar>
              <w:bottom w:w="0" w:type="dxa"/>
            </w:tcMar>
            <w:vAlign w:val="bottom"/>
          </w:tcPr>
          <w:p>
            <w:pPr>
              <w:pStyle w:val="TableContents"/>
              <w:spacing w:lineRule="auto" w:line="300" w:before="0" w:after="0"/>
              <w:ind w:left="0" w:right="0" w:firstLine="360"/>
              <w:jc w:val="left"/>
              <w:rPr>
                <w:rFonts w:ascii="Times New Roman" w:hAnsi="Times New Roman"/>
                <w:sz w:val="20"/>
              </w:rPr>
            </w:pPr>
            <w:r>
              <w:rPr>
                <w:rFonts w:ascii="Times New Roman" w:hAnsi="Times New Roman"/>
                <w:sz w:val="20"/>
              </w:rPr>
              <w:t>Federal</w:t>
            </w:r>
          </w:p>
        </w:tc>
        <w:tc>
          <w:tcPr>
            <w:tcW w:w="203" w:type="dxa"/>
            <w:tcBorders/>
            <w:shd w:fill="FFFFFF" w:val="clear"/>
            <w:tcMar>
              <w:bottom w:w="0" w:type="dxa"/>
            </w:tcMar>
            <w:vAlign w:val="center"/>
          </w:tcPr>
          <w:p>
            <w:pPr>
              <w:pStyle w:val="TableContents"/>
              <w:spacing w:before="0" w:after="283"/>
              <w:rPr/>
            </w:pPr>
            <w:r>
              <w:rPr/>
              <w:t> </w:t>
            </w:r>
          </w:p>
        </w:tc>
        <w:tc>
          <w:tcPr>
            <w:tcW w:w="127" w:type="dxa"/>
            <w:tcBorders/>
            <w:shd w:fill="FFFFFF" w:val="clear"/>
            <w:tcMar>
              <w:bottom w:w="0" w:type="dxa"/>
            </w:tcMar>
            <w:vAlign w:val="bottom"/>
          </w:tcPr>
          <w:p>
            <w:pPr>
              <w:pStyle w:val="TableContents"/>
              <w:spacing w:before="0" w:after="283"/>
              <w:jc w:val="left"/>
              <w:rPr/>
            </w:pPr>
            <w:r>
              <w:rPr/>
              <w:t> </w:t>
            </w:r>
          </w:p>
        </w:tc>
        <w:tc>
          <w:tcPr>
            <w:tcW w:w="1162"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203" w:type="dxa"/>
            <w:tcBorders/>
            <w:shd w:fill="FFFFFF" w:val="clear"/>
            <w:tcMar>
              <w:bottom w:w="0" w:type="dxa"/>
            </w:tcMar>
            <w:vAlign w:val="bottom"/>
          </w:tcPr>
          <w:p>
            <w:pPr>
              <w:pStyle w:val="TableContents"/>
              <w:spacing w:before="0" w:after="283"/>
              <w:jc w:val="left"/>
              <w:rPr/>
            </w:pPr>
            <w:r>
              <w:rPr/>
              <w:t> </w:t>
            </w:r>
          </w:p>
        </w:tc>
        <w:tc>
          <w:tcPr>
            <w:tcW w:w="127" w:type="dxa"/>
            <w:tcBorders/>
            <w:shd w:fill="FFFFFF" w:val="clear"/>
            <w:tcMar>
              <w:bottom w:w="0" w:type="dxa"/>
            </w:tcMar>
            <w:vAlign w:val="bottom"/>
          </w:tcPr>
          <w:p>
            <w:pPr>
              <w:pStyle w:val="TableContents"/>
              <w:spacing w:before="0" w:after="283"/>
              <w:jc w:val="left"/>
              <w:rPr/>
            </w:pPr>
            <w:r>
              <w:rPr/>
              <w:t> </w:t>
            </w:r>
          </w:p>
        </w:tc>
        <w:tc>
          <w:tcPr>
            <w:tcW w:w="1162"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203" w:type="dxa"/>
            <w:tcBorders/>
            <w:shd w:fill="FFFFFF" w:val="clear"/>
            <w:tcMar>
              <w:bottom w:w="0" w:type="dxa"/>
            </w:tcMar>
            <w:vAlign w:val="bottom"/>
          </w:tcPr>
          <w:p>
            <w:pPr>
              <w:pStyle w:val="TableContents"/>
              <w:spacing w:before="0" w:after="283"/>
              <w:jc w:val="left"/>
              <w:rPr/>
            </w:pPr>
            <w:r>
              <w:rPr/>
              <w:t> </w:t>
            </w:r>
          </w:p>
        </w:tc>
        <w:tc>
          <w:tcPr>
            <w:tcW w:w="127" w:type="dxa"/>
            <w:tcBorders/>
            <w:shd w:fill="FFFFFF" w:val="clear"/>
            <w:tcMar>
              <w:bottom w:w="0" w:type="dxa"/>
            </w:tcMar>
            <w:vAlign w:val="bottom"/>
          </w:tcPr>
          <w:p>
            <w:pPr>
              <w:pStyle w:val="TableContents"/>
              <w:spacing w:before="0" w:after="283"/>
              <w:jc w:val="left"/>
              <w:rPr/>
            </w:pPr>
            <w:r>
              <w:rPr/>
              <w:t> </w:t>
            </w:r>
          </w:p>
        </w:tc>
        <w:tc>
          <w:tcPr>
            <w:tcW w:w="1162"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121" w:type="dxa"/>
            <w:tcBorders/>
            <w:shd w:fill="FFFFFF" w:val="clear"/>
            <w:tcMar>
              <w:bottom w:w="0" w:type="dxa"/>
            </w:tcMar>
            <w:vAlign w:val="bottom"/>
          </w:tcPr>
          <w:p>
            <w:pPr>
              <w:pStyle w:val="TableContents"/>
              <w:spacing w:before="0" w:after="283"/>
              <w:jc w:val="left"/>
              <w:rPr/>
            </w:pPr>
            <w:r>
              <w:rPr/>
              <w:t> </w:t>
            </w:r>
          </w:p>
        </w:tc>
      </w:tr>
      <w:tr>
        <w:trPr/>
        <w:tc>
          <w:tcPr>
            <w:tcW w:w="5608" w:type="dxa"/>
            <w:tcBorders/>
            <w:shd w:fill="CCEEFF" w:val="clear"/>
            <w:tcMar>
              <w:bottom w:w="0" w:type="dxa"/>
            </w:tcMar>
            <w:vAlign w:val="bottom"/>
          </w:tcPr>
          <w:p>
            <w:pPr>
              <w:pStyle w:val="TableContents"/>
              <w:spacing w:lineRule="auto" w:line="300" w:before="0" w:after="0"/>
              <w:ind w:left="0" w:right="0" w:firstLine="360"/>
              <w:jc w:val="left"/>
              <w:rPr>
                <w:rFonts w:ascii="Times New Roman" w:hAnsi="Times New Roman"/>
                <w:sz w:val="20"/>
              </w:rPr>
            </w:pPr>
            <w:r>
              <w:rPr>
                <w:rFonts w:ascii="Times New Roman" w:hAnsi="Times New Roman"/>
                <w:sz w:val="20"/>
              </w:rPr>
              <w:t xml:space="preserve">State </w:t>
            </w:r>
          </w:p>
        </w:tc>
        <w:tc>
          <w:tcPr>
            <w:tcW w:w="203" w:type="dxa"/>
            <w:tcBorders/>
            <w:shd w:fill="CCEEFF" w:val="clear"/>
            <w:tcMar>
              <w:bottom w:w="0" w:type="dxa"/>
            </w:tcMar>
            <w:vAlign w:val="center"/>
          </w:tcPr>
          <w:p>
            <w:pPr>
              <w:pStyle w:val="TableContents"/>
              <w:spacing w:before="0" w:after="283"/>
              <w:rPr/>
            </w:pPr>
            <w:r>
              <w:rPr/>
              <w:t> </w:t>
            </w:r>
          </w:p>
        </w:tc>
        <w:tc>
          <w:tcPr>
            <w:tcW w:w="127" w:type="dxa"/>
            <w:tcBorders/>
            <w:shd w:fill="CCEEFF" w:val="clear"/>
            <w:tcMar>
              <w:bottom w:w="0" w:type="dxa"/>
            </w:tcMar>
            <w:vAlign w:val="bottom"/>
          </w:tcPr>
          <w:p>
            <w:pPr>
              <w:pStyle w:val="TableContents"/>
              <w:spacing w:before="0" w:after="283"/>
              <w:jc w:val="left"/>
              <w:rPr/>
            </w:pPr>
            <w:r>
              <w:rPr/>
              <w:t> </w:t>
            </w:r>
          </w:p>
        </w:tc>
        <w:tc>
          <w:tcPr>
            <w:tcW w:w="1162"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203" w:type="dxa"/>
            <w:tcBorders/>
            <w:shd w:fill="CCEEFF" w:val="clear"/>
            <w:tcMar>
              <w:bottom w:w="0" w:type="dxa"/>
            </w:tcMar>
            <w:vAlign w:val="bottom"/>
          </w:tcPr>
          <w:p>
            <w:pPr>
              <w:pStyle w:val="TableContents"/>
              <w:spacing w:before="0" w:after="283"/>
              <w:jc w:val="left"/>
              <w:rPr/>
            </w:pPr>
            <w:r>
              <w:rPr/>
              <w:t> </w:t>
            </w:r>
          </w:p>
        </w:tc>
        <w:tc>
          <w:tcPr>
            <w:tcW w:w="127" w:type="dxa"/>
            <w:tcBorders/>
            <w:shd w:fill="CCEEFF" w:val="clear"/>
            <w:tcMar>
              <w:bottom w:w="0" w:type="dxa"/>
            </w:tcMar>
            <w:vAlign w:val="bottom"/>
          </w:tcPr>
          <w:p>
            <w:pPr>
              <w:pStyle w:val="TableContents"/>
              <w:spacing w:before="0" w:after="283"/>
              <w:jc w:val="left"/>
              <w:rPr/>
            </w:pPr>
            <w:r>
              <w:rPr/>
              <w:t> </w:t>
            </w:r>
          </w:p>
        </w:tc>
        <w:tc>
          <w:tcPr>
            <w:tcW w:w="1162"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203" w:type="dxa"/>
            <w:tcBorders/>
            <w:shd w:fill="CCEEFF" w:val="clear"/>
            <w:tcMar>
              <w:bottom w:w="0" w:type="dxa"/>
            </w:tcMar>
            <w:vAlign w:val="bottom"/>
          </w:tcPr>
          <w:p>
            <w:pPr>
              <w:pStyle w:val="TableContents"/>
              <w:spacing w:before="0" w:after="283"/>
              <w:jc w:val="left"/>
              <w:rPr/>
            </w:pPr>
            <w:r>
              <w:rPr/>
              <w:t> </w:t>
            </w:r>
          </w:p>
        </w:tc>
        <w:tc>
          <w:tcPr>
            <w:tcW w:w="127" w:type="dxa"/>
            <w:tcBorders/>
            <w:shd w:fill="CCEEFF" w:val="clear"/>
            <w:tcMar>
              <w:bottom w:w="0" w:type="dxa"/>
            </w:tcMar>
            <w:vAlign w:val="bottom"/>
          </w:tcPr>
          <w:p>
            <w:pPr>
              <w:pStyle w:val="TableContents"/>
              <w:spacing w:before="0" w:after="283"/>
              <w:jc w:val="left"/>
              <w:rPr/>
            </w:pPr>
            <w:r>
              <w:rPr/>
              <w:t> </w:t>
            </w:r>
          </w:p>
        </w:tc>
        <w:tc>
          <w:tcPr>
            <w:tcW w:w="1162"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121" w:type="dxa"/>
            <w:tcBorders/>
            <w:shd w:fill="CCEEFF" w:val="clear"/>
            <w:tcMar>
              <w:bottom w:w="0" w:type="dxa"/>
            </w:tcMar>
            <w:vAlign w:val="bottom"/>
          </w:tcPr>
          <w:p>
            <w:pPr>
              <w:pStyle w:val="TableContents"/>
              <w:spacing w:before="0" w:after="283"/>
              <w:jc w:val="left"/>
              <w:rPr/>
            </w:pPr>
            <w:r>
              <w:rPr/>
              <w:t> </w:t>
            </w:r>
          </w:p>
        </w:tc>
      </w:tr>
      <w:tr>
        <w:trPr/>
        <w:tc>
          <w:tcPr>
            <w:tcW w:w="5608" w:type="dxa"/>
            <w:tcBorders>
              <w:bottom w:val="single" w:sz="2" w:space="0" w:color="000000"/>
            </w:tcBorders>
            <w:shd w:fill="FFFFFF" w:val="clear"/>
            <w:vAlign w:val="bottom"/>
          </w:tcPr>
          <w:p>
            <w:pPr>
              <w:pStyle w:val="TableContents"/>
              <w:spacing w:lineRule="auto" w:line="300" w:before="0" w:after="0"/>
              <w:ind w:left="0" w:right="0" w:firstLine="360"/>
              <w:jc w:val="left"/>
              <w:rPr>
                <w:rFonts w:ascii="Times New Roman" w:hAnsi="Times New Roman"/>
                <w:sz w:val="20"/>
              </w:rPr>
            </w:pPr>
            <w:r>
              <w:rPr>
                <w:rFonts w:ascii="Times New Roman" w:hAnsi="Times New Roman"/>
                <w:sz w:val="20"/>
              </w:rPr>
              <w:t>Foreign</w:t>
            </w:r>
          </w:p>
        </w:tc>
        <w:tc>
          <w:tcPr>
            <w:tcW w:w="203" w:type="dxa"/>
            <w:tcBorders>
              <w:bottom w:val="single" w:sz="2" w:space="0" w:color="FFFFFF"/>
            </w:tcBorders>
            <w:shd w:fill="FFFFFF" w:val="clear"/>
            <w:vAlign w:val="center"/>
          </w:tcPr>
          <w:p>
            <w:pPr>
              <w:pStyle w:val="TableContents"/>
              <w:spacing w:before="0" w:after="283"/>
              <w:rPr/>
            </w:pPr>
            <w:r>
              <w:rPr/>
              <w:t> </w:t>
            </w:r>
          </w:p>
        </w:tc>
        <w:tc>
          <w:tcPr>
            <w:tcW w:w="127" w:type="dxa"/>
            <w:tcBorders>
              <w:bottom w:val="single" w:sz="2" w:space="0" w:color="000000"/>
            </w:tcBorders>
            <w:shd w:fill="FFFFFF" w:val="clear"/>
            <w:vAlign w:val="bottom"/>
          </w:tcPr>
          <w:p>
            <w:pPr>
              <w:pStyle w:val="TableContents"/>
              <w:spacing w:before="0" w:after="283"/>
              <w:jc w:val="left"/>
              <w:rPr/>
            </w:pPr>
            <w:r>
              <w:rPr/>
              <w:t> </w:t>
            </w:r>
          </w:p>
        </w:tc>
        <w:tc>
          <w:tcPr>
            <w:tcW w:w="1162"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203" w:type="dxa"/>
            <w:tcBorders>
              <w:bottom w:val="single" w:sz="2" w:space="0" w:color="FFFFFF"/>
            </w:tcBorders>
            <w:shd w:fill="FFFFFF" w:val="clear"/>
            <w:vAlign w:val="bottom"/>
          </w:tcPr>
          <w:p>
            <w:pPr>
              <w:pStyle w:val="TableContents"/>
              <w:spacing w:before="0" w:after="283"/>
              <w:jc w:val="left"/>
              <w:rPr/>
            </w:pPr>
            <w:r>
              <w:rPr/>
              <w:t> </w:t>
            </w:r>
          </w:p>
        </w:tc>
        <w:tc>
          <w:tcPr>
            <w:tcW w:w="127" w:type="dxa"/>
            <w:tcBorders>
              <w:bottom w:val="single" w:sz="2" w:space="0" w:color="000000"/>
            </w:tcBorders>
            <w:shd w:fill="FFFFFF" w:val="clear"/>
            <w:vAlign w:val="bottom"/>
          </w:tcPr>
          <w:p>
            <w:pPr>
              <w:pStyle w:val="TableContents"/>
              <w:spacing w:before="0" w:after="283"/>
              <w:jc w:val="left"/>
              <w:rPr/>
            </w:pPr>
            <w:r>
              <w:rPr/>
              <w:t> </w:t>
            </w:r>
          </w:p>
        </w:tc>
        <w:tc>
          <w:tcPr>
            <w:tcW w:w="1162"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203" w:type="dxa"/>
            <w:tcBorders>
              <w:bottom w:val="single" w:sz="2" w:space="0" w:color="FFFFFF"/>
            </w:tcBorders>
            <w:shd w:fill="FFFFFF" w:val="clear"/>
            <w:vAlign w:val="bottom"/>
          </w:tcPr>
          <w:p>
            <w:pPr>
              <w:pStyle w:val="TableContents"/>
              <w:spacing w:before="0" w:after="283"/>
              <w:jc w:val="left"/>
              <w:rPr/>
            </w:pPr>
            <w:r>
              <w:rPr/>
              <w:t> </w:t>
            </w:r>
          </w:p>
        </w:tc>
        <w:tc>
          <w:tcPr>
            <w:tcW w:w="127" w:type="dxa"/>
            <w:tcBorders>
              <w:bottom w:val="single" w:sz="2" w:space="0" w:color="000000"/>
            </w:tcBorders>
            <w:shd w:fill="FFFFFF" w:val="clear"/>
            <w:vAlign w:val="bottom"/>
          </w:tcPr>
          <w:p>
            <w:pPr>
              <w:pStyle w:val="TableContents"/>
              <w:spacing w:before="0" w:after="283"/>
              <w:jc w:val="left"/>
              <w:rPr/>
            </w:pPr>
            <w:r>
              <w:rPr/>
              <w:t> </w:t>
            </w:r>
          </w:p>
        </w:tc>
        <w:tc>
          <w:tcPr>
            <w:tcW w:w="1162"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121" w:type="dxa"/>
            <w:tcBorders>
              <w:bottom w:val="single" w:sz="2" w:space="0" w:color="FFFFFF"/>
            </w:tcBorders>
            <w:shd w:fill="FFFFFF" w:val="clear"/>
            <w:vAlign w:val="bottom"/>
          </w:tcPr>
          <w:p>
            <w:pPr>
              <w:pStyle w:val="TableContents"/>
              <w:spacing w:before="0" w:after="283"/>
              <w:jc w:val="left"/>
              <w:rPr/>
            </w:pPr>
            <w:r>
              <w:rPr/>
              <w:t> </w:t>
            </w:r>
          </w:p>
        </w:tc>
      </w:tr>
      <w:tr>
        <w:trPr/>
        <w:tc>
          <w:tcPr>
            <w:tcW w:w="5608" w:type="dxa"/>
            <w:tcBorders>
              <w:bottom w:val="single" w:sz="2" w:space="0" w:color="000000"/>
            </w:tcBorders>
            <w:shd w:fill="CCEEFF" w:val="clear"/>
            <w:vAlign w:val="bottom"/>
          </w:tcPr>
          <w:p>
            <w:pPr>
              <w:pStyle w:val="TableContents"/>
              <w:spacing w:lineRule="auto" w:line="300" w:before="0" w:after="0"/>
              <w:ind w:left="0" w:right="0" w:firstLine="540"/>
              <w:jc w:val="left"/>
              <w:rPr>
                <w:rFonts w:ascii="Times New Roman" w:hAnsi="Times New Roman"/>
                <w:sz w:val="20"/>
              </w:rPr>
            </w:pPr>
            <w:r>
              <w:rPr>
                <w:rFonts w:ascii="Times New Roman" w:hAnsi="Times New Roman"/>
                <w:sz w:val="20"/>
              </w:rPr>
              <w:t>Total</w:t>
            </w:r>
          </w:p>
        </w:tc>
        <w:tc>
          <w:tcPr>
            <w:tcW w:w="203" w:type="dxa"/>
            <w:tcBorders>
              <w:bottom w:val="single" w:sz="2" w:space="0" w:color="CCEEFF"/>
            </w:tcBorders>
            <w:shd w:fill="CCEEFF" w:val="clear"/>
            <w:vAlign w:val="center"/>
          </w:tcPr>
          <w:p>
            <w:pPr>
              <w:pStyle w:val="TableContents"/>
              <w:spacing w:before="0" w:after="283"/>
              <w:rPr/>
            </w:pPr>
            <w:r>
              <w:rPr/>
              <w:t> </w:t>
            </w:r>
          </w:p>
        </w:tc>
        <w:tc>
          <w:tcPr>
            <w:tcW w:w="127" w:type="dxa"/>
            <w:tcBorders>
              <w:bottom w:val="single" w:sz="2" w:space="0" w:color="000000"/>
            </w:tcBorders>
            <w:shd w:fill="CCEEFF" w:val="clear"/>
            <w:vAlign w:val="bottom"/>
          </w:tcPr>
          <w:p>
            <w:pPr>
              <w:pStyle w:val="TableContents"/>
              <w:spacing w:before="0" w:after="283"/>
              <w:jc w:val="left"/>
              <w:rPr/>
            </w:pPr>
            <w:r>
              <w:rPr/>
              <w:t> </w:t>
            </w:r>
          </w:p>
        </w:tc>
        <w:tc>
          <w:tcPr>
            <w:tcW w:w="1162"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203" w:type="dxa"/>
            <w:tcBorders>
              <w:bottom w:val="single" w:sz="2" w:space="0" w:color="CCEEFF"/>
            </w:tcBorders>
            <w:shd w:fill="CCEEFF" w:val="clear"/>
            <w:vAlign w:val="bottom"/>
          </w:tcPr>
          <w:p>
            <w:pPr>
              <w:pStyle w:val="TableContents"/>
              <w:spacing w:before="0" w:after="283"/>
              <w:jc w:val="left"/>
              <w:rPr/>
            </w:pPr>
            <w:r>
              <w:rPr/>
              <w:t> </w:t>
            </w:r>
          </w:p>
        </w:tc>
        <w:tc>
          <w:tcPr>
            <w:tcW w:w="127" w:type="dxa"/>
            <w:tcBorders>
              <w:bottom w:val="single" w:sz="2" w:space="0" w:color="000000"/>
            </w:tcBorders>
            <w:shd w:fill="CCEEFF" w:val="clear"/>
            <w:vAlign w:val="bottom"/>
          </w:tcPr>
          <w:p>
            <w:pPr>
              <w:pStyle w:val="TableContents"/>
              <w:spacing w:before="0" w:after="283"/>
              <w:jc w:val="left"/>
              <w:rPr/>
            </w:pPr>
            <w:r>
              <w:rPr/>
              <w:t> </w:t>
            </w:r>
          </w:p>
        </w:tc>
        <w:tc>
          <w:tcPr>
            <w:tcW w:w="1162"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203" w:type="dxa"/>
            <w:tcBorders>
              <w:bottom w:val="single" w:sz="2" w:space="0" w:color="CCEEFF"/>
            </w:tcBorders>
            <w:shd w:fill="CCEEFF" w:val="clear"/>
            <w:vAlign w:val="bottom"/>
          </w:tcPr>
          <w:p>
            <w:pPr>
              <w:pStyle w:val="TableContents"/>
              <w:spacing w:before="0" w:after="283"/>
              <w:jc w:val="left"/>
              <w:rPr/>
            </w:pPr>
            <w:r>
              <w:rPr/>
              <w:t> </w:t>
            </w:r>
          </w:p>
        </w:tc>
        <w:tc>
          <w:tcPr>
            <w:tcW w:w="127" w:type="dxa"/>
            <w:tcBorders>
              <w:bottom w:val="single" w:sz="2" w:space="0" w:color="000000"/>
            </w:tcBorders>
            <w:shd w:fill="CCEEFF" w:val="clear"/>
            <w:vAlign w:val="bottom"/>
          </w:tcPr>
          <w:p>
            <w:pPr>
              <w:pStyle w:val="TableContents"/>
              <w:spacing w:before="0" w:after="283"/>
              <w:jc w:val="left"/>
              <w:rPr/>
            </w:pPr>
            <w:r>
              <w:rPr/>
              <w:t> </w:t>
            </w:r>
          </w:p>
        </w:tc>
        <w:tc>
          <w:tcPr>
            <w:tcW w:w="1162"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121" w:type="dxa"/>
            <w:tcBorders>
              <w:bottom w:val="single" w:sz="2" w:space="0" w:color="CCEEFF"/>
            </w:tcBorders>
            <w:shd w:fill="CCEEFF" w:val="clear"/>
            <w:vAlign w:val="bottom"/>
          </w:tcPr>
          <w:p>
            <w:pPr>
              <w:pStyle w:val="TableContents"/>
              <w:spacing w:before="0" w:after="283"/>
              <w:jc w:val="left"/>
              <w:rPr/>
            </w:pPr>
            <w:r>
              <w:rPr/>
              <w:t> </w:t>
            </w:r>
          </w:p>
        </w:tc>
      </w:tr>
      <w:tr>
        <w:trPr/>
        <w:tc>
          <w:tcPr>
            <w:tcW w:w="5608" w:type="dxa"/>
            <w:tcBorders>
              <w:bottom w:val="double" w:sz="2" w:space="0" w:color="000000"/>
            </w:tcBorders>
            <w:shd w:fill="FFFFFF" w:val="clear"/>
            <w:vAlign w:val="bottom"/>
          </w:tcPr>
          <w:p>
            <w:pPr>
              <w:pStyle w:val="TableContents"/>
              <w:spacing w:lineRule="auto" w:line="300" w:before="0" w:after="0"/>
              <w:ind w:left="0" w:right="0" w:hanging="0"/>
              <w:jc w:val="left"/>
              <w:rPr/>
            </w:pPr>
            <w:r>
              <w:rPr>
                <w:rStyle w:val="StrongEmphasis"/>
                <w:rFonts w:ascii="Times New Roman" w:hAnsi="Times New Roman"/>
                <w:sz w:val="20"/>
              </w:rPr>
              <w:t>Total income tax expense</w:t>
            </w:r>
          </w:p>
        </w:tc>
        <w:tc>
          <w:tcPr>
            <w:tcW w:w="203" w:type="dxa"/>
            <w:tcBorders>
              <w:bottom w:val="single" w:sz="4" w:space="0" w:color="FFFFFF"/>
            </w:tcBorders>
            <w:shd w:fill="FFFFFF" w:val="clear"/>
            <w:vAlign w:val="center"/>
          </w:tcPr>
          <w:p>
            <w:pPr>
              <w:pStyle w:val="TableContents"/>
              <w:spacing w:before="0" w:after="283"/>
              <w:rPr/>
            </w:pPr>
            <w:r>
              <w:rPr/>
              <w:t> </w:t>
            </w:r>
          </w:p>
        </w:tc>
        <w:tc>
          <w:tcPr>
            <w:tcW w:w="127" w:type="dxa"/>
            <w:tcBorders>
              <w:bottom w:val="doub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bookmarkStart w:id="3603" w:name="TAB11704"/>
            <w:bookmarkEnd w:id="3603"/>
            <w:r>
              <w:rPr>
                <w:rFonts w:ascii="Times New Roman" w:hAnsi="Times New Roman"/>
                <w:sz w:val="20"/>
              </w:rPr>
              <w:t>$</w:t>
            </w:r>
          </w:p>
        </w:tc>
        <w:tc>
          <w:tcPr>
            <w:tcW w:w="1162"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3604" w:name="TAB11705"/>
            <w:bookmarkEnd w:id="3604"/>
            <w:r>
              <w:rPr>
                <w:rFonts w:ascii="Times New Roman" w:hAnsi="Times New Roman"/>
                <w:sz w:val="20"/>
              </w:rPr>
              <w:t>2,270</w:t>
            </w:r>
          </w:p>
        </w:tc>
        <w:tc>
          <w:tcPr>
            <w:tcW w:w="203" w:type="dxa"/>
            <w:tcBorders>
              <w:bottom w:val="single" w:sz="4" w:space="0" w:color="FFFFFF"/>
            </w:tcBorders>
            <w:shd w:fill="FFFFFF" w:val="clear"/>
            <w:vAlign w:val="bottom"/>
          </w:tcPr>
          <w:p>
            <w:pPr>
              <w:pStyle w:val="TableContents"/>
              <w:spacing w:before="0" w:after="283"/>
              <w:jc w:val="left"/>
              <w:rPr/>
            </w:pPr>
            <w:r>
              <w:rPr/>
              <w:t> </w:t>
            </w:r>
          </w:p>
        </w:tc>
        <w:tc>
          <w:tcPr>
            <w:tcW w:w="127" w:type="dxa"/>
            <w:tcBorders>
              <w:bottom w:val="doub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bookmarkStart w:id="3605" w:name="TAB11706"/>
            <w:bookmarkEnd w:id="3605"/>
            <w:r>
              <w:rPr>
                <w:rFonts w:ascii="Times New Roman" w:hAnsi="Times New Roman"/>
                <w:sz w:val="20"/>
              </w:rPr>
              <w:t>$</w:t>
            </w:r>
          </w:p>
        </w:tc>
        <w:tc>
          <w:tcPr>
            <w:tcW w:w="1162"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3606" w:name="TAB11707"/>
            <w:bookmarkEnd w:id="3606"/>
            <w:r>
              <w:rPr>
                <w:rFonts w:ascii="Times New Roman" w:hAnsi="Times New Roman"/>
                <w:sz w:val="20"/>
              </w:rPr>
              <w:t>1,209</w:t>
            </w:r>
          </w:p>
        </w:tc>
        <w:tc>
          <w:tcPr>
            <w:tcW w:w="203" w:type="dxa"/>
            <w:tcBorders>
              <w:bottom w:val="single" w:sz="4" w:space="0" w:color="FFFFFF"/>
            </w:tcBorders>
            <w:shd w:fill="FFFFFF" w:val="clear"/>
            <w:vAlign w:val="bottom"/>
          </w:tcPr>
          <w:p>
            <w:pPr>
              <w:pStyle w:val="TableContents"/>
              <w:spacing w:before="0" w:after="283"/>
              <w:jc w:val="left"/>
              <w:rPr/>
            </w:pPr>
            <w:r>
              <w:rPr/>
              <w:t> </w:t>
            </w:r>
          </w:p>
        </w:tc>
        <w:tc>
          <w:tcPr>
            <w:tcW w:w="127" w:type="dxa"/>
            <w:tcBorders>
              <w:bottom w:val="doub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bookmarkStart w:id="3607" w:name="TAB11708"/>
            <w:bookmarkEnd w:id="3607"/>
            <w:r>
              <w:rPr>
                <w:rFonts w:ascii="Times New Roman" w:hAnsi="Times New Roman"/>
                <w:sz w:val="20"/>
              </w:rPr>
              <w:t>$</w:t>
            </w:r>
          </w:p>
        </w:tc>
        <w:tc>
          <w:tcPr>
            <w:tcW w:w="1162"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3608" w:name="TAB11709"/>
            <w:bookmarkEnd w:id="3608"/>
            <w:r>
              <w:rPr>
                <w:rFonts w:ascii="Times New Roman" w:hAnsi="Times New Roman"/>
                <w:sz w:val="20"/>
              </w:rPr>
              <w:t>1,046</w:t>
            </w:r>
          </w:p>
        </w:tc>
        <w:tc>
          <w:tcPr>
            <w:tcW w:w="121" w:type="dxa"/>
            <w:tcBorders>
              <w:bottom w:val="single" w:sz="4" w:space="0" w:color="FFFFFF"/>
            </w:tcBorders>
            <w:shd w:fill="FFFFFF" w:val="clear"/>
            <w:vAlign w:val="bottom"/>
          </w:tcPr>
          <w:p>
            <w:pPr>
              <w:pStyle w:val="TableContents"/>
              <w:spacing w:before="0" w:after="283"/>
              <w:jc w:val="left"/>
              <w:rPr/>
            </w:pPr>
            <w:r>
              <w:rPr/>
              <w:t> </w:t>
            </w:r>
          </w:p>
        </w:tc>
      </w:tr>
    </w:tbl>
    <w:p>
      <w:pPr>
        <w:pStyle w:val="TextBody"/>
        <w:spacing w:before="0" w:after="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609" w:name="PGBRK100"/>
      <w:bookmarkStart w:id="3610" w:name="PGBRK100"/>
      <w:bookmarkEnd w:id="361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611" w:name="FTR100"/>
      <w:bookmarkStart w:id="3612" w:name="FTR100"/>
      <w:bookmarkEnd w:id="361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613" w:name="GLFTR100"/>
      <w:bookmarkStart w:id="3614" w:name="GLFTR100"/>
      <w:bookmarkEnd w:id="361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3615" w:name="PN100"/>
      <w:bookmarkEnd w:id="3615"/>
      <w:r>
        <w:rPr>
          <w:rFonts w:ascii="Times New Roman" w:hAnsi="Times New Roman"/>
          <w:sz w:val="16"/>
        </w:rPr>
        <w:t>-100-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616" w:name="HDR100"/>
      <w:bookmarkStart w:id="3617" w:name="HDR100"/>
      <w:bookmarkEnd w:id="361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3618" w:name="GLHDR100"/>
        <w:bookmarkEnd w:id="3618"/>
        <w:r>
          <w:rPr>
            <w:rStyle w:val="Emphasis"/>
            <w:rFonts w:ascii="Times New Roman" w:hAnsi="Times New Roman"/>
            <w:color w:val="000000"/>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Deferred income taxes reflect the net tax effect of “temporary differences” between the financial statement carrying amounts of assets and liabilities for financial reporting purposes and the amounts used for income tax purposes. The components of the deferred tax liabilities and assets are as follows (dollars in thousands):</w:t>
      </w:r>
    </w:p>
    <w:p>
      <w:pPr>
        <w:pStyle w:val="TextBody"/>
        <w:spacing w:lineRule="auto" w:line="300" w:before="0" w:after="0"/>
        <w:ind w:left="0" w:right="0" w:hanging="0"/>
        <w:jc w:val="center"/>
        <w:rPr/>
      </w:pPr>
      <w:r>
        <w:rPr/>
      </w:r>
    </w:p>
    <w:p>
      <w:pPr>
        <w:pStyle w:val="Normal"/>
        <w:spacing w:before="0" w:after="0"/>
        <w:rPr>
          <w:sz w:val="4"/>
          <w:szCs w:val="4"/>
        </w:rPr>
      </w:pPr>
      <w:r>
        <w:rPr>
          <w:sz w:val="4"/>
          <w:szCs w:val="4"/>
        </w:rPr>
      </w:r>
      <w:bookmarkStart w:id="3619" w:name="ftable47"/>
      <w:bookmarkStart w:id="3620" w:name="ftable47"/>
      <w:bookmarkEnd w:id="3620"/>
    </w:p>
    <w:tbl>
      <w:tblPr>
        <w:tblW w:w="5000" w:type="pct"/>
        <w:jc w:val="left"/>
        <w:tblInd w:w="0" w:type="dxa"/>
        <w:tblCellMar>
          <w:top w:w="0" w:type="dxa"/>
          <w:left w:w="0" w:type="dxa"/>
          <w:bottom w:w="28" w:type="dxa"/>
          <w:right w:w="0" w:type="dxa"/>
        </w:tblCellMar>
      </w:tblPr>
      <w:tblGrid>
        <w:gridCol w:w="6999"/>
        <w:gridCol w:w="203"/>
        <w:gridCol w:w="127"/>
        <w:gridCol w:w="1208"/>
        <w:gridCol w:w="209"/>
        <w:gridCol w:w="127"/>
        <w:gridCol w:w="1208"/>
        <w:gridCol w:w="124"/>
      </w:tblGrid>
      <w:tr>
        <w:trPr/>
        <w:tc>
          <w:tcPr>
            <w:tcW w:w="6999" w:type="dxa"/>
            <w:tcBorders>
              <w:bottom w:val="single" w:sz="4" w:space="0" w:color="FFFFFF"/>
            </w:tcBorders>
            <w:shd w:fill="auto" w:val="clear"/>
            <w:vAlign w:val="bottom"/>
          </w:tcPr>
          <w:p>
            <w:pPr>
              <w:pStyle w:val="TableContents"/>
              <w:spacing w:before="0" w:after="283"/>
              <w:jc w:val="left"/>
              <w:rPr/>
            </w:pPr>
            <w:r>
              <w:rPr/>
              <w:t> </w:t>
            </w:r>
          </w:p>
        </w:tc>
        <w:tc>
          <w:tcPr>
            <w:tcW w:w="203" w:type="dxa"/>
            <w:tcBorders>
              <w:bottom w:val="single" w:sz="2" w:space="0" w:color="FFFFFF"/>
            </w:tcBorders>
            <w:shd w:fill="auto" w:val="clear"/>
            <w:vAlign w:val="center"/>
          </w:tcPr>
          <w:p>
            <w:pPr>
              <w:pStyle w:val="TableContents"/>
              <w:spacing w:before="0" w:after="283"/>
              <w:rPr/>
            </w:pPr>
            <w:r>
              <w:rPr/>
              <w:t> </w:t>
            </w:r>
          </w:p>
        </w:tc>
        <w:tc>
          <w:tcPr>
            <w:tcW w:w="2879" w:type="dxa"/>
            <w:gridSpan w:val="5"/>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December 31,</w:t>
            </w:r>
          </w:p>
        </w:tc>
        <w:tc>
          <w:tcPr>
            <w:tcW w:w="124" w:type="dxa"/>
            <w:tcBorders>
              <w:bottom w:val="single" w:sz="2" w:space="0" w:color="FFFFFF"/>
            </w:tcBorders>
            <w:shd w:fill="auto" w:val="clear"/>
            <w:vAlign w:val="bottom"/>
          </w:tcPr>
          <w:p>
            <w:pPr>
              <w:pStyle w:val="TableContents"/>
              <w:spacing w:before="0" w:after="283"/>
              <w:jc w:val="left"/>
              <w:rPr/>
            </w:pPr>
            <w:r>
              <w:rPr/>
              <w:t> </w:t>
            </w:r>
          </w:p>
        </w:tc>
      </w:tr>
      <w:tr>
        <w:trPr/>
        <w:tc>
          <w:tcPr>
            <w:tcW w:w="6999" w:type="dxa"/>
            <w:tcBorders>
              <w:bottom w:val="double" w:sz="2" w:space="0" w:color="000000"/>
            </w:tcBorders>
            <w:shd w:fill="auto" w:val="clear"/>
            <w:vAlign w:val="bottom"/>
          </w:tcPr>
          <w:p>
            <w:pPr>
              <w:pStyle w:val="TableContents"/>
              <w:spacing w:lineRule="auto" w:line="300" w:before="0" w:after="0"/>
              <w:ind w:left="0" w:right="0" w:hanging="0"/>
              <w:jc w:val="left"/>
              <w:rPr/>
            </w:pPr>
            <w:r>
              <w:rPr>
                <w:rStyle w:val="StrongEmphasis"/>
                <w:rFonts w:ascii="Times New Roman" w:hAnsi="Times New Roman"/>
                <w:sz w:val="20"/>
              </w:rPr>
              <w:t>Components of Deferred Tax Assets and Liabilities</w:t>
            </w:r>
          </w:p>
        </w:tc>
        <w:tc>
          <w:tcPr>
            <w:tcW w:w="203" w:type="dxa"/>
            <w:tcBorders>
              <w:bottom w:val="single" w:sz="4" w:space="0" w:color="FFFFFF"/>
            </w:tcBorders>
            <w:shd w:fill="auto" w:val="clear"/>
            <w:vAlign w:val="center"/>
          </w:tcPr>
          <w:p>
            <w:pPr>
              <w:pStyle w:val="TableContents"/>
              <w:spacing w:before="0" w:after="283"/>
              <w:rPr/>
            </w:pPr>
            <w:r>
              <w:rPr/>
              <w:t> </w:t>
            </w:r>
          </w:p>
        </w:tc>
        <w:tc>
          <w:tcPr>
            <w:tcW w:w="1335"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2006</w:t>
            </w:r>
          </w:p>
        </w:tc>
        <w:tc>
          <w:tcPr>
            <w:tcW w:w="209" w:type="dxa"/>
            <w:tcBorders>
              <w:bottom w:val="single" w:sz="4" w:space="0" w:color="FFFFFF"/>
            </w:tcBorders>
            <w:shd w:fill="auto" w:val="clear"/>
            <w:vAlign w:val="bottom"/>
          </w:tcPr>
          <w:p>
            <w:pPr>
              <w:pStyle w:val="TableContents"/>
              <w:spacing w:before="0" w:after="283"/>
              <w:jc w:val="left"/>
              <w:rPr/>
            </w:pPr>
            <w:r>
              <w:rPr/>
              <w:t> </w:t>
            </w:r>
          </w:p>
        </w:tc>
        <w:tc>
          <w:tcPr>
            <w:tcW w:w="1335"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2005</w:t>
            </w:r>
          </w:p>
        </w:tc>
        <w:tc>
          <w:tcPr>
            <w:tcW w:w="124" w:type="dxa"/>
            <w:tcBorders>
              <w:bottom w:val="single" w:sz="4" w:space="0" w:color="FFFFFF"/>
            </w:tcBorders>
            <w:shd w:fill="auto" w:val="clear"/>
            <w:vAlign w:val="bottom"/>
          </w:tcPr>
          <w:p>
            <w:pPr>
              <w:pStyle w:val="TableContents"/>
              <w:spacing w:before="0" w:after="283"/>
              <w:jc w:val="left"/>
              <w:rPr/>
            </w:pPr>
            <w:r>
              <w:rPr/>
              <w:t> </w:t>
            </w:r>
          </w:p>
        </w:tc>
      </w:tr>
      <w:tr>
        <w:trPr/>
        <w:tc>
          <w:tcPr>
            <w:tcW w:w="6999" w:type="dxa"/>
            <w:tcBorders/>
            <w:shd w:fill="auto"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Deferred Tax Assets:</w:t>
            </w:r>
          </w:p>
        </w:tc>
        <w:tc>
          <w:tcPr>
            <w:tcW w:w="203" w:type="dxa"/>
            <w:tcBorders/>
            <w:shd w:fill="auto" w:val="clear"/>
            <w:tcMar>
              <w:bottom w:w="0" w:type="dxa"/>
            </w:tcMar>
            <w:vAlign w:val="center"/>
          </w:tcPr>
          <w:p>
            <w:pPr>
              <w:pStyle w:val="TableContents"/>
              <w:spacing w:before="0" w:after="283"/>
              <w:rPr/>
            </w:pPr>
            <w:r>
              <w:rPr/>
              <w:t> </w:t>
            </w:r>
          </w:p>
        </w:tc>
        <w:tc>
          <w:tcPr>
            <w:tcW w:w="1335" w:type="dxa"/>
            <w:gridSpan w:val="2"/>
            <w:tcBorders/>
            <w:shd w:fill="auto" w:val="clear"/>
            <w:tcMar>
              <w:bottom w:w="0" w:type="dxa"/>
            </w:tcMar>
            <w:vAlign w:val="bottom"/>
          </w:tcPr>
          <w:p>
            <w:pPr>
              <w:pStyle w:val="TableContents"/>
              <w:spacing w:before="0" w:after="283"/>
              <w:jc w:val="both"/>
              <w:rPr/>
            </w:pPr>
            <w:r>
              <w:rPr/>
              <w:t> </w:t>
            </w:r>
          </w:p>
        </w:tc>
        <w:tc>
          <w:tcPr>
            <w:tcW w:w="209" w:type="dxa"/>
            <w:tcBorders/>
            <w:shd w:fill="auto" w:val="clear"/>
            <w:tcMar>
              <w:bottom w:w="0" w:type="dxa"/>
            </w:tcMar>
            <w:vAlign w:val="bottom"/>
          </w:tcPr>
          <w:p>
            <w:pPr>
              <w:pStyle w:val="TableContents"/>
              <w:spacing w:before="0" w:after="283"/>
              <w:jc w:val="left"/>
              <w:rPr/>
            </w:pPr>
            <w:r>
              <w:rPr/>
              <w:t> </w:t>
            </w:r>
          </w:p>
        </w:tc>
        <w:tc>
          <w:tcPr>
            <w:tcW w:w="1335" w:type="dxa"/>
            <w:gridSpan w:val="2"/>
            <w:tcBorders/>
            <w:shd w:fill="auto" w:val="clear"/>
            <w:tcMar>
              <w:bottom w:w="0" w:type="dxa"/>
            </w:tcMar>
            <w:vAlign w:val="bottom"/>
          </w:tcPr>
          <w:p>
            <w:pPr>
              <w:pStyle w:val="TableContents"/>
              <w:spacing w:before="0" w:after="283"/>
              <w:jc w:val="both"/>
              <w:rPr/>
            </w:pPr>
            <w:r>
              <w:rPr/>
              <w:t> </w:t>
            </w:r>
          </w:p>
        </w:tc>
        <w:tc>
          <w:tcPr>
            <w:tcW w:w="124" w:type="dxa"/>
            <w:tcBorders/>
            <w:shd w:fill="auto" w:val="clear"/>
            <w:tcMar>
              <w:bottom w:w="0" w:type="dxa"/>
            </w:tcMar>
            <w:vAlign w:val="bottom"/>
          </w:tcPr>
          <w:p>
            <w:pPr>
              <w:pStyle w:val="TableContents"/>
              <w:spacing w:before="0" w:after="283"/>
              <w:jc w:val="left"/>
              <w:rPr/>
            </w:pPr>
            <w:r>
              <w:rPr/>
              <w:t> </w:t>
            </w:r>
          </w:p>
        </w:tc>
      </w:tr>
      <w:tr>
        <w:trPr/>
        <w:tc>
          <w:tcPr>
            <w:tcW w:w="6999" w:type="dxa"/>
            <w:tcBorders/>
            <w:shd w:fill="CCEEFF" w:val="clear"/>
            <w:tcMar>
              <w:bottom w:w="0" w:type="dxa"/>
            </w:tcMar>
            <w:vAlign w:val="bottom"/>
          </w:tcPr>
          <w:p>
            <w:pPr>
              <w:pStyle w:val="TableContents"/>
              <w:spacing w:lineRule="auto" w:line="300" w:before="0" w:after="0"/>
              <w:ind w:left="0" w:right="0" w:firstLine="360"/>
              <w:jc w:val="left"/>
              <w:rPr>
                <w:rFonts w:ascii="Times New Roman" w:hAnsi="Times New Roman"/>
                <w:sz w:val="20"/>
              </w:rPr>
            </w:pPr>
            <w:r>
              <w:rPr>
                <w:rFonts w:ascii="Times New Roman" w:hAnsi="Times New Roman"/>
                <w:sz w:val="20"/>
              </w:rPr>
              <w:t xml:space="preserve">Net operating loss carry forwards </w:t>
            </w:r>
          </w:p>
        </w:tc>
        <w:tc>
          <w:tcPr>
            <w:tcW w:w="203" w:type="dxa"/>
            <w:tcBorders/>
            <w:shd w:fill="CCEEFF" w:val="clear"/>
            <w:tcMar>
              <w:bottom w:w="0" w:type="dxa"/>
            </w:tcMar>
            <w:vAlign w:val="center"/>
          </w:tcPr>
          <w:p>
            <w:pPr>
              <w:pStyle w:val="TableContents"/>
              <w:spacing w:before="0" w:after="283"/>
              <w:rPr/>
            </w:pPr>
            <w:r>
              <w:rPr/>
              <w:t> </w:t>
            </w:r>
          </w:p>
        </w:tc>
        <w:tc>
          <w:tcPr>
            <w:tcW w:w="127"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bookmarkStart w:id="3621" w:name="TAB2195"/>
            <w:bookmarkEnd w:id="3621"/>
          </w:p>
        </w:tc>
        <w:tc>
          <w:tcPr>
            <w:tcW w:w="1208"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3622" w:name="TAB2196"/>
            <w:bookmarkEnd w:id="3622"/>
            <w:r>
              <w:rPr>
                <w:rFonts w:ascii="Times New Roman" w:hAnsi="Times New Roman"/>
                <w:sz w:val="20"/>
              </w:rPr>
              <w:t>46,573</w:t>
            </w:r>
          </w:p>
        </w:tc>
        <w:tc>
          <w:tcPr>
            <w:tcW w:w="209" w:type="dxa"/>
            <w:tcBorders/>
            <w:shd w:fill="CCEEFF" w:val="clear"/>
            <w:tcMar>
              <w:bottom w:w="0" w:type="dxa"/>
            </w:tcMar>
            <w:vAlign w:val="bottom"/>
          </w:tcPr>
          <w:p>
            <w:pPr>
              <w:pStyle w:val="TableContents"/>
              <w:spacing w:before="0" w:after="283"/>
              <w:jc w:val="left"/>
              <w:rPr/>
            </w:pPr>
            <w:r>
              <w:rPr/>
              <w:t> </w:t>
            </w:r>
          </w:p>
        </w:tc>
        <w:tc>
          <w:tcPr>
            <w:tcW w:w="127"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208"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51,678</w:t>
            </w:r>
          </w:p>
        </w:tc>
        <w:tc>
          <w:tcPr>
            <w:tcW w:w="124" w:type="dxa"/>
            <w:tcBorders/>
            <w:shd w:fill="CCEEFF" w:val="clear"/>
            <w:tcMar>
              <w:bottom w:w="0" w:type="dxa"/>
            </w:tcMar>
            <w:vAlign w:val="bottom"/>
          </w:tcPr>
          <w:p>
            <w:pPr>
              <w:pStyle w:val="TableContents"/>
              <w:spacing w:before="0" w:after="283"/>
              <w:jc w:val="left"/>
              <w:rPr/>
            </w:pPr>
            <w:r>
              <w:rPr/>
              <w:t> </w:t>
            </w:r>
          </w:p>
        </w:tc>
      </w:tr>
      <w:tr>
        <w:trPr/>
        <w:tc>
          <w:tcPr>
            <w:tcW w:w="6999" w:type="dxa"/>
            <w:tcBorders/>
            <w:shd w:fill="FFFFFF" w:val="clear"/>
            <w:tcMar>
              <w:bottom w:w="0" w:type="dxa"/>
            </w:tcMar>
            <w:vAlign w:val="bottom"/>
          </w:tcPr>
          <w:p>
            <w:pPr>
              <w:pStyle w:val="TableContents"/>
              <w:spacing w:lineRule="auto" w:line="300" w:before="0" w:after="0"/>
              <w:ind w:left="0" w:right="0" w:firstLine="360"/>
              <w:jc w:val="left"/>
              <w:rPr>
                <w:rFonts w:ascii="Times New Roman" w:hAnsi="Times New Roman"/>
                <w:sz w:val="20"/>
              </w:rPr>
            </w:pPr>
            <w:r>
              <w:rPr>
                <w:rFonts w:ascii="Times New Roman" w:hAnsi="Times New Roman"/>
                <w:sz w:val="20"/>
              </w:rPr>
              <w:t>Impairment reserves</w:t>
            </w:r>
          </w:p>
        </w:tc>
        <w:tc>
          <w:tcPr>
            <w:tcW w:w="203" w:type="dxa"/>
            <w:tcBorders/>
            <w:shd w:fill="FFFFFF" w:val="clear"/>
            <w:tcMar>
              <w:bottom w:w="0" w:type="dxa"/>
            </w:tcMar>
            <w:vAlign w:val="center"/>
          </w:tcPr>
          <w:p>
            <w:pPr>
              <w:pStyle w:val="TableContents"/>
              <w:spacing w:before="0" w:after="283"/>
              <w:rPr/>
            </w:pPr>
            <w:r>
              <w:rPr/>
              <w:t> </w:t>
            </w:r>
          </w:p>
        </w:tc>
        <w:tc>
          <w:tcPr>
            <w:tcW w:w="127" w:type="dxa"/>
            <w:tcBorders/>
            <w:shd w:fill="FFFFFF" w:val="clear"/>
            <w:tcMar>
              <w:bottom w:w="0" w:type="dxa"/>
            </w:tcMar>
            <w:vAlign w:val="bottom"/>
          </w:tcPr>
          <w:p>
            <w:pPr>
              <w:pStyle w:val="TableContents"/>
              <w:spacing w:before="0" w:after="283"/>
              <w:jc w:val="left"/>
              <w:rPr/>
            </w:pPr>
            <w:r>
              <w:rPr/>
              <w:t> </w:t>
            </w:r>
          </w:p>
        </w:tc>
        <w:tc>
          <w:tcPr>
            <w:tcW w:w="1208"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1,060</w:t>
            </w:r>
          </w:p>
        </w:tc>
        <w:tc>
          <w:tcPr>
            <w:tcW w:w="209" w:type="dxa"/>
            <w:tcBorders/>
            <w:shd w:fill="FFFFFF" w:val="clear"/>
            <w:tcMar>
              <w:bottom w:w="0" w:type="dxa"/>
            </w:tcMar>
            <w:vAlign w:val="bottom"/>
          </w:tcPr>
          <w:p>
            <w:pPr>
              <w:pStyle w:val="TableContents"/>
              <w:spacing w:before="0" w:after="283"/>
              <w:jc w:val="left"/>
              <w:rPr/>
            </w:pPr>
            <w:r>
              <w:rPr/>
              <w:t> </w:t>
            </w:r>
          </w:p>
        </w:tc>
        <w:tc>
          <w:tcPr>
            <w:tcW w:w="127" w:type="dxa"/>
            <w:tcBorders/>
            <w:shd w:fill="FFFFFF" w:val="clear"/>
            <w:tcMar>
              <w:bottom w:w="0" w:type="dxa"/>
            </w:tcMar>
            <w:vAlign w:val="bottom"/>
          </w:tcPr>
          <w:p>
            <w:pPr>
              <w:pStyle w:val="TableContents"/>
              <w:spacing w:before="0" w:after="283"/>
              <w:jc w:val="left"/>
              <w:rPr/>
            </w:pPr>
            <w:r>
              <w:rPr/>
              <w:t> </w:t>
            </w:r>
          </w:p>
        </w:tc>
        <w:tc>
          <w:tcPr>
            <w:tcW w:w="1208"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465</w:t>
            </w:r>
          </w:p>
        </w:tc>
        <w:tc>
          <w:tcPr>
            <w:tcW w:w="124" w:type="dxa"/>
            <w:tcBorders/>
            <w:shd w:fill="FFFFFF" w:val="clear"/>
            <w:tcMar>
              <w:bottom w:w="0" w:type="dxa"/>
            </w:tcMar>
            <w:vAlign w:val="bottom"/>
          </w:tcPr>
          <w:p>
            <w:pPr>
              <w:pStyle w:val="TableContents"/>
              <w:spacing w:before="0" w:after="283"/>
              <w:jc w:val="left"/>
              <w:rPr/>
            </w:pPr>
            <w:r>
              <w:rPr/>
              <w:t> </w:t>
            </w:r>
          </w:p>
        </w:tc>
      </w:tr>
      <w:tr>
        <w:trPr/>
        <w:tc>
          <w:tcPr>
            <w:tcW w:w="6999" w:type="dxa"/>
            <w:tcBorders/>
            <w:shd w:fill="CCEEFF" w:val="clear"/>
            <w:tcMar>
              <w:bottom w:w="0" w:type="dxa"/>
            </w:tcMar>
            <w:vAlign w:val="bottom"/>
          </w:tcPr>
          <w:p>
            <w:pPr>
              <w:pStyle w:val="TableContents"/>
              <w:spacing w:lineRule="auto" w:line="300" w:before="0" w:after="0"/>
              <w:ind w:left="0" w:right="0" w:firstLine="360"/>
              <w:jc w:val="left"/>
              <w:rPr>
                <w:rFonts w:ascii="Times New Roman" w:hAnsi="Times New Roman"/>
                <w:sz w:val="20"/>
              </w:rPr>
            </w:pPr>
            <w:r>
              <w:rPr>
                <w:rFonts w:ascii="Times New Roman" w:hAnsi="Times New Roman"/>
                <w:sz w:val="20"/>
              </w:rPr>
              <w:t>Alternative minimum tax carry forwards</w:t>
            </w:r>
          </w:p>
        </w:tc>
        <w:tc>
          <w:tcPr>
            <w:tcW w:w="203" w:type="dxa"/>
            <w:tcBorders/>
            <w:shd w:fill="CCEEFF" w:val="clear"/>
            <w:tcMar>
              <w:bottom w:w="0" w:type="dxa"/>
            </w:tcMar>
            <w:vAlign w:val="center"/>
          </w:tcPr>
          <w:p>
            <w:pPr>
              <w:pStyle w:val="TableContents"/>
              <w:spacing w:before="0" w:after="283"/>
              <w:rPr/>
            </w:pPr>
            <w:r>
              <w:rPr/>
              <w:t> </w:t>
            </w:r>
          </w:p>
        </w:tc>
        <w:tc>
          <w:tcPr>
            <w:tcW w:w="127" w:type="dxa"/>
            <w:tcBorders/>
            <w:shd w:fill="CCEEFF" w:val="clear"/>
            <w:tcMar>
              <w:bottom w:w="0" w:type="dxa"/>
            </w:tcMar>
            <w:vAlign w:val="bottom"/>
          </w:tcPr>
          <w:p>
            <w:pPr>
              <w:pStyle w:val="TableContents"/>
              <w:spacing w:before="0" w:after="283"/>
              <w:jc w:val="left"/>
              <w:rPr/>
            </w:pPr>
            <w:r>
              <w:rPr/>
              <w:t> </w:t>
            </w:r>
          </w:p>
        </w:tc>
        <w:tc>
          <w:tcPr>
            <w:tcW w:w="1208"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3,624</w:t>
            </w:r>
          </w:p>
        </w:tc>
        <w:tc>
          <w:tcPr>
            <w:tcW w:w="209" w:type="dxa"/>
            <w:tcBorders/>
            <w:shd w:fill="CCEEFF" w:val="clear"/>
            <w:tcMar>
              <w:bottom w:w="0" w:type="dxa"/>
            </w:tcMar>
            <w:vAlign w:val="bottom"/>
          </w:tcPr>
          <w:p>
            <w:pPr>
              <w:pStyle w:val="TableContents"/>
              <w:spacing w:before="0" w:after="283"/>
              <w:jc w:val="left"/>
              <w:rPr/>
            </w:pPr>
            <w:r>
              <w:rPr/>
              <w:t> </w:t>
            </w:r>
          </w:p>
        </w:tc>
        <w:tc>
          <w:tcPr>
            <w:tcW w:w="127" w:type="dxa"/>
            <w:tcBorders/>
            <w:shd w:fill="CCEEFF" w:val="clear"/>
            <w:tcMar>
              <w:bottom w:w="0" w:type="dxa"/>
            </w:tcMar>
            <w:vAlign w:val="bottom"/>
          </w:tcPr>
          <w:p>
            <w:pPr>
              <w:pStyle w:val="TableContents"/>
              <w:spacing w:before="0" w:after="283"/>
              <w:jc w:val="left"/>
              <w:rPr/>
            </w:pPr>
            <w:r>
              <w:rPr/>
              <w:t> </w:t>
            </w:r>
          </w:p>
        </w:tc>
        <w:tc>
          <w:tcPr>
            <w:tcW w:w="1208"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3,483</w:t>
            </w:r>
          </w:p>
        </w:tc>
        <w:tc>
          <w:tcPr>
            <w:tcW w:w="124" w:type="dxa"/>
            <w:tcBorders/>
            <w:shd w:fill="CCEEFF" w:val="clear"/>
            <w:tcMar>
              <w:bottom w:w="0" w:type="dxa"/>
            </w:tcMar>
            <w:vAlign w:val="bottom"/>
          </w:tcPr>
          <w:p>
            <w:pPr>
              <w:pStyle w:val="TableContents"/>
              <w:spacing w:before="0" w:after="283"/>
              <w:jc w:val="left"/>
              <w:rPr/>
            </w:pPr>
            <w:r>
              <w:rPr/>
              <w:t> </w:t>
            </w:r>
          </w:p>
        </w:tc>
      </w:tr>
      <w:tr>
        <w:trPr/>
        <w:tc>
          <w:tcPr>
            <w:tcW w:w="6999" w:type="dxa"/>
            <w:tcBorders/>
            <w:shd w:fill="FFFFFF" w:val="clear"/>
            <w:tcMar>
              <w:bottom w:w="0" w:type="dxa"/>
            </w:tcMar>
            <w:vAlign w:val="bottom"/>
          </w:tcPr>
          <w:p>
            <w:pPr>
              <w:pStyle w:val="TableContents"/>
              <w:spacing w:lineRule="auto" w:line="300" w:before="0" w:after="0"/>
              <w:ind w:left="0" w:right="0" w:firstLine="360"/>
              <w:jc w:val="left"/>
              <w:rPr>
                <w:rFonts w:ascii="Times New Roman" w:hAnsi="Times New Roman"/>
                <w:sz w:val="20"/>
              </w:rPr>
            </w:pPr>
            <w:r>
              <w:rPr>
                <w:rFonts w:ascii="Times New Roman" w:hAnsi="Times New Roman"/>
                <w:sz w:val="20"/>
              </w:rPr>
              <w:t>Installment sale of cinema property</w:t>
            </w:r>
          </w:p>
        </w:tc>
        <w:tc>
          <w:tcPr>
            <w:tcW w:w="203" w:type="dxa"/>
            <w:tcBorders/>
            <w:shd w:fill="FFFFFF" w:val="clear"/>
            <w:tcMar>
              <w:bottom w:w="0" w:type="dxa"/>
            </w:tcMar>
            <w:vAlign w:val="center"/>
          </w:tcPr>
          <w:p>
            <w:pPr>
              <w:pStyle w:val="TableContents"/>
              <w:spacing w:before="0" w:after="283"/>
              <w:rPr/>
            </w:pPr>
            <w:r>
              <w:rPr/>
              <w:t> </w:t>
            </w:r>
          </w:p>
        </w:tc>
        <w:tc>
          <w:tcPr>
            <w:tcW w:w="127" w:type="dxa"/>
            <w:tcBorders/>
            <w:shd w:fill="FFFFFF" w:val="clear"/>
            <w:tcMar>
              <w:bottom w:w="0" w:type="dxa"/>
            </w:tcMar>
            <w:vAlign w:val="bottom"/>
          </w:tcPr>
          <w:p>
            <w:pPr>
              <w:pStyle w:val="TableContents"/>
              <w:spacing w:before="0" w:after="283"/>
              <w:jc w:val="left"/>
              <w:rPr/>
            </w:pPr>
            <w:r>
              <w:rPr/>
              <w:t> </w:t>
            </w:r>
          </w:p>
        </w:tc>
        <w:tc>
          <w:tcPr>
            <w:tcW w:w="1208"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5,070</w:t>
            </w:r>
          </w:p>
        </w:tc>
        <w:tc>
          <w:tcPr>
            <w:tcW w:w="209" w:type="dxa"/>
            <w:tcBorders/>
            <w:shd w:fill="FFFFFF" w:val="clear"/>
            <w:tcMar>
              <w:bottom w:w="0" w:type="dxa"/>
            </w:tcMar>
            <w:vAlign w:val="bottom"/>
          </w:tcPr>
          <w:p>
            <w:pPr>
              <w:pStyle w:val="TableContents"/>
              <w:spacing w:before="0" w:after="283"/>
              <w:jc w:val="left"/>
              <w:rPr/>
            </w:pPr>
            <w:r>
              <w:rPr/>
              <w:t> </w:t>
            </w:r>
          </w:p>
        </w:tc>
        <w:tc>
          <w:tcPr>
            <w:tcW w:w="127" w:type="dxa"/>
            <w:tcBorders/>
            <w:shd w:fill="FFFFFF" w:val="clear"/>
            <w:tcMar>
              <w:bottom w:w="0" w:type="dxa"/>
            </w:tcMar>
            <w:vAlign w:val="bottom"/>
          </w:tcPr>
          <w:p>
            <w:pPr>
              <w:pStyle w:val="TableContents"/>
              <w:spacing w:before="0" w:after="283"/>
              <w:jc w:val="left"/>
              <w:rPr/>
            </w:pPr>
            <w:r>
              <w:rPr/>
              <w:t> </w:t>
            </w:r>
          </w:p>
        </w:tc>
        <w:tc>
          <w:tcPr>
            <w:tcW w:w="1208"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5,321</w:t>
            </w:r>
          </w:p>
        </w:tc>
        <w:tc>
          <w:tcPr>
            <w:tcW w:w="124" w:type="dxa"/>
            <w:tcBorders/>
            <w:shd w:fill="FFFFFF" w:val="clear"/>
            <w:tcMar>
              <w:bottom w:w="0" w:type="dxa"/>
            </w:tcMar>
            <w:vAlign w:val="bottom"/>
          </w:tcPr>
          <w:p>
            <w:pPr>
              <w:pStyle w:val="TableContents"/>
              <w:spacing w:before="0" w:after="283"/>
              <w:jc w:val="left"/>
              <w:rPr/>
            </w:pPr>
            <w:r>
              <w:rPr/>
              <w:t> </w:t>
            </w:r>
          </w:p>
        </w:tc>
      </w:tr>
      <w:tr>
        <w:trPr/>
        <w:tc>
          <w:tcPr>
            <w:tcW w:w="6999" w:type="dxa"/>
            <w:tcBorders>
              <w:bottom w:val="single" w:sz="2" w:space="0" w:color="000000"/>
            </w:tcBorders>
            <w:shd w:fill="CCEEFF" w:val="clear"/>
            <w:vAlign w:val="bottom"/>
          </w:tcPr>
          <w:p>
            <w:pPr>
              <w:pStyle w:val="TableContents"/>
              <w:spacing w:lineRule="auto" w:line="300" w:before="0" w:after="0"/>
              <w:ind w:left="0" w:right="0" w:firstLine="360"/>
              <w:jc w:val="left"/>
              <w:rPr>
                <w:rFonts w:ascii="Times New Roman" w:hAnsi="Times New Roman"/>
                <w:sz w:val="20"/>
              </w:rPr>
            </w:pPr>
            <w:r>
              <w:rPr>
                <w:rFonts w:ascii="Times New Roman" w:hAnsi="Times New Roman"/>
                <w:sz w:val="20"/>
              </w:rPr>
              <w:t>Other</w:t>
            </w:r>
          </w:p>
        </w:tc>
        <w:tc>
          <w:tcPr>
            <w:tcW w:w="203" w:type="dxa"/>
            <w:tcBorders>
              <w:bottom w:val="single" w:sz="2" w:space="0" w:color="CCEEFF"/>
            </w:tcBorders>
            <w:shd w:fill="CCEEFF" w:val="clear"/>
            <w:vAlign w:val="center"/>
          </w:tcPr>
          <w:p>
            <w:pPr>
              <w:pStyle w:val="TableContents"/>
              <w:spacing w:before="0" w:after="283"/>
              <w:rPr/>
            </w:pPr>
            <w:r>
              <w:rPr/>
              <w:t> </w:t>
            </w:r>
          </w:p>
        </w:tc>
        <w:tc>
          <w:tcPr>
            <w:tcW w:w="127" w:type="dxa"/>
            <w:tcBorders>
              <w:bottom w:val="single" w:sz="2" w:space="0" w:color="000000"/>
            </w:tcBorders>
            <w:shd w:fill="CCEEFF" w:val="clear"/>
            <w:vAlign w:val="bottom"/>
          </w:tcPr>
          <w:p>
            <w:pPr>
              <w:pStyle w:val="TableContents"/>
              <w:spacing w:before="0" w:after="283"/>
              <w:jc w:val="left"/>
              <w:rPr/>
            </w:pPr>
            <w:r>
              <w:rPr/>
              <w:t> </w:t>
            </w:r>
          </w:p>
        </w:tc>
        <w:tc>
          <w:tcPr>
            <w:tcW w:w="1208"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6,781</w:t>
            </w:r>
          </w:p>
        </w:tc>
        <w:tc>
          <w:tcPr>
            <w:tcW w:w="209" w:type="dxa"/>
            <w:tcBorders>
              <w:bottom w:val="single" w:sz="2" w:space="0" w:color="CCEEFF"/>
            </w:tcBorders>
            <w:shd w:fill="CCEEFF" w:val="clear"/>
            <w:vAlign w:val="bottom"/>
          </w:tcPr>
          <w:p>
            <w:pPr>
              <w:pStyle w:val="TableContents"/>
              <w:spacing w:before="0" w:after="283"/>
              <w:jc w:val="left"/>
              <w:rPr/>
            </w:pPr>
            <w:r>
              <w:rPr/>
              <w:t> </w:t>
            </w:r>
          </w:p>
        </w:tc>
        <w:tc>
          <w:tcPr>
            <w:tcW w:w="127" w:type="dxa"/>
            <w:tcBorders>
              <w:bottom w:val="single" w:sz="2" w:space="0" w:color="000000"/>
            </w:tcBorders>
            <w:shd w:fill="CCEEFF" w:val="clear"/>
            <w:vAlign w:val="bottom"/>
          </w:tcPr>
          <w:p>
            <w:pPr>
              <w:pStyle w:val="TableContents"/>
              <w:spacing w:before="0" w:after="283"/>
              <w:jc w:val="left"/>
              <w:rPr/>
            </w:pPr>
            <w:r>
              <w:rPr/>
              <w:t> </w:t>
            </w:r>
          </w:p>
        </w:tc>
        <w:tc>
          <w:tcPr>
            <w:tcW w:w="1208"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1,912</w:t>
            </w:r>
          </w:p>
        </w:tc>
        <w:tc>
          <w:tcPr>
            <w:tcW w:w="124" w:type="dxa"/>
            <w:tcBorders>
              <w:bottom w:val="single" w:sz="2" w:space="0" w:color="CCEEFF"/>
            </w:tcBorders>
            <w:shd w:fill="CCEEFF" w:val="clear"/>
            <w:vAlign w:val="bottom"/>
          </w:tcPr>
          <w:p>
            <w:pPr>
              <w:pStyle w:val="TableContents"/>
              <w:spacing w:before="0" w:after="283"/>
              <w:jc w:val="left"/>
              <w:rPr/>
            </w:pPr>
            <w:r>
              <w:rPr/>
              <w:t> </w:t>
            </w:r>
          </w:p>
        </w:tc>
      </w:tr>
      <w:tr>
        <w:trPr/>
        <w:tc>
          <w:tcPr>
            <w:tcW w:w="6999" w:type="dxa"/>
            <w:tcBorders/>
            <w:shd w:fill="FFFFFF" w:val="clear"/>
            <w:tcMar>
              <w:bottom w:w="0" w:type="dxa"/>
            </w:tcMar>
            <w:vAlign w:val="bottom"/>
          </w:tcPr>
          <w:p>
            <w:pPr>
              <w:pStyle w:val="TableContents"/>
              <w:spacing w:lineRule="auto" w:line="300" w:before="0" w:after="0"/>
              <w:ind w:left="360" w:right="0" w:firstLine="360"/>
              <w:jc w:val="left"/>
              <w:rPr>
                <w:rFonts w:ascii="Times New Roman" w:hAnsi="Times New Roman"/>
                <w:sz w:val="20"/>
              </w:rPr>
            </w:pPr>
            <w:bookmarkStart w:id="3623" w:name="TAB11710"/>
            <w:bookmarkEnd w:id="3623"/>
            <w:r>
              <w:rPr>
                <w:rFonts w:ascii="Times New Roman" w:hAnsi="Times New Roman"/>
                <w:sz w:val="20"/>
              </w:rPr>
              <w:t>Total Deferred Tax Assets</w:t>
            </w:r>
          </w:p>
        </w:tc>
        <w:tc>
          <w:tcPr>
            <w:tcW w:w="203" w:type="dxa"/>
            <w:tcBorders/>
            <w:shd w:fill="FFFFFF" w:val="clear"/>
            <w:tcMar>
              <w:bottom w:w="0" w:type="dxa"/>
            </w:tcMar>
            <w:vAlign w:val="center"/>
          </w:tcPr>
          <w:p>
            <w:pPr>
              <w:pStyle w:val="TableContents"/>
              <w:spacing w:before="0" w:after="283"/>
              <w:rPr/>
            </w:pPr>
            <w:r>
              <w:rPr/>
              <w:t> </w:t>
            </w:r>
          </w:p>
        </w:tc>
        <w:tc>
          <w:tcPr>
            <w:tcW w:w="127" w:type="dxa"/>
            <w:tcBorders/>
            <w:shd w:fill="FFFFFF" w:val="clear"/>
            <w:tcMar>
              <w:bottom w:w="0" w:type="dxa"/>
            </w:tcMar>
            <w:vAlign w:val="bottom"/>
          </w:tcPr>
          <w:p>
            <w:pPr>
              <w:pStyle w:val="TableContents"/>
              <w:spacing w:before="0" w:after="283"/>
              <w:jc w:val="left"/>
              <w:rPr/>
            </w:pPr>
            <w:r>
              <w:rPr/>
              <w:t> </w:t>
            </w:r>
          </w:p>
        </w:tc>
        <w:tc>
          <w:tcPr>
            <w:tcW w:w="1208"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63,108</w:t>
            </w:r>
          </w:p>
        </w:tc>
        <w:tc>
          <w:tcPr>
            <w:tcW w:w="209" w:type="dxa"/>
            <w:tcBorders/>
            <w:shd w:fill="FFFFFF" w:val="clear"/>
            <w:tcMar>
              <w:bottom w:w="0" w:type="dxa"/>
            </w:tcMar>
            <w:vAlign w:val="bottom"/>
          </w:tcPr>
          <w:p>
            <w:pPr>
              <w:pStyle w:val="TableContents"/>
              <w:spacing w:before="0" w:after="283"/>
              <w:jc w:val="left"/>
              <w:rPr/>
            </w:pPr>
            <w:r>
              <w:rPr/>
              <w:t> </w:t>
            </w:r>
          </w:p>
        </w:tc>
        <w:tc>
          <w:tcPr>
            <w:tcW w:w="127" w:type="dxa"/>
            <w:tcBorders/>
            <w:shd w:fill="FFFFFF" w:val="clear"/>
            <w:tcMar>
              <w:bottom w:w="0" w:type="dxa"/>
            </w:tcMar>
            <w:vAlign w:val="bottom"/>
          </w:tcPr>
          <w:p>
            <w:pPr>
              <w:pStyle w:val="TableContents"/>
              <w:spacing w:before="0" w:after="283"/>
              <w:jc w:val="left"/>
              <w:rPr/>
            </w:pPr>
            <w:r>
              <w:rPr/>
              <w:t> </w:t>
            </w:r>
          </w:p>
        </w:tc>
        <w:tc>
          <w:tcPr>
            <w:tcW w:w="1208"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62,859</w:t>
            </w:r>
          </w:p>
        </w:tc>
        <w:tc>
          <w:tcPr>
            <w:tcW w:w="124" w:type="dxa"/>
            <w:tcBorders/>
            <w:shd w:fill="FFFFFF" w:val="clear"/>
            <w:tcMar>
              <w:bottom w:w="0" w:type="dxa"/>
            </w:tcMar>
            <w:vAlign w:val="bottom"/>
          </w:tcPr>
          <w:p>
            <w:pPr>
              <w:pStyle w:val="TableContents"/>
              <w:spacing w:before="0" w:after="283"/>
              <w:jc w:val="left"/>
              <w:rPr/>
            </w:pPr>
            <w:r>
              <w:rPr/>
              <w:t> </w:t>
            </w:r>
          </w:p>
        </w:tc>
      </w:tr>
      <w:tr>
        <w:trPr/>
        <w:tc>
          <w:tcPr>
            <w:tcW w:w="6999" w:type="dxa"/>
            <w:tcBorders/>
            <w:shd w:fill="CCEEFF" w:val="clear"/>
            <w:tcMar>
              <w:bottom w:w="0" w:type="dxa"/>
            </w:tcMar>
            <w:vAlign w:val="bottom"/>
          </w:tcPr>
          <w:p>
            <w:pPr>
              <w:pStyle w:val="TableContents"/>
              <w:spacing w:before="0" w:after="283"/>
              <w:jc w:val="left"/>
              <w:rPr/>
            </w:pPr>
            <w:r>
              <w:rPr/>
              <w:t> </w:t>
            </w:r>
          </w:p>
        </w:tc>
        <w:tc>
          <w:tcPr>
            <w:tcW w:w="203" w:type="dxa"/>
            <w:tcBorders/>
            <w:shd w:fill="CCEEFF" w:val="clear"/>
            <w:tcMar>
              <w:bottom w:w="0" w:type="dxa"/>
            </w:tcMar>
            <w:vAlign w:val="center"/>
          </w:tcPr>
          <w:p>
            <w:pPr>
              <w:pStyle w:val="TableContents"/>
              <w:spacing w:before="0" w:after="283"/>
              <w:rPr/>
            </w:pPr>
            <w:r>
              <w:rPr/>
              <w:t> </w:t>
            </w:r>
          </w:p>
        </w:tc>
        <w:tc>
          <w:tcPr>
            <w:tcW w:w="127" w:type="dxa"/>
            <w:tcBorders/>
            <w:shd w:fill="CCEEFF" w:val="clear"/>
            <w:tcMar>
              <w:bottom w:w="0" w:type="dxa"/>
            </w:tcMar>
            <w:vAlign w:val="bottom"/>
          </w:tcPr>
          <w:p>
            <w:pPr>
              <w:pStyle w:val="TableContents"/>
              <w:spacing w:before="0" w:after="283"/>
              <w:jc w:val="left"/>
              <w:rPr/>
            </w:pPr>
            <w:r>
              <w:rPr/>
              <w:t> </w:t>
            </w:r>
          </w:p>
        </w:tc>
        <w:tc>
          <w:tcPr>
            <w:tcW w:w="1208" w:type="dxa"/>
            <w:tcBorders/>
            <w:shd w:fill="CCEEFF" w:val="clear"/>
            <w:tcMar>
              <w:bottom w:w="0" w:type="dxa"/>
            </w:tcMar>
            <w:vAlign w:val="bottom"/>
          </w:tcPr>
          <w:p>
            <w:pPr>
              <w:pStyle w:val="TableContents"/>
              <w:spacing w:before="0" w:after="283"/>
              <w:jc w:val="right"/>
              <w:rPr/>
            </w:pPr>
            <w:r>
              <w:rPr/>
              <w:t> </w:t>
            </w:r>
          </w:p>
        </w:tc>
        <w:tc>
          <w:tcPr>
            <w:tcW w:w="209" w:type="dxa"/>
            <w:tcBorders/>
            <w:shd w:fill="CCEEFF" w:val="clear"/>
            <w:tcMar>
              <w:bottom w:w="0" w:type="dxa"/>
            </w:tcMar>
            <w:vAlign w:val="bottom"/>
          </w:tcPr>
          <w:p>
            <w:pPr>
              <w:pStyle w:val="TableContents"/>
              <w:spacing w:before="0" w:after="283"/>
              <w:jc w:val="left"/>
              <w:rPr/>
            </w:pPr>
            <w:r>
              <w:rPr/>
              <w:t> </w:t>
            </w:r>
          </w:p>
        </w:tc>
        <w:tc>
          <w:tcPr>
            <w:tcW w:w="127" w:type="dxa"/>
            <w:tcBorders/>
            <w:shd w:fill="CCEEFF" w:val="clear"/>
            <w:tcMar>
              <w:bottom w:w="0" w:type="dxa"/>
            </w:tcMar>
            <w:vAlign w:val="bottom"/>
          </w:tcPr>
          <w:p>
            <w:pPr>
              <w:pStyle w:val="TableContents"/>
              <w:spacing w:before="0" w:after="283"/>
              <w:jc w:val="left"/>
              <w:rPr/>
            </w:pPr>
            <w:r>
              <w:rPr/>
              <w:t> </w:t>
            </w:r>
          </w:p>
        </w:tc>
        <w:tc>
          <w:tcPr>
            <w:tcW w:w="1208" w:type="dxa"/>
            <w:tcBorders/>
            <w:shd w:fill="CCEEFF" w:val="clear"/>
            <w:tcMar>
              <w:bottom w:w="0" w:type="dxa"/>
            </w:tcMar>
            <w:vAlign w:val="bottom"/>
          </w:tcPr>
          <w:p>
            <w:pPr>
              <w:pStyle w:val="TableContents"/>
              <w:spacing w:before="0" w:after="283"/>
              <w:jc w:val="right"/>
              <w:rPr/>
            </w:pPr>
            <w:r>
              <w:rPr/>
              <w:t> </w:t>
            </w:r>
          </w:p>
        </w:tc>
        <w:tc>
          <w:tcPr>
            <w:tcW w:w="124" w:type="dxa"/>
            <w:tcBorders/>
            <w:shd w:fill="CCEEFF" w:val="clear"/>
            <w:tcMar>
              <w:bottom w:w="0" w:type="dxa"/>
            </w:tcMar>
            <w:vAlign w:val="bottom"/>
          </w:tcPr>
          <w:p>
            <w:pPr>
              <w:pStyle w:val="TableContents"/>
              <w:spacing w:before="0" w:after="283"/>
              <w:jc w:val="left"/>
              <w:rPr/>
            </w:pPr>
            <w:r>
              <w:rPr/>
              <w:t> </w:t>
            </w:r>
          </w:p>
        </w:tc>
      </w:tr>
      <w:tr>
        <w:trPr/>
        <w:tc>
          <w:tcPr>
            <w:tcW w:w="6999"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Deferred Tax Liabilities:</w:t>
            </w:r>
          </w:p>
        </w:tc>
        <w:tc>
          <w:tcPr>
            <w:tcW w:w="203" w:type="dxa"/>
            <w:tcBorders/>
            <w:shd w:fill="FFFFFF" w:val="clear"/>
            <w:tcMar>
              <w:bottom w:w="0" w:type="dxa"/>
            </w:tcMar>
            <w:vAlign w:val="center"/>
          </w:tcPr>
          <w:p>
            <w:pPr>
              <w:pStyle w:val="TableContents"/>
              <w:spacing w:before="0" w:after="283"/>
              <w:rPr/>
            </w:pPr>
            <w:r>
              <w:rPr/>
              <w:t> </w:t>
            </w:r>
          </w:p>
        </w:tc>
        <w:tc>
          <w:tcPr>
            <w:tcW w:w="127" w:type="dxa"/>
            <w:tcBorders/>
            <w:shd w:fill="FFFFFF" w:val="clear"/>
            <w:tcMar>
              <w:bottom w:w="0" w:type="dxa"/>
            </w:tcMar>
            <w:vAlign w:val="bottom"/>
          </w:tcPr>
          <w:p>
            <w:pPr>
              <w:pStyle w:val="TableContents"/>
              <w:spacing w:before="0" w:after="283"/>
              <w:jc w:val="left"/>
              <w:rPr/>
            </w:pPr>
            <w:r>
              <w:rPr/>
              <w:t> </w:t>
            </w:r>
          </w:p>
        </w:tc>
        <w:tc>
          <w:tcPr>
            <w:tcW w:w="1208" w:type="dxa"/>
            <w:tcBorders/>
            <w:shd w:fill="FFFFFF" w:val="clear"/>
            <w:tcMar>
              <w:bottom w:w="0" w:type="dxa"/>
            </w:tcMar>
            <w:vAlign w:val="bottom"/>
          </w:tcPr>
          <w:p>
            <w:pPr>
              <w:pStyle w:val="TableContents"/>
              <w:spacing w:before="0" w:after="283"/>
              <w:jc w:val="right"/>
              <w:rPr/>
            </w:pPr>
            <w:r>
              <w:rPr/>
              <w:t> </w:t>
            </w:r>
          </w:p>
        </w:tc>
        <w:tc>
          <w:tcPr>
            <w:tcW w:w="209" w:type="dxa"/>
            <w:tcBorders/>
            <w:shd w:fill="FFFFFF" w:val="clear"/>
            <w:tcMar>
              <w:bottom w:w="0" w:type="dxa"/>
            </w:tcMar>
            <w:vAlign w:val="bottom"/>
          </w:tcPr>
          <w:p>
            <w:pPr>
              <w:pStyle w:val="TableContents"/>
              <w:spacing w:before="0" w:after="283"/>
              <w:jc w:val="left"/>
              <w:rPr/>
            </w:pPr>
            <w:r>
              <w:rPr/>
              <w:t> </w:t>
            </w:r>
          </w:p>
        </w:tc>
        <w:tc>
          <w:tcPr>
            <w:tcW w:w="127" w:type="dxa"/>
            <w:tcBorders/>
            <w:shd w:fill="FFFFFF" w:val="clear"/>
            <w:tcMar>
              <w:bottom w:w="0" w:type="dxa"/>
            </w:tcMar>
            <w:vAlign w:val="bottom"/>
          </w:tcPr>
          <w:p>
            <w:pPr>
              <w:pStyle w:val="TableContents"/>
              <w:spacing w:before="0" w:after="283"/>
              <w:jc w:val="left"/>
              <w:rPr/>
            </w:pPr>
            <w:r>
              <w:rPr/>
              <w:t> </w:t>
            </w:r>
          </w:p>
        </w:tc>
        <w:tc>
          <w:tcPr>
            <w:tcW w:w="1208" w:type="dxa"/>
            <w:tcBorders/>
            <w:shd w:fill="FFFFFF" w:val="clear"/>
            <w:tcMar>
              <w:bottom w:w="0" w:type="dxa"/>
            </w:tcMar>
            <w:vAlign w:val="bottom"/>
          </w:tcPr>
          <w:p>
            <w:pPr>
              <w:pStyle w:val="TableContents"/>
              <w:spacing w:before="0" w:after="283"/>
              <w:jc w:val="right"/>
              <w:rPr/>
            </w:pPr>
            <w:r>
              <w:rPr/>
              <w:t> </w:t>
            </w:r>
          </w:p>
        </w:tc>
        <w:tc>
          <w:tcPr>
            <w:tcW w:w="124" w:type="dxa"/>
            <w:tcBorders/>
            <w:shd w:fill="FFFFFF" w:val="clear"/>
            <w:tcMar>
              <w:bottom w:w="0" w:type="dxa"/>
            </w:tcMar>
            <w:vAlign w:val="bottom"/>
          </w:tcPr>
          <w:p>
            <w:pPr>
              <w:pStyle w:val="TableContents"/>
              <w:spacing w:before="0" w:after="283"/>
              <w:jc w:val="left"/>
              <w:rPr/>
            </w:pPr>
            <w:r>
              <w:rPr/>
              <w:t> </w:t>
            </w:r>
          </w:p>
        </w:tc>
      </w:tr>
      <w:tr>
        <w:trPr/>
        <w:tc>
          <w:tcPr>
            <w:tcW w:w="6999" w:type="dxa"/>
            <w:tcBorders/>
            <w:shd w:fill="CCEEFF" w:val="clear"/>
            <w:tcMar>
              <w:bottom w:w="0" w:type="dxa"/>
            </w:tcMar>
            <w:vAlign w:val="bottom"/>
          </w:tcPr>
          <w:p>
            <w:pPr>
              <w:pStyle w:val="TableContents"/>
              <w:spacing w:lineRule="auto" w:line="300" w:before="0" w:after="0"/>
              <w:ind w:left="0" w:right="0" w:firstLine="360"/>
              <w:jc w:val="left"/>
              <w:rPr>
                <w:rFonts w:ascii="Times New Roman" w:hAnsi="Times New Roman"/>
                <w:sz w:val="20"/>
              </w:rPr>
            </w:pPr>
            <w:r>
              <w:rPr>
                <w:rFonts w:ascii="Times New Roman" w:hAnsi="Times New Roman"/>
                <w:sz w:val="20"/>
              </w:rPr>
              <w:t>Acquired and option properties</w:t>
            </w:r>
          </w:p>
        </w:tc>
        <w:tc>
          <w:tcPr>
            <w:tcW w:w="203" w:type="dxa"/>
            <w:tcBorders/>
            <w:shd w:fill="CCEEFF" w:val="clear"/>
            <w:tcMar>
              <w:bottom w:w="0" w:type="dxa"/>
            </w:tcMar>
            <w:vAlign w:val="center"/>
          </w:tcPr>
          <w:p>
            <w:pPr>
              <w:pStyle w:val="TableContents"/>
              <w:spacing w:before="0" w:after="283"/>
              <w:rPr/>
            </w:pPr>
            <w:r>
              <w:rPr/>
              <w:t> </w:t>
            </w:r>
          </w:p>
        </w:tc>
        <w:tc>
          <w:tcPr>
            <w:tcW w:w="127" w:type="dxa"/>
            <w:tcBorders/>
            <w:shd w:fill="CCEEFF" w:val="clear"/>
            <w:tcMar>
              <w:bottom w:w="0" w:type="dxa"/>
            </w:tcMar>
            <w:vAlign w:val="bottom"/>
          </w:tcPr>
          <w:p>
            <w:pPr>
              <w:pStyle w:val="TableContents"/>
              <w:spacing w:before="0" w:after="283"/>
              <w:jc w:val="left"/>
              <w:rPr/>
            </w:pPr>
            <w:r>
              <w:rPr/>
              <w:t> </w:t>
            </w:r>
          </w:p>
        </w:tc>
        <w:tc>
          <w:tcPr>
            <w:tcW w:w="1208"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6,890</w:t>
            </w:r>
          </w:p>
        </w:tc>
        <w:tc>
          <w:tcPr>
            <w:tcW w:w="209" w:type="dxa"/>
            <w:tcBorders/>
            <w:shd w:fill="CCEEFF" w:val="clear"/>
            <w:tcMar>
              <w:bottom w:w="0" w:type="dxa"/>
            </w:tcMar>
            <w:vAlign w:val="bottom"/>
          </w:tcPr>
          <w:p>
            <w:pPr>
              <w:pStyle w:val="TableContents"/>
              <w:spacing w:before="0" w:after="283"/>
              <w:jc w:val="left"/>
              <w:rPr/>
            </w:pPr>
            <w:r>
              <w:rPr/>
              <w:t> </w:t>
            </w:r>
          </w:p>
        </w:tc>
        <w:tc>
          <w:tcPr>
            <w:tcW w:w="127" w:type="dxa"/>
            <w:tcBorders/>
            <w:shd w:fill="CCEEFF" w:val="clear"/>
            <w:tcMar>
              <w:bottom w:w="0" w:type="dxa"/>
            </w:tcMar>
            <w:vAlign w:val="bottom"/>
          </w:tcPr>
          <w:p>
            <w:pPr>
              <w:pStyle w:val="TableContents"/>
              <w:spacing w:before="0" w:after="283"/>
              <w:jc w:val="left"/>
              <w:rPr/>
            </w:pPr>
            <w:r>
              <w:rPr/>
              <w:t> </w:t>
            </w:r>
          </w:p>
        </w:tc>
        <w:tc>
          <w:tcPr>
            <w:tcW w:w="1208"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4,275</w:t>
            </w:r>
          </w:p>
        </w:tc>
        <w:tc>
          <w:tcPr>
            <w:tcW w:w="124" w:type="dxa"/>
            <w:tcBorders/>
            <w:shd w:fill="CCEEFF" w:val="clear"/>
            <w:tcMar>
              <w:bottom w:w="0" w:type="dxa"/>
            </w:tcMar>
            <w:vAlign w:val="bottom"/>
          </w:tcPr>
          <w:p>
            <w:pPr>
              <w:pStyle w:val="TableContents"/>
              <w:spacing w:before="0" w:after="283"/>
              <w:jc w:val="left"/>
              <w:rPr/>
            </w:pPr>
            <w:r>
              <w:rPr/>
              <w:t> </w:t>
            </w:r>
          </w:p>
        </w:tc>
      </w:tr>
      <w:tr>
        <w:trPr/>
        <w:tc>
          <w:tcPr>
            <w:tcW w:w="6999" w:type="dxa"/>
            <w:tcBorders>
              <w:bottom w:val="single" w:sz="2" w:space="0" w:color="000000"/>
            </w:tcBorders>
            <w:shd w:fill="FFFFFF" w:val="clear"/>
            <w:vAlign w:val="bottom"/>
          </w:tcPr>
          <w:p>
            <w:pPr>
              <w:pStyle w:val="TableContents"/>
              <w:spacing w:before="0" w:after="283"/>
              <w:jc w:val="left"/>
              <w:rPr/>
            </w:pPr>
            <w:r>
              <w:rPr/>
              <w:t> </w:t>
            </w:r>
          </w:p>
        </w:tc>
        <w:tc>
          <w:tcPr>
            <w:tcW w:w="203" w:type="dxa"/>
            <w:tcBorders>
              <w:bottom w:val="single" w:sz="2" w:space="0" w:color="FFFFFF"/>
            </w:tcBorders>
            <w:shd w:fill="FFFFFF" w:val="clear"/>
            <w:vAlign w:val="center"/>
          </w:tcPr>
          <w:p>
            <w:pPr>
              <w:pStyle w:val="TableContents"/>
              <w:spacing w:before="0" w:after="283"/>
              <w:rPr/>
            </w:pPr>
            <w:r>
              <w:rPr/>
              <w:t> </w:t>
            </w:r>
          </w:p>
        </w:tc>
        <w:tc>
          <w:tcPr>
            <w:tcW w:w="127" w:type="dxa"/>
            <w:tcBorders>
              <w:bottom w:val="single" w:sz="2" w:space="0" w:color="000000"/>
            </w:tcBorders>
            <w:shd w:fill="FFFFFF" w:val="clear"/>
            <w:vAlign w:val="bottom"/>
          </w:tcPr>
          <w:p>
            <w:pPr>
              <w:pStyle w:val="TableContents"/>
              <w:spacing w:before="0" w:after="283"/>
              <w:jc w:val="left"/>
              <w:rPr/>
            </w:pPr>
            <w:r>
              <w:rPr/>
              <w:t> </w:t>
            </w:r>
          </w:p>
        </w:tc>
        <w:tc>
          <w:tcPr>
            <w:tcW w:w="1208" w:type="dxa"/>
            <w:tcBorders>
              <w:bottom w:val="single" w:sz="2" w:space="0" w:color="000000"/>
            </w:tcBorders>
            <w:shd w:fill="FFFFFF" w:val="clear"/>
            <w:vAlign w:val="bottom"/>
          </w:tcPr>
          <w:p>
            <w:pPr>
              <w:pStyle w:val="TableContents"/>
              <w:spacing w:before="0" w:after="283"/>
              <w:jc w:val="right"/>
              <w:rPr/>
            </w:pPr>
            <w:r>
              <w:rPr/>
              <w:t> </w:t>
            </w:r>
          </w:p>
        </w:tc>
        <w:tc>
          <w:tcPr>
            <w:tcW w:w="209" w:type="dxa"/>
            <w:tcBorders>
              <w:bottom w:val="single" w:sz="2" w:space="0" w:color="FFFFFF"/>
            </w:tcBorders>
            <w:shd w:fill="FFFFFF" w:val="clear"/>
            <w:vAlign w:val="bottom"/>
          </w:tcPr>
          <w:p>
            <w:pPr>
              <w:pStyle w:val="TableContents"/>
              <w:spacing w:before="0" w:after="283"/>
              <w:jc w:val="left"/>
              <w:rPr/>
            </w:pPr>
            <w:r>
              <w:rPr/>
              <w:t> </w:t>
            </w:r>
          </w:p>
        </w:tc>
        <w:tc>
          <w:tcPr>
            <w:tcW w:w="127" w:type="dxa"/>
            <w:tcBorders>
              <w:bottom w:val="single" w:sz="2" w:space="0" w:color="000000"/>
            </w:tcBorders>
            <w:shd w:fill="FFFFFF" w:val="clear"/>
            <w:vAlign w:val="bottom"/>
          </w:tcPr>
          <w:p>
            <w:pPr>
              <w:pStyle w:val="TableContents"/>
              <w:spacing w:before="0" w:after="283"/>
              <w:jc w:val="left"/>
              <w:rPr/>
            </w:pPr>
            <w:r>
              <w:rPr/>
              <w:t> </w:t>
            </w:r>
          </w:p>
        </w:tc>
        <w:tc>
          <w:tcPr>
            <w:tcW w:w="1208" w:type="dxa"/>
            <w:tcBorders>
              <w:bottom w:val="single" w:sz="2" w:space="0" w:color="000000"/>
            </w:tcBorders>
            <w:shd w:fill="FFFFFF" w:val="clear"/>
            <w:vAlign w:val="bottom"/>
          </w:tcPr>
          <w:p>
            <w:pPr>
              <w:pStyle w:val="TableContents"/>
              <w:spacing w:before="0" w:after="283"/>
              <w:jc w:val="right"/>
              <w:rPr/>
            </w:pPr>
            <w:r>
              <w:rPr/>
              <w:t> </w:t>
            </w:r>
          </w:p>
        </w:tc>
        <w:tc>
          <w:tcPr>
            <w:tcW w:w="124" w:type="dxa"/>
            <w:tcBorders>
              <w:bottom w:val="single" w:sz="2" w:space="0" w:color="FFFFFF"/>
            </w:tcBorders>
            <w:shd w:fill="FFFFFF" w:val="clear"/>
            <w:vAlign w:val="bottom"/>
          </w:tcPr>
          <w:p>
            <w:pPr>
              <w:pStyle w:val="TableContents"/>
              <w:spacing w:before="0" w:after="283"/>
              <w:jc w:val="left"/>
              <w:rPr/>
            </w:pPr>
            <w:r>
              <w:rPr/>
              <w:t> </w:t>
            </w:r>
          </w:p>
        </w:tc>
      </w:tr>
      <w:tr>
        <w:trPr/>
        <w:tc>
          <w:tcPr>
            <w:tcW w:w="6999"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Net deferred tax assets before valuation allowance</w:t>
            </w:r>
          </w:p>
        </w:tc>
        <w:tc>
          <w:tcPr>
            <w:tcW w:w="203" w:type="dxa"/>
            <w:tcBorders/>
            <w:shd w:fill="CCEEFF" w:val="clear"/>
            <w:tcMar>
              <w:bottom w:w="0" w:type="dxa"/>
            </w:tcMar>
            <w:vAlign w:val="center"/>
          </w:tcPr>
          <w:p>
            <w:pPr>
              <w:pStyle w:val="TableContents"/>
              <w:spacing w:before="0" w:after="283"/>
              <w:rPr/>
            </w:pPr>
            <w:r>
              <w:rPr/>
              <w:t> </w:t>
            </w:r>
          </w:p>
        </w:tc>
        <w:tc>
          <w:tcPr>
            <w:tcW w:w="127" w:type="dxa"/>
            <w:tcBorders/>
            <w:shd w:fill="CCEEFF" w:val="clear"/>
            <w:tcMar>
              <w:bottom w:w="0" w:type="dxa"/>
            </w:tcMar>
            <w:vAlign w:val="bottom"/>
          </w:tcPr>
          <w:p>
            <w:pPr>
              <w:pStyle w:val="TableContents"/>
              <w:spacing w:before="0" w:after="283"/>
              <w:jc w:val="left"/>
              <w:rPr/>
            </w:pPr>
            <w:r>
              <w:rPr/>
              <w:t> </w:t>
            </w:r>
          </w:p>
        </w:tc>
        <w:tc>
          <w:tcPr>
            <w:tcW w:w="1208"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56,218</w:t>
            </w:r>
          </w:p>
        </w:tc>
        <w:tc>
          <w:tcPr>
            <w:tcW w:w="209" w:type="dxa"/>
            <w:tcBorders/>
            <w:shd w:fill="CCEEFF" w:val="clear"/>
            <w:tcMar>
              <w:bottom w:w="0" w:type="dxa"/>
            </w:tcMar>
            <w:vAlign w:val="bottom"/>
          </w:tcPr>
          <w:p>
            <w:pPr>
              <w:pStyle w:val="TableContents"/>
              <w:spacing w:before="0" w:after="283"/>
              <w:jc w:val="left"/>
              <w:rPr/>
            </w:pPr>
            <w:r>
              <w:rPr/>
              <w:t> </w:t>
            </w:r>
          </w:p>
        </w:tc>
        <w:tc>
          <w:tcPr>
            <w:tcW w:w="127" w:type="dxa"/>
            <w:tcBorders/>
            <w:shd w:fill="CCEEFF" w:val="clear"/>
            <w:tcMar>
              <w:bottom w:w="0" w:type="dxa"/>
            </w:tcMar>
            <w:vAlign w:val="bottom"/>
          </w:tcPr>
          <w:p>
            <w:pPr>
              <w:pStyle w:val="TableContents"/>
              <w:spacing w:before="0" w:after="283"/>
              <w:jc w:val="left"/>
              <w:rPr/>
            </w:pPr>
            <w:r>
              <w:rPr/>
              <w:t> </w:t>
            </w:r>
          </w:p>
        </w:tc>
        <w:tc>
          <w:tcPr>
            <w:tcW w:w="1208"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58,584</w:t>
            </w:r>
          </w:p>
        </w:tc>
        <w:tc>
          <w:tcPr>
            <w:tcW w:w="124" w:type="dxa"/>
            <w:tcBorders/>
            <w:shd w:fill="CCEEFF" w:val="clear"/>
            <w:tcMar>
              <w:bottom w:w="0" w:type="dxa"/>
            </w:tcMar>
            <w:vAlign w:val="bottom"/>
          </w:tcPr>
          <w:p>
            <w:pPr>
              <w:pStyle w:val="TableContents"/>
              <w:spacing w:before="0" w:after="283"/>
              <w:jc w:val="left"/>
              <w:rPr/>
            </w:pPr>
            <w:r>
              <w:rPr/>
              <w:t> </w:t>
            </w:r>
          </w:p>
        </w:tc>
      </w:tr>
      <w:tr>
        <w:trPr/>
        <w:tc>
          <w:tcPr>
            <w:tcW w:w="6999" w:type="dxa"/>
            <w:tcBorders>
              <w:bottom w:val="sing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Valuation allowance</w:t>
            </w:r>
          </w:p>
        </w:tc>
        <w:tc>
          <w:tcPr>
            <w:tcW w:w="203" w:type="dxa"/>
            <w:tcBorders>
              <w:bottom w:val="single" w:sz="2" w:space="0" w:color="FFFFFF"/>
            </w:tcBorders>
            <w:shd w:fill="FFFFFF" w:val="clear"/>
            <w:vAlign w:val="center"/>
          </w:tcPr>
          <w:p>
            <w:pPr>
              <w:pStyle w:val="TableContents"/>
              <w:spacing w:before="0" w:after="283"/>
              <w:rPr/>
            </w:pPr>
            <w:r>
              <w:rPr/>
              <w:t> </w:t>
            </w:r>
          </w:p>
        </w:tc>
        <w:tc>
          <w:tcPr>
            <w:tcW w:w="127" w:type="dxa"/>
            <w:tcBorders>
              <w:bottom w:val="single" w:sz="2" w:space="0" w:color="000000"/>
            </w:tcBorders>
            <w:shd w:fill="FFFFFF" w:val="clear"/>
            <w:vAlign w:val="bottom"/>
          </w:tcPr>
          <w:p>
            <w:pPr>
              <w:pStyle w:val="TableContents"/>
              <w:spacing w:before="0" w:after="283"/>
              <w:jc w:val="left"/>
              <w:rPr/>
            </w:pPr>
            <w:r>
              <w:rPr/>
              <w:t> </w:t>
            </w:r>
          </w:p>
        </w:tc>
        <w:tc>
          <w:tcPr>
            <w:tcW w:w="1208"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(56,218</w:t>
            </w:r>
          </w:p>
        </w:tc>
        <w:tc>
          <w:tcPr>
            <w:tcW w:w="209" w:type="dxa"/>
            <w:tcBorders>
              <w:bottom w:val="single" w:sz="2" w:space="0" w:color="FFFFFF"/>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27" w:type="dxa"/>
            <w:tcBorders>
              <w:bottom w:val="single" w:sz="2" w:space="0" w:color="000000"/>
            </w:tcBorders>
            <w:shd w:fill="FFFFFF" w:val="clear"/>
            <w:vAlign w:val="bottom"/>
          </w:tcPr>
          <w:p>
            <w:pPr>
              <w:pStyle w:val="TableContents"/>
              <w:spacing w:before="0" w:after="283"/>
              <w:jc w:val="left"/>
              <w:rPr/>
            </w:pPr>
            <w:r>
              <w:rPr/>
              <w:t> </w:t>
            </w:r>
          </w:p>
        </w:tc>
        <w:tc>
          <w:tcPr>
            <w:tcW w:w="1208"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(58,584</w:t>
            </w:r>
          </w:p>
        </w:tc>
        <w:tc>
          <w:tcPr>
            <w:tcW w:w="124" w:type="dxa"/>
            <w:tcBorders>
              <w:bottom w:val="single" w:sz="2" w:space="0" w:color="FFFFFF"/>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r>
      <w:tr>
        <w:trPr/>
        <w:tc>
          <w:tcPr>
            <w:tcW w:w="6999" w:type="dxa"/>
            <w:tcBorders>
              <w:bottom w:val="double" w:sz="2" w:space="0" w:color="000000"/>
            </w:tcBorders>
            <w:shd w:fill="CCEEFF" w:val="clear"/>
            <w:vAlign w:val="bottom"/>
          </w:tcPr>
          <w:p>
            <w:pPr>
              <w:pStyle w:val="TableContents"/>
              <w:spacing w:lineRule="auto" w:line="300" w:before="0" w:after="0"/>
              <w:ind w:left="0" w:right="0" w:hanging="0"/>
              <w:jc w:val="left"/>
              <w:rPr/>
            </w:pPr>
            <w:r>
              <w:rPr>
                <w:rStyle w:val="StrongEmphasis"/>
                <w:rFonts w:ascii="Times New Roman" w:hAnsi="Times New Roman"/>
                <w:sz w:val="20"/>
              </w:rPr>
              <w:t>Net deferred tax asset</w:t>
            </w:r>
          </w:p>
        </w:tc>
        <w:tc>
          <w:tcPr>
            <w:tcW w:w="203" w:type="dxa"/>
            <w:tcBorders>
              <w:bottom w:val="single" w:sz="4" w:space="0" w:color="CCEEFF"/>
            </w:tcBorders>
            <w:shd w:fill="CCEEFF" w:val="clear"/>
            <w:vAlign w:val="center"/>
          </w:tcPr>
          <w:p>
            <w:pPr>
              <w:pStyle w:val="TableContents"/>
              <w:spacing w:before="0" w:after="283"/>
              <w:rPr/>
            </w:pPr>
            <w:r>
              <w:rPr/>
              <w:t> </w:t>
            </w:r>
          </w:p>
        </w:tc>
        <w:tc>
          <w:tcPr>
            <w:tcW w:w="127" w:type="dxa"/>
            <w:tcBorders>
              <w:bottom w:val="doub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208" w:type="dxa"/>
            <w:tcBorders>
              <w:bottom w:val="doub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209" w:type="dxa"/>
            <w:tcBorders>
              <w:bottom w:val="single" w:sz="4" w:space="0" w:color="CCEEFF"/>
            </w:tcBorders>
            <w:shd w:fill="CCEEFF" w:val="clear"/>
            <w:vAlign w:val="bottom"/>
          </w:tcPr>
          <w:p>
            <w:pPr>
              <w:pStyle w:val="TableContents"/>
              <w:spacing w:before="0" w:after="283"/>
              <w:jc w:val="left"/>
              <w:rPr/>
            </w:pPr>
            <w:r>
              <w:rPr/>
              <w:t> </w:t>
            </w:r>
          </w:p>
        </w:tc>
        <w:tc>
          <w:tcPr>
            <w:tcW w:w="127" w:type="dxa"/>
            <w:tcBorders>
              <w:bottom w:val="doub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bookmarkStart w:id="3624" w:name="TAB11711"/>
            <w:bookmarkEnd w:id="3624"/>
            <w:r>
              <w:rPr>
                <w:rFonts w:ascii="Times New Roman" w:hAnsi="Times New Roman"/>
                <w:sz w:val="20"/>
              </w:rPr>
              <w:t>$</w:t>
            </w:r>
          </w:p>
        </w:tc>
        <w:tc>
          <w:tcPr>
            <w:tcW w:w="1208" w:type="dxa"/>
            <w:tcBorders>
              <w:bottom w:val="doub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3625" w:name="TAB11712"/>
            <w:bookmarkEnd w:id="3625"/>
            <w:r>
              <w:rPr>
                <w:rFonts w:ascii="Times New Roman" w:hAnsi="Times New Roman"/>
                <w:sz w:val="20"/>
              </w:rPr>
              <w:t>--</w:t>
            </w:r>
          </w:p>
        </w:tc>
        <w:tc>
          <w:tcPr>
            <w:tcW w:w="124" w:type="dxa"/>
            <w:tcBorders>
              <w:bottom w:val="single" w:sz="4" w:space="0" w:color="CCEEFF"/>
            </w:tcBorders>
            <w:shd w:fill="CCEEFF" w:val="clear"/>
            <w:vAlign w:val="bottom"/>
          </w:tcPr>
          <w:p>
            <w:pPr>
              <w:pStyle w:val="TableContents"/>
              <w:spacing w:before="0" w:after="283"/>
              <w:jc w:val="left"/>
              <w:rPr/>
            </w:pPr>
            <w:r>
              <w:rPr/>
              <w:t> </w:t>
            </w:r>
          </w:p>
        </w:tc>
      </w:tr>
    </w:tbl>
    <w:p>
      <w:pPr>
        <w:pStyle w:val="TextBody"/>
        <w:spacing w:lineRule="auto" w:line="300" w:before="0" w:after="0"/>
        <w:ind w:left="0" w:right="0" w:hanging="0"/>
        <w:jc w:val="left"/>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We have determined as of December 31, 2006 that $56.2 million of deferred tax assets do not satisfy the recognition criteria set forth in SFAS No. 109 - Accounting for Income Taxes. Accordingly, a valuation allowance has been recorded for this amount.</w:t>
      </w:r>
    </w:p>
    <w:p>
      <w:pPr>
        <w:pStyle w:val="TextBody"/>
        <w:spacing w:before="0" w:after="0"/>
        <w:rPr/>
      </w:pPr>
      <w:r>
        <w:rPr/>
        <w:t> </w:t>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As of December 31, 2006, we had the following U.S. expiring net operating loss carry forwards (dollars in thousands):</w:t>
      </w:r>
    </w:p>
    <w:p>
      <w:pPr>
        <w:pStyle w:val="TextBody"/>
        <w:spacing w:lineRule="auto" w:line="300" w:before="0" w:after="0"/>
        <w:ind w:left="0" w:right="0" w:hanging="0"/>
        <w:jc w:val="both"/>
        <w:rPr/>
      </w:pPr>
      <w:r>
        <w:rPr/>
      </w:r>
    </w:p>
    <w:p>
      <w:pPr>
        <w:pStyle w:val="Normal"/>
        <w:spacing w:before="0" w:after="0"/>
        <w:rPr>
          <w:sz w:val="4"/>
          <w:szCs w:val="4"/>
        </w:rPr>
      </w:pPr>
      <w:r>
        <w:rPr>
          <w:sz w:val="4"/>
          <w:szCs w:val="4"/>
        </w:rPr>
      </w:r>
      <w:bookmarkStart w:id="3626" w:name="ftable48"/>
      <w:bookmarkStart w:id="3627" w:name="ftable48"/>
      <w:bookmarkEnd w:id="3627"/>
    </w:p>
    <w:tbl>
      <w:tblPr>
        <w:tblW w:w="5000" w:type="pct"/>
        <w:jc w:val="left"/>
        <w:tblInd w:w="0" w:type="dxa"/>
        <w:tblCellMar>
          <w:top w:w="0" w:type="dxa"/>
          <w:left w:w="0" w:type="dxa"/>
          <w:bottom w:w="28" w:type="dxa"/>
          <w:right w:w="0" w:type="dxa"/>
        </w:tblCellMar>
      </w:tblPr>
      <w:tblGrid>
        <w:gridCol w:w="8525"/>
        <w:gridCol w:w="209"/>
        <w:gridCol w:w="130"/>
        <w:gridCol w:w="1221"/>
        <w:gridCol w:w="120"/>
      </w:tblGrid>
      <w:tr>
        <w:trPr/>
        <w:tc>
          <w:tcPr>
            <w:tcW w:w="8525" w:type="dxa"/>
            <w:tcBorders>
              <w:bottom w:val="double" w:sz="2" w:space="0" w:color="000000"/>
            </w:tcBorders>
            <w:shd w:fill="auto" w:val="clear"/>
            <w:vAlign w:val="bottom"/>
          </w:tcPr>
          <w:p>
            <w:pPr>
              <w:pStyle w:val="TableContents"/>
              <w:spacing w:lineRule="auto" w:line="300" w:before="0" w:after="0"/>
              <w:ind w:left="0" w:right="0" w:hanging="0"/>
              <w:jc w:val="left"/>
              <w:rPr/>
            </w:pPr>
            <w:r>
              <w:rPr>
                <w:rStyle w:val="StrongEmphasis"/>
                <w:rFonts w:ascii="Times New Roman" w:hAnsi="Times New Roman"/>
                <w:sz w:val="20"/>
              </w:rPr>
              <w:t>Expiration Date</w:t>
            </w:r>
          </w:p>
        </w:tc>
        <w:tc>
          <w:tcPr>
            <w:tcW w:w="209" w:type="dxa"/>
            <w:tcBorders>
              <w:bottom w:val="single" w:sz="4" w:space="0" w:color="FFFFFF"/>
            </w:tcBorders>
            <w:shd w:fill="auto" w:val="clear"/>
            <w:vAlign w:val="center"/>
          </w:tcPr>
          <w:p>
            <w:pPr>
              <w:pStyle w:val="TableContents"/>
              <w:spacing w:before="0" w:after="283"/>
              <w:rPr/>
            </w:pPr>
            <w:r>
              <w:rPr/>
              <w:t> </w:t>
            </w:r>
          </w:p>
        </w:tc>
        <w:tc>
          <w:tcPr>
            <w:tcW w:w="1351"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Amount</w:t>
            </w:r>
          </w:p>
        </w:tc>
        <w:tc>
          <w:tcPr>
            <w:tcW w:w="120" w:type="dxa"/>
            <w:tcBorders>
              <w:bottom w:val="single" w:sz="4" w:space="0" w:color="FFFFFF"/>
            </w:tcBorders>
            <w:shd w:fill="auto" w:val="clear"/>
            <w:vAlign w:val="bottom"/>
          </w:tcPr>
          <w:p>
            <w:pPr>
              <w:pStyle w:val="TableContents"/>
              <w:spacing w:before="0" w:after="283"/>
              <w:jc w:val="left"/>
              <w:rPr/>
            </w:pPr>
            <w:r>
              <w:rPr/>
              <w:t> </w:t>
            </w:r>
          </w:p>
        </w:tc>
      </w:tr>
      <w:tr>
        <w:trPr/>
        <w:tc>
          <w:tcPr>
            <w:tcW w:w="8525"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2018</w:t>
            </w:r>
          </w:p>
        </w:tc>
        <w:tc>
          <w:tcPr>
            <w:tcW w:w="209" w:type="dxa"/>
            <w:tcBorders/>
            <w:shd w:fill="CCEEFF" w:val="clear"/>
            <w:tcMar>
              <w:bottom w:w="0" w:type="dxa"/>
            </w:tcMar>
            <w:vAlign w:val="center"/>
          </w:tcPr>
          <w:p>
            <w:pPr>
              <w:pStyle w:val="TableContents"/>
              <w:spacing w:before="0" w:after="283"/>
              <w:rPr/>
            </w:pPr>
            <w:r>
              <w:rPr/>
              <w:t> </w:t>
            </w:r>
          </w:p>
        </w:tc>
        <w:tc>
          <w:tcPr>
            <w:tcW w:w="130"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3628" w:name="TAB11713"/>
            <w:bookmarkEnd w:id="3628"/>
            <w:r>
              <w:rPr>
                <w:rFonts w:ascii="Times New Roman" w:hAnsi="Times New Roman"/>
                <w:sz w:val="20"/>
              </w:rPr>
              <w:t>$</w:t>
            </w:r>
          </w:p>
        </w:tc>
        <w:tc>
          <w:tcPr>
            <w:tcW w:w="1221"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3629" w:name="TAB11714"/>
            <w:bookmarkEnd w:id="3629"/>
            <w:r>
              <w:rPr>
                <w:rFonts w:ascii="Times New Roman" w:hAnsi="Times New Roman"/>
                <w:sz w:val="20"/>
              </w:rPr>
              <w:t>4</w:t>
            </w:r>
          </w:p>
        </w:tc>
        <w:tc>
          <w:tcPr>
            <w:tcW w:w="120" w:type="dxa"/>
            <w:tcBorders/>
            <w:shd w:fill="CCEEFF" w:val="clear"/>
            <w:tcMar>
              <w:bottom w:w="0" w:type="dxa"/>
            </w:tcMar>
            <w:vAlign w:val="bottom"/>
          </w:tcPr>
          <w:p>
            <w:pPr>
              <w:pStyle w:val="TableContents"/>
              <w:spacing w:before="0" w:after="283"/>
              <w:jc w:val="left"/>
              <w:rPr/>
            </w:pPr>
            <w:r>
              <w:rPr/>
              <w:t> </w:t>
            </w:r>
          </w:p>
        </w:tc>
      </w:tr>
      <w:tr>
        <w:trPr/>
        <w:tc>
          <w:tcPr>
            <w:tcW w:w="8525"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2019</w:t>
            </w:r>
          </w:p>
        </w:tc>
        <w:tc>
          <w:tcPr>
            <w:tcW w:w="209" w:type="dxa"/>
            <w:tcBorders/>
            <w:shd w:fill="FFFFFF" w:val="clear"/>
            <w:tcMar>
              <w:bottom w:w="0" w:type="dxa"/>
            </w:tcMar>
            <w:vAlign w:val="center"/>
          </w:tcPr>
          <w:p>
            <w:pPr>
              <w:pStyle w:val="TableContents"/>
              <w:spacing w:before="0" w:after="283"/>
              <w:rPr/>
            </w:pPr>
            <w:r>
              <w:rPr/>
              <w:t> </w:t>
            </w:r>
          </w:p>
        </w:tc>
        <w:tc>
          <w:tcPr>
            <w:tcW w:w="130" w:type="dxa"/>
            <w:tcBorders/>
            <w:shd w:fill="FFFFFF" w:val="clear"/>
            <w:tcMar>
              <w:bottom w:w="0" w:type="dxa"/>
            </w:tcMar>
            <w:vAlign w:val="bottom"/>
          </w:tcPr>
          <w:p>
            <w:pPr>
              <w:pStyle w:val="TableContents"/>
              <w:spacing w:before="0" w:after="283"/>
              <w:jc w:val="left"/>
              <w:rPr/>
            </w:pPr>
            <w:r>
              <w:rPr/>
              <w:t> </w:t>
            </w:r>
          </w:p>
        </w:tc>
        <w:tc>
          <w:tcPr>
            <w:tcW w:w="1221"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1,320</w:t>
            </w:r>
          </w:p>
        </w:tc>
        <w:tc>
          <w:tcPr>
            <w:tcW w:w="120" w:type="dxa"/>
            <w:tcBorders/>
            <w:shd w:fill="FFFFFF" w:val="clear"/>
            <w:tcMar>
              <w:bottom w:w="0" w:type="dxa"/>
            </w:tcMar>
            <w:vAlign w:val="bottom"/>
          </w:tcPr>
          <w:p>
            <w:pPr>
              <w:pStyle w:val="TableContents"/>
              <w:spacing w:before="0" w:after="283"/>
              <w:jc w:val="left"/>
              <w:rPr/>
            </w:pPr>
            <w:r>
              <w:rPr/>
              <w:t> </w:t>
            </w:r>
          </w:p>
        </w:tc>
      </w:tr>
      <w:tr>
        <w:trPr/>
        <w:tc>
          <w:tcPr>
            <w:tcW w:w="8525"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2021</w:t>
            </w:r>
          </w:p>
        </w:tc>
        <w:tc>
          <w:tcPr>
            <w:tcW w:w="209" w:type="dxa"/>
            <w:tcBorders/>
            <w:shd w:fill="CCEEFF" w:val="clear"/>
            <w:tcMar>
              <w:bottom w:w="0" w:type="dxa"/>
            </w:tcMar>
            <w:vAlign w:val="center"/>
          </w:tcPr>
          <w:p>
            <w:pPr>
              <w:pStyle w:val="TableContents"/>
              <w:spacing w:before="0" w:after="283"/>
              <w:rPr/>
            </w:pPr>
            <w:r>
              <w:rPr/>
              <w:t> </w:t>
            </w:r>
          </w:p>
        </w:tc>
        <w:tc>
          <w:tcPr>
            <w:tcW w:w="130" w:type="dxa"/>
            <w:tcBorders/>
            <w:shd w:fill="CCEEFF" w:val="clear"/>
            <w:tcMar>
              <w:bottom w:w="0" w:type="dxa"/>
            </w:tcMar>
            <w:vAlign w:val="bottom"/>
          </w:tcPr>
          <w:p>
            <w:pPr>
              <w:pStyle w:val="TableContents"/>
              <w:spacing w:before="0" w:after="283"/>
              <w:jc w:val="left"/>
              <w:rPr/>
            </w:pPr>
            <w:r>
              <w:rPr/>
              <w:t> </w:t>
            </w:r>
          </w:p>
        </w:tc>
        <w:tc>
          <w:tcPr>
            <w:tcW w:w="1221"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9,002</w:t>
            </w:r>
          </w:p>
        </w:tc>
        <w:tc>
          <w:tcPr>
            <w:tcW w:w="120" w:type="dxa"/>
            <w:tcBorders/>
            <w:shd w:fill="CCEEFF" w:val="clear"/>
            <w:tcMar>
              <w:bottom w:w="0" w:type="dxa"/>
            </w:tcMar>
            <w:vAlign w:val="bottom"/>
          </w:tcPr>
          <w:p>
            <w:pPr>
              <w:pStyle w:val="TableContents"/>
              <w:spacing w:before="0" w:after="283"/>
              <w:jc w:val="left"/>
              <w:rPr/>
            </w:pPr>
            <w:r>
              <w:rPr/>
              <w:t> </w:t>
            </w:r>
          </w:p>
        </w:tc>
      </w:tr>
      <w:tr>
        <w:trPr/>
        <w:tc>
          <w:tcPr>
            <w:tcW w:w="8525"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2022</w:t>
            </w:r>
          </w:p>
        </w:tc>
        <w:tc>
          <w:tcPr>
            <w:tcW w:w="209" w:type="dxa"/>
            <w:tcBorders/>
            <w:shd w:fill="FFFFFF" w:val="clear"/>
            <w:tcMar>
              <w:bottom w:w="0" w:type="dxa"/>
            </w:tcMar>
            <w:vAlign w:val="center"/>
          </w:tcPr>
          <w:p>
            <w:pPr>
              <w:pStyle w:val="TableContents"/>
              <w:spacing w:before="0" w:after="283"/>
              <w:rPr/>
            </w:pPr>
            <w:r>
              <w:rPr/>
              <w:t> </w:t>
            </w:r>
          </w:p>
        </w:tc>
        <w:tc>
          <w:tcPr>
            <w:tcW w:w="130" w:type="dxa"/>
            <w:tcBorders/>
            <w:shd w:fill="FFFFFF" w:val="clear"/>
            <w:tcMar>
              <w:bottom w:w="0" w:type="dxa"/>
            </w:tcMar>
            <w:vAlign w:val="bottom"/>
          </w:tcPr>
          <w:p>
            <w:pPr>
              <w:pStyle w:val="TableContents"/>
              <w:spacing w:before="0" w:after="283"/>
              <w:jc w:val="left"/>
              <w:rPr/>
            </w:pPr>
            <w:r>
              <w:rPr/>
              <w:t> </w:t>
            </w:r>
          </w:p>
        </w:tc>
        <w:tc>
          <w:tcPr>
            <w:tcW w:w="1221"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1,636</w:t>
            </w:r>
          </w:p>
        </w:tc>
        <w:tc>
          <w:tcPr>
            <w:tcW w:w="120" w:type="dxa"/>
            <w:tcBorders/>
            <w:shd w:fill="FFFFFF" w:val="clear"/>
            <w:tcMar>
              <w:bottom w:w="0" w:type="dxa"/>
            </w:tcMar>
            <w:vAlign w:val="bottom"/>
          </w:tcPr>
          <w:p>
            <w:pPr>
              <w:pStyle w:val="TableContents"/>
              <w:spacing w:before="0" w:after="283"/>
              <w:jc w:val="left"/>
              <w:rPr/>
            </w:pPr>
            <w:r>
              <w:rPr/>
              <w:t> </w:t>
            </w:r>
          </w:p>
        </w:tc>
      </w:tr>
      <w:tr>
        <w:trPr/>
        <w:tc>
          <w:tcPr>
            <w:tcW w:w="8525" w:type="dxa"/>
            <w:tcBorders>
              <w:bottom w:val="sing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2025</w:t>
            </w:r>
          </w:p>
        </w:tc>
        <w:tc>
          <w:tcPr>
            <w:tcW w:w="209" w:type="dxa"/>
            <w:tcBorders>
              <w:bottom w:val="single" w:sz="2" w:space="0" w:color="CCEEFF"/>
            </w:tcBorders>
            <w:shd w:fill="CCEEFF" w:val="clear"/>
            <w:vAlign w:val="center"/>
          </w:tcPr>
          <w:p>
            <w:pPr>
              <w:pStyle w:val="TableContents"/>
              <w:spacing w:before="0" w:after="283"/>
              <w:rPr/>
            </w:pPr>
            <w:r>
              <w:rPr/>
              <w:t> </w:t>
            </w:r>
          </w:p>
        </w:tc>
        <w:tc>
          <w:tcPr>
            <w:tcW w:w="130" w:type="dxa"/>
            <w:tcBorders>
              <w:bottom w:val="single" w:sz="2" w:space="0" w:color="000000"/>
            </w:tcBorders>
            <w:shd w:fill="CCEEFF" w:val="clear"/>
            <w:vAlign w:val="bottom"/>
          </w:tcPr>
          <w:p>
            <w:pPr>
              <w:pStyle w:val="TableContents"/>
              <w:spacing w:before="0" w:after="283"/>
              <w:jc w:val="left"/>
              <w:rPr/>
            </w:pPr>
            <w:r>
              <w:rPr/>
              <w:t> </w:t>
            </w:r>
          </w:p>
        </w:tc>
        <w:tc>
          <w:tcPr>
            <w:tcW w:w="1221"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28,345</w:t>
            </w:r>
          </w:p>
        </w:tc>
        <w:tc>
          <w:tcPr>
            <w:tcW w:w="120" w:type="dxa"/>
            <w:tcBorders>
              <w:bottom w:val="single" w:sz="2" w:space="0" w:color="CCEEFF"/>
            </w:tcBorders>
            <w:shd w:fill="CCEEFF" w:val="clear"/>
            <w:vAlign w:val="bottom"/>
          </w:tcPr>
          <w:p>
            <w:pPr>
              <w:pStyle w:val="TableContents"/>
              <w:spacing w:before="0" w:after="283"/>
              <w:jc w:val="left"/>
              <w:rPr/>
            </w:pPr>
            <w:r>
              <w:rPr/>
              <w:t> </w:t>
            </w:r>
          </w:p>
        </w:tc>
      </w:tr>
      <w:tr>
        <w:trPr/>
        <w:tc>
          <w:tcPr>
            <w:tcW w:w="8525" w:type="dxa"/>
            <w:tcBorders>
              <w:bottom w:val="doub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Total net operating loss carryforwards</w:t>
            </w:r>
          </w:p>
        </w:tc>
        <w:tc>
          <w:tcPr>
            <w:tcW w:w="209" w:type="dxa"/>
            <w:tcBorders>
              <w:bottom w:val="single" w:sz="4" w:space="0" w:color="FFFFFF"/>
            </w:tcBorders>
            <w:shd w:fill="FFFFFF" w:val="clear"/>
            <w:vAlign w:val="center"/>
          </w:tcPr>
          <w:p>
            <w:pPr>
              <w:pStyle w:val="TableContents"/>
              <w:spacing w:before="0" w:after="283"/>
              <w:rPr/>
            </w:pPr>
            <w:r>
              <w:rPr/>
              <w:t> </w:t>
            </w:r>
          </w:p>
        </w:tc>
        <w:tc>
          <w:tcPr>
            <w:tcW w:w="130" w:type="dxa"/>
            <w:tcBorders>
              <w:bottom w:val="doub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bookmarkStart w:id="3630" w:name="TAB11715"/>
            <w:bookmarkEnd w:id="3630"/>
            <w:r>
              <w:rPr>
                <w:rFonts w:ascii="Times New Roman" w:hAnsi="Times New Roman"/>
                <w:sz w:val="20"/>
              </w:rPr>
              <w:t>$</w:t>
            </w:r>
          </w:p>
        </w:tc>
        <w:tc>
          <w:tcPr>
            <w:tcW w:w="1221"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3631" w:name="TAB11716"/>
            <w:bookmarkEnd w:id="3631"/>
            <w:r>
              <w:rPr>
                <w:rFonts w:ascii="Times New Roman" w:hAnsi="Times New Roman"/>
                <w:sz w:val="20"/>
              </w:rPr>
              <w:t>40,307</w:t>
            </w:r>
          </w:p>
        </w:tc>
        <w:tc>
          <w:tcPr>
            <w:tcW w:w="120" w:type="dxa"/>
            <w:tcBorders>
              <w:bottom w:val="single" w:sz="4" w:space="0" w:color="FFFFFF"/>
            </w:tcBorders>
            <w:shd w:fill="FFFFFF" w:val="clear"/>
            <w:vAlign w:val="bottom"/>
          </w:tcPr>
          <w:p>
            <w:pPr>
              <w:pStyle w:val="TableContents"/>
              <w:spacing w:before="0" w:after="283"/>
              <w:jc w:val="left"/>
              <w:rPr/>
            </w:pPr>
            <w:r>
              <w:rPr/>
              <w:t> </w:t>
            </w:r>
          </w:p>
        </w:tc>
      </w:tr>
    </w:tbl>
    <w:p>
      <w:pPr>
        <w:pStyle w:val="TextBody"/>
        <w:spacing w:lineRule="auto" w:line="300" w:before="0" w:after="0"/>
        <w:ind w:left="0" w:right="0" w:hanging="0"/>
        <w:jc w:val="left"/>
        <w:rPr/>
      </w:pPr>
      <w:r>
        <w:rPr/>
      </w:r>
    </w:p>
    <w:p>
      <w:pPr>
        <w:pStyle w:val="TextBody"/>
        <w:spacing w:lineRule="auto" w:line="300" w:before="0" w:after="0"/>
        <w:ind w:left="720" w:right="0" w:hanging="0"/>
        <w:jc w:val="both"/>
        <w:rPr>
          <w:rFonts w:ascii="Times New Roman" w:hAnsi="Times New Roman"/>
          <w:sz w:val="20"/>
        </w:rPr>
      </w:pPr>
      <w:bookmarkStart w:id="3632" w:name="TAB11717"/>
      <w:bookmarkEnd w:id="3632"/>
      <w:r>
        <w:rPr>
          <w:rFonts w:ascii="Times New Roman" w:hAnsi="Times New Roman"/>
          <w:sz w:val="20"/>
        </w:rPr>
        <w:t>In addition to the above expiring net operating losses carried forward, we have the following loss carry forwards that have no expiration date:</w:t>
      </w:r>
    </w:p>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3633" w:name="hangingindent295"/>
      <w:bookmarkStart w:id="3634" w:name="hangingindent295"/>
      <w:bookmarkEnd w:id="3634"/>
    </w:p>
    <w:tbl>
      <w:tblPr>
        <w:tblW w:w="5000" w:type="pct"/>
        <w:jc w:val="center"/>
        <w:tblInd w:w="0" w:type="dxa"/>
        <w:tblCellMar>
          <w:top w:w="0" w:type="dxa"/>
          <w:left w:w="0" w:type="dxa"/>
          <w:bottom w:w="0" w:type="dxa"/>
          <w:right w:w="0" w:type="dxa"/>
        </w:tblCellMar>
      </w:tblPr>
      <w:tblGrid>
        <w:gridCol w:w="74"/>
        <w:gridCol w:w="118"/>
        <w:gridCol w:w="10013"/>
      </w:tblGrid>
      <w:tr>
        <w:trPr/>
        <w:tc>
          <w:tcPr>
            <w:tcW w:w="74" w:type="dxa"/>
            <w:tcBorders/>
            <w:shd w:fill="auto" w:val="clear"/>
          </w:tcPr>
          <w:p>
            <w:pPr>
              <w:pStyle w:val="TableContents"/>
              <w:spacing w:before="0" w:after="283"/>
              <w:rPr/>
            </w:pPr>
            <w:r>
              <w:rPr/>
              <w:t> </w:t>
            </w:r>
          </w:p>
        </w:tc>
        <w:tc>
          <w:tcPr>
            <w:tcW w:w="118"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1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approximately $3.6 million in alternative minimum tax credit carry forwards at December 31, 2006;</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3635" w:name="hangingindent296"/>
      <w:bookmarkStart w:id="3636" w:name="hangingindent296"/>
      <w:bookmarkEnd w:id="3636"/>
    </w:p>
    <w:tbl>
      <w:tblPr>
        <w:tblW w:w="5000" w:type="pct"/>
        <w:jc w:val="center"/>
        <w:tblInd w:w="0" w:type="dxa"/>
        <w:tblCellMar>
          <w:top w:w="0" w:type="dxa"/>
          <w:left w:w="0" w:type="dxa"/>
          <w:bottom w:w="0" w:type="dxa"/>
          <w:right w:w="0" w:type="dxa"/>
        </w:tblCellMar>
      </w:tblPr>
      <w:tblGrid>
        <w:gridCol w:w="109"/>
        <w:gridCol w:w="173"/>
        <w:gridCol w:w="9923"/>
      </w:tblGrid>
      <w:tr>
        <w:trPr/>
        <w:tc>
          <w:tcPr>
            <w:tcW w:w="109" w:type="dxa"/>
            <w:tcBorders/>
            <w:shd w:fill="auto" w:val="clear"/>
          </w:tcPr>
          <w:p>
            <w:pPr>
              <w:pStyle w:val="TableContents"/>
              <w:spacing w:before="0" w:after="283"/>
              <w:rPr/>
            </w:pPr>
            <w:r>
              <w:rPr/>
              <w:t> </w:t>
            </w:r>
          </w:p>
        </w:tc>
        <w:tc>
          <w:tcPr>
            <w:tcW w:w="173"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992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approximately $53.9 million in Australian loss carry forwards; and </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3637" w:name="hangingindent297"/>
      <w:bookmarkStart w:id="3638" w:name="hangingindent297"/>
      <w:bookmarkEnd w:id="3638"/>
    </w:p>
    <w:tbl>
      <w:tblPr>
        <w:tblW w:w="5000" w:type="pct"/>
        <w:jc w:val="center"/>
        <w:tblInd w:w="0" w:type="dxa"/>
        <w:tblCellMar>
          <w:top w:w="0" w:type="dxa"/>
          <w:left w:w="0" w:type="dxa"/>
          <w:bottom w:w="0" w:type="dxa"/>
          <w:right w:w="0" w:type="dxa"/>
        </w:tblCellMar>
      </w:tblPr>
      <w:tblGrid>
        <w:gridCol w:w="120"/>
        <w:gridCol w:w="190"/>
        <w:gridCol w:w="9895"/>
      </w:tblGrid>
      <w:tr>
        <w:trPr/>
        <w:tc>
          <w:tcPr>
            <w:tcW w:w="120" w:type="dxa"/>
            <w:tcBorders/>
            <w:shd w:fill="auto" w:val="clear"/>
          </w:tcPr>
          <w:p>
            <w:pPr>
              <w:pStyle w:val="TableContents"/>
              <w:spacing w:before="0" w:after="283"/>
              <w:rPr/>
            </w:pPr>
            <w:r>
              <w:rPr/>
              <w:t> </w:t>
            </w:r>
          </w:p>
        </w:tc>
        <w:tc>
          <w:tcPr>
            <w:tcW w:w="190"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989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approximately $827,000 in New Zealand loss carry forwards.</w:t>
            </w:r>
          </w:p>
        </w:tc>
      </w:tr>
    </w:tbl>
    <w:p>
      <w:pPr>
        <w:pStyle w:val="TextBody"/>
        <w:spacing w:lineRule="auto" w:line="300" w:before="0" w:after="0"/>
        <w:ind w:left="0" w:right="0" w:hanging="0"/>
        <w:jc w:val="both"/>
        <w:rPr/>
      </w:pPr>
      <w:r>
        <w:rPr/>
      </w:r>
    </w:p>
    <w:p>
      <w:pPr>
        <w:pStyle w:val="TextBody"/>
        <w:spacing w:lineRule="auto" w:line="300" w:before="0" w:after="0"/>
        <w:ind w:left="720" w:right="0" w:hanging="0"/>
        <w:jc w:val="both"/>
        <w:rPr>
          <w:rFonts w:ascii="Times New Roman" w:hAnsi="Times New Roman"/>
          <w:sz w:val="20"/>
        </w:rPr>
      </w:pPr>
      <w:bookmarkStart w:id="3639" w:name="TAB11718"/>
      <w:bookmarkEnd w:id="3639"/>
      <w:r>
        <w:rPr>
          <w:rFonts w:ascii="Times New Roman" w:hAnsi="Times New Roman"/>
          <w:sz w:val="20"/>
        </w:rPr>
        <w:t xml:space="preserve">We disposed of our Puerto Rico operations during 2005 and plan no further investment in Puerto Rico for the foreseeable future. We have approximately $34.6 million in Puerto Rico loss carry forwards expiring no later than 2012. Accordingly, we would have to re-enter the Puerto Rico market to recognize material future tax benefits from Puerto Rico loss carry forwards. </w:t>
      </w:r>
    </w:p>
    <w:p>
      <w:pPr>
        <w:pStyle w:val="TextBody"/>
        <w:spacing w:lineRule="auto" w:line="300" w:before="0" w:after="0"/>
        <w:ind w:left="0" w:right="0" w:hanging="0"/>
        <w:jc w:val="both"/>
        <w:rPr/>
      </w:pPr>
      <w:r>
        <w:rPr/>
      </w:r>
    </w:p>
    <w:p>
      <w:pPr>
        <w:pStyle w:val="TextBody"/>
        <w:spacing w:lineRule="auto" w:line="300" w:before="0" w:after="0"/>
        <w:ind w:left="720" w:right="0" w:hanging="0"/>
        <w:jc w:val="both"/>
        <w:rPr/>
      </w:pPr>
      <w:bookmarkStart w:id="3640" w:name="TAB11719"/>
      <w:bookmarkEnd w:id="3640"/>
      <w:r>
        <w:rPr>
          <w:rFonts w:ascii="Times New Roman" w:hAnsi="Times New Roman"/>
          <w:sz w:val="20"/>
        </w:rPr>
        <w:t xml:space="preserve">We expect no other substantial limitations on the future use of U.S. or foreign loss carry forwards except for reductions in unused U.S. loss carry forwards that may occur in connection with the 1996 Tax Audit described in Note 18 - </w:t>
      </w:r>
      <w:r>
        <w:rPr>
          <w:rStyle w:val="Emphasis"/>
          <w:rFonts w:ascii="Times New Roman" w:hAnsi="Times New Roman"/>
          <w:sz w:val="20"/>
        </w:rPr>
        <w:t>Commitments and Contingencies</w:t>
      </w:r>
      <w:r>
        <w:rPr>
          <w:rFonts w:ascii="Times New Roman" w:hAnsi="Times New Roman"/>
          <w:sz w:val="20"/>
        </w:rPr>
        <w:t>.</w:t>
      </w:r>
    </w:p>
    <w:p>
      <w:pPr>
        <w:pStyle w:val="TextBody"/>
        <w:spacing w:lineRule="auto" w:line="300"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641" w:name="PGBRK101"/>
      <w:bookmarkStart w:id="3642" w:name="PGBRK101"/>
      <w:bookmarkEnd w:id="364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643" w:name="FTR101"/>
      <w:bookmarkStart w:id="3644" w:name="FTR101"/>
      <w:bookmarkEnd w:id="364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645" w:name="GLFTR101"/>
      <w:bookmarkStart w:id="3646" w:name="GLFTR101"/>
      <w:bookmarkEnd w:id="364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3647" w:name="PN101"/>
      <w:bookmarkEnd w:id="3647"/>
      <w:r>
        <w:rPr>
          <w:rFonts w:ascii="Times New Roman" w:hAnsi="Times New Roman"/>
          <w:sz w:val="16"/>
        </w:rPr>
        <w:t>-101-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648" w:name="HDR101"/>
      <w:bookmarkStart w:id="3649" w:name="HDR101"/>
      <w:bookmarkEnd w:id="364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3650" w:name="GLHDR101"/>
        <w:bookmarkEnd w:id="3650"/>
        <w:r>
          <w:rPr>
            <w:rStyle w:val="Emphasis"/>
            <w:rFonts w:ascii="Times New Roman" w:hAnsi="Times New Roman"/>
            <w:color w:val="000000"/>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The provision for income taxes is different from amounts computed by applying U.S. statutory rates to consolidated losses before taxes. The significant reason for these differences follows (dollars in thousands):</w:t>
      </w:r>
    </w:p>
    <w:p>
      <w:pPr>
        <w:pStyle w:val="TextBody"/>
        <w:spacing w:lineRule="auto" w:line="300" w:before="0" w:after="0"/>
        <w:ind w:left="0" w:right="0" w:hanging="0"/>
        <w:jc w:val="center"/>
        <w:rPr/>
      </w:pPr>
      <w:r>
        <w:rPr/>
      </w:r>
    </w:p>
    <w:p>
      <w:pPr>
        <w:pStyle w:val="Normal"/>
        <w:spacing w:before="0" w:after="0"/>
        <w:rPr>
          <w:sz w:val="4"/>
          <w:szCs w:val="4"/>
        </w:rPr>
      </w:pPr>
      <w:r>
        <w:rPr>
          <w:sz w:val="4"/>
          <w:szCs w:val="4"/>
        </w:rPr>
      </w:r>
      <w:bookmarkStart w:id="3651" w:name="ftable49"/>
      <w:bookmarkStart w:id="3652" w:name="ftable49"/>
      <w:bookmarkEnd w:id="3652"/>
    </w:p>
    <w:tbl>
      <w:tblPr>
        <w:tblW w:w="5000" w:type="pct"/>
        <w:jc w:val="left"/>
        <w:tblInd w:w="0" w:type="dxa"/>
        <w:tblCellMar>
          <w:top w:w="0" w:type="dxa"/>
          <w:left w:w="0" w:type="dxa"/>
          <w:bottom w:w="28" w:type="dxa"/>
          <w:right w:w="0" w:type="dxa"/>
        </w:tblCellMar>
      </w:tblPr>
      <w:tblGrid>
        <w:gridCol w:w="5585"/>
        <w:gridCol w:w="203"/>
        <w:gridCol w:w="125"/>
        <w:gridCol w:w="1173"/>
        <w:gridCol w:w="208"/>
        <w:gridCol w:w="125"/>
        <w:gridCol w:w="1157"/>
        <w:gridCol w:w="208"/>
        <w:gridCol w:w="125"/>
        <w:gridCol w:w="1172"/>
        <w:gridCol w:w="124"/>
      </w:tblGrid>
      <w:tr>
        <w:trPr/>
        <w:tc>
          <w:tcPr>
            <w:tcW w:w="5585" w:type="dxa"/>
            <w:tcBorders>
              <w:bottom w:val="single" w:sz="4" w:space="0" w:color="FFFFFF"/>
            </w:tcBorders>
            <w:shd w:fill="auto" w:val="clear"/>
            <w:vAlign w:val="bottom"/>
          </w:tcPr>
          <w:p>
            <w:pPr>
              <w:pStyle w:val="TableContents"/>
              <w:spacing w:before="0" w:after="283"/>
              <w:jc w:val="left"/>
              <w:rPr/>
            </w:pPr>
            <w:r>
              <w:rPr/>
              <w:t> </w:t>
            </w:r>
          </w:p>
        </w:tc>
        <w:tc>
          <w:tcPr>
            <w:tcW w:w="203" w:type="dxa"/>
            <w:tcBorders>
              <w:bottom w:val="single" w:sz="2" w:space="0" w:color="FFFFFF"/>
            </w:tcBorders>
            <w:shd w:fill="auto" w:val="clear"/>
            <w:vAlign w:val="center"/>
          </w:tcPr>
          <w:p>
            <w:pPr>
              <w:pStyle w:val="TableContents"/>
              <w:spacing w:before="0" w:after="283"/>
              <w:rPr/>
            </w:pPr>
            <w:r>
              <w:rPr/>
              <w:t> </w:t>
            </w:r>
          </w:p>
        </w:tc>
        <w:tc>
          <w:tcPr>
            <w:tcW w:w="4293" w:type="dxa"/>
            <w:gridSpan w:val="8"/>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Year Ended December 31,</w:t>
            </w:r>
          </w:p>
        </w:tc>
        <w:tc>
          <w:tcPr>
            <w:tcW w:w="124" w:type="dxa"/>
            <w:tcBorders>
              <w:bottom w:val="single" w:sz="2" w:space="0" w:color="FFFFFF"/>
            </w:tcBorders>
            <w:shd w:fill="auto" w:val="clear"/>
            <w:vAlign w:val="bottom"/>
          </w:tcPr>
          <w:p>
            <w:pPr>
              <w:pStyle w:val="TableContents"/>
              <w:spacing w:before="0" w:after="283"/>
              <w:jc w:val="left"/>
              <w:rPr/>
            </w:pPr>
            <w:r>
              <w:rPr/>
              <w:t> </w:t>
            </w:r>
          </w:p>
        </w:tc>
      </w:tr>
      <w:tr>
        <w:trPr/>
        <w:tc>
          <w:tcPr>
            <w:tcW w:w="5585" w:type="dxa"/>
            <w:tcBorders>
              <w:bottom w:val="double" w:sz="2" w:space="0" w:color="000000"/>
            </w:tcBorders>
            <w:shd w:fill="auto" w:val="clear"/>
            <w:vAlign w:val="bottom"/>
          </w:tcPr>
          <w:p>
            <w:pPr>
              <w:pStyle w:val="TableContents"/>
              <w:spacing w:before="0" w:after="283"/>
              <w:jc w:val="left"/>
              <w:rPr/>
            </w:pPr>
            <w:r>
              <w:rPr/>
              <w:t> </w:t>
            </w:r>
          </w:p>
        </w:tc>
        <w:tc>
          <w:tcPr>
            <w:tcW w:w="203" w:type="dxa"/>
            <w:tcBorders>
              <w:bottom w:val="single" w:sz="4" w:space="0" w:color="FFFFFF"/>
            </w:tcBorders>
            <w:shd w:fill="auto" w:val="clear"/>
            <w:vAlign w:val="center"/>
          </w:tcPr>
          <w:p>
            <w:pPr>
              <w:pStyle w:val="TableContents"/>
              <w:spacing w:before="0" w:after="283"/>
              <w:rPr/>
            </w:pPr>
            <w:r>
              <w:rPr/>
              <w:t> </w:t>
            </w:r>
          </w:p>
        </w:tc>
        <w:tc>
          <w:tcPr>
            <w:tcW w:w="1298"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2006</w:t>
            </w:r>
          </w:p>
        </w:tc>
        <w:tc>
          <w:tcPr>
            <w:tcW w:w="208" w:type="dxa"/>
            <w:tcBorders>
              <w:bottom w:val="single" w:sz="4" w:space="0" w:color="FFFFFF"/>
            </w:tcBorders>
            <w:shd w:fill="auto" w:val="clear"/>
            <w:vAlign w:val="bottom"/>
          </w:tcPr>
          <w:p>
            <w:pPr>
              <w:pStyle w:val="TableContents"/>
              <w:spacing w:before="0" w:after="283"/>
              <w:jc w:val="left"/>
              <w:rPr/>
            </w:pPr>
            <w:r>
              <w:rPr/>
              <w:t> </w:t>
            </w:r>
          </w:p>
        </w:tc>
        <w:tc>
          <w:tcPr>
            <w:tcW w:w="1282"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2005</w:t>
            </w:r>
          </w:p>
        </w:tc>
        <w:tc>
          <w:tcPr>
            <w:tcW w:w="208" w:type="dxa"/>
            <w:tcBorders>
              <w:bottom w:val="single" w:sz="4" w:space="0" w:color="FFFFFF"/>
            </w:tcBorders>
            <w:shd w:fill="auto" w:val="clear"/>
            <w:vAlign w:val="bottom"/>
          </w:tcPr>
          <w:p>
            <w:pPr>
              <w:pStyle w:val="TableContents"/>
              <w:spacing w:before="0" w:after="283"/>
              <w:jc w:val="left"/>
              <w:rPr/>
            </w:pPr>
            <w:r>
              <w:rPr/>
              <w:t> </w:t>
            </w:r>
          </w:p>
        </w:tc>
        <w:tc>
          <w:tcPr>
            <w:tcW w:w="1297"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2004</w:t>
            </w:r>
          </w:p>
        </w:tc>
        <w:tc>
          <w:tcPr>
            <w:tcW w:w="124" w:type="dxa"/>
            <w:tcBorders>
              <w:bottom w:val="single" w:sz="4" w:space="0" w:color="FFFFFF"/>
            </w:tcBorders>
            <w:shd w:fill="auto" w:val="clear"/>
            <w:vAlign w:val="bottom"/>
          </w:tcPr>
          <w:p>
            <w:pPr>
              <w:pStyle w:val="TableContents"/>
              <w:spacing w:before="0" w:after="283"/>
              <w:jc w:val="left"/>
              <w:rPr/>
            </w:pPr>
            <w:r>
              <w:rPr/>
              <w:t> </w:t>
            </w:r>
          </w:p>
        </w:tc>
      </w:tr>
      <w:tr>
        <w:trPr/>
        <w:tc>
          <w:tcPr>
            <w:tcW w:w="5585" w:type="dxa"/>
            <w:tcBorders/>
            <w:shd w:fill="CCEEFF" w:val="clear"/>
            <w:tcMar>
              <w:bottom w:w="0" w:type="dxa"/>
            </w:tcMar>
            <w:vAlign w:val="bottom"/>
          </w:tcPr>
          <w:p>
            <w:pPr>
              <w:pStyle w:val="TableContents"/>
              <w:spacing w:lineRule="auto" w:line="300" w:before="0" w:after="0"/>
              <w:ind w:left="360" w:right="0" w:hanging="360"/>
              <w:jc w:val="left"/>
              <w:rPr>
                <w:rFonts w:ascii="Times New Roman" w:hAnsi="Times New Roman"/>
                <w:sz w:val="20"/>
              </w:rPr>
            </w:pPr>
            <w:r>
              <w:rPr>
                <w:rFonts w:ascii="Times New Roman" w:hAnsi="Times New Roman"/>
                <w:sz w:val="20"/>
              </w:rPr>
              <w:t>Expected tax provision (benefit)</w:t>
            </w:r>
          </w:p>
        </w:tc>
        <w:tc>
          <w:tcPr>
            <w:tcW w:w="203" w:type="dxa"/>
            <w:tcBorders/>
            <w:shd w:fill="CCEEFF" w:val="clear"/>
            <w:tcMar>
              <w:bottom w:w="0" w:type="dxa"/>
            </w:tcMar>
            <w:vAlign w:val="center"/>
          </w:tcPr>
          <w:p>
            <w:pPr>
              <w:pStyle w:val="TableContents"/>
              <w:spacing w:before="0" w:after="283"/>
              <w:rPr/>
            </w:pPr>
            <w:r>
              <w:rPr/>
              <w:t> </w:t>
            </w:r>
          </w:p>
        </w:tc>
        <w:tc>
          <w:tcPr>
            <w:tcW w:w="125"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3653" w:name="TAB11720"/>
            <w:bookmarkEnd w:id="3653"/>
            <w:r>
              <w:rPr>
                <w:rFonts w:ascii="Times New Roman" w:hAnsi="Times New Roman"/>
                <w:sz w:val="20"/>
              </w:rPr>
              <w:t>$</w:t>
            </w:r>
          </w:p>
        </w:tc>
        <w:tc>
          <w:tcPr>
            <w:tcW w:w="1173"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3654" w:name="TAB11721"/>
            <w:bookmarkEnd w:id="3654"/>
            <w:r>
              <w:rPr>
                <w:rFonts w:ascii="Times New Roman" w:hAnsi="Times New Roman"/>
                <w:sz w:val="20"/>
              </w:rPr>
              <w:t>2,149</w:t>
            </w:r>
          </w:p>
        </w:tc>
        <w:tc>
          <w:tcPr>
            <w:tcW w:w="208"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3655" w:name="TAB11722"/>
            <w:bookmarkEnd w:id="3655"/>
            <w:r>
              <w:rPr>
                <w:rFonts w:ascii="Times New Roman" w:hAnsi="Times New Roman"/>
                <w:sz w:val="20"/>
              </w:rPr>
              <w:t>$</w:t>
            </w:r>
          </w:p>
        </w:tc>
        <w:tc>
          <w:tcPr>
            <w:tcW w:w="1157"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3656" w:name="TAB11723"/>
            <w:bookmarkEnd w:id="3656"/>
            <w:r>
              <w:rPr>
                <w:rFonts w:ascii="Times New Roman" w:hAnsi="Times New Roman"/>
                <w:sz w:val="20"/>
              </w:rPr>
              <w:t>769</w:t>
            </w:r>
          </w:p>
        </w:tc>
        <w:tc>
          <w:tcPr>
            <w:tcW w:w="208"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3657" w:name="TAB11724"/>
            <w:bookmarkEnd w:id="3657"/>
            <w:r>
              <w:rPr>
                <w:rFonts w:ascii="Times New Roman" w:hAnsi="Times New Roman"/>
                <w:sz w:val="20"/>
              </w:rPr>
              <w:t>$</w:t>
            </w:r>
          </w:p>
        </w:tc>
        <w:tc>
          <w:tcPr>
            <w:tcW w:w="1172"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3658" w:name="TAB11725"/>
            <w:bookmarkEnd w:id="3658"/>
            <w:r>
              <w:rPr>
                <w:rFonts w:ascii="Times New Roman" w:hAnsi="Times New Roman"/>
                <w:sz w:val="20"/>
              </w:rPr>
              <w:t>(2,596</w:t>
            </w:r>
          </w:p>
        </w:tc>
        <w:tc>
          <w:tcPr>
            <w:tcW w:w="124"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3659" w:name="TAB11726"/>
            <w:bookmarkEnd w:id="3659"/>
            <w:r>
              <w:rPr>
                <w:rFonts w:ascii="Times New Roman" w:hAnsi="Times New Roman"/>
                <w:sz w:val="20"/>
              </w:rPr>
              <w:t>)</w:t>
            </w:r>
          </w:p>
        </w:tc>
      </w:tr>
      <w:tr>
        <w:trPr/>
        <w:tc>
          <w:tcPr>
            <w:tcW w:w="5585"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Reduction (increase) in taxes resulting from:</w:t>
            </w:r>
          </w:p>
        </w:tc>
        <w:tc>
          <w:tcPr>
            <w:tcW w:w="203" w:type="dxa"/>
            <w:tcBorders/>
            <w:shd w:fill="FFFFFF" w:val="clear"/>
            <w:tcMar>
              <w:bottom w:w="0" w:type="dxa"/>
            </w:tcMar>
            <w:vAlign w:val="center"/>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73" w:type="dxa"/>
            <w:tcBorders/>
            <w:shd w:fill="FFFFFF" w:val="clear"/>
            <w:tcMar>
              <w:bottom w:w="0" w:type="dxa"/>
            </w:tcMar>
            <w:vAlign w:val="bottom"/>
          </w:tcPr>
          <w:p>
            <w:pPr>
              <w:pStyle w:val="TableContents"/>
              <w:spacing w:before="0" w:after="283"/>
              <w:jc w:val="right"/>
              <w:rPr/>
            </w:pPr>
            <w:r>
              <w:rPr/>
              <w:t> </w:t>
            </w:r>
          </w:p>
        </w:tc>
        <w:tc>
          <w:tcPr>
            <w:tcW w:w="208"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57" w:type="dxa"/>
            <w:tcBorders/>
            <w:shd w:fill="FFFFFF" w:val="clear"/>
            <w:tcMar>
              <w:bottom w:w="0" w:type="dxa"/>
            </w:tcMar>
            <w:vAlign w:val="bottom"/>
          </w:tcPr>
          <w:p>
            <w:pPr>
              <w:pStyle w:val="TableContents"/>
              <w:spacing w:before="0" w:after="283"/>
              <w:jc w:val="right"/>
              <w:rPr/>
            </w:pPr>
            <w:r>
              <w:rPr/>
              <w:t> </w:t>
            </w:r>
          </w:p>
        </w:tc>
        <w:tc>
          <w:tcPr>
            <w:tcW w:w="208"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72" w:type="dxa"/>
            <w:tcBorders/>
            <w:shd w:fill="FFFFFF" w:val="clear"/>
            <w:tcMar>
              <w:bottom w:w="0" w:type="dxa"/>
            </w:tcMar>
            <w:vAlign w:val="bottom"/>
          </w:tcPr>
          <w:p>
            <w:pPr>
              <w:pStyle w:val="TableContents"/>
              <w:spacing w:before="0" w:after="283"/>
              <w:jc w:val="right"/>
              <w:rPr/>
            </w:pPr>
            <w:r>
              <w:rPr/>
              <w:t> </w:t>
            </w:r>
          </w:p>
        </w:tc>
        <w:tc>
          <w:tcPr>
            <w:tcW w:w="124" w:type="dxa"/>
            <w:tcBorders/>
            <w:shd w:fill="FFFFFF" w:val="clear"/>
            <w:tcMar>
              <w:bottom w:w="0" w:type="dxa"/>
            </w:tcMar>
            <w:vAlign w:val="bottom"/>
          </w:tcPr>
          <w:p>
            <w:pPr>
              <w:pStyle w:val="TableContents"/>
              <w:spacing w:before="0" w:after="283"/>
              <w:jc w:val="left"/>
              <w:rPr/>
            </w:pPr>
            <w:r>
              <w:rPr/>
              <w:t> </w:t>
            </w:r>
          </w:p>
        </w:tc>
      </w:tr>
      <w:tr>
        <w:trPr/>
        <w:tc>
          <w:tcPr>
            <w:tcW w:w="5585" w:type="dxa"/>
            <w:tcBorders/>
            <w:shd w:fill="CCEEFF" w:val="clear"/>
            <w:tcMar>
              <w:bottom w:w="0" w:type="dxa"/>
            </w:tcMar>
            <w:vAlign w:val="bottom"/>
          </w:tcPr>
          <w:p>
            <w:pPr>
              <w:pStyle w:val="TableContents"/>
              <w:spacing w:lineRule="auto" w:line="300" w:before="0" w:after="0"/>
              <w:ind w:left="540" w:right="0" w:hanging="360"/>
              <w:jc w:val="left"/>
              <w:rPr>
                <w:rFonts w:ascii="Times New Roman" w:hAnsi="Times New Roman"/>
                <w:sz w:val="20"/>
              </w:rPr>
            </w:pPr>
            <w:bookmarkStart w:id="3660" w:name="TAB11727"/>
            <w:bookmarkEnd w:id="3660"/>
            <w:r>
              <w:rPr>
                <w:rFonts w:ascii="Times New Roman" w:hAnsi="Times New Roman"/>
                <w:sz w:val="20"/>
              </w:rPr>
              <w:t>Change in valuation allowance</w:t>
            </w:r>
          </w:p>
        </w:tc>
        <w:tc>
          <w:tcPr>
            <w:tcW w:w="203" w:type="dxa"/>
            <w:tcBorders/>
            <w:shd w:fill="CCEEFF" w:val="clear"/>
            <w:tcMar>
              <w:bottom w:w="0" w:type="dxa"/>
            </w:tcMar>
            <w:vAlign w:val="center"/>
          </w:tcPr>
          <w:p>
            <w:pPr>
              <w:pStyle w:val="TableContents"/>
              <w:spacing w:before="0" w:after="283"/>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173"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(2,366</w:t>
            </w:r>
          </w:p>
        </w:tc>
        <w:tc>
          <w:tcPr>
            <w:tcW w:w="208"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25" w:type="dxa"/>
            <w:tcBorders/>
            <w:shd w:fill="CCEEFF" w:val="clear"/>
            <w:tcMar>
              <w:bottom w:w="0" w:type="dxa"/>
            </w:tcMar>
            <w:vAlign w:val="bottom"/>
          </w:tcPr>
          <w:p>
            <w:pPr>
              <w:pStyle w:val="TableContents"/>
              <w:spacing w:before="0" w:after="283"/>
              <w:jc w:val="left"/>
              <w:rPr/>
            </w:pPr>
            <w:r>
              <w:rPr/>
              <w:t> </w:t>
            </w:r>
          </w:p>
        </w:tc>
        <w:tc>
          <w:tcPr>
            <w:tcW w:w="1157"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(596</w:t>
            </w:r>
          </w:p>
        </w:tc>
        <w:tc>
          <w:tcPr>
            <w:tcW w:w="208"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25" w:type="dxa"/>
            <w:tcBorders/>
            <w:shd w:fill="CCEEFF" w:val="clear"/>
            <w:tcMar>
              <w:bottom w:w="0" w:type="dxa"/>
            </w:tcMar>
            <w:vAlign w:val="bottom"/>
          </w:tcPr>
          <w:p>
            <w:pPr>
              <w:pStyle w:val="TableContents"/>
              <w:spacing w:before="0" w:after="283"/>
              <w:jc w:val="left"/>
              <w:rPr/>
            </w:pPr>
            <w:r>
              <w:rPr/>
              <w:t> </w:t>
            </w:r>
          </w:p>
        </w:tc>
        <w:tc>
          <w:tcPr>
            <w:tcW w:w="1172"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1,752</w:t>
            </w:r>
          </w:p>
        </w:tc>
        <w:tc>
          <w:tcPr>
            <w:tcW w:w="124" w:type="dxa"/>
            <w:tcBorders/>
            <w:shd w:fill="CCEEFF" w:val="clear"/>
            <w:tcMar>
              <w:bottom w:w="0" w:type="dxa"/>
            </w:tcMar>
            <w:vAlign w:val="bottom"/>
          </w:tcPr>
          <w:p>
            <w:pPr>
              <w:pStyle w:val="TableContents"/>
              <w:spacing w:before="0" w:after="283"/>
              <w:jc w:val="left"/>
              <w:rPr/>
            </w:pPr>
            <w:r>
              <w:rPr/>
              <w:t> </w:t>
            </w:r>
          </w:p>
        </w:tc>
      </w:tr>
      <w:tr>
        <w:trPr/>
        <w:tc>
          <w:tcPr>
            <w:tcW w:w="5585" w:type="dxa"/>
            <w:tcBorders/>
            <w:shd w:fill="FFFFFF" w:val="clear"/>
            <w:tcMar>
              <w:bottom w:w="0" w:type="dxa"/>
            </w:tcMar>
            <w:vAlign w:val="bottom"/>
          </w:tcPr>
          <w:p>
            <w:pPr>
              <w:pStyle w:val="TableContents"/>
              <w:spacing w:lineRule="auto" w:line="300" w:before="0" w:after="0"/>
              <w:ind w:left="180" w:right="0" w:hanging="0"/>
              <w:jc w:val="left"/>
              <w:rPr>
                <w:rFonts w:ascii="Times New Roman" w:hAnsi="Times New Roman"/>
                <w:sz w:val="20"/>
              </w:rPr>
            </w:pPr>
            <w:bookmarkStart w:id="3661" w:name="TAB11728"/>
            <w:bookmarkEnd w:id="3661"/>
            <w:r>
              <w:rPr>
                <w:rFonts w:ascii="Times New Roman" w:hAnsi="Times New Roman"/>
                <w:sz w:val="20"/>
              </w:rPr>
              <w:t>Foreign tax provision</w:t>
            </w:r>
          </w:p>
        </w:tc>
        <w:tc>
          <w:tcPr>
            <w:tcW w:w="203" w:type="dxa"/>
            <w:tcBorders/>
            <w:shd w:fill="FFFFFF" w:val="clear"/>
            <w:tcMar>
              <w:bottom w:w="0" w:type="dxa"/>
            </w:tcMar>
            <w:vAlign w:val="center"/>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73"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1,173</w:t>
            </w:r>
          </w:p>
        </w:tc>
        <w:tc>
          <w:tcPr>
            <w:tcW w:w="208"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57"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579</w:t>
            </w:r>
          </w:p>
        </w:tc>
        <w:tc>
          <w:tcPr>
            <w:tcW w:w="208"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72"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830</w:t>
            </w:r>
          </w:p>
        </w:tc>
        <w:tc>
          <w:tcPr>
            <w:tcW w:w="124" w:type="dxa"/>
            <w:tcBorders/>
            <w:shd w:fill="FFFFFF" w:val="clear"/>
            <w:tcMar>
              <w:bottom w:w="0" w:type="dxa"/>
            </w:tcMar>
            <w:vAlign w:val="bottom"/>
          </w:tcPr>
          <w:p>
            <w:pPr>
              <w:pStyle w:val="TableContents"/>
              <w:spacing w:before="0" w:after="283"/>
              <w:jc w:val="left"/>
              <w:rPr/>
            </w:pPr>
            <w:r>
              <w:rPr/>
              <w:t> </w:t>
            </w:r>
          </w:p>
        </w:tc>
      </w:tr>
      <w:tr>
        <w:trPr/>
        <w:tc>
          <w:tcPr>
            <w:tcW w:w="5585" w:type="dxa"/>
            <w:tcBorders/>
            <w:shd w:fill="CCEEFF" w:val="clear"/>
            <w:tcMar>
              <w:bottom w:w="0" w:type="dxa"/>
            </w:tcMar>
            <w:vAlign w:val="bottom"/>
          </w:tcPr>
          <w:p>
            <w:pPr>
              <w:pStyle w:val="TableContents"/>
              <w:spacing w:lineRule="auto" w:line="300" w:before="0" w:after="0"/>
              <w:ind w:left="720" w:right="0" w:hanging="540"/>
              <w:jc w:val="left"/>
              <w:rPr>
                <w:rFonts w:ascii="Times New Roman" w:hAnsi="Times New Roman"/>
                <w:sz w:val="20"/>
              </w:rPr>
            </w:pPr>
            <w:bookmarkStart w:id="3662" w:name="TAB11729"/>
            <w:bookmarkEnd w:id="3662"/>
            <w:r>
              <w:rPr>
                <w:rFonts w:ascii="Times New Roman" w:hAnsi="Times New Roman"/>
                <w:sz w:val="20"/>
              </w:rPr>
              <w:t>Tax effect of foreign tax rates on current income</w:t>
            </w:r>
          </w:p>
        </w:tc>
        <w:tc>
          <w:tcPr>
            <w:tcW w:w="203" w:type="dxa"/>
            <w:tcBorders/>
            <w:shd w:fill="CCEEFF" w:val="clear"/>
            <w:tcMar>
              <w:bottom w:w="0" w:type="dxa"/>
            </w:tcMar>
            <w:vAlign w:val="center"/>
          </w:tcPr>
          <w:p>
            <w:pPr>
              <w:pStyle w:val="TableContents"/>
              <w:spacing w:before="0" w:after="283"/>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173"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425</w:t>
            </w:r>
          </w:p>
        </w:tc>
        <w:tc>
          <w:tcPr>
            <w:tcW w:w="208"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157"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740</w:t>
            </w:r>
          </w:p>
        </w:tc>
        <w:tc>
          <w:tcPr>
            <w:tcW w:w="208"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172"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341</w:t>
            </w:r>
          </w:p>
        </w:tc>
        <w:tc>
          <w:tcPr>
            <w:tcW w:w="124" w:type="dxa"/>
            <w:tcBorders/>
            <w:shd w:fill="CCEEFF" w:val="clear"/>
            <w:tcMar>
              <w:bottom w:w="0" w:type="dxa"/>
            </w:tcMar>
            <w:vAlign w:val="bottom"/>
          </w:tcPr>
          <w:p>
            <w:pPr>
              <w:pStyle w:val="TableContents"/>
              <w:spacing w:before="0" w:after="283"/>
              <w:jc w:val="left"/>
              <w:rPr/>
            </w:pPr>
            <w:r>
              <w:rPr/>
              <w:t> </w:t>
            </w:r>
          </w:p>
        </w:tc>
      </w:tr>
      <w:tr>
        <w:trPr/>
        <w:tc>
          <w:tcPr>
            <w:tcW w:w="5585" w:type="dxa"/>
            <w:tcBorders/>
            <w:shd w:fill="FFFFFF" w:val="clear"/>
            <w:tcMar>
              <w:bottom w:w="0" w:type="dxa"/>
            </w:tcMar>
            <w:vAlign w:val="bottom"/>
          </w:tcPr>
          <w:p>
            <w:pPr>
              <w:pStyle w:val="TableContents"/>
              <w:spacing w:lineRule="auto" w:line="300" w:before="0" w:after="0"/>
              <w:ind w:left="180" w:right="0" w:hanging="0"/>
              <w:jc w:val="left"/>
              <w:rPr>
                <w:rFonts w:ascii="Times New Roman" w:hAnsi="Times New Roman"/>
                <w:sz w:val="20"/>
              </w:rPr>
            </w:pPr>
            <w:bookmarkStart w:id="3663" w:name="TAB11730"/>
            <w:bookmarkEnd w:id="3663"/>
            <w:r>
              <w:rPr>
                <w:rFonts w:ascii="Times New Roman" w:hAnsi="Times New Roman"/>
                <w:sz w:val="20"/>
              </w:rPr>
              <w:t>State and local tax provision</w:t>
            </w:r>
          </w:p>
        </w:tc>
        <w:tc>
          <w:tcPr>
            <w:tcW w:w="203" w:type="dxa"/>
            <w:tcBorders/>
            <w:shd w:fill="FFFFFF" w:val="clear"/>
            <w:tcMar>
              <w:bottom w:w="0" w:type="dxa"/>
            </w:tcMar>
            <w:vAlign w:val="center"/>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73"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409</w:t>
            </w:r>
          </w:p>
        </w:tc>
        <w:tc>
          <w:tcPr>
            <w:tcW w:w="208"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57"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186</w:t>
            </w:r>
          </w:p>
        </w:tc>
        <w:tc>
          <w:tcPr>
            <w:tcW w:w="208"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72"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216</w:t>
            </w:r>
          </w:p>
        </w:tc>
        <w:tc>
          <w:tcPr>
            <w:tcW w:w="124" w:type="dxa"/>
            <w:tcBorders/>
            <w:shd w:fill="FFFFFF" w:val="clear"/>
            <w:tcMar>
              <w:bottom w:w="0" w:type="dxa"/>
            </w:tcMar>
            <w:vAlign w:val="bottom"/>
          </w:tcPr>
          <w:p>
            <w:pPr>
              <w:pStyle w:val="TableContents"/>
              <w:spacing w:before="0" w:after="283"/>
              <w:jc w:val="left"/>
              <w:rPr/>
            </w:pPr>
            <w:r>
              <w:rPr/>
              <w:t> </w:t>
            </w:r>
          </w:p>
        </w:tc>
      </w:tr>
      <w:tr>
        <w:trPr/>
        <w:tc>
          <w:tcPr>
            <w:tcW w:w="5585" w:type="dxa"/>
            <w:tcBorders>
              <w:bottom w:val="single" w:sz="2" w:space="0" w:color="000000"/>
            </w:tcBorders>
            <w:shd w:fill="CCEEFF" w:val="clear"/>
            <w:vAlign w:val="bottom"/>
          </w:tcPr>
          <w:p>
            <w:pPr>
              <w:pStyle w:val="TableContents"/>
              <w:spacing w:lineRule="auto" w:line="300" w:before="0" w:after="0"/>
              <w:ind w:left="180" w:right="0" w:hanging="0"/>
              <w:jc w:val="left"/>
              <w:rPr>
                <w:rFonts w:ascii="Times New Roman" w:hAnsi="Times New Roman"/>
                <w:sz w:val="20"/>
              </w:rPr>
            </w:pPr>
            <w:bookmarkStart w:id="3664" w:name="TAB11731"/>
            <w:bookmarkEnd w:id="3664"/>
            <w:r>
              <w:rPr>
                <w:rFonts w:ascii="Times New Roman" w:hAnsi="Times New Roman"/>
                <w:sz w:val="20"/>
              </w:rPr>
              <w:t>Other items</w:t>
            </w:r>
          </w:p>
        </w:tc>
        <w:tc>
          <w:tcPr>
            <w:tcW w:w="203" w:type="dxa"/>
            <w:tcBorders>
              <w:bottom w:val="single" w:sz="2" w:space="0" w:color="CCEEFF"/>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vAlign w:val="bottom"/>
          </w:tcPr>
          <w:p>
            <w:pPr>
              <w:pStyle w:val="TableContents"/>
              <w:spacing w:before="0" w:after="283"/>
              <w:jc w:val="left"/>
              <w:rPr/>
            </w:pPr>
            <w:r>
              <w:rPr/>
              <w:t> </w:t>
            </w:r>
          </w:p>
        </w:tc>
        <w:tc>
          <w:tcPr>
            <w:tcW w:w="1173"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480</w:t>
            </w:r>
          </w:p>
        </w:tc>
        <w:tc>
          <w:tcPr>
            <w:tcW w:w="208" w:type="dxa"/>
            <w:tcBorders>
              <w:bottom w:val="single" w:sz="2" w:space="0" w:color="CCEEFF"/>
            </w:tcBorders>
            <w:shd w:fill="CCEEFF" w:val="clear"/>
            <w:vAlign w:val="bottom"/>
          </w:tcPr>
          <w:p>
            <w:pPr>
              <w:pStyle w:val="TableContents"/>
              <w:spacing w:before="0" w:after="283"/>
              <w:jc w:val="left"/>
              <w:rPr/>
            </w:pPr>
            <w:r>
              <w:rPr/>
              <w:t> </w:t>
            </w:r>
          </w:p>
        </w:tc>
        <w:tc>
          <w:tcPr>
            <w:tcW w:w="125" w:type="dxa"/>
            <w:tcBorders>
              <w:bottom w:val="single" w:sz="2" w:space="0" w:color="000000"/>
            </w:tcBorders>
            <w:shd w:fill="CCEEFF" w:val="clear"/>
            <w:vAlign w:val="bottom"/>
          </w:tcPr>
          <w:p>
            <w:pPr>
              <w:pStyle w:val="TableContents"/>
              <w:spacing w:before="0" w:after="283"/>
              <w:jc w:val="left"/>
              <w:rPr/>
            </w:pPr>
            <w:r>
              <w:rPr/>
              <w:t> </w:t>
            </w:r>
          </w:p>
        </w:tc>
        <w:tc>
          <w:tcPr>
            <w:tcW w:w="1157"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(469</w:t>
            </w:r>
          </w:p>
        </w:tc>
        <w:tc>
          <w:tcPr>
            <w:tcW w:w="208" w:type="dxa"/>
            <w:tcBorders>
              <w:bottom w:val="single" w:sz="2" w:space="0" w:color="CCEEFF"/>
            </w:tcBorders>
            <w:shd w:fill="CCEE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25" w:type="dxa"/>
            <w:tcBorders>
              <w:bottom w:val="single" w:sz="2" w:space="0" w:color="000000"/>
            </w:tcBorders>
            <w:shd w:fill="CCEEFF" w:val="clear"/>
            <w:vAlign w:val="bottom"/>
          </w:tcPr>
          <w:p>
            <w:pPr>
              <w:pStyle w:val="TableContents"/>
              <w:spacing w:before="0" w:after="283"/>
              <w:jc w:val="left"/>
              <w:rPr/>
            </w:pPr>
            <w:r>
              <w:rPr/>
              <w:t> </w:t>
            </w:r>
          </w:p>
        </w:tc>
        <w:tc>
          <w:tcPr>
            <w:tcW w:w="1172"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503</w:t>
            </w:r>
          </w:p>
        </w:tc>
        <w:tc>
          <w:tcPr>
            <w:tcW w:w="124" w:type="dxa"/>
            <w:tcBorders>
              <w:bottom w:val="single" w:sz="2" w:space="0" w:color="CCEEFF"/>
            </w:tcBorders>
            <w:shd w:fill="CCEEFF" w:val="clear"/>
            <w:vAlign w:val="bottom"/>
          </w:tcPr>
          <w:p>
            <w:pPr>
              <w:pStyle w:val="TableContents"/>
              <w:spacing w:before="0" w:after="283"/>
              <w:jc w:val="left"/>
              <w:rPr/>
            </w:pPr>
            <w:r>
              <w:rPr/>
              <w:t> </w:t>
            </w:r>
          </w:p>
        </w:tc>
      </w:tr>
      <w:tr>
        <w:trPr/>
        <w:tc>
          <w:tcPr>
            <w:tcW w:w="5585" w:type="dxa"/>
            <w:tcBorders>
              <w:bottom w:val="double" w:sz="2" w:space="0" w:color="000000"/>
            </w:tcBorders>
            <w:shd w:fill="FFFFFF" w:val="clear"/>
            <w:vAlign w:val="bottom"/>
          </w:tcPr>
          <w:p>
            <w:pPr>
              <w:pStyle w:val="TableContents"/>
              <w:spacing w:lineRule="auto" w:line="300" w:before="0" w:after="0"/>
              <w:ind w:left="360" w:right="0" w:hanging="360"/>
              <w:jc w:val="left"/>
              <w:rPr>
                <w:rFonts w:ascii="Times New Roman" w:hAnsi="Times New Roman"/>
                <w:sz w:val="20"/>
              </w:rPr>
            </w:pPr>
            <w:r>
              <w:rPr>
                <w:rFonts w:ascii="Times New Roman" w:hAnsi="Times New Roman"/>
                <w:sz w:val="20"/>
              </w:rPr>
              <w:t>Actual tax provision</w:t>
            </w:r>
          </w:p>
        </w:tc>
        <w:tc>
          <w:tcPr>
            <w:tcW w:w="203" w:type="dxa"/>
            <w:tcBorders>
              <w:bottom w:val="single" w:sz="4" w:space="0" w:color="FFFFFF"/>
            </w:tcBorders>
            <w:shd w:fill="FFFFFF" w:val="clear"/>
            <w:vAlign w:val="center"/>
          </w:tcPr>
          <w:p>
            <w:pPr>
              <w:pStyle w:val="TableContents"/>
              <w:spacing w:before="0" w:after="283"/>
              <w:rPr/>
            </w:pPr>
            <w:r>
              <w:rPr/>
              <w:t> </w:t>
            </w:r>
          </w:p>
        </w:tc>
        <w:tc>
          <w:tcPr>
            <w:tcW w:w="125" w:type="dxa"/>
            <w:tcBorders>
              <w:bottom w:val="doub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bookmarkStart w:id="3665" w:name="TAB11732"/>
            <w:bookmarkEnd w:id="3665"/>
            <w:r>
              <w:rPr>
                <w:rFonts w:ascii="Times New Roman" w:hAnsi="Times New Roman"/>
                <w:sz w:val="20"/>
              </w:rPr>
              <w:t>$</w:t>
            </w:r>
          </w:p>
        </w:tc>
        <w:tc>
          <w:tcPr>
            <w:tcW w:w="1173"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3666" w:name="TAB11733"/>
            <w:bookmarkEnd w:id="3666"/>
            <w:r>
              <w:rPr>
                <w:rFonts w:ascii="Times New Roman" w:hAnsi="Times New Roman"/>
                <w:sz w:val="20"/>
              </w:rPr>
              <w:t>2,270</w:t>
            </w:r>
          </w:p>
        </w:tc>
        <w:tc>
          <w:tcPr>
            <w:tcW w:w="208" w:type="dxa"/>
            <w:tcBorders>
              <w:bottom w:val="single" w:sz="4" w:space="0" w:color="FFFFFF"/>
            </w:tcBorders>
            <w:shd w:fill="FFFFFF" w:val="clear"/>
            <w:vAlign w:val="bottom"/>
          </w:tcPr>
          <w:p>
            <w:pPr>
              <w:pStyle w:val="TableContents"/>
              <w:spacing w:before="0" w:after="283"/>
              <w:jc w:val="left"/>
              <w:rPr/>
            </w:pPr>
            <w:r>
              <w:rPr/>
              <w:t> </w:t>
            </w:r>
          </w:p>
        </w:tc>
        <w:tc>
          <w:tcPr>
            <w:tcW w:w="125" w:type="dxa"/>
            <w:tcBorders>
              <w:bottom w:val="doub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bookmarkStart w:id="3667" w:name="TAB11734"/>
            <w:bookmarkEnd w:id="3667"/>
            <w:r>
              <w:rPr>
                <w:rFonts w:ascii="Times New Roman" w:hAnsi="Times New Roman"/>
                <w:sz w:val="20"/>
              </w:rPr>
              <w:t>$</w:t>
            </w:r>
          </w:p>
        </w:tc>
        <w:tc>
          <w:tcPr>
            <w:tcW w:w="1157"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3668" w:name="TAB11735"/>
            <w:bookmarkEnd w:id="3668"/>
            <w:r>
              <w:rPr>
                <w:rFonts w:ascii="Times New Roman" w:hAnsi="Times New Roman"/>
                <w:sz w:val="20"/>
              </w:rPr>
              <w:t>1,209</w:t>
            </w:r>
          </w:p>
        </w:tc>
        <w:tc>
          <w:tcPr>
            <w:tcW w:w="208" w:type="dxa"/>
            <w:tcBorders>
              <w:bottom w:val="single" w:sz="4" w:space="0" w:color="FFFFFF"/>
            </w:tcBorders>
            <w:shd w:fill="FFFFFF" w:val="clear"/>
            <w:vAlign w:val="bottom"/>
          </w:tcPr>
          <w:p>
            <w:pPr>
              <w:pStyle w:val="TableContents"/>
              <w:spacing w:before="0" w:after="283"/>
              <w:jc w:val="left"/>
              <w:rPr/>
            </w:pPr>
            <w:r>
              <w:rPr/>
              <w:t> </w:t>
            </w:r>
          </w:p>
        </w:tc>
        <w:tc>
          <w:tcPr>
            <w:tcW w:w="125" w:type="dxa"/>
            <w:tcBorders>
              <w:bottom w:val="doub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bookmarkStart w:id="3669" w:name="TAB11736"/>
            <w:bookmarkEnd w:id="3669"/>
            <w:r>
              <w:rPr>
                <w:rFonts w:ascii="Times New Roman" w:hAnsi="Times New Roman"/>
                <w:sz w:val="20"/>
              </w:rPr>
              <w:t>$</w:t>
            </w:r>
          </w:p>
        </w:tc>
        <w:tc>
          <w:tcPr>
            <w:tcW w:w="1172"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3670" w:name="TAB11737"/>
            <w:bookmarkEnd w:id="3670"/>
            <w:r>
              <w:rPr>
                <w:rFonts w:ascii="Times New Roman" w:hAnsi="Times New Roman"/>
                <w:sz w:val="20"/>
              </w:rPr>
              <w:t>1,046</w:t>
            </w:r>
          </w:p>
        </w:tc>
        <w:tc>
          <w:tcPr>
            <w:tcW w:w="124" w:type="dxa"/>
            <w:tcBorders>
              <w:bottom w:val="single" w:sz="4" w:space="0" w:color="FFFFFF"/>
            </w:tcBorders>
            <w:shd w:fill="FFFFFF" w:val="clear"/>
            <w:vAlign w:val="bottom"/>
          </w:tcPr>
          <w:p>
            <w:pPr>
              <w:pStyle w:val="TableContents"/>
              <w:spacing w:before="0" w:after="283"/>
              <w:jc w:val="left"/>
              <w:rPr/>
            </w:pPr>
            <w:r>
              <w:rPr/>
              <w:t> </w:t>
            </w:r>
          </w:p>
        </w:tc>
      </w:tr>
    </w:tbl>
    <w:p>
      <w:pPr>
        <w:pStyle w:val="TextBody"/>
        <w:spacing w:lineRule="auto" w:line="300" w:before="0" w:after="0"/>
        <w:ind w:left="0" w:right="0" w:firstLine="720"/>
        <w:jc w:val="both"/>
        <w:rPr/>
      </w:pPr>
      <w:r>
        <w:rPr/>
      </w:r>
    </w:p>
    <w:p>
      <w:pPr>
        <w:pStyle w:val="TextBody"/>
        <w:spacing w:lineRule="auto" w:line="300" w:before="0" w:after="0"/>
        <w:ind w:left="0" w:right="0" w:firstLine="720"/>
        <w:jc w:val="left"/>
        <w:rPr>
          <w:rFonts w:ascii="Times New Roman" w:hAnsi="Times New Roman"/>
          <w:sz w:val="20"/>
        </w:rPr>
      </w:pPr>
      <w:r>
        <w:rPr>
          <w:rFonts w:ascii="Times New Roman" w:hAnsi="Times New Roman"/>
          <w:sz w:val="20"/>
        </w:rPr>
        <w:t>Pursuant to APB No.23, Accounting for Income Taxes - Special Areas, a provision should be made for the tax effect of earnings of foreign subsidiaries which are not permanently invested outside the United States. In our opinion, the earnings of our foreign subsidiaries are not permanently invested outside the United States. No taxable earnings were available in the Reading Australia consolidated group of subsidiaries or in the Puerto Rico subsidiary as of December 31, 2006. The Reading New Zealand consolidated group of subsidiaries generated pre-tax earnings in 2006. We have provided $453,000 in foreign withholding taxes connected with these retained earnings.</w:t>
      </w:r>
    </w:p>
    <w:p>
      <w:pPr>
        <w:pStyle w:val="TextBody"/>
        <w:spacing w:lineRule="auto" w:line="300" w:before="0" w:after="0"/>
        <w:ind w:left="0" w:right="0" w:firstLine="720"/>
        <w:jc w:val="left"/>
        <w:rPr/>
      </w:pPr>
      <w:r>
        <w:rPr/>
        <w:t> </w:t>
      </w:r>
    </w:p>
    <w:p>
      <w:pPr>
        <w:pStyle w:val="TextBody"/>
        <w:spacing w:lineRule="auto" w:line="300" w:before="0" w:after="0"/>
        <w:ind w:left="0" w:right="0" w:firstLine="720"/>
        <w:jc w:val="left"/>
        <w:rPr/>
      </w:pPr>
      <w:r>
        <w:rPr>
          <w:rFonts w:ascii="Times New Roman" w:hAnsi="Times New Roman"/>
          <w:sz w:val="20"/>
        </w:rPr>
        <w:t xml:space="preserve">We have accrued $13.6 million in income tax liabilities as of December 31, 2006, of which $8.4 have been classified as income taxes payable and $5.2 million have been classified as other non-current liabilities. As part of income taxes payable, we have accrued $4.0 million as a probable loss in connection with the “Appeal of IRS Deficiency Notices” and we believe that the possible total settlement amount will be between $4.0 million and $47.3 million (see Note 18 - </w:t>
      </w:r>
      <w:r>
        <w:rPr>
          <w:rStyle w:val="Emphasis"/>
          <w:rFonts w:ascii="Times New Roman" w:hAnsi="Times New Roman"/>
          <w:sz w:val="20"/>
        </w:rPr>
        <w:t>Commitments and Contingencies</w:t>
      </w:r>
      <w:r>
        <w:rPr>
          <w:rFonts w:ascii="Times New Roman" w:hAnsi="Times New Roman"/>
          <w:sz w:val="20"/>
        </w:rPr>
        <w:t xml:space="preserve">). We believe these amounts represent an adequate provision for our income tax exposures, including income tax contingencies related to foreign withholding taxes described in Note 15 - </w:t>
      </w:r>
      <w:r>
        <w:rPr>
          <w:rStyle w:val="Emphasis"/>
          <w:rFonts w:ascii="Times New Roman" w:hAnsi="Times New Roman"/>
          <w:sz w:val="20"/>
        </w:rPr>
        <w:t>Other Liabilities</w:t>
      </w:r>
      <w:r>
        <w:rPr>
          <w:rFonts w:ascii="Times New Roman" w:hAnsi="Times New Roman"/>
          <w:sz w:val="20"/>
        </w:rPr>
        <w:t>.</w:t>
      </w:r>
    </w:p>
    <w:p>
      <w:pPr>
        <w:pStyle w:val="TextBody"/>
        <w:spacing w:lineRule="auto" w:line="300" w:before="0" w:after="0"/>
        <w:ind w:left="0" w:right="0" w:firstLine="720"/>
        <w:jc w:val="both"/>
        <w:rPr/>
      </w:pPr>
      <w:r>
        <w:rPr/>
      </w:r>
    </w:p>
    <w:p>
      <w:pPr>
        <w:pStyle w:val="TextBody"/>
        <w:spacing w:lineRule="auto" w:line="300" w:before="0" w:after="0"/>
        <w:ind w:left="0" w:right="0" w:firstLine="720"/>
        <w:jc w:val="both"/>
        <w:rPr/>
      </w:pPr>
      <w:r>
        <w:rPr>
          <w:rFonts w:ascii="Times New Roman" w:hAnsi="Times New Roman"/>
          <w:sz w:val="20"/>
        </w:rPr>
        <w:t xml:space="preserve">In June 2006, the FASB issued Financial Interpretation No. 48 </w:t>
      </w:r>
      <w:r>
        <w:rPr>
          <w:rStyle w:val="Emphasis"/>
          <w:rFonts w:ascii="Times New Roman" w:hAnsi="Times New Roman"/>
          <w:sz w:val="20"/>
        </w:rPr>
        <w:t>Accounting for Uncertainty in Income Taxes—an Interpretation of FASB Statement No. 109</w:t>
      </w:r>
      <w:r>
        <w:rPr>
          <w:rFonts w:ascii="Times New Roman" w:hAnsi="Times New Roman"/>
          <w:sz w:val="20"/>
        </w:rPr>
        <w:t xml:space="preserve">. This Interpretation clarifies the accounting for uncertainty in income taxes recognized in an enterprise’s financial statements in accordance with FASB Statement No. 109, Accounting for Income Taxes. This Interpretation prescribes a recognition threshold and measurement attribute for the financial statement recognition and measurement of a tax position taken or expected to be taken in a tax return. </w:t>
      </w:r>
    </w:p>
    <w:p>
      <w:pPr>
        <w:pStyle w:val="TextBody"/>
        <w:spacing w:lineRule="auto" w:line="300" w:before="0" w:after="0"/>
        <w:ind w:left="0" w:right="0" w:firstLine="72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 xml:space="preserve">The benefit of a tax position may be recognized if there is a more likely than not probability that the position will be sustained on its merits when examined by the taxing authorities. If a benefit is thus recognized, the amount of benefit is measured as the largest tax benefit that is more than 50 percent probable of being secured upon ultimate settlement. </w:t>
      </w:r>
    </w:p>
    <w:p>
      <w:pPr>
        <w:pStyle w:val="TextBody"/>
        <w:spacing w:lineRule="auto" w:line="300" w:before="0" w:after="0"/>
        <w:ind w:left="0" w:right="0" w:firstLine="72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The provisions of FIN 48 are effective for years beginning after December 15, 2006. We estimate the application of FIN 48 will result in a cumulative charge to retained earnings as of January 1, 2007 between $400,000 and $900,000.</w:t>
      </w:r>
    </w:p>
    <w:p>
      <w:pPr>
        <w:pStyle w:val="TextBody"/>
        <w:spacing w:lineRule="auto" w:line="300"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671" w:name="PGBRK102"/>
      <w:bookmarkStart w:id="3672" w:name="PGBRK102"/>
      <w:bookmarkEnd w:id="367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673" w:name="FTR102"/>
      <w:bookmarkStart w:id="3674" w:name="FTR102"/>
      <w:bookmarkEnd w:id="367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675" w:name="GLFTR102"/>
      <w:bookmarkStart w:id="3676" w:name="GLFTR102"/>
      <w:bookmarkEnd w:id="367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3677" w:name="PN102"/>
      <w:bookmarkEnd w:id="3677"/>
      <w:r>
        <w:rPr>
          <w:rFonts w:ascii="Times New Roman" w:hAnsi="Times New Roman"/>
          <w:sz w:val="16"/>
        </w:rPr>
        <w:t>-102-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678" w:name="HDR102"/>
      <w:bookmarkStart w:id="3679" w:name="HDR102"/>
      <w:bookmarkEnd w:id="367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3680" w:name="GLHDR102"/>
        <w:bookmarkEnd w:id="3680"/>
        <w:r>
          <w:rPr>
            <w:rStyle w:val="Emphasis"/>
            <w:rFonts w:ascii="Times New Roman" w:hAnsi="Times New Roman"/>
            <w:color w:val="000000"/>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300" w:before="0" w:after="0"/>
        <w:ind w:left="0" w:right="0" w:hanging="0"/>
        <w:jc w:val="left"/>
        <w:rPr/>
      </w:pPr>
      <w:r>
        <w:rPr>
          <w:rStyle w:val="StrongEmphasis"/>
          <w:rFonts w:ascii="Times New Roman" w:hAnsi="Times New Roman"/>
          <w:sz w:val="20"/>
          <w:u w:val="single"/>
        </w:rPr>
        <w:t>Note 15 - Other Liabilities</w:t>
      </w:r>
    </w:p>
    <w:p>
      <w:pPr>
        <w:pStyle w:val="TextBody"/>
        <w:spacing w:lineRule="auto" w:line="300" w:before="0" w:after="0"/>
        <w:ind w:left="0" w:right="0" w:hanging="0"/>
        <w:jc w:val="left"/>
        <w:rPr/>
      </w:pPr>
      <w:r>
        <w:rPr/>
      </w:r>
    </w:p>
    <w:p>
      <w:pPr>
        <w:pStyle w:val="TextBody"/>
        <w:spacing w:lineRule="auto" w:line="300" w:before="0" w:after="0"/>
        <w:ind w:left="0" w:right="0" w:firstLine="720"/>
        <w:jc w:val="left"/>
        <w:rPr>
          <w:rFonts w:ascii="Times New Roman" w:hAnsi="Times New Roman"/>
          <w:sz w:val="20"/>
        </w:rPr>
      </w:pPr>
      <w:r>
        <w:rPr>
          <w:rFonts w:ascii="Times New Roman" w:hAnsi="Times New Roman"/>
          <w:sz w:val="20"/>
        </w:rPr>
        <w:t>Other liabilities are summarized as follows (dollars in thousands):</w:t>
      </w:r>
    </w:p>
    <w:p>
      <w:pPr>
        <w:pStyle w:val="TextBody"/>
        <w:spacing w:lineRule="auto" w:line="300" w:before="0" w:after="0"/>
        <w:ind w:left="0" w:right="0" w:firstLine="720"/>
        <w:jc w:val="left"/>
        <w:rPr/>
      </w:pPr>
      <w:r>
        <w:rPr/>
      </w:r>
    </w:p>
    <w:p>
      <w:pPr>
        <w:pStyle w:val="Normal"/>
        <w:spacing w:before="0" w:after="0"/>
        <w:rPr>
          <w:sz w:val="4"/>
          <w:szCs w:val="4"/>
        </w:rPr>
      </w:pPr>
      <w:r>
        <w:rPr>
          <w:sz w:val="4"/>
          <w:szCs w:val="4"/>
        </w:rPr>
      </w:r>
      <w:bookmarkStart w:id="3681" w:name="ftable50"/>
      <w:bookmarkStart w:id="3682" w:name="ftable50"/>
      <w:bookmarkEnd w:id="3682"/>
    </w:p>
    <w:tbl>
      <w:tblPr>
        <w:tblW w:w="5000" w:type="pct"/>
        <w:jc w:val="left"/>
        <w:tblInd w:w="0" w:type="dxa"/>
        <w:tblCellMar>
          <w:top w:w="0" w:type="dxa"/>
          <w:left w:w="0" w:type="dxa"/>
          <w:bottom w:w="28" w:type="dxa"/>
          <w:right w:w="0" w:type="dxa"/>
        </w:tblCellMar>
      </w:tblPr>
      <w:tblGrid>
        <w:gridCol w:w="7055"/>
        <w:gridCol w:w="204"/>
        <w:gridCol w:w="125"/>
        <w:gridCol w:w="1187"/>
        <w:gridCol w:w="204"/>
        <w:gridCol w:w="125"/>
        <w:gridCol w:w="1187"/>
        <w:gridCol w:w="118"/>
      </w:tblGrid>
      <w:tr>
        <w:trPr/>
        <w:tc>
          <w:tcPr>
            <w:tcW w:w="7055" w:type="dxa"/>
            <w:tcBorders>
              <w:bottom w:val="single" w:sz="4" w:space="0" w:color="FFFFFF"/>
            </w:tcBorders>
            <w:shd w:fill="auto" w:val="clear"/>
            <w:vAlign w:val="bottom"/>
          </w:tcPr>
          <w:p>
            <w:pPr>
              <w:pStyle w:val="TableContents"/>
              <w:spacing w:before="0" w:after="283"/>
              <w:jc w:val="left"/>
              <w:rPr/>
            </w:pPr>
            <w:r>
              <w:rPr/>
              <w:t> </w:t>
            </w:r>
          </w:p>
        </w:tc>
        <w:tc>
          <w:tcPr>
            <w:tcW w:w="204" w:type="dxa"/>
            <w:tcBorders>
              <w:bottom w:val="single" w:sz="2" w:space="0" w:color="FFFFFF"/>
            </w:tcBorders>
            <w:shd w:fill="auto" w:val="clear"/>
            <w:vAlign w:val="center"/>
          </w:tcPr>
          <w:p>
            <w:pPr>
              <w:pStyle w:val="TableContents"/>
              <w:spacing w:before="0" w:after="283"/>
              <w:rPr/>
            </w:pPr>
            <w:r>
              <w:rPr/>
              <w:t> </w:t>
            </w:r>
          </w:p>
        </w:tc>
        <w:tc>
          <w:tcPr>
            <w:tcW w:w="2828" w:type="dxa"/>
            <w:gridSpan w:val="5"/>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December 31,</w:t>
            </w:r>
          </w:p>
        </w:tc>
        <w:tc>
          <w:tcPr>
            <w:tcW w:w="118" w:type="dxa"/>
            <w:tcBorders>
              <w:bottom w:val="single" w:sz="2" w:space="0" w:color="FFFFFF"/>
            </w:tcBorders>
            <w:shd w:fill="auto" w:val="clear"/>
            <w:vAlign w:val="bottom"/>
          </w:tcPr>
          <w:p>
            <w:pPr>
              <w:pStyle w:val="TableContents"/>
              <w:spacing w:before="0" w:after="283"/>
              <w:jc w:val="left"/>
              <w:rPr/>
            </w:pPr>
            <w:r>
              <w:rPr/>
              <w:t> </w:t>
            </w:r>
          </w:p>
        </w:tc>
      </w:tr>
      <w:tr>
        <w:trPr/>
        <w:tc>
          <w:tcPr>
            <w:tcW w:w="7055" w:type="dxa"/>
            <w:tcBorders>
              <w:bottom w:val="double" w:sz="2" w:space="0" w:color="000000"/>
            </w:tcBorders>
            <w:shd w:fill="auto" w:val="clear"/>
            <w:vAlign w:val="bottom"/>
          </w:tcPr>
          <w:p>
            <w:pPr>
              <w:pStyle w:val="TableContents"/>
              <w:spacing w:before="0" w:after="283"/>
              <w:jc w:val="left"/>
              <w:rPr/>
            </w:pPr>
            <w:r>
              <w:rPr/>
              <w:t> </w:t>
            </w:r>
          </w:p>
        </w:tc>
        <w:tc>
          <w:tcPr>
            <w:tcW w:w="204" w:type="dxa"/>
            <w:tcBorders>
              <w:bottom w:val="single" w:sz="4" w:space="0" w:color="FFFFFF"/>
            </w:tcBorders>
            <w:shd w:fill="auto" w:val="clear"/>
            <w:vAlign w:val="center"/>
          </w:tcPr>
          <w:p>
            <w:pPr>
              <w:pStyle w:val="TableContents"/>
              <w:spacing w:before="0" w:after="283"/>
              <w:rPr/>
            </w:pPr>
            <w:r>
              <w:rPr/>
              <w:t> </w:t>
            </w:r>
          </w:p>
        </w:tc>
        <w:tc>
          <w:tcPr>
            <w:tcW w:w="1312"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2006</w:t>
            </w:r>
          </w:p>
        </w:tc>
        <w:tc>
          <w:tcPr>
            <w:tcW w:w="204" w:type="dxa"/>
            <w:tcBorders>
              <w:bottom w:val="single" w:sz="4" w:space="0" w:color="FFFFFF"/>
            </w:tcBorders>
            <w:shd w:fill="auto" w:val="clear"/>
            <w:vAlign w:val="bottom"/>
          </w:tcPr>
          <w:p>
            <w:pPr>
              <w:pStyle w:val="TableContents"/>
              <w:spacing w:before="0" w:after="283"/>
              <w:jc w:val="left"/>
              <w:rPr/>
            </w:pPr>
            <w:r>
              <w:rPr/>
              <w:t> </w:t>
            </w:r>
          </w:p>
        </w:tc>
        <w:tc>
          <w:tcPr>
            <w:tcW w:w="1312"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2005</w:t>
            </w:r>
          </w:p>
        </w:tc>
        <w:tc>
          <w:tcPr>
            <w:tcW w:w="118" w:type="dxa"/>
            <w:tcBorders>
              <w:bottom w:val="single" w:sz="4" w:space="0" w:color="FFFFFF"/>
            </w:tcBorders>
            <w:shd w:fill="auto" w:val="clear"/>
            <w:vAlign w:val="bottom"/>
          </w:tcPr>
          <w:p>
            <w:pPr>
              <w:pStyle w:val="TableContents"/>
              <w:spacing w:before="0" w:after="283"/>
              <w:jc w:val="left"/>
              <w:rPr/>
            </w:pPr>
            <w:r>
              <w:rPr/>
              <w:t> </w:t>
            </w:r>
          </w:p>
        </w:tc>
      </w:tr>
      <w:tr>
        <w:trPr/>
        <w:tc>
          <w:tcPr>
            <w:tcW w:w="7055" w:type="dxa"/>
            <w:tcBorders/>
            <w:shd w:fill="auto" w:val="clear"/>
            <w:tcMar>
              <w:bottom w:w="0" w:type="dxa"/>
            </w:tcMar>
            <w:vAlign w:val="bottom"/>
          </w:tcPr>
          <w:p>
            <w:pPr>
              <w:pStyle w:val="TableContents"/>
              <w:spacing w:lineRule="auto" w:line="300" w:before="0" w:after="0"/>
              <w:ind w:left="0" w:right="0" w:hanging="0"/>
              <w:jc w:val="left"/>
              <w:rPr/>
            </w:pPr>
            <w:r>
              <w:rPr>
                <w:rStyle w:val="StrongEmphasis"/>
                <w:rFonts w:ascii="Times New Roman" w:hAnsi="Times New Roman"/>
                <w:sz w:val="20"/>
              </w:rPr>
              <w:t>Current liabilities</w:t>
            </w:r>
          </w:p>
        </w:tc>
        <w:tc>
          <w:tcPr>
            <w:tcW w:w="204" w:type="dxa"/>
            <w:tcBorders/>
            <w:shd w:fill="auto" w:val="clear"/>
            <w:tcMar>
              <w:bottom w:w="0" w:type="dxa"/>
            </w:tcMar>
            <w:vAlign w:val="center"/>
          </w:tcPr>
          <w:p>
            <w:pPr>
              <w:pStyle w:val="TableContents"/>
              <w:spacing w:before="0" w:after="283"/>
              <w:rPr/>
            </w:pPr>
            <w:r>
              <w:rPr/>
              <w:t> </w:t>
            </w:r>
          </w:p>
        </w:tc>
        <w:tc>
          <w:tcPr>
            <w:tcW w:w="1312" w:type="dxa"/>
            <w:gridSpan w:val="2"/>
            <w:tcBorders/>
            <w:shd w:fill="auto" w:val="clear"/>
            <w:tcMar>
              <w:bottom w:w="0" w:type="dxa"/>
            </w:tcMar>
            <w:vAlign w:val="bottom"/>
          </w:tcPr>
          <w:p>
            <w:pPr>
              <w:pStyle w:val="TableContents"/>
              <w:spacing w:before="0" w:after="283"/>
              <w:jc w:val="both"/>
              <w:rPr/>
            </w:pPr>
            <w:r>
              <w:rPr/>
              <w:t> </w:t>
            </w:r>
          </w:p>
        </w:tc>
        <w:tc>
          <w:tcPr>
            <w:tcW w:w="204" w:type="dxa"/>
            <w:tcBorders/>
            <w:shd w:fill="auto" w:val="clear"/>
            <w:tcMar>
              <w:bottom w:w="0" w:type="dxa"/>
            </w:tcMar>
            <w:vAlign w:val="bottom"/>
          </w:tcPr>
          <w:p>
            <w:pPr>
              <w:pStyle w:val="TableContents"/>
              <w:spacing w:before="0" w:after="283"/>
              <w:jc w:val="left"/>
              <w:rPr/>
            </w:pPr>
            <w:r>
              <w:rPr/>
              <w:t> </w:t>
            </w:r>
          </w:p>
        </w:tc>
        <w:tc>
          <w:tcPr>
            <w:tcW w:w="1312" w:type="dxa"/>
            <w:gridSpan w:val="2"/>
            <w:tcBorders/>
            <w:shd w:fill="auto" w:val="clear"/>
            <w:tcMar>
              <w:bottom w:w="0" w:type="dxa"/>
            </w:tcMar>
            <w:vAlign w:val="bottom"/>
          </w:tcPr>
          <w:p>
            <w:pPr>
              <w:pStyle w:val="TableContents"/>
              <w:spacing w:before="0" w:after="283"/>
              <w:jc w:val="both"/>
              <w:rPr/>
            </w:pPr>
            <w:r>
              <w:rPr/>
              <w:t> </w:t>
            </w:r>
          </w:p>
        </w:tc>
        <w:tc>
          <w:tcPr>
            <w:tcW w:w="118" w:type="dxa"/>
            <w:tcBorders/>
            <w:shd w:fill="auto" w:val="clear"/>
            <w:tcMar>
              <w:bottom w:w="0" w:type="dxa"/>
            </w:tcMar>
            <w:vAlign w:val="bottom"/>
          </w:tcPr>
          <w:p>
            <w:pPr>
              <w:pStyle w:val="TableContents"/>
              <w:spacing w:before="0" w:after="283"/>
              <w:jc w:val="left"/>
              <w:rPr/>
            </w:pPr>
            <w:r>
              <w:rPr/>
              <w:t> </w:t>
            </w:r>
          </w:p>
        </w:tc>
      </w:tr>
      <w:tr>
        <w:trPr/>
        <w:tc>
          <w:tcPr>
            <w:tcW w:w="7055" w:type="dxa"/>
            <w:tcBorders/>
            <w:shd w:fill="CCEEFF" w:val="clear"/>
            <w:tcMar>
              <w:bottom w:w="0" w:type="dxa"/>
            </w:tcMar>
            <w:vAlign w:val="bottom"/>
          </w:tcPr>
          <w:p>
            <w:pPr>
              <w:pStyle w:val="TableContents"/>
              <w:spacing w:lineRule="auto" w:line="300" w:before="0" w:after="0"/>
              <w:ind w:left="360" w:right="0" w:hanging="0"/>
              <w:jc w:val="left"/>
              <w:rPr>
                <w:rFonts w:ascii="Times New Roman" w:hAnsi="Times New Roman"/>
                <w:sz w:val="20"/>
              </w:rPr>
            </w:pPr>
            <w:bookmarkStart w:id="3683" w:name="TAB11738"/>
            <w:bookmarkEnd w:id="3683"/>
            <w:r>
              <w:rPr>
                <w:rFonts w:ascii="Times New Roman" w:hAnsi="Times New Roman"/>
                <w:sz w:val="20"/>
              </w:rPr>
              <w:t>Security deposit payable</w:t>
            </w:r>
          </w:p>
        </w:tc>
        <w:tc>
          <w:tcPr>
            <w:tcW w:w="204" w:type="dxa"/>
            <w:tcBorders/>
            <w:shd w:fill="CCEEFF" w:val="clear"/>
            <w:tcMar>
              <w:bottom w:w="0" w:type="dxa"/>
            </w:tcMar>
            <w:vAlign w:val="center"/>
          </w:tcPr>
          <w:p>
            <w:pPr>
              <w:pStyle w:val="TableContents"/>
              <w:spacing w:before="0" w:after="283"/>
              <w:rPr/>
            </w:pPr>
            <w:r>
              <w:rPr/>
              <w:t> </w:t>
            </w:r>
          </w:p>
        </w:tc>
        <w:tc>
          <w:tcPr>
            <w:tcW w:w="125"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3684" w:name="TAB11739"/>
            <w:bookmarkEnd w:id="3684"/>
            <w:r>
              <w:rPr>
                <w:rFonts w:ascii="Times New Roman" w:hAnsi="Times New Roman"/>
                <w:sz w:val="20"/>
              </w:rPr>
              <w:t>$</w:t>
            </w:r>
          </w:p>
        </w:tc>
        <w:tc>
          <w:tcPr>
            <w:tcW w:w="1187"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3685" w:name="TAB11740"/>
            <w:bookmarkEnd w:id="3685"/>
            <w:r>
              <w:rPr>
                <w:rFonts w:ascii="Times New Roman" w:hAnsi="Times New Roman"/>
                <w:sz w:val="20"/>
              </w:rPr>
              <w:t>177</w:t>
            </w:r>
          </w:p>
        </w:tc>
        <w:tc>
          <w:tcPr>
            <w:tcW w:w="204"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3686" w:name="TAB11741"/>
            <w:bookmarkEnd w:id="3686"/>
            <w:r>
              <w:rPr>
                <w:rFonts w:ascii="Times New Roman" w:hAnsi="Times New Roman"/>
                <w:sz w:val="20"/>
              </w:rPr>
              <w:t>$</w:t>
            </w:r>
          </w:p>
        </w:tc>
        <w:tc>
          <w:tcPr>
            <w:tcW w:w="1187"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3687" w:name="TAB11742"/>
            <w:bookmarkEnd w:id="3687"/>
            <w:r>
              <w:rPr>
                <w:rFonts w:ascii="Times New Roman" w:hAnsi="Times New Roman"/>
                <w:sz w:val="20"/>
              </w:rPr>
              <w:t>174</w:t>
            </w:r>
          </w:p>
        </w:tc>
        <w:tc>
          <w:tcPr>
            <w:tcW w:w="118" w:type="dxa"/>
            <w:tcBorders/>
            <w:shd w:fill="CCEEFF" w:val="clear"/>
            <w:tcMar>
              <w:bottom w:w="0" w:type="dxa"/>
            </w:tcMar>
            <w:vAlign w:val="bottom"/>
          </w:tcPr>
          <w:p>
            <w:pPr>
              <w:pStyle w:val="TableContents"/>
              <w:spacing w:before="0" w:after="283"/>
              <w:jc w:val="left"/>
              <w:rPr/>
            </w:pPr>
            <w:r>
              <w:rPr/>
              <w:t> </w:t>
            </w:r>
          </w:p>
        </w:tc>
      </w:tr>
      <w:tr>
        <w:trPr/>
        <w:tc>
          <w:tcPr>
            <w:tcW w:w="7055" w:type="dxa"/>
            <w:tcBorders>
              <w:bottom w:val="single" w:sz="2" w:space="0" w:color="000000"/>
            </w:tcBorders>
            <w:shd w:fill="FFFFFF" w:val="clear"/>
            <w:vAlign w:val="bottom"/>
          </w:tcPr>
          <w:p>
            <w:pPr>
              <w:pStyle w:val="TableContents"/>
              <w:spacing w:lineRule="auto" w:line="300" w:before="0" w:after="0"/>
              <w:ind w:left="360" w:right="0" w:hanging="0"/>
              <w:jc w:val="left"/>
              <w:rPr>
                <w:rFonts w:ascii="Times New Roman" w:hAnsi="Times New Roman"/>
                <w:sz w:val="20"/>
              </w:rPr>
            </w:pPr>
            <w:bookmarkStart w:id="3688" w:name="TAB11743"/>
            <w:bookmarkEnd w:id="3688"/>
            <w:r>
              <w:rPr>
                <w:rFonts w:ascii="Times New Roman" w:hAnsi="Times New Roman"/>
                <w:sz w:val="20"/>
              </w:rPr>
              <w:t>Other</w:t>
            </w:r>
          </w:p>
        </w:tc>
        <w:tc>
          <w:tcPr>
            <w:tcW w:w="204" w:type="dxa"/>
            <w:tcBorders>
              <w:bottom w:val="single" w:sz="2" w:space="0" w:color="FFFFFF"/>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vAlign w:val="bottom"/>
          </w:tcPr>
          <w:p>
            <w:pPr>
              <w:pStyle w:val="TableContents"/>
              <w:spacing w:before="0" w:after="283"/>
              <w:jc w:val="left"/>
              <w:rPr/>
            </w:pPr>
            <w:r>
              <w:rPr/>
              <w:t> </w:t>
            </w:r>
          </w:p>
        </w:tc>
        <w:tc>
          <w:tcPr>
            <w:tcW w:w="1187"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204" w:type="dxa"/>
            <w:tcBorders>
              <w:bottom w:val="single" w:sz="2" w:space="0" w:color="FFFFFF"/>
            </w:tcBorders>
            <w:shd w:fill="FFFFFF" w:val="clear"/>
            <w:vAlign w:val="bottom"/>
          </w:tcPr>
          <w:p>
            <w:pPr>
              <w:pStyle w:val="TableContents"/>
              <w:spacing w:before="0" w:after="283"/>
              <w:jc w:val="left"/>
              <w:rPr/>
            </w:pPr>
            <w:r>
              <w:rPr/>
              <w:t> </w:t>
            </w:r>
          </w:p>
        </w:tc>
        <w:tc>
          <w:tcPr>
            <w:tcW w:w="125" w:type="dxa"/>
            <w:tcBorders>
              <w:bottom w:val="single" w:sz="2" w:space="0" w:color="000000"/>
            </w:tcBorders>
            <w:shd w:fill="FFFFFF" w:val="clear"/>
            <w:vAlign w:val="bottom"/>
          </w:tcPr>
          <w:p>
            <w:pPr>
              <w:pStyle w:val="TableContents"/>
              <w:spacing w:before="0" w:after="283"/>
              <w:jc w:val="left"/>
              <w:rPr/>
            </w:pPr>
            <w:r>
              <w:rPr/>
              <w:t> </w:t>
            </w:r>
          </w:p>
        </w:tc>
        <w:tc>
          <w:tcPr>
            <w:tcW w:w="1187"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76</w:t>
            </w:r>
          </w:p>
        </w:tc>
        <w:tc>
          <w:tcPr>
            <w:tcW w:w="118" w:type="dxa"/>
            <w:tcBorders>
              <w:bottom w:val="single" w:sz="2" w:space="0" w:color="FFFFFF"/>
            </w:tcBorders>
            <w:shd w:fill="FFFFFF" w:val="clear"/>
            <w:vAlign w:val="bottom"/>
          </w:tcPr>
          <w:p>
            <w:pPr>
              <w:pStyle w:val="TableContents"/>
              <w:spacing w:before="0" w:after="283"/>
              <w:jc w:val="left"/>
              <w:rPr/>
            </w:pPr>
            <w:r>
              <w:rPr/>
              <w:t> </w:t>
            </w:r>
          </w:p>
        </w:tc>
      </w:tr>
      <w:tr>
        <w:trPr/>
        <w:tc>
          <w:tcPr>
            <w:tcW w:w="7055" w:type="dxa"/>
            <w:tcBorders>
              <w:bottom w:val="single" w:sz="2" w:space="0" w:color="000000"/>
            </w:tcBorders>
            <w:shd w:fill="CCEEFF" w:val="clear"/>
            <w:vAlign w:val="bottom"/>
          </w:tcPr>
          <w:p>
            <w:pPr>
              <w:pStyle w:val="TableContents"/>
              <w:spacing w:lineRule="auto" w:line="300" w:before="0" w:after="0"/>
              <w:ind w:left="360" w:right="0" w:hanging="0"/>
              <w:jc w:val="left"/>
              <w:rPr>
                <w:rFonts w:ascii="Times New Roman" w:hAnsi="Times New Roman"/>
                <w:sz w:val="20"/>
              </w:rPr>
            </w:pPr>
            <w:bookmarkStart w:id="3689" w:name="TAB11744"/>
            <w:bookmarkEnd w:id="3689"/>
            <w:r>
              <w:rPr>
                <w:rFonts w:ascii="Times New Roman" w:hAnsi="Times New Roman"/>
                <w:sz w:val="20"/>
              </w:rPr>
              <w:t>Other current liabilities</w:t>
            </w:r>
          </w:p>
        </w:tc>
        <w:tc>
          <w:tcPr>
            <w:tcW w:w="204" w:type="dxa"/>
            <w:tcBorders>
              <w:bottom w:val="single" w:sz="2" w:space="0" w:color="CCEEFF"/>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bookmarkStart w:id="3690" w:name="TAB11745"/>
            <w:bookmarkEnd w:id="3690"/>
            <w:r>
              <w:rPr>
                <w:rFonts w:ascii="Times New Roman" w:hAnsi="Times New Roman"/>
                <w:sz w:val="20"/>
              </w:rPr>
              <w:t>$</w:t>
            </w:r>
          </w:p>
        </w:tc>
        <w:tc>
          <w:tcPr>
            <w:tcW w:w="1187"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3691" w:name="TAB11746"/>
            <w:bookmarkEnd w:id="3691"/>
            <w:r>
              <w:rPr>
                <w:rFonts w:ascii="Times New Roman" w:hAnsi="Times New Roman"/>
                <w:sz w:val="20"/>
              </w:rPr>
              <w:t>177</w:t>
            </w:r>
          </w:p>
        </w:tc>
        <w:tc>
          <w:tcPr>
            <w:tcW w:w="204" w:type="dxa"/>
            <w:tcBorders>
              <w:bottom w:val="single" w:sz="2" w:space="0" w:color="CCEEFF"/>
            </w:tcBorders>
            <w:shd w:fill="CCEEFF" w:val="clear"/>
            <w:vAlign w:val="bottom"/>
          </w:tcPr>
          <w:p>
            <w:pPr>
              <w:pStyle w:val="TableContents"/>
              <w:spacing w:before="0" w:after="283"/>
              <w:jc w:val="left"/>
              <w:rPr/>
            </w:pPr>
            <w:r>
              <w:rPr/>
              <w:t> </w:t>
            </w:r>
          </w:p>
        </w:tc>
        <w:tc>
          <w:tcPr>
            <w:tcW w:w="125" w:type="dxa"/>
            <w:tcBorders>
              <w:bottom w:val="sing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bookmarkStart w:id="3692" w:name="TAB11747"/>
            <w:bookmarkEnd w:id="3692"/>
            <w:r>
              <w:rPr>
                <w:rFonts w:ascii="Times New Roman" w:hAnsi="Times New Roman"/>
                <w:sz w:val="20"/>
              </w:rPr>
              <w:t>$</w:t>
            </w:r>
          </w:p>
        </w:tc>
        <w:tc>
          <w:tcPr>
            <w:tcW w:w="1187"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3693" w:name="TAB11748"/>
            <w:bookmarkEnd w:id="3693"/>
            <w:r>
              <w:rPr>
                <w:rFonts w:ascii="Times New Roman" w:hAnsi="Times New Roman"/>
                <w:sz w:val="20"/>
              </w:rPr>
              <w:t>250</w:t>
            </w:r>
          </w:p>
        </w:tc>
        <w:tc>
          <w:tcPr>
            <w:tcW w:w="118" w:type="dxa"/>
            <w:tcBorders>
              <w:bottom w:val="single" w:sz="2" w:space="0" w:color="CCEEFF"/>
            </w:tcBorders>
            <w:shd w:fill="CCEEFF" w:val="clear"/>
            <w:vAlign w:val="bottom"/>
          </w:tcPr>
          <w:p>
            <w:pPr>
              <w:pStyle w:val="TableContents"/>
              <w:spacing w:before="0" w:after="283"/>
              <w:jc w:val="left"/>
              <w:rPr/>
            </w:pPr>
            <w:r>
              <w:rPr/>
              <w:t> </w:t>
            </w:r>
          </w:p>
        </w:tc>
      </w:tr>
      <w:tr>
        <w:trPr/>
        <w:tc>
          <w:tcPr>
            <w:tcW w:w="7055" w:type="dxa"/>
            <w:tcBorders/>
            <w:shd w:fill="FFFFFF" w:val="clear"/>
            <w:tcMar>
              <w:bottom w:w="0" w:type="dxa"/>
            </w:tcMar>
            <w:vAlign w:val="bottom"/>
          </w:tcPr>
          <w:p>
            <w:pPr>
              <w:pStyle w:val="TableContents"/>
              <w:spacing w:lineRule="auto" w:line="300" w:before="0" w:after="0"/>
              <w:ind w:left="0" w:right="0" w:hanging="0"/>
              <w:jc w:val="left"/>
              <w:rPr/>
            </w:pPr>
            <w:r>
              <w:rPr>
                <w:rStyle w:val="StrongEmphasis"/>
                <w:rFonts w:ascii="Times New Roman" w:hAnsi="Times New Roman"/>
                <w:sz w:val="20"/>
              </w:rPr>
              <w:t>Other liabilities</w:t>
            </w:r>
          </w:p>
        </w:tc>
        <w:tc>
          <w:tcPr>
            <w:tcW w:w="204" w:type="dxa"/>
            <w:tcBorders/>
            <w:shd w:fill="FFFFFF" w:val="clear"/>
            <w:tcMar>
              <w:bottom w:w="0" w:type="dxa"/>
            </w:tcMar>
            <w:vAlign w:val="center"/>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87" w:type="dxa"/>
            <w:tcBorders/>
            <w:shd w:fill="FFFFFF" w:val="clear"/>
            <w:tcMar>
              <w:bottom w:w="0" w:type="dxa"/>
            </w:tcMar>
            <w:vAlign w:val="bottom"/>
          </w:tcPr>
          <w:p>
            <w:pPr>
              <w:pStyle w:val="TableContents"/>
              <w:spacing w:before="0" w:after="283"/>
              <w:jc w:val="right"/>
              <w:rPr/>
            </w:pPr>
            <w:r>
              <w:rPr/>
              <w:t> </w:t>
            </w:r>
          </w:p>
        </w:tc>
        <w:tc>
          <w:tcPr>
            <w:tcW w:w="204"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87" w:type="dxa"/>
            <w:tcBorders/>
            <w:shd w:fill="FFFFFF" w:val="clear"/>
            <w:tcMar>
              <w:bottom w:w="0" w:type="dxa"/>
            </w:tcMar>
            <w:vAlign w:val="bottom"/>
          </w:tcPr>
          <w:p>
            <w:pPr>
              <w:pStyle w:val="TableContents"/>
              <w:spacing w:before="0" w:after="283"/>
              <w:jc w:val="right"/>
              <w:rPr/>
            </w:pPr>
            <w:r>
              <w:rPr/>
              <w:t> </w:t>
            </w:r>
          </w:p>
        </w:tc>
        <w:tc>
          <w:tcPr>
            <w:tcW w:w="118" w:type="dxa"/>
            <w:tcBorders/>
            <w:shd w:fill="FFFFFF" w:val="clear"/>
            <w:tcMar>
              <w:bottom w:w="0" w:type="dxa"/>
            </w:tcMar>
            <w:vAlign w:val="bottom"/>
          </w:tcPr>
          <w:p>
            <w:pPr>
              <w:pStyle w:val="TableContents"/>
              <w:spacing w:before="0" w:after="283"/>
              <w:jc w:val="left"/>
              <w:rPr/>
            </w:pPr>
            <w:r>
              <w:rPr/>
              <w:t> </w:t>
            </w:r>
          </w:p>
        </w:tc>
      </w:tr>
      <w:tr>
        <w:trPr/>
        <w:tc>
          <w:tcPr>
            <w:tcW w:w="7055" w:type="dxa"/>
            <w:tcBorders/>
            <w:shd w:fill="CCEEFF" w:val="clear"/>
            <w:tcMar>
              <w:bottom w:w="0" w:type="dxa"/>
            </w:tcMar>
            <w:vAlign w:val="bottom"/>
          </w:tcPr>
          <w:p>
            <w:pPr>
              <w:pStyle w:val="TableContents"/>
              <w:spacing w:lineRule="auto" w:line="300" w:before="0" w:after="0"/>
              <w:ind w:left="360" w:right="0" w:hanging="0"/>
              <w:jc w:val="left"/>
              <w:rPr>
                <w:rFonts w:ascii="Times New Roman" w:hAnsi="Times New Roman"/>
                <w:sz w:val="20"/>
              </w:rPr>
            </w:pPr>
            <w:bookmarkStart w:id="3694" w:name="TAB11749"/>
            <w:bookmarkEnd w:id="3694"/>
            <w:r>
              <w:rPr>
                <w:rFonts w:ascii="Times New Roman" w:hAnsi="Times New Roman"/>
                <w:sz w:val="20"/>
              </w:rPr>
              <w:t>Foreign withholding taxes</w:t>
            </w:r>
          </w:p>
        </w:tc>
        <w:tc>
          <w:tcPr>
            <w:tcW w:w="204" w:type="dxa"/>
            <w:tcBorders/>
            <w:shd w:fill="CCEEFF" w:val="clear"/>
            <w:tcMar>
              <w:bottom w:w="0" w:type="dxa"/>
            </w:tcMar>
            <w:vAlign w:val="center"/>
          </w:tcPr>
          <w:p>
            <w:pPr>
              <w:pStyle w:val="TableContents"/>
              <w:spacing w:before="0" w:after="283"/>
              <w:rPr/>
            </w:pPr>
            <w:r>
              <w:rPr/>
              <w:t> </w:t>
            </w:r>
          </w:p>
        </w:tc>
        <w:tc>
          <w:tcPr>
            <w:tcW w:w="125"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3695" w:name="TAB11750"/>
            <w:bookmarkEnd w:id="3695"/>
            <w:r>
              <w:rPr>
                <w:rFonts w:ascii="Times New Roman" w:hAnsi="Times New Roman"/>
                <w:sz w:val="20"/>
              </w:rPr>
              <w:t>$</w:t>
            </w:r>
          </w:p>
        </w:tc>
        <w:tc>
          <w:tcPr>
            <w:tcW w:w="1187"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3696" w:name="TAB11751"/>
            <w:bookmarkEnd w:id="3696"/>
            <w:r>
              <w:rPr>
                <w:rFonts w:ascii="Times New Roman" w:hAnsi="Times New Roman"/>
                <w:sz w:val="20"/>
              </w:rPr>
              <w:t>5,212</w:t>
            </w:r>
          </w:p>
        </w:tc>
        <w:tc>
          <w:tcPr>
            <w:tcW w:w="204"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3697" w:name="TAB11752"/>
            <w:bookmarkEnd w:id="3697"/>
            <w:r>
              <w:rPr>
                <w:rFonts w:ascii="Times New Roman" w:hAnsi="Times New Roman"/>
                <w:sz w:val="20"/>
              </w:rPr>
              <w:t>$</w:t>
            </w:r>
          </w:p>
        </w:tc>
        <w:tc>
          <w:tcPr>
            <w:tcW w:w="1187"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3698" w:name="TAB11753"/>
            <w:bookmarkEnd w:id="3698"/>
            <w:r>
              <w:rPr>
                <w:rFonts w:ascii="Times New Roman" w:hAnsi="Times New Roman"/>
                <w:sz w:val="20"/>
              </w:rPr>
              <w:t>4,944</w:t>
            </w:r>
          </w:p>
        </w:tc>
        <w:tc>
          <w:tcPr>
            <w:tcW w:w="118" w:type="dxa"/>
            <w:tcBorders/>
            <w:shd w:fill="CCEEFF" w:val="clear"/>
            <w:tcMar>
              <w:bottom w:w="0" w:type="dxa"/>
            </w:tcMar>
            <w:vAlign w:val="bottom"/>
          </w:tcPr>
          <w:p>
            <w:pPr>
              <w:pStyle w:val="TableContents"/>
              <w:spacing w:before="0" w:after="283"/>
              <w:jc w:val="left"/>
              <w:rPr/>
            </w:pPr>
            <w:r>
              <w:rPr/>
              <w:t> </w:t>
            </w:r>
          </w:p>
        </w:tc>
      </w:tr>
      <w:tr>
        <w:trPr/>
        <w:tc>
          <w:tcPr>
            <w:tcW w:w="7055" w:type="dxa"/>
            <w:tcBorders/>
            <w:shd w:fill="FFFFFF" w:val="clear"/>
            <w:tcMar>
              <w:bottom w:w="0" w:type="dxa"/>
            </w:tcMar>
            <w:vAlign w:val="bottom"/>
          </w:tcPr>
          <w:p>
            <w:pPr>
              <w:pStyle w:val="TableContents"/>
              <w:spacing w:lineRule="auto" w:line="300" w:before="0" w:after="0"/>
              <w:ind w:left="360" w:right="0" w:hanging="0"/>
              <w:jc w:val="left"/>
              <w:rPr>
                <w:rFonts w:ascii="Times New Roman" w:hAnsi="Times New Roman"/>
                <w:sz w:val="20"/>
              </w:rPr>
            </w:pPr>
            <w:bookmarkStart w:id="3699" w:name="TAB11754"/>
            <w:bookmarkEnd w:id="3699"/>
            <w:r>
              <w:rPr>
                <w:rFonts w:ascii="Times New Roman" w:hAnsi="Times New Roman"/>
                <w:sz w:val="20"/>
              </w:rPr>
              <w:t>Straight-line rent liability</w:t>
            </w:r>
          </w:p>
        </w:tc>
        <w:tc>
          <w:tcPr>
            <w:tcW w:w="204" w:type="dxa"/>
            <w:tcBorders/>
            <w:shd w:fill="FFFFFF" w:val="clear"/>
            <w:tcMar>
              <w:bottom w:w="0" w:type="dxa"/>
            </w:tcMar>
            <w:vAlign w:val="center"/>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87"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3,693</w:t>
            </w:r>
          </w:p>
        </w:tc>
        <w:tc>
          <w:tcPr>
            <w:tcW w:w="204"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87"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 xml:space="preserve">3,541 </w:t>
            </w:r>
          </w:p>
        </w:tc>
        <w:tc>
          <w:tcPr>
            <w:tcW w:w="118" w:type="dxa"/>
            <w:tcBorders/>
            <w:shd w:fill="FFFFFF" w:val="clear"/>
            <w:tcMar>
              <w:bottom w:w="0" w:type="dxa"/>
            </w:tcMar>
            <w:vAlign w:val="bottom"/>
          </w:tcPr>
          <w:p>
            <w:pPr>
              <w:pStyle w:val="TableContents"/>
              <w:spacing w:before="0" w:after="283"/>
              <w:jc w:val="left"/>
              <w:rPr/>
            </w:pPr>
            <w:r>
              <w:rPr/>
              <w:t> </w:t>
            </w:r>
          </w:p>
        </w:tc>
      </w:tr>
      <w:tr>
        <w:trPr/>
        <w:tc>
          <w:tcPr>
            <w:tcW w:w="7055" w:type="dxa"/>
            <w:tcBorders/>
            <w:shd w:fill="CCEEFF" w:val="clear"/>
            <w:tcMar>
              <w:bottom w:w="0" w:type="dxa"/>
            </w:tcMar>
            <w:vAlign w:val="bottom"/>
          </w:tcPr>
          <w:p>
            <w:pPr>
              <w:pStyle w:val="TableContents"/>
              <w:spacing w:lineRule="auto" w:line="300" w:before="0" w:after="0"/>
              <w:ind w:left="360" w:right="0" w:hanging="0"/>
              <w:jc w:val="left"/>
              <w:rPr>
                <w:rFonts w:ascii="Times New Roman" w:hAnsi="Times New Roman"/>
                <w:sz w:val="20"/>
              </w:rPr>
            </w:pPr>
            <w:bookmarkStart w:id="3700" w:name="TAB11755"/>
            <w:bookmarkEnd w:id="3700"/>
            <w:r>
              <w:rPr>
                <w:rFonts w:ascii="Times New Roman" w:hAnsi="Times New Roman"/>
                <w:sz w:val="20"/>
              </w:rPr>
              <w:t>Option liability</w:t>
            </w:r>
          </w:p>
        </w:tc>
        <w:tc>
          <w:tcPr>
            <w:tcW w:w="204" w:type="dxa"/>
            <w:tcBorders/>
            <w:shd w:fill="CCEEFF" w:val="clear"/>
            <w:tcMar>
              <w:bottom w:w="0" w:type="dxa"/>
            </w:tcMar>
            <w:vAlign w:val="center"/>
          </w:tcPr>
          <w:p>
            <w:pPr>
              <w:pStyle w:val="TableContents"/>
              <w:spacing w:before="0" w:after="283"/>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187"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3,681</w:t>
            </w:r>
          </w:p>
        </w:tc>
        <w:tc>
          <w:tcPr>
            <w:tcW w:w="204"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187"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1,055</w:t>
            </w:r>
          </w:p>
        </w:tc>
        <w:tc>
          <w:tcPr>
            <w:tcW w:w="118" w:type="dxa"/>
            <w:tcBorders/>
            <w:shd w:fill="CCEEFF" w:val="clear"/>
            <w:tcMar>
              <w:bottom w:w="0" w:type="dxa"/>
            </w:tcMar>
            <w:vAlign w:val="bottom"/>
          </w:tcPr>
          <w:p>
            <w:pPr>
              <w:pStyle w:val="TableContents"/>
              <w:spacing w:before="0" w:after="283"/>
              <w:jc w:val="left"/>
              <w:rPr/>
            </w:pPr>
            <w:r>
              <w:rPr/>
              <w:t> </w:t>
            </w:r>
          </w:p>
        </w:tc>
      </w:tr>
      <w:tr>
        <w:trPr/>
        <w:tc>
          <w:tcPr>
            <w:tcW w:w="7055" w:type="dxa"/>
            <w:tcBorders/>
            <w:shd w:fill="FFFFFF" w:val="clear"/>
            <w:tcMar>
              <w:bottom w:w="0" w:type="dxa"/>
            </w:tcMar>
            <w:vAlign w:val="bottom"/>
          </w:tcPr>
          <w:p>
            <w:pPr>
              <w:pStyle w:val="TableContents"/>
              <w:spacing w:lineRule="auto" w:line="300" w:before="0" w:after="0"/>
              <w:ind w:left="360" w:right="0" w:hanging="0"/>
              <w:jc w:val="left"/>
              <w:rPr>
                <w:rFonts w:ascii="Times New Roman" w:hAnsi="Times New Roman"/>
                <w:sz w:val="20"/>
              </w:rPr>
            </w:pPr>
            <w:bookmarkStart w:id="3701" w:name="TAB11756"/>
            <w:bookmarkEnd w:id="3701"/>
            <w:r>
              <w:rPr>
                <w:rFonts w:ascii="Times New Roman" w:hAnsi="Times New Roman"/>
                <w:sz w:val="20"/>
              </w:rPr>
              <w:t>Environmental reserve</w:t>
            </w:r>
          </w:p>
        </w:tc>
        <w:tc>
          <w:tcPr>
            <w:tcW w:w="204" w:type="dxa"/>
            <w:tcBorders/>
            <w:shd w:fill="FFFFFF" w:val="clear"/>
            <w:tcMar>
              <w:bottom w:w="0" w:type="dxa"/>
            </w:tcMar>
            <w:vAlign w:val="center"/>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87"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1,656</w:t>
            </w:r>
          </w:p>
        </w:tc>
        <w:tc>
          <w:tcPr>
            <w:tcW w:w="204"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87"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1,656</w:t>
            </w:r>
          </w:p>
        </w:tc>
        <w:tc>
          <w:tcPr>
            <w:tcW w:w="118" w:type="dxa"/>
            <w:tcBorders/>
            <w:shd w:fill="FFFFFF" w:val="clear"/>
            <w:tcMar>
              <w:bottom w:w="0" w:type="dxa"/>
            </w:tcMar>
            <w:vAlign w:val="bottom"/>
          </w:tcPr>
          <w:p>
            <w:pPr>
              <w:pStyle w:val="TableContents"/>
              <w:spacing w:before="0" w:after="283"/>
              <w:jc w:val="left"/>
              <w:rPr/>
            </w:pPr>
            <w:r>
              <w:rPr/>
              <w:t> </w:t>
            </w:r>
          </w:p>
        </w:tc>
      </w:tr>
      <w:tr>
        <w:trPr/>
        <w:tc>
          <w:tcPr>
            <w:tcW w:w="7055" w:type="dxa"/>
            <w:tcBorders/>
            <w:shd w:fill="CCEEFF" w:val="clear"/>
            <w:tcMar>
              <w:bottom w:w="0" w:type="dxa"/>
            </w:tcMar>
            <w:vAlign w:val="bottom"/>
          </w:tcPr>
          <w:p>
            <w:pPr>
              <w:pStyle w:val="TableContents"/>
              <w:spacing w:lineRule="auto" w:line="300" w:before="0" w:after="0"/>
              <w:ind w:left="360" w:right="0" w:hanging="0"/>
              <w:jc w:val="left"/>
              <w:rPr>
                <w:rFonts w:ascii="Times New Roman" w:hAnsi="Times New Roman"/>
                <w:sz w:val="20"/>
              </w:rPr>
            </w:pPr>
            <w:bookmarkStart w:id="3702" w:name="TAB11757"/>
            <w:bookmarkEnd w:id="3702"/>
            <w:r>
              <w:rPr>
                <w:rFonts w:ascii="Times New Roman" w:hAnsi="Times New Roman"/>
                <w:sz w:val="20"/>
              </w:rPr>
              <w:t>Interest rate swap</w:t>
            </w:r>
          </w:p>
        </w:tc>
        <w:tc>
          <w:tcPr>
            <w:tcW w:w="204" w:type="dxa"/>
            <w:tcBorders/>
            <w:shd w:fill="CCEEFF" w:val="clear"/>
            <w:tcMar>
              <w:bottom w:w="0" w:type="dxa"/>
            </w:tcMar>
            <w:vAlign w:val="center"/>
          </w:tcPr>
          <w:p>
            <w:pPr>
              <w:pStyle w:val="TableContents"/>
              <w:spacing w:before="0" w:after="283"/>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187"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204"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187"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635</w:t>
            </w:r>
          </w:p>
        </w:tc>
        <w:tc>
          <w:tcPr>
            <w:tcW w:w="118" w:type="dxa"/>
            <w:tcBorders/>
            <w:shd w:fill="CCEEFF" w:val="clear"/>
            <w:tcMar>
              <w:bottom w:w="0" w:type="dxa"/>
            </w:tcMar>
            <w:vAlign w:val="bottom"/>
          </w:tcPr>
          <w:p>
            <w:pPr>
              <w:pStyle w:val="TableContents"/>
              <w:spacing w:before="0" w:after="283"/>
              <w:jc w:val="left"/>
              <w:rPr/>
            </w:pPr>
            <w:r>
              <w:rPr/>
              <w:t> </w:t>
            </w:r>
          </w:p>
        </w:tc>
      </w:tr>
      <w:tr>
        <w:trPr/>
        <w:tc>
          <w:tcPr>
            <w:tcW w:w="7055" w:type="dxa"/>
            <w:tcBorders/>
            <w:shd w:fill="FFFFFF" w:val="clear"/>
            <w:tcMar>
              <w:bottom w:w="0" w:type="dxa"/>
            </w:tcMar>
            <w:vAlign w:val="bottom"/>
          </w:tcPr>
          <w:p>
            <w:pPr>
              <w:pStyle w:val="TableContents"/>
              <w:spacing w:lineRule="auto" w:line="300" w:before="0" w:after="0"/>
              <w:ind w:left="360" w:right="0" w:hanging="0"/>
              <w:jc w:val="left"/>
              <w:rPr>
                <w:rFonts w:ascii="Times New Roman" w:hAnsi="Times New Roman"/>
                <w:sz w:val="20"/>
              </w:rPr>
            </w:pPr>
            <w:bookmarkStart w:id="3703" w:name="TAB11758"/>
            <w:bookmarkEnd w:id="3703"/>
            <w:r>
              <w:rPr>
                <w:rFonts w:ascii="Times New Roman" w:hAnsi="Times New Roman"/>
                <w:sz w:val="20"/>
              </w:rPr>
              <w:t>Option deposit</w:t>
            </w:r>
          </w:p>
        </w:tc>
        <w:tc>
          <w:tcPr>
            <w:tcW w:w="204" w:type="dxa"/>
            <w:tcBorders/>
            <w:shd w:fill="FFFFFF" w:val="clear"/>
            <w:tcMar>
              <w:bottom w:w="0" w:type="dxa"/>
            </w:tcMar>
            <w:vAlign w:val="center"/>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87"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3,000</w:t>
            </w:r>
          </w:p>
        </w:tc>
        <w:tc>
          <w:tcPr>
            <w:tcW w:w="204"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187"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118" w:type="dxa"/>
            <w:tcBorders/>
            <w:shd w:fill="FFFFFF" w:val="clear"/>
            <w:tcMar>
              <w:bottom w:w="0" w:type="dxa"/>
            </w:tcMar>
            <w:vAlign w:val="bottom"/>
          </w:tcPr>
          <w:p>
            <w:pPr>
              <w:pStyle w:val="TableContents"/>
              <w:spacing w:before="0" w:after="283"/>
              <w:jc w:val="left"/>
              <w:rPr/>
            </w:pPr>
            <w:r>
              <w:rPr/>
              <w:t> </w:t>
            </w:r>
          </w:p>
        </w:tc>
      </w:tr>
      <w:tr>
        <w:trPr/>
        <w:tc>
          <w:tcPr>
            <w:tcW w:w="7055" w:type="dxa"/>
            <w:tcBorders>
              <w:bottom w:val="single" w:sz="2" w:space="0" w:color="000000"/>
            </w:tcBorders>
            <w:shd w:fill="CCEEFF" w:val="clear"/>
            <w:vAlign w:val="bottom"/>
          </w:tcPr>
          <w:p>
            <w:pPr>
              <w:pStyle w:val="TableContents"/>
              <w:spacing w:lineRule="auto" w:line="300" w:before="0" w:after="0"/>
              <w:ind w:left="360" w:right="0" w:hanging="0"/>
              <w:jc w:val="left"/>
              <w:rPr>
                <w:rFonts w:ascii="Times New Roman" w:hAnsi="Times New Roman"/>
                <w:sz w:val="20"/>
              </w:rPr>
            </w:pPr>
            <w:bookmarkStart w:id="3704" w:name="TAB11759"/>
            <w:bookmarkEnd w:id="3704"/>
            <w:r>
              <w:rPr>
                <w:rFonts w:ascii="Times New Roman" w:hAnsi="Times New Roman"/>
                <w:sz w:val="20"/>
              </w:rPr>
              <w:t>Other</w:t>
            </w:r>
          </w:p>
        </w:tc>
        <w:tc>
          <w:tcPr>
            <w:tcW w:w="204" w:type="dxa"/>
            <w:tcBorders>
              <w:bottom w:val="single" w:sz="2" w:space="0" w:color="CCEEFF"/>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vAlign w:val="bottom"/>
          </w:tcPr>
          <w:p>
            <w:pPr>
              <w:pStyle w:val="TableContents"/>
              <w:spacing w:before="0" w:after="283"/>
              <w:jc w:val="left"/>
              <w:rPr/>
            </w:pPr>
            <w:r>
              <w:rPr/>
              <w:t> </w:t>
            </w:r>
          </w:p>
        </w:tc>
        <w:tc>
          <w:tcPr>
            <w:tcW w:w="1187"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936</w:t>
            </w:r>
          </w:p>
        </w:tc>
        <w:tc>
          <w:tcPr>
            <w:tcW w:w="204" w:type="dxa"/>
            <w:tcBorders>
              <w:bottom w:val="single" w:sz="2" w:space="0" w:color="CCEEFF"/>
            </w:tcBorders>
            <w:shd w:fill="CCEEFF" w:val="clear"/>
            <w:vAlign w:val="bottom"/>
          </w:tcPr>
          <w:p>
            <w:pPr>
              <w:pStyle w:val="TableContents"/>
              <w:spacing w:before="0" w:after="283"/>
              <w:jc w:val="left"/>
              <w:rPr/>
            </w:pPr>
            <w:r>
              <w:rPr/>
              <w:t> </w:t>
            </w:r>
          </w:p>
        </w:tc>
        <w:tc>
          <w:tcPr>
            <w:tcW w:w="125" w:type="dxa"/>
            <w:tcBorders>
              <w:bottom w:val="single" w:sz="2" w:space="0" w:color="000000"/>
            </w:tcBorders>
            <w:shd w:fill="CCEEFF" w:val="clear"/>
            <w:vAlign w:val="bottom"/>
          </w:tcPr>
          <w:p>
            <w:pPr>
              <w:pStyle w:val="TableContents"/>
              <w:spacing w:before="0" w:after="283"/>
              <w:jc w:val="left"/>
              <w:rPr/>
            </w:pPr>
            <w:r>
              <w:rPr/>
              <w:t> </w:t>
            </w:r>
          </w:p>
        </w:tc>
        <w:tc>
          <w:tcPr>
            <w:tcW w:w="1187"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678</w:t>
            </w:r>
          </w:p>
        </w:tc>
        <w:tc>
          <w:tcPr>
            <w:tcW w:w="118" w:type="dxa"/>
            <w:tcBorders>
              <w:bottom w:val="single" w:sz="2" w:space="0" w:color="CCEEFF"/>
            </w:tcBorders>
            <w:shd w:fill="CCEEFF" w:val="clear"/>
            <w:vAlign w:val="bottom"/>
          </w:tcPr>
          <w:p>
            <w:pPr>
              <w:pStyle w:val="TableContents"/>
              <w:spacing w:before="0" w:after="283"/>
              <w:jc w:val="left"/>
              <w:rPr/>
            </w:pPr>
            <w:r>
              <w:rPr/>
              <w:t> </w:t>
            </w:r>
          </w:p>
        </w:tc>
      </w:tr>
      <w:tr>
        <w:trPr/>
        <w:tc>
          <w:tcPr>
            <w:tcW w:w="7055" w:type="dxa"/>
            <w:tcBorders>
              <w:bottom w:val="double" w:sz="2" w:space="0" w:color="000000"/>
            </w:tcBorders>
            <w:shd w:fill="FFFFFF" w:val="clear"/>
            <w:vAlign w:val="bottom"/>
          </w:tcPr>
          <w:p>
            <w:pPr>
              <w:pStyle w:val="TableContents"/>
              <w:spacing w:lineRule="auto" w:line="300" w:before="0" w:after="0"/>
              <w:ind w:left="360" w:right="0" w:hanging="0"/>
              <w:jc w:val="left"/>
              <w:rPr>
                <w:rFonts w:ascii="Times New Roman" w:hAnsi="Times New Roman"/>
                <w:sz w:val="20"/>
              </w:rPr>
            </w:pPr>
            <w:bookmarkStart w:id="3705" w:name="TAB11760"/>
            <w:bookmarkEnd w:id="3705"/>
            <w:r>
              <w:rPr>
                <w:rFonts w:ascii="Times New Roman" w:hAnsi="Times New Roman"/>
                <w:sz w:val="20"/>
              </w:rPr>
              <w:t>Other liabilities</w:t>
            </w:r>
          </w:p>
        </w:tc>
        <w:tc>
          <w:tcPr>
            <w:tcW w:w="204" w:type="dxa"/>
            <w:tcBorders>
              <w:bottom w:val="single" w:sz="4" w:space="0" w:color="FFFFFF"/>
            </w:tcBorders>
            <w:shd w:fill="FFFFFF" w:val="clear"/>
            <w:vAlign w:val="center"/>
          </w:tcPr>
          <w:p>
            <w:pPr>
              <w:pStyle w:val="TableContents"/>
              <w:spacing w:before="0" w:after="283"/>
              <w:rPr/>
            </w:pPr>
            <w:r>
              <w:rPr/>
              <w:t> </w:t>
            </w:r>
          </w:p>
        </w:tc>
        <w:tc>
          <w:tcPr>
            <w:tcW w:w="125" w:type="dxa"/>
            <w:tcBorders>
              <w:bottom w:val="doub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bookmarkStart w:id="3706" w:name="TAB11761"/>
            <w:bookmarkEnd w:id="3706"/>
            <w:r>
              <w:rPr>
                <w:rFonts w:ascii="Times New Roman" w:hAnsi="Times New Roman"/>
                <w:sz w:val="20"/>
              </w:rPr>
              <w:t>$</w:t>
            </w:r>
          </w:p>
        </w:tc>
        <w:tc>
          <w:tcPr>
            <w:tcW w:w="1187"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3707" w:name="TAB11762"/>
            <w:bookmarkEnd w:id="3707"/>
            <w:r>
              <w:rPr>
                <w:rFonts w:ascii="Times New Roman" w:hAnsi="Times New Roman"/>
                <w:sz w:val="20"/>
              </w:rPr>
              <w:t>18,178</w:t>
            </w:r>
          </w:p>
        </w:tc>
        <w:tc>
          <w:tcPr>
            <w:tcW w:w="204" w:type="dxa"/>
            <w:tcBorders>
              <w:bottom w:val="single" w:sz="4" w:space="0" w:color="FFFFFF"/>
            </w:tcBorders>
            <w:shd w:fill="FFFFFF" w:val="clear"/>
            <w:vAlign w:val="bottom"/>
          </w:tcPr>
          <w:p>
            <w:pPr>
              <w:pStyle w:val="TableContents"/>
              <w:spacing w:before="0" w:after="283"/>
              <w:jc w:val="left"/>
              <w:rPr/>
            </w:pPr>
            <w:r>
              <w:rPr/>
              <w:t> </w:t>
            </w:r>
          </w:p>
        </w:tc>
        <w:tc>
          <w:tcPr>
            <w:tcW w:w="125" w:type="dxa"/>
            <w:tcBorders>
              <w:bottom w:val="doub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bookmarkStart w:id="3708" w:name="TAB11763"/>
            <w:bookmarkEnd w:id="3708"/>
            <w:r>
              <w:rPr>
                <w:rFonts w:ascii="Times New Roman" w:hAnsi="Times New Roman"/>
                <w:sz w:val="20"/>
              </w:rPr>
              <w:t>$</w:t>
            </w:r>
          </w:p>
        </w:tc>
        <w:tc>
          <w:tcPr>
            <w:tcW w:w="1187"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3709" w:name="TAB11764"/>
            <w:bookmarkEnd w:id="3709"/>
            <w:r>
              <w:rPr>
                <w:rFonts w:ascii="Times New Roman" w:hAnsi="Times New Roman"/>
                <w:sz w:val="20"/>
              </w:rPr>
              <w:t>12,509</w:t>
            </w:r>
          </w:p>
        </w:tc>
        <w:tc>
          <w:tcPr>
            <w:tcW w:w="118" w:type="dxa"/>
            <w:tcBorders>
              <w:bottom w:val="single" w:sz="4" w:space="0" w:color="FFFFFF"/>
            </w:tcBorders>
            <w:shd w:fill="FFFFFF" w:val="clear"/>
            <w:vAlign w:val="bottom"/>
          </w:tcPr>
          <w:p>
            <w:pPr>
              <w:pStyle w:val="TableContents"/>
              <w:spacing w:before="0" w:after="283"/>
              <w:jc w:val="left"/>
              <w:rPr/>
            </w:pPr>
            <w:r>
              <w:rPr/>
              <w:t> </w:t>
            </w:r>
          </w:p>
        </w:tc>
      </w:tr>
    </w:tbl>
    <w:p>
      <w:pPr>
        <w:pStyle w:val="TextBody"/>
        <w:spacing w:lineRule="auto" w:line="300" w:before="0" w:after="0"/>
        <w:ind w:left="0" w:right="0" w:hanging="0"/>
        <w:jc w:val="left"/>
        <w:rPr/>
      </w:pPr>
      <w:r>
        <w:rPr/>
      </w:r>
    </w:p>
    <w:p>
      <w:pPr>
        <w:pStyle w:val="TextBody"/>
        <w:spacing w:lineRule="auto" w:line="300" w:before="0" w:after="0"/>
        <w:ind w:left="0" w:right="0" w:firstLine="900"/>
        <w:jc w:val="both"/>
        <w:rPr>
          <w:rFonts w:ascii="Times New Roman" w:hAnsi="Times New Roman"/>
          <w:sz w:val="20"/>
        </w:rPr>
      </w:pPr>
      <w:r>
        <w:rPr>
          <w:rFonts w:ascii="Times New Roman" w:hAnsi="Times New Roman"/>
          <w:sz w:val="20"/>
        </w:rPr>
        <w:t xml:space="preserve">As part of the purchase of the real property underlying our leasehold interest in the Cinemas 1, 2, &amp; 3 we have granted an option to Sutton Hill Capital, LLC, a limited liability company beneficially owned in equal 50/50 shares by Messrs. James J. Cotter and Michael Forman, to acquire, at cost, up to a 25% non-managing membership interest in the limited liability company that we formed to acquire these interests. That limited liability company is called Sutton Hill Properties LLC, a subsidiary of Reading International, Inc. In June 2006, Sutton Hill Capital, LLC gave us $3.0 million as a deposit on the exercise price of this option. </w:t>
      </w:r>
    </w:p>
    <w:p>
      <w:pPr>
        <w:pStyle w:val="TextBody"/>
        <w:spacing w:lineRule="auto" w:line="300" w:before="0" w:after="0"/>
        <w:ind w:left="0" w:right="0" w:firstLine="900"/>
        <w:jc w:val="both"/>
        <w:rPr/>
      </w:pPr>
      <w:r>
        <w:rPr/>
      </w:r>
    </w:p>
    <w:p>
      <w:pPr>
        <w:pStyle w:val="TextBody"/>
        <w:spacing w:lineRule="auto" w:line="300" w:before="0" w:after="0"/>
        <w:ind w:left="0" w:right="0" w:firstLine="900"/>
        <w:jc w:val="both"/>
        <w:rPr>
          <w:rFonts w:ascii="Times New Roman" w:hAnsi="Times New Roman"/>
          <w:sz w:val="20"/>
        </w:rPr>
      </w:pPr>
      <w:r>
        <w:rPr>
          <w:rFonts w:ascii="Times New Roman" w:hAnsi="Times New Roman"/>
          <w:sz w:val="20"/>
        </w:rPr>
        <w:t>In relation to this option, we had previously recorded a $1.0 million call option liability in other liabilities and a corresponding increase in purchase price paid for the land by Sutton Hill Properties LLC at December 31, 2005. We have adjusted our purchase price allocation relating to the completed valuation of the option as of September 19, 2005 and have recorded an additional $1.1 million as land acquisition costs and option liability. Any change in the option value subsequent to the issuance date is recorded as other income or expense in the statement of operations. As part of our quarterly valuation procedures and with the input from our real estate appraisers, we updated the valuation of these property interests in Cinemas 1, 2, &amp; 3. Because of an increase in the value of the underlying real property assets, the value of the option December 31, 2006 increased to $3.7 million, resulting in a charge for the year ended December 31, 2006 of $1.6 million.</w:t>
      </w:r>
    </w:p>
    <w:p>
      <w:pPr>
        <w:pStyle w:val="TextBody"/>
        <w:spacing w:lineRule="auto" w:line="300" w:before="0" w:after="0"/>
        <w:ind w:left="0" w:right="0" w:firstLine="900"/>
        <w:jc w:val="both"/>
        <w:rPr/>
      </w:pPr>
      <w:r>
        <w:rPr/>
      </w:r>
    </w:p>
    <w:p>
      <w:pPr>
        <w:pStyle w:val="TextBody"/>
        <w:spacing w:lineRule="auto" w:line="300" w:before="0" w:after="0"/>
        <w:ind w:left="0" w:right="0" w:firstLine="900"/>
        <w:jc w:val="both"/>
        <w:rPr>
          <w:rFonts w:ascii="Times New Roman" w:hAnsi="Times New Roman"/>
          <w:sz w:val="20"/>
        </w:rPr>
      </w:pPr>
      <w:r>
        <w:rPr>
          <w:rFonts w:ascii="Times New Roman" w:hAnsi="Times New Roman"/>
          <w:sz w:val="20"/>
        </w:rPr>
        <w:t>During the first quarter of 2006, the Motion Picture Projectionists, Video Technicians and Allied Crafts Union asserted that due to the Company’s reduced reliance on union labor in New York City, there was a partial withdrawal from the union pension plan by the Company in 2003 resulting in a funding liability on the part of the Company of approximately $342,000. We believe that the estimated amount of our obligation to the Union for their pension plan is in question and disputable. For this reason, we intend to discuss further the matter with the Union. However, to reflect the Union’s asserted assessment at this time, we have recorded the $342,000 liability in our other liabilities at December 31, 2006.</w:t>
      </w:r>
    </w:p>
    <w:p>
      <w:pPr>
        <w:pStyle w:val="TextBody"/>
        <w:spacing w:lineRule="auto" w:line="300" w:before="0" w:after="0"/>
        <w:ind w:left="0" w:right="0" w:firstLine="900"/>
        <w:jc w:val="both"/>
        <w:rPr/>
      </w:pPr>
      <w:r>
        <w:rPr/>
      </w:r>
    </w:p>
    <w:p>
      <w:pPr>
        <w:pStyle w:val="TextBody"/>
        <w:spacing w:lineRule="auto" w:line="300" w:before="0" w:after="0"/>
        <w:ind w:left="0" w:right="0" w:hanging="0"/>
        <w:jc w:val="both"/>
        <w:rPr/>
      </w:pPr>
      <w:r>
        <w:rPr>
          <w:rStyle w:val="StrongEmphasis"/>
          <w:rFonts w:ascii="Times New Roman" w:hAnsi="Times New Roman"/>
          <w:sz w:val="20"/>
          <w:u w:val="single"/>
        </w:rPr>
        <w:t>Note 16 - Fair Value of Financial Instruments</w:t>
      </w:r>
    </w:p>
    <w:p>
      <w:pPr>
        <w:pStyle w:val="TextBody"/>
        <w:spacing w:lineRule="auto" w:line="300" w:before="0" w:after="0"/>
        <w:ind w:left="0" w:right="0" w:hanging="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The carrying amounts of our cash and cash equivalents, restricted cash and accounts payable approximate fair value due to their short-term maturities. Interest rate swap contracts are carried at fair value and included in other liabilities on the consolidated balance sheet. The carrying amounts of our variable-rate secured debt approximate fair value since the interest rates on these instruments are equivalent to rates currently offered us. The following table summarizes our financial instruments and their calculated fair values (dollars in thousands):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710" w:name="PGBRK103"/>
      <w:bookmarkStart w:id="3711" w:name="PGBRK103"/>
      <w:bookmarkEnd w:id="371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712" w:name="FTR103"/>
      <w:bookmarkStart w:id="3713" w:name="FTR103"/>
      <w:bookmarkEnd w:id="371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714" w:name="GLFTR103"/>
      <w:bookmarkStart w:id="3715" w:name="GLFTR103"/>
      <w:bookmarkEnd w:id="37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3716" w:name="PN103"/>
      <w:bookmarkEnd w:id="3716"/>
      <w:r>
        <w:rPr>
          <w:rFonts w:ascii="Times New Roman" w:hAnsi="Times New Roman"/>
          <w:sz w:val="16"/>
        </w:rPr>
        <w:t>-103-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717" w:name="HDR103"/>
      <w:bookmarkStart w:id="3718" w:name="HDR103"/>
      <w:bookmarkEnd w:id="371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3719" w:name="GLHDR103"/>
        <w:bookmarkEnd w:id="3719"/>
        <w:r>
          <w:rPr>
            <w:rStyle w:val="Emphasis"/>
            <w:rFonts w:ascii="Times New Roman" w:hAnsi="Times New Roman"/>
            <w:color w:val="000000"/>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pStyle w:val="Normal"/>
        <w:spacing w:before="0" w:after="0"/>
        <w:rPr>
          <w:sz w:val="4"/>
          <w:szCs w:val="4"/>
        </w:rPr>
      </w:pPr>
      <w:r>
        <w:rPr>
          <w:sz w:val="4"/>
          <w:szCs w:val="4"/>
        </w:rPr>
      </w:r>
      <w:bookmarkStart w:id="3720" w:name="ftable51"/>
      <w:bookmarkStart w:id="3721" w:name="ftable51"/>
      <w:bookmarkEnd w:id="3721"/>
    </w:p>
    <w:tbl>
      <w:tblPr>
        <w:tblW w:w="5000" w:type="pct"/>
        <w:jc w:val="left"/>
        <w:tblInd w:w="0" w:type="dxa"/>
        <w:tblCellMar>
          <w:top w:w="0" w:type="dxa"/>
          <w:left w:w="0" w:type="dxa"/>
          <w:bottom w:w="28" w:type="dxa"/>
          <w:right w:w="0" w:type="dxa"/>
        </w:tblCellMar>
      </w:tblPr>
      <w:tblGrid>
        <w:gridCol w:w="4071"/>
        <w:gridCol w:w="193"/>
        <w:gridCol w:w="126"/>
        <w:gridCol w:w="1182"/>
        <w:gridCol w:w="193"/>
        <w:gridCol w:w="126"/>
        <w:gridCol w:w="1182"/>
        <w:gridCol w:w="200"/>
        <w:gridCol w:w="126"/>
        <w:gridCol w:w="1182"/>
        <w:gridCol w:w="193"/>
        <w:gridCol w:w="126"/>
        <w:gridCol w:w="1182"/>
        <w:gridCol w:w="123"/>
      </w:tblGrid>
      <w:tr>
        <w:trPr/>
        <w:tc>
          <w:tcPr>
            <w:tcW w:w="4071" w:type="dxa"/>
            <w:tcBorders>
              <w:bottom w:val="single" w:sz="4" w:space="0" w:color="FFFFFF"/>
            </w:tcBorders>
            <w:shd w:fill="auto" w:val="clear"/>
            <w:vAlign w:val="bottom"/>
          </w:tcPr>
          <w:p>
            <w:pPr>
              <w:pStyle w:val="TableContents"/>
              <w:spacing w:before="0" w:after="283"/>
              <w:jc w:val="left"/>
              <w:rPr/>
            </w:pPr>
            <w:r>
              <w:rPr/>
              <w:t> </w:t>
            </w:r>
          </w:p>
        </w:tc>
        <w:tc>
          <w:tcPr>
            <w:tcW w:w="193" w:type="dxa"/>
            <w:tcBorders>
              <w:bottom w:val="single" w:sz="2" w:space="0" w:color="FFFFFF"/>
            </w:tcBorders>
            <w:shd w:fill="auto" w:val="clear"/>
            <w:vAlign w:val="center"/>
          </w:tcPr>
          <w:p>
            <w:pPr>
              <w:pStyle w:val="TableContents"/>
              <w:spacing w:before="0" w:after="283"/>
              <w:rPr/>
            </w:pPr>
            <w:r>
              <w:rPr/>
              <w:t> </w:t>
            </w:r>
          </w:p>
        </w:tc>
        <w:tc>
          <w:tcPr>
            <w:tcW w:w="2809" w:type="dxa"/>
            <w:gridSpan w:val="5"/>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Book Value</w:t>
            </w:r>
          </w:p>
        </w:tc>
        <w:tc>
          <w:tcPr>
            <w:tcW w:w="200" w:type="dxa"/>
            <w:tcBorders>
              <w:bottom w:val="single" w:sz="2" w:space="0" w:color="FFFFFF"/>
            </w:tcBorders>
            <w:shd w:fill="auto" w:val="clear"/>
            <w:vAlign w:val="bottom"/>
          </w:tcPr>
          <w:p>
            <w:pPr>
              <w:pStyle w:val="TableContents"/>
              <w:spacing w:before="0" w:after="283"/>
              <w:jc w:val="left"/>
              <w:rPr/>
            </w:pPr>
            <w:r>
              <w:rPr/>
              <w:t> </w:t>
            </w:r>
          </w:p>
        </w:tc>
        <w:tc>
          <w:tcPr>
            <w:tcW w:w="2809" w:type="dxa"/>
            <w:gridSpan w:val="5"/>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Fair Value</w:t>
            </w:r>
          </w:p>
        </w:tc>
        <w:tc>
          <w:tcPr>
            <w:tcW w:w="123" w:type="dxa"/>
            <w:tcBorders>
              <w:bottom w:val="single" w:sz="2" w:space="0" w:color="FFFFFF"/>
            </w:tcBorders>
            <w:shd w:fill="auto" w:val="clear"/>
            <w:vAlign w:val="bottom"/>
          </w:tcPr>
          <w:p>
            <w:pPr>
              <w:pStyle w:val="TableContents"/>
              <w:spacing w:before="0" w:after="283"/>
              <w:jc w:val="left"/>
              <w:rPr/>
            </w:pPr>
            <w:r>
              <w:rPr/>
              <w:t> </w:t>
            </w:r>
          </w:p>
        </w:tc>
      </w:tr>
      <w:tr>
        <w:trPr/>
        <w:tc>
          <w:tcPr>
            <w:tcW w:w="4071" w:type="dxa"/>
            <w:tcBorders>
              <w:bottom w:val="double" w:sz="2" w:space="0" w:color="000000"/>
            </w:tcBorders>
            <w:shd w:fill="auto" w:val="clear"/>
            <w:vAlign w:val="bottom"/>
          </w:tcPr>
          <w:p>
            <w:pPr>
              <w:pStyle w:val="TableContents"/>
              <w:spacing w:lineRule="auto" w:line="300" w:before="0" w:after="0"/>
              <w:ind w:left="0" w:right="0" w:hanging="0"/>
              <w:jc w:val="left"/>
              <w:rPr/>
            </w:pPr>
            <w:r>
              <w:rPr>
                <w:rStyle w:val="StrongEmphasis"/>
                <w:rFonts w:ascii="Times New Roman" w:hAnsi="Times New Roman"/>
                <w:sz w:val="20"/>
              </w:rPr>
              <w:t>Financial Instrument</w:t>
            </w:r>
          </w:p>
        </w:tc>
        <w:tc>
          <w:tcPr>
            <w:tcW w:w="193" w:type="dxa"/>
            <w:tcBorders>
              <w:bottom w:val="single" w:sz="4" w:space="0" w:color="FFFFFF"/>
            </w:tcBorders>
            <w:shd w:fill="auto" w:val="clear"/>
            <w:vAlign w:val="center"/>
          </w:tcPr>
          <w:p>
            <w:pPr>
              <w:pStyle w:val="TableContents"/>
              <w:spacing w:before="0" w:after="283"/>
              <w:rPr/>
            </w:pPr>
            <w:r>
              <w:rPr/>
              <w:t> </w:t>
            </w:r>
          </w:p>
        </w:tc>
        <w:tc>
          <w:tcPr>
            <w:tcW w:w="1308"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2006</w:t>
            </w:r>
          </w:p>
        </w:tc>
        <w:tc>
          <w:tcPr>
            <w:tcW w:w="193" w:type="dxa"/>
            <w:tcBorders>
              <w:bottom w:val="single" w:sz="4" w:space="0" w:color="FFFFFF"/>
            </w:tcBorders>
            <w:shd w:fill="auto" w:val="clear"/>
            <w:vAlign w:val="bottom"/>
          </w:tcPr>
          <w:p>
            <w:pPr>
              <w:pStyle w:val="TableContents"/>
              <w:spacing w:before="0" w:after="283"/>
              <w:jc w:val="left"/>
              <w:rPr/>
            </w:pPr>
            <w:r>
              <w:rPr/>
              <w:t> </w:t>
            </w:r>
          </w:p>
        </w:tc>
        <w:tc>
          <w:tcPr>
            <w:tcW w:w="1308"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2005</w:t>
            </w:r>
          </w:p>
        </w:tc>
        <w:tc>
          <w:tcPr>
            <w:tcW w:w="200" w:type="dxa"/>
            <w:tcBorders>
              <w:bottom w:val="single" w:sz="4" w:space="0" w:color="FFFFFF"/>
            </w:tcBorders>
            <w:shd w:fill="auto" w:val="clear"/>
            <w:vAlign w:val="bottom"/>
          </w:tcPr>
          <w:p>
            <w:pPr>
              <w:pStyle w:val="TableContents"/>
              <w:spacing w:before="0" w:after="283"/>
              <w:jc w:val="left"/>
              <w:rPr/>
            </w:pPr>
            <w:r>
              <w:rPr/>
              <w:t> </w:t>
            </w:r>
          </w:p>
        </w:tc>
        <w:tc>
          <w:tcPr>
            <w:tcW w:w="1308"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2006</w:t>
            </w:r>
          </w:p>
        </w:tc>
        <w:tc>
          <w:tcPr>
            <w:tcW w:w="193" w:type="dxa"/>
            <w:tcBorders>
              <w:bottom w:val="single" w:sz="4" w:space="0" w:color="FFFFFF"/>
            </w:tcBorders>
            <w:shd w:fill="auto" w:val="clear"/>
            <w:vAlign w:val="bottom"/>
          </w:tcPr>
          <w:p>
            <w:pPr>
              <w:pStyle w:val="TableContents"/>
              <w:spacing w:before="0" w:after="283"/>
              <w:jc w:val="left"/>
              <w:rPr/>
            </w:pPr>
            <w:r>
              <w:rPr/>
              <w:t> </w:t>
            </w:r>
          </w:p>
        </w:tc>
        <w:tc>
          <w:tcPr>
            <w:tcW w:w="1308"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2005</w:t>
            </w:r>
          </w:p>
        </w:tc>
        <w:tc>
          <w:tcPr>
            <w:tcW w:w="123" w:type="dxa"/>
            <w:tcBorders>
              <w:bottom w:val="single" w:sz="4" w:space="0" w:color="FFFFFF"/>
            </w:tcBorders>
            <w:shd w:fill="auto" w:val="clear"/>
            <w:vAlign w:val="bottom"/>
          </w:tcPr>
          <w:p>
            <w:pPr>
              <w:pStyle w:val="TableContents"/>
              <w:spacing w:before="0" w:after="283"/>
              <w:jc w:val="left"/>
              <w:rPr/>
            </w:pPr>
            <w:r>
              <w:rPr/>
              <w:t> </w:t>
            </w:r>
          </w:p>
        </w:tc>
      </w:tr>
      <w:tr>
        <w:trPr/>
        <w:tc>
          <w:tcPr>
            <w:tcW w:w="4071"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Cash</w:t>
            </w:r>
          </w:p>
        </w:tc>
        <w:tc>
          <w:tcPr>
            <w:tcW w:w="193" w:type="dxa"/>
            <w:tcBorders/>
            <w:shd w:fill="CCEEFF" w:val="clear"/>
            <w:tcMar>
              <w:bottom w:w="0" w:type="dxa"/>
            </w:tcMar>
            <w:vAlign w:val="center"/>
          </w:tcPr>
          <w:p>
            <w:pPr>
              <w:pStyle w:val="TableContents"/>
              <w:spacing w:before="0" w:after="283"/>
              <w:rPr/>
            </w:pPr>
            <w:r>
              <w:rPr/>
              <w:t> </w:t>
            </w:r>
          </w:p>
        </w:tc>
        <w:tc>
          <w:tcPr>
            <w:tcW w:w="126"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3722" w:name="TAB11765"/>
            <w:bookmarkEnd w:id="3722"/>
            <w:r>
              <w:rPr>
                <w:rFonts w:ascii="Times New Roman" w:hAnsi="Times New Roman"/>
                <w:sz w:val="20"/>
              </w:rPr>
              <w:t>$</w:t>
            </w:r>
          </w:p>
        </w:tc>
        <w:tc>
          <w:tcPr>
            <w:tcW w:w="1182"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3723" w:name="TAB11766"/>
            <w:bookmarkEnd w:id="3723"/>
            <w:r>
              <w:rPr>
                <w:rFonts w:ascii="Times New Roman" w:hAnsi="Times New Roman"/>
                <w:sz w:val="20"/>
              </w:rPr>
              <w:t>11,008</w:t>
            </w:r>
          </w:p>
        </w:tc>
        <w:tc>
          <w:tcPr>
            <w:tcW w:w="193" w:type="dxa"/>
            <w:tcBorders/>
            <w:shd w:fill="CCEEFF" w:val="clear"/>
            <w:tcMar>
              <w:bottom w:w="0" w:type="dxa"/>
            </w:tcMar>
            <w:vAlign w:val="bottom"/>
          </w:tcPr>
          <w:p>
            <w:pPr>
              <w:pStyle w:val="TableContents"/>
              <w:spacing w:before="0" w:after="283"/>
              <w:jc w:val="left"/>
              <w:rPr/>
            </w:pPr>
            <w:r>
              <w:rPr/>
              <w:t> </w:t>
            </w:r>
          </w:p>
        </w:tc>
        <w:tc>
          <w:tcPr>
            <w:tcW w:w="126"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3724" w:name="TAB11767"/>
            <w:bookmarkEnd w:id="3724"/>
            <w:r>
              <w:rPr>
                <w:rFonts w:ascii="Times New Roman" w:hAnsi="Times New Roman"/>
                <w:sz w:val="20"/>
              </w:rPr>
              <w:t>$</w:t>
            </w:r>
          </w:p>
        </w:tc>
        <w:tc>
          <w:tcPr>
            <w:tcW w:w="1182"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3725" w:name="TAB11768"/>
            <w:bookmarkEnd w:id="3725"/>
            <w:r>
              <w:rPr>
                <w:rFonts w:ascii="Times New Roman" w:hAnsi="Times New Roman"/>
                <w:sz w:val="20"/>
              </w:rPr>
              <w:t>8,548</w:t>
            </w:r>
          </w:p>
        </w:tc>
        <w:tc>
          <w:tcPr>
            <w:tcW w:w="200" w:type="dxa"/>
            <w:tcBorders/>
            <w:shd w:fill="CCEEFF" w:val="clear"/>
            <w:tcMar>
              <w:bottom w:w="0" w:type="dxa"/>
            </w:tcMar>
            <w:vAlign w:val="bottom"/>
          </w:tcPr>
          <w:p>
            <w:pPr>
              <w:pStyle w:val="TableContents"/>
              <w:spacing w:before="0" w:after="283"/>
              <w:jc w:val="left"/>
              <w:rPr/>
            </w:pPr>
            <w:r>
              <w:rPr/>
              <w:t> </w:t>
            </w:r>
          </w:p>
        </w:tc>
        <w:tc>
          <w:tcPr>
            <w:tcW w:w="126"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3726" w:name="TAB11769"/>
            <w:bookmarkEnd w:id="3726"/>
            <w:r>
              <w:rPr>
                <w:rFonts w:ascii="Times New Roman" w:hAnsi="Times New Roman"/>
                <w:sz w:val="20"/>
              </w:rPr>
              <w:t>$</w:t>
            </w:r>
          </w:p>
        </w:tc>
        <w:tc>
          <w:tcPr>
            <w:tcW w:w="1182"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3727" w:name="TAB11770"/>
            <w:bookmarkEnd w:id="3727"/>
            <w:r>
              <w:rPr>
                <w:rFonts w:ascii="Times New Roman" w:hAnsi="Times New Roman"/>
                <w:sz w:val="20"/>
              </w:rPr>
              <w:t>11,008</w:t>
            </w:r>
          </w:p>
        </w:tc>
        <w:tc>
          <w:tcPr>
            <w:tcW w:w="193" w:type="dxa"/>
            <w:tcBorders/>
            <w:shd w:fill="CCEEFF" w:val="clear"/>
            <w:tcMar>
              <w:bottom w:w="0" w:type="dxa"/>
            </w:tcMar>
            <w:vAlign w:val="bottom"/>
          </w:tcPr>
          <w:p>
            <w:pPr>
              <w:pStyle w:val="TableContents"/>
              <w:spacing w:before="0" w:after="283"/>
              <w:jc w:val="left"/>
              <w:rPr/>
            </w:pPr>
            <w:r>
              <w:rPr/>
              <w:t> </w:t>
            </w:r>
          </w:p>
        </w:tc>
        <w:tc>
          <w:tcPr>
            <w:tcW w:w="126"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3728" w:name="TAB11771"/>
            <w:bookmarkEnd w:id="3728"/>
            <w:r>
              <w:rPr>
                <w:rFonts w:ascii="Times New Roman" w:hAnsi="Times New Roman"/>
                <w:sz w:val="20"/>
              </w:rPr>
              <w:t>$</w:t>
            </w:r>
          </w:p>
        </w:tc>
        <w:tc>
          <w:tcPr>
            <w:tcW w:w="1182"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3729" w:name="TAB11772"/>
            <w:bookmarkEnd w:id="3729"/>
            <w:r>
              <w:rPr>
                <w:rFonts w:ascii="Times New Roman" w:hAnsi="Times New Roman"/>
                <w:sz w:val="20"/>
              </w:rPr>
              <w:t>8,548</w:t>
            </w:r>
          </w:p>
        </w:tc>
        <w:tc>
          <w:tcPr>
            <w:tcW w:w="123" w:type="dxa"/>
            <w:tcBorders/>
            <w:shd w:fill="CCEEFF" w:val="clear"/>
            <w:tcMar>
              <w:bottom w:w="0" w:type="dxa"/>
            </w:tcMar>
            <w:vAlign w:val="bottom"/>
          </w:tcPr>
          <w:p>
            <w:pPr>
              <w:pStyle w:val="TableContents"/>
              <w:spacing w:before="0" w:after="283"/>
              <w:jc w:val="left"/>
              <w:rPr/>
            </w:pPr>
            <w:r>
              <w:rPr/>
              <w:t> </w:t>
            </w:r>
          </w:p>
        </w:tc>
      </w:tr>
      <w:tr>
        <w:trPr/>
        <w:tc>
          <w:tcPr>
            <w:tcW w:w="4071"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Accounts receivable</w:t>
            </w:r>
          </w:p>
        </w:tc>
        <w:tc>
          <w:tcPr>
            <w:tcW w:w="193" w:type="dxa"/>
            <w:tcBorders/>
            <w:shd w:fill="FFFFFF" w:val="clear"/>
            <w:tcMar>
              <w:bottom w:w="0" w:type="dxa"/>
            </w:tcMar>
            <w:vAlign w:val="center"/>
          </w:tcPr>
          <w:p>
            <w:pPr>
              <w:pStyle w:val="TableContents"/>
              <w:spacing w:before="0" w:after="283"/>
              <w:rPr/>
            </w:pPr>
            <w:r>
              <w:rPr/>
              <w:t> </w:t>
            </w:r>
          </w:p>
        </w:tc>
        <w:tc>
          <w:tcPr>
            <w:tcW w:w="126"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3730" w:name="TAB11773"/>
            <w:bookmarkEnd w:id="3730"/>
            <w:r>
              <w:rPr>
                <w:rFonts w:ascii="Times New Roman" w:hAnsi="Times New Roman"/>
                <w:sz w:val="20"/>
              </w:rPr>
              <w:t>$</w:t>
            </w:r>
          </w:p>
        </w:tc>
        <w:tc>
          <w:tcPr>
            <w:tcW w:w="1182"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3731" w:name="TAB11774"/>
            <w:bookmarkEnd w:id="3731"/>
            <w:r>
              <w:rPr>
                <w:rFonts w:ascii="Times New Roman" w:hAnsi="Times New Roman"/>
                <w:sz w:val="20"/>
              </w:rPr>
              <w:t>6,612</w:t>
            </w:r>
          </w:p>
        </w:tc>
        <w:tc>
          <w:tcPr>
            <w:tcW w:w="193" w:type="dxa"/>
            <w:tcBorders/>
            <w:shd w:fill="FFFFFF" w:val="clear"/>
            <w:tcMar>
              <w:bottom w:w="0" w:type="dxa"/>
            </w:tcMar>
            <w:vAlign w:val="bottom"/>
          </w:tcPr>
          <w:p>
            <w:pPr>
              <w:pStyle w:val="TableContents"/>
              <w:spacing w:before="0" w:after="283"/>
              <w:jc w:val="left"/>
              <w:rPr/>
            </w:pPr>
            <w:r>
              <w:rPr/>
              <w:t> </w:t>
            </w:r>
          </w:p>
        </w:tc>
        <w:tc>
          <w:tcPr>
            <w:tcW w:w="126"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3732" w:name="TAB11775"/>
            <w:bookmarkEnd w:id="3732"/>
            <w:r>
              <w:rPr>
                <w:rFonts w:ascii="Times New Roman" w:hAnsi="Times New Roman"/>
                <w:sz w:val="20"/>
              </w:rPr>
              <w:t>$</w:t>
            </w:r>
          </w:p>
        </w:tc>
        <w:tc>
          <w:tcPr>
            <w:tcW w:w="1182"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3733" w:name="TAB11776"/>
            <w:bookmarkEnd w:id="3733"/>
            <w:r>
              <w:rPr>
                <w:rFonts w:ascii="Times New Roman" w:hAnsi="Times New Roman"/>
                <w:sz w:val="20"/>
              </w:rPr>
              <w:t>5,272</w:t>
            </w:r>
          </w:p>
        </w:tc>
        <w:tc>
          <w:tcPr>
            <w:tcW w:w="200" w:type="dxa"/>
            <w:tcBorders/>
            <w:shd w:fill="FFFFFF" w:val="clear"/>
            <w:tcMar>
              <w:bottom w:w="0" w:type="dxa"/>
            </w:tcMar>
            <w:vAlign w:val="bottom"/>
          </w:tcPr>
          <w:p>
            <w:pPr>
              <w:pStyle w:val="TableContents"/>
              <w:spacing w:before="0" w:after="283"/>
              <w:jc w:val="left"/>
              <w:rPr/>
            </w:pPr>
            <w:r>
              <w:rPr/>
              <w:t> </w:t>
            </w:r>
          </w:p>
        </w:tc>
        <w:tc>
          <w:tcPr>
            <w:tcW w:w="126"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3734" w:name="TAB11777"/>
            <w:bookmarkEnd w:id="3734"/>
            <w:r>
              <w:rPr>
                <w:rFonts w:ascii="Times New Roman" w:hAnsi="Times New Roman"/>
                <w:sz w:val="20"/>
              </w:rPr>
              <w:t>$</w:t>
            </w:r>
          </w:p>
        </w:tc>
        <w:tc>
          <w:tcPr>
            <w:tcW w:w="1182"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3735" w:name="TAB11778"/>
            <w:bookmarkEnd w:id="3735"/>
            <w:r>
              <w:rPr>
                <w:rFonts w:ascii="Times New Roman" w:hAnsi="Times New Roman"/>
                <w:sz w:val="20"/>
              </w:rPr>
              <w:t>6,612</w:t>
            </w:r>
          </w:p>
        </w:tc>
        <w:tc>
          <w:tcPr>
            <w:tcW w:w="193" w:type="dxa"/>
            <w:tcBorders/>
            <w:shd w:fill="FFFFFF" w:val="clear"/>
            <w:tcMar>
              <w:bottom w:w="0" w:type="dxa"/>
            </w:tcMar>
            <w:vAlign w:val="bottom"/>
          </w:tcPr>
          <w:p>
            <w:pPr>
              <w:pStyle w:val="TableContents"/>
              <w:spacing w:before="0" w:after="283"/>
              <w:jc w:val="left"/>
              <w:rPr/>
            </w:pPr>
            <w:r>
              <w:rPr/>
              <w:t> </w:t>
            </w:r>
          </w:p>
        </w:tc>
        <w:tc>
          <w:tcPr>
            <w:tcW w:w="126"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3736" w:name="TAB11779"/>
            <w:bookmarkEnd w:id="3736"/>
            <w:r>
              <w:rPr>
                <w:rFonts w:ascii="Times New Roman" w:hAnsi="Times New Roman"/>
                <w:sz w:val="20"/>
              </w:rPr>
              <w:t>$</w:t>
            </w:r>
          </w:p>
        </w:tc>
        <w:tc>
          <w:tcPr>
            <w:tcW w:w="1182"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3737" w:name="TAB11780"/>
            <w:bookmarkEnd w:id="3737"/>
            <w:r>
              <w:rPr>
                <w:rFonts w:ascii="Times New Roman" w:hAnsi="Times New Roman"/>
                <w:sz w:val="20"/>
              </w:rPr>
              <w:t>5,272</w:t>
            </w:r>
          </w:p>
        </w:tc>
        <w:tc>
          <w:tcPr>
            <w:tcW w:w="123" w:type="dxa"/>
            <w:tcBorders/>
            <w:shd w:fill="FFFFFF" w:val="clear"/>
            <w:tcMar>
              <w:bottom w:w="0" w:type="dxa"/>
            </w:tcMar>
            <w:vAlign w:val="bottom"/>
          </w:tcPr>
          <w:p>
            <w:pPr>
              <w:pStyle w:val="TableContents"/>
              <w:spacing w:before="0" w:after="283"/>
              <w:jc w:val="left"/>
              <w:rPr/>
            </w:pPr>
            <w:r>
              <w:rPr/>
              <w:t> </w:t>
            </w:r>
          </w:p>
        </w:tc>
      </w:tr>
      <w:tr>
        <w:trPr/>
        <w:tc>
          <w:tcPr>
            <w:tcW w:w="4071"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Investment in marketable securities</w:t>
            </w:r>
          </w:p>
        </w:tc>
        <w:tc>
          <w:tcPr>
            <w:tcW w:w="193" w:type="dxa"/>
            <w:tcBorders/>
            <w:shd w:fill="CCEEFF" w:val="clear"/>
            <w:tcMar>
              <w:bottom w:w="0" w:type="dxa"/>
            </w:tcMar>
            <w:vAlign w:val="center"/>
          </w:tcPr>
          <w:p>
            <w:pPr>
              <w:pStyle w:val="TableContents"/>
              <w:spacing w:before="0" w:after="283"/>
              <w:rPr/>
            </w:pPr>
            <w:r>
              <w:rPr/>
              <w:t> </w:t>
            </w:r>
          </w:p>
        </w:tc>
        <w:tc>
          <w:tcPr>
            <w:tcW w:w="126"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3738" w:name="TAB11781"/>
            <w:bookmarkEnd w:id="3738"/>
            <w:r>
              <w:rPr>
                <w:rFonts w:ascii="Times New Roman" w:hAnsi="Times New Roman"/>
                <w:sz w:val="20"/>
              </w:rPr>
              <w:t>$</w:t>
            </w:r>
          </w:p>
        </w:tc>
        <w:tc>
          <w:tcPr>
            <w:tcW w:w="1182"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3739" w:name="TAB11782"/>
            <w:bookmarkEnd w:id="3739"/>
            <w:r>
              <w:rPr>
                <w:rFonts w:ascii="Times New Roman" w:hAnsi="Times New Roman"/>
                <w:sz w:val="20"/>
              </w:rPr>
              <w:t>8,436</w:t>
            </w:r>
          </w:p>
        </w:tc>
        <w:tc>
          <w:tcPr>
            <w:tcW w:w="193" w:type="dxa"/>
            <w:tcBorders/>
            <w:shd w:fill="CCEEFF" w:val="clear"/>
            <w:tcMar>
              <w:bottom w:w="0" w:type="dxa"/>
            </w:tcMar>
            <w:vAlign w:val="bottom"/>
          </w:tcPr>
          <w:p>
            <w:pPr>
              <w:pStyle w:val="TableContents"/>
              <w:spacing w:before="0" w:after="283"/>
              <w:jc w:val="left"/>
              <w:rPr/>
            </w:pPr>
            <w:r>
              <w:rPr/>
              <w:t> </w:t>
            </w:r>
          </w:p>
        </w:tc>
        <w:tc>
          <w:tcPr>
            <w:tcW w:w="126"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3740" w:name="TAB11783"/>
            <w:bookmarkEnd w:id="3740"/>
            <w:r>
              <w:rPr>
                <w:rFonts w:ascii="Times New Roman" w:hAnsi="Times New Roman"/>
                <w:sz w:val="20"/>
              </w:rPr>
              <w:t>$</w:t>
            </w:r>
          </w:p>
        </w:tc>
        <w:tc>
          <w:tcPr>
            <w:tcW w:w="1182"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3741" w:name="TAB11784"/>
            <w:bookmarkEnd w:id="3741"/>
            <w:r>
              <w:rPr>
                <w:rFonts w:ascii="Times New Roman" w:hAnsi="Times New Roman"/>
                <w:sz w:val="20"/>
              </w:rPr>
              <w:t>401</w:t>
            </w:r>
          </w:p>
        </w:tc>
        <w:tc>
          <w:tcPr>
            <w:tcW w:w="200" w:type="dxa"/>
            <w:tcBorders/>
            <w:shd w:fill="CCEEFF" w:val="clear"/>
            <w:tcMar>
              <w:bottom w:w="0" w:type="dxa"/>
            </w:tcMar>
            <w:vAlign w:val="bottom"/>
          </w:tcPr>
          <w:p>
            <w:pPr>
              <w:pStyle w:val="TableContents"/>
              <w:spacing w:before="0" w:after="283"/>
              <w:jc w:val="left"/>
              <w:rPr/>
            </w:pPr>
            <w:r>
              <w:rPr/>
              <w:t> </w:t>
            </w:r>
          </w:p>
        </w:tc>
        <w:tc>
          <w:tcPr>
            <w:tcW w:w="126"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3742" w:name="TAB11785"/>
            <w:bookmarkEnd w:id="3742"/>
            <w:r>
              <w:rPr>
                <w:rFonts w:ascii="Times New Roman" w:hAnsi="Times New Roman"/>
                <w:sz w:val="20"/>
              </w:rPr>
              <w:t>$</w:t>
            </w:r>
          </w:p>
        </w:tc>
        <w:tc>
          <w:tcPr>
            <w:tcW w:w="1182"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3743" w:name="TAB11786"/>
            <w:bookmarkEnd w:id="3743"/>
            <w:r>
              <w:rPr>
                <w:rFonts w:ascii="Times New Roman" w:hAnsi="Times New Roman"/>
                <w:sz w:val="20"/>
              </w:rPr>
              <w:t>8,436</w:t>
            </w:r>
          </w:p>
        </w:tc>
        <w:tc>
          <w:tcPr>
            <w:tcW w:w="193" w:type="dxa"/>
            <w:tcBorders/>
            <w:shd w:fill="CCEEFF" w:val="clear"/>
            <w:tcMar>
              <w:bottom w:w="0" w:type="dxa"/>
            </w:tcMar>
            <w:vAlign w:val="bottom"/>
          </w:tcPr>
          <w:p>
            <w:pPr>
              <w:pStyle w:val="TableContents"/>
              <w:spacing w:before="0" w:after="283"/>
              <w:jc w:val="left"/>
              <w:rPr/>
            </w:pPr>
            <w:r>
              <w:rPr/>
              <w:t> </w:t>
            </w:r>
          </w:p>
        </w:tc>
        <w:tc>
          <w:tcPr>
            <w:tcW w:w="126"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3744" w:name="TAB11787"/>
            <w:bookmarkEnd w:id="3744"/>
            <w:r>
              <w:rPr>
                <w:rFonts w:ascii="Times New Roman" w:hAnsi="Times New Roman"/>
                <w:sz w:val="20"/>
              </w:rPr>
              <w:t>$</w:t>
            </w:r>
          </w:p>
        </w:tc>
        <w:tc>
          <w:tcPr>
            <w:tcW w:w="1182"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3745" w:name="TAB11788"/>
            <w:bookmarkEnd w:id="3745"/>
            <w:r>
              <w:rPr>
                <w:rFonts w:ascii="Times New Roman" w:hAnsi="Times New Roman"/>
                <w:sz w:val="20"/>
              </w:rPr>
              <w:t>401</w:t>
            </w:r>
          </w:p>
        </w:tc>
        <w:tc>
          <w:tcPr>
            <w:tcW w:w="123" w:type="dxa"/>
            <w:tcBorders/>
            <w:shd w:fill="CCEEFF" w:val="clear"/>
            <w:tcMar>
              <w:bottom w:w="0" w:type="dxa"/>
            </w:tcMar>
            <w:vAlign w:val="bottom"/>
          </w:tcPr>
          <w:p>
            <w:pPr>
              <w:pStyle w:val="TableContents"/>
              <w:spacing w:before="0" w:after="283"/>
              <w:jc w:val="left"/>
              <w:rPr/>
            </w:pPr>
            <w:r>
              <w:rPr/>
              <w:t> </w:t>
            </w:r>
          </w:p>
        </w:tc>
      </w:tr>
      <w:tr>
        <w:trPr/>
        <w:tc>
          <w:tcPr>
            <w:tcW w:w="4071"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Restricted cash</w:t>
            </w:r>
          </w:p>
        </w:tc>
        <w:tc>
          <w:tcPr>
            <w:tcW w:w="193" w:type="dxa"/>
            <w:tcBorders/>
            <w:shd w:fill="FFFFFF" w:val="clear"/>
            <w:tcMar>
              <w:bottom w:w="0" w:type="dxa"/>
            </w:tcMar>
            <w:vAlign w:val="center"/>
          </w:tcPr>
          <w:p>
            <w:pPr>
              <w:pStyle w:val="TableContents"/>
              <w:spacing w:before="0" w:after="283"/>
              <w:rPr/>
            </w:pPr>
            <w:r>
              <w:rPr/>
              <w:t> </w:t>
            </w:r>
          </w:p>
        </w:tc>
        <w:tc>
          <w:tcPr>
            <w:tcW w:w="126"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3746" w:name="TAB11789"/>
            <w:bookmarkEnd w:id="3746"/>
            <w:r>
              <w:rPr>
                <w:rFonts w:ascii="Times New Roman" w:hAnsi="Times New Roman"/>
                <w:sz w:val="20"/>
              </w:rPr>
              <w:t>$</w:t>
            </w:r>
          </w:p>
        </w:tc>
        <w:tc>
          <w:tcPr>
            <w:tcW w:w="1182"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3747" w:name="TAB11790"/>
            <w:bookmarkEnd w:id="3747"/>
            <w:r>
              <w:rPr>
                <w:rFonts w:ascii="Times New Roman" w:hAnsi="Times New Roman"/>
                <w:sz w:val="20"/>
              </w:rPr>
              <w:t>1,040</w:t>
            </w:r>
          </w:p>
        </w:tc>
        <w:tc>
          <w:tcPr>
            <w:tcW w:w="193" w:type="dxa"/>
            <w:tcBorders/>
            <w:shd w:fill="FFFFFF" w:val="clear"/>
            <w:tcMar>
              <w:bottom w:w="0" w:type="dxa"/>
            </w:tcMar>
            <w:vAlign w:val="bottom"/>
          </w:tcPr>
          <w:p>
            <w:pPr>
              <w:pStyle w:val="TableContents"/>
              <w:spacing w:before="0" w:after="283"/>
              <w:jc w:val="left"/>
              <w:rPr/>
            </w:pPr>
            <w:r>
              <w:rPr/>
              <w:t> </w:t>
            </w:r>
          </w:p>
        </w:tc>
        <w:tc>
          <w:tcPr>
            <w:tcW w:w="126"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3748" w:name="TAB11791"/>
            <w:bookmarkEnd w:id="3748"/>
            <w:r>
              <w:rPr>
                <w:rFonts w:ascii="Times New Roman" w:hAnsi="Times New Roman"/>
                <w:sz w:val="20"/>
              </w:rPr>
              <w:t>$</w:t>
            </w:r>
          </w:p>
        </w:tc>
        <w:tc>
          <w:tcPr>
            <w:tcW w:w="1182"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3749" w:name="TAB11792"/>
            <w:bookmarkEnd w:id="3749"/>
            <w:r>
              <w:rPr>
                <w:rFonts w:ascii="Times New Roman" w:hAnsi="Times New Roman"/>
                <w:sz w:val="20"/>
              </w:rPr>
              <w:t>--</w:t>
            </w:r>
          </w:p>
        </w:tc>
        <w:tc>
          <w:tcPr>
            <w:tcW w:w="200" w:type="dxa"/>
            <w:tcBorders/>
            <w:shd w:fill="FFFFFF" w:val="clear"/>
            <w:tcMar>
              <w:bottom w:w="0" w:type="dxa"/>
            </w:tcMar>
            <w:vAlign w:val="bottom"/>
          </w:tcPr>
          <w:p>
            <w:pPr>
              <w:pStyle w:val="TableContents"/>
              <w:spacing w:before="0" w:after="283"/>
              <w:jc w:val="left"/>
              <w:rPr/>
            </w:pPr>
            <w:r>
              <w:rPr/>
              <w:t> </w:t>
            </w:r>
          </w:p>
        </w:tc>
        <w:tc>
          <w:tcPr>
            <w:tcW w:w="126"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3750" w:name="TAB11793"/>
            <w:bookmarkEnd w:id="3750"/>
            <w:r>
              <w:rPr>
                <w:rFonts w:ascii="Times New Roman" w:hAnsi="Times New Roman"/>
                <w:sz w:val="20"/>
              </w:rPr>
              <w:t>$</w:t>
            </w:r>
          </w:p>
        </w:tc>
        <w:tc>
          <w:tcPr>
            <w:tcW w:w="1182"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3751" w:name="TAB11794"/>
            <w:bookmarkEnd w:id="3751"/>
            <w:r>
              <w:rPr>
                <w:rFonts w:ascii="Times New Roman" w:hAnsi="Times New Roman"/>
                <w:sz w:val="20"/>
              </w:rPr>
              <w:t>1,040</w:t>
            </w:r>
          </w:p>
        </w:tc>
        <w:tc>
          <w:tcPr>
            <w:tcW w:w="193" w:type="dxa"/>
            <w:tcBorders/>
            <w:shd w:fill="FFFFFF" w:val="clear"/>
            <w:tcMar>
              <w:bottom w:w="0" w:type="dxa"/>
            </w:tcMar>
            <w:vAlign w:val="bottom"/>
          </w:tcPr>
          <w:p>
            <w:pPr>
              <w:pStyle w:val="TableContents"/>
              <w:spacing w:before="0" w:after="283"/>
              <w:jc w:val="left"/>
              <w:rPr/>
            </w:pPr>
            <w:r>
              <w:rPr/>
              <w:t> </w:t>
            </w:r>
          </w:p>
        </w:tc>
        <w:tc>
          <w:tcPr>
            <w:tcW w:w="126"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3752" w:name="TAB11795"/>
            <w:bookmarkEnd w:id="3752"/>
            <w:r>
              <w:rPr>
                <w:rFonts w:ascii="Times New Roman" w:hAnsi="Times New Roman"/>
                <w:sz w:val="20"/>
              </w:rPr>
              <w:t>$</w:t>
            </w:r>
          </w:p>
        </w:tc>
        <w:tc>
          <w:tcPr>
            <w:tcW w:w="1182"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3753" w:name="TAB11796"/>
            <w:bookmarkEnd w:id="3753"/>
            <w:r>
              <w:rPr>
                <w:rFonts w:ascii="Times New Roman" w:hAnsi="Times New Roman"/>
                <w:sz w:val="20"/>
              </w:rPr>
              <w:t>--</w:t>
            </w:r>
          </w:p>
        </w:tc>
        <w:tc>
          <w:tcPr>
            <w:tcW w:w="123" w:type="dxa"/>
            <w:tcBorders/>
            <w:shd w:fill="FFFFFF" w:val="clear"/>
            <w:tcMar>
              <w:bottom w:w="0" w:type="dxa"/>
            </w:tcMar>
            <w:vAlign w:val="bottom"/>
          </w:tcPr>
          <w:p>
            <w:pPr>
              <w:pStyle w:val="TableContents"/>
              <w:spacing w:before="0" w:after="283"/>
              <w:jc w:val="left"/>
              <w:rPr/>
            </w:pPr>
            <w:r>
              <w:rPr/>
              <w:t> </w:t>
            </w:r>
          </w:p>
        </w:tc>
      </w:tr>
      <w:tr>
        <w:trPr/>
        <w:tc>
          <w:tcPr>
            <w:tcW w:w="4071"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Accounts and film rent payable</w:t>
            </w:r>
          </w:p>
        </w:tc>
        <w:tc>
          <w:tcPr>
            <w:tcW w:w="193" w:type="dxa"/>
            <w:tcBorders/>
            <w:shd w:fill="CCEEFF" w:val="clear"/>
            <w:tcMar>
              <w:bottom w:w="0" w:type="dxa"/>
            </w:tcMar>
            <w:vAlign w:val="center"/>
          </w:tcPr>
          <w:p>
            <w:pPr>
              <w:pStyle w:val="TableContents"/>
              <w:spacing w:before="0" w:after="283"/>
              <w:rPr/>
            </w:pPr>
            <w:r>
              <w:rPr/>
              <w:t> </w:t>
            </w:r>
          </w:p>
        </w:tc>
        <w:tc>
          <w:tcPr>
            <w:tcW w:w="126"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3754" w:name="TAB11797"/>
            <w:bookmarkEnd w:id="3754"/>
            <w:r>
              <w:rPr>
                <w:rFonts w:ascii="Times New Roman" w:hAnsi="Times New Roman"/>
                <w:sz w:val="20"/>
              </w:rPr>
              <w:t>$</w:t>
            </w:r>
          </w:p>
        </w:tc>
        <w:tc>
          <w:tcPr>
            <w:tcW w:w="1182"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3755" w:name="TAB11798"/>
            <w:bookmarkEnd w:id="3755"/>
            <w:r>
              <w:rPr>
                <w:rFonts w:ascii="Times New Roman" w:hAnsi="Times New Roman"/>
                <w:sz w:val="20"/>
              </w:rPr>
              <w:t>18,181</w:t>
            </w:r>
          </w:p>
        </w:tc>
        <w:tc>
          <w:tcPr>
            <w:tcW w:w="193" w:type="dxa"/>
            <w:tcBorders/>
            <w:shd w:fill="CCEEFF" w:val="clear"/>
            <w:tcMar>
              <w:bottom w:w="0" w:type="dxa"/>
            </w:tcMar>
            <w:vAlign w:val="bottom"/>
          </w:tcPr>
          <w:p>
            <w:pPr>
              <w:pStyle w:val="TableContents"/>
              <w:spacing w:before="0" w:after="283"/>
              <w:jc w:val="left"/>
              <w:rPr/>
            </w:pPr>
            <w:r>
              <w:rPr/>
              <w:t> </w:t>
            </w:r>
          </w:p>
        </w:tc>
        <w:tc>
          <w:tcPr>
            <w:tcW w:w="126"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3756" w:name="TAB11799"/>
            <w:bookmarkEnd w:id="3756"/>
            <w:r>
              <w:rPr>
                <w:rFonts w:ascii="Times New Roman" w:hAnsi="Times New Roman"/>
                <w:sz w:val="20"/>
              </w:rPr>
              <w:t>$</w:t>
            </w:r>
          </w:p>
        </w:tc>
        <w:tc>
          <w:tcPr>
            <w:tcW w:w="1182"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3757" w:name="TAB11800"/>
            <w:bookmarkEnd w:id="3757"/>
            <w:r>
              <w:rPr>
                <w:rFonts w:ascii="Times New Roman" w:hAnsi="Times New Roman"/>
                <w:sz w:val="20"/>
              </w:rPr>
              <w:t>18,118</w:t>
            </w:r>
          </w:p>
        </w:tc>
        <w:tc>
          <w:tcPr>
            <w:tcW w:w="200" w:type="dxa"/>
            <w:tcBorders/>
            <w:shd w:fill="CCEEFF" w:val="clear"/>
            <w:tcMar>
              <w:bottom w:w="0" w:type="dxa"/>
            </w:tcMar>
            <w:vAlign w:val="bottom"/>
          </w:tcPr>
          <w:p>
            <w:pPr>
              <w:pStyle w:val="TableContents"/>
              <w:spacing w:before="0" w:after="283"/>
              <w:jc w:val="left"/>
              <w:rPr/>
            </w:pPr>
            <w:r>
              <w:rPr/>
              <w:t> </w:t>
            </w:r>
          </w:p>
        </w:tc>
        <w:tc>
          <w:tcPr>
            <w:tcW w:w="126"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3758" w:name="TAB11801"/>
            <w:bookmarkEnd w:id="3758"/>
            <w:r>
              <w:rPr>
                <w:rFonts w:ascii="Times New Roman" w:hAnsi="Times New Roman"/>
                <w:sz w:val="20"/>
              </w:rPr>
              <w:t>$</w:t>
            </w:r>
          </w:p>
        </w:tc>
        <w:tc>
          <w:tcPr>
            <w:tcW w:w="1182"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3759" w:name="TAB11802"/>
            <w:bookmarkEnd w:id="3759"/>
            <w:r>
              <w:rPr>
                <w:rFonts w:ascii="Times New Roman" w:hAnsi="Times New Roman"/>
                <w:sz w:val="20"/>
              </w:rPr>
              <w:t>18,181</w:t>
            </w:r>
          </w:p>
        </w:tc>
        <w:tc>
          <w:tcPr>
            <w:tcW w:w="193" w:type="dxa"/>
            <w:tcBorders/>
            <w:shd w:fill="CCEEFF" w:val="clear"/>
            <w:tcMar>
              <w:bottom w:w="0" w:type="dxa"/>
            </w:tcMar>
            <w:vAlign w:val="bottom"/>
          </w:tcPr>
          <w:p>
            <w:pPr>
              <w:pStyle w:val="TableContents"/>
              <w:spacing w:before="0" w:after="283"/>
              <w:jc w:val="left"/>
              <w:rPr/>
            </w:pPr>
            <w:r>
              <w:rPr/>
              <w:t> </w:t>
            </w:r>
          </w:p>
        </w:tc>
        <w:tc>
          <w:tcPr>
            <w:tcW w:w="126"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3760" w:name="TAB11803"/>
            <w:bookmarkEnd w:id="3760"/>
            <w:r>
              <w:rPr>
                <w:rFonts w:ascii="Times New Roman" w:hAnsi="Times New Roman"/>
                <w:sz w:val="20"/>
              </w:rPr>
              <w:t>$</w:t>
            </w:r>
          </w:p>
        </w:tc>
        <w:tc>
          <w:tcPr>
            <w:tcW w:w="1182"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3761" w:name="TAB11804"/>
            <w:bookmarkEnd w:id="3761"/>
            <w:r>
              <w:rPr>
                <w:rFonts w:ascii="Times New Roman" w:hAnsi="Times New Roman"/>
                <w:sz w:val="20"/>
              </w:rPr>
              <w:t>18,118</w:t>
            </w:r>
          </w:p>
        </w:tc>
        <w:tc>
          <w:tcPr>
            <w:tcW w:w="123" w:type="dxa"/>
            <w:tcBorders/>
            <w:shd w:fill="CCEEFF" w:val="clear"/>
            <w:tcMar>
              <w:bottom w:w="0" w:type="dxa"/>
            </w:tcMar>
            <w:vAlign w:val="bottom"/>
          </w:tcPr>
          <w:p>
            <w:pPr>
              <w:pStyle w:val="TableContents"/>
              <w:spacing w:before="0" w:after="283"/>
              <w:jc w:val="left"/>
              <w:rPr/>
            </w:pPr>
            <w:r>
              <w:rPr/>
              <w:t> </w:t>
            </w:r>
          </w:p>
        </w:tc>
      </w:tr>
      <w:tr>
        <w:trPr/>
        <w:tc>
          <w:tcPr>
            <w:tcW w:w="4071"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Notes payable</w:t>
            </w:r>
          </w:p>
        </w:tc>
        <w:tc>
          <w:tcPr>
            <w:tcW w:w="193" w:type="dxa"/>
            <w:tcBorders/>
            <w:shd w:fill="FFFFFF" w:val="clear"/>
            <w:tcMar>
              <w:bottom w:w="0" w:type="dxa"/>
            </w:tcMar>
            <w:vAlign w:val="center"/>
          </w:tcPr>
          <w:p>
            <w:pPr>
              <w:pStyle w:val="TableContents"/>
              <w:spacing w:before="0" w:after="283"/>
              <w:rPr/>
            </w:pPr>
            <w:r>
              <w:rPr/>
              <w:t> </w:t>
            </w:r>
          </w:p>
        </w:tc>
        <w:tc>
          <w:tcPr>
            <w:tcW w:w="126"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3762" w:name="TAB11805"/>
            <w:bookmarkEnd w:id="3762"/>
            <w:r>
              <w:rPr>
                <w:rFonts w:ascii="Times New Roman" w:hAnsi="Times New Roman"/>
                <w:sz w:val="20"/>
              </w:rPr>
              <w:t>$</w:t>
            </w:r>
          </w:p>
        </w:tc>
        <w:tc>
          <w:tcPr>
            <w:tcW w:w="1182"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3763" w:name="TAB11806"/>
            <w:bookmarkEnd w:id="3763"/>
            <w:r>
              <w:rPr>
                <w:rFonts w:ascii="Times New Roman" w:hAnsi="Times New Roman"/>
                <w:sz w:val="20"/>
              </w:rPr>
              <w:t>130,212</w:t>
            </w:r>
          </w:p>
        </w:tc>
        <w:tc>
          <w:tcPr>
            <w:tcW w:w="193" w:type="dxa"/>
            <w:tcBorders/>
            <w:shd w:fill="FFFFFF" w:val="clear"/>
            <w:tcMar>
              <w:bottom w:w="0" w:type="dxa"/>
            </w:tcMar>
            <w:vAlign w:val="bottom"/>
          </w:tcPr>
          <w:p>
            <w:pPr>
              <w:pStyle w:val="TableContents"/>
              <w:spacing w:before="0" w:after="283"/>
              <w:jc w:val="left"/>
              <w:rPr/>
            </w:pPr>
            <w:r>
              <w:rPr/>
              <w:t> </w:t>
            </w:r>
          </w:p>
        </w:tc>
        <w:tc>
          <w:tcPr>
            <w:tcW w:w="126"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3764" w:name="TAB11807"/>
            <w:bookmarkEnd w:id="3764"/>
            <w:r>
              <w:rPr>
                <w:rFonts w:ascii="Times New Roman" w:hAnsi="Times New Roman"/>
                <w:sz w:val="20"/>
              </w:rPr>
              <w:t>$</w:t>
            </w:r>
          </w:p>
        </w:tc>
        <w:tc>
          <w:tcPr>
            <w:tcW w:w="1182"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3765" w:name="TAB11808"/>
            <w:bookmarkEnd w:id="3765"/>
            <w:r>
              <w:rPr>
                <w:rFonts w:ascii="Times New Roman" w:hAnsi="Times New Roman"/>
                <w:sz w:val="20"/>
              </w:rPr>
              <w:t>109,320</w:t>
            </w:r>
          </w:p>
        </w:tc>
        <w:tc>
          <w:tcPr>
            <w:tcW w:w="200" w:type="dxa"/>
            <w:tcBorders/>
            <w:shd w:fill="FFFFFF" w:val="clear"/>
            <w:tcMar>
              <w:bottom w:w="0" w:type="dxa"/>
            </w:tcMar>
            <w:vAlign w:val="bottom"/>
          </w:tcPr>
          <w:p>
            <w:pPr>
              <w:pStyle w:val="TableContents"/>
              <w:spacing w:before="0" w:after="283"/>
              <w:jc w:val="left"/>
              <w:rPr/>
            </w:pPr>
            <w:r>
              <w:rPr/>
              <w:t> </w:t>
            </w:r>
          </w:p>
        </w:tc>
        <w:tc>
          <w:tcPr>
            <w:tcW w:w="126"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3766" w:name="TAB11809"/>
            <w:bookmarkEnd w:id="3766"/>
            <w:r>
              <w:rPr>
                <w:rFonts w:ascii="Times New Roman" w:hAnsi="Times New Roman"/>
                <w:sz w:val="20"/>
              </w:rPr>
              <w:t>$</w:t>
            </w:r>
          </w:p>
        </w:tc>
        <w:tc>
          <w:tcPr>
            <w:tcW w:w="1182"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3767" w:name="TAB11810"/>
            <w:bookmarkEnd w:id="3767"/>
            <w:r>
              <w:rPr>
                <w:rFonts w:ascii="Times New Roman" w:hAnsi="Times New Roman"/>
                <w:sz w:val="20"/>
              </w:rPr>
              <w:t>130,333</w:t>
            </w:r>
          </w:p>
        </w:tc>
        <w:tc>
          <w:tcPr>
            <w:tcW w:w="193" w:type="dxa"/>
            <w:tcBorders/>
            <w:shd w:fill="FFFFFF" w:val="clear"/>
            <w:tcMar>
              <w:bottom w:w="0" w:type="dxa"/>
            </w:tcMar>
            <w:vAlign w:val="bottom"/>
          </w:tcPr>
          <w:p>
            <w:pPr>
              <w:pStyle w:val="TableContents"/>
              <w:spacing w:before="0" w:after="283"/>
              <w:jc w:val="left"/>
              <w:rPr/>
            </w:pPr>
            <w:r>
              <w:rPr/>
              <w:t> </w:t>
            </w:r>
          </w:p>
        </w:tc>
        <w:tc>
          <w:tcPr>
            <w:tcW w:w="126"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3768" w:name="TAB11811"/>
            <w:bookmarkEnd w:id="3768"/>
            <w:r>
              <w:rPr>
                <w:rFonts w:ascii="Times New Roman" w:hAnsi="Times New Roman"/>
                <w:sz w:val="20"/>
              </w:rPr>
              <w:t>$</w:t>
            </w:r>
          </w:p>
        </w:tc>
        <w:tc>
          <w:tcPr>
            <w:tcW w:w="1182"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3769" w:name="TAB11812"/>
            <w:bookmarkEnd w:id="3769"/>
            <w:r>
              <w:rPr>
                <w:rFonts w:ascii="Times New Roman" w:hAnsi="Times New Roman"/>
                <w:sz w:val="20"/>
              </w:rPr>
              <w:t>107,727</w:t>
            </w:r>
          </w:p>
        </w:tc>
        <w:tc>
          <w:tcPr>
            <w:tcW w:w="123" w:type="dxa"/>
            <w:tcBorders/>
            <w:shd w:fill="FFFFFF" w:val="clear"/>
            <w:tcMar>
              <w:bottom w:w="0" w:type="dxa"/>
            </w:tcMar>
            <w:vAlign w:val="bottom"/>
          </w:tcPr>
          <w:p>
            <w:pPr>
              <w:pStyle w:val="TableContents"/>
              <w:spacing w:before="0" w:after="283"/>
              <w:jc w:val="left"/>
              <w:rPr/>
            </w:pPr>
            <w:r>
              <w:rPr/>
              <w:t> </w:t>
            </w:r>
          </w:p>
        </w:tc>
      </w:tr>
      <w:tr>
        <w:trPr/>
        <w:tc>
          <w:tcPr>
            <w:tcW w:w="4071"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Interest rate swaps asset (liability)</w:t>
            </w:r>
          </w:p>
        </w:tc>
        <w:tc>
          <w:tcPr>
            <w:tcW w:w="193" w:type="dxa"/>
            <w:tcBorders/>
            <w:shd w:fill="CCEEFF" w:val="clear"/>
            <w:tcMar>
              <w:bottom w:w="0" w:type="dxa"/>
            </w:tcMar>
            <w:vAlign w:val="center"/>
          </w:tcPr>
          <w:p>
            <w:pPr>
              <w:pStyle w:val="TableContents"/>
              <w:spacing w:before="0" w:after="283"/>
              <w:rPr/>
            </w:pPr>
            <w:r>
              <w:rPr/>
              <w:t> </w:t>
            </w:r>
          </w:p>
        </w:tc>
        <w:tc>
          <w:tcPr>
            <w:tcW w:w="126"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3770" w:name="TAB11813"/>
            <w:bookmarkEnd w:id="3770"/>
            <w:r>
              <w:rPr>
                <w:rFonts w:ascii="Times New Roman" w:hAnsi="Times New Roman"/>
                <w:sz w:val="20"/>
              </w:rPr>
              <w:t>$</w:t>
            </w:r>
          </w:p>
        </w:tc>
        <w:tc>
          <w:tcPr>
            <w:tcW w:w="1182"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3771" w:name="TAB11814"/>
            <w:bookmarkEnd w:id="3771"/>
            <w:r>
              <w:rPr>
                <w:rFonts w:ascii="Times New Roman" w:hAnsi="Times New Roman"/>
                <w:sz w:val="20"/>
              </w:rPr>
              <w:t>206</w:t>
            </w:r>
          </w:p>
        </w:tc>
        <w:tc>
          <w:tcPr>
            <w:tcW w:w="193" w:type="dxa"/>
            <w:tcBorders/>
            <w:shd w:fill="CCEEFF" w:val="clear"/>
            <w:tcMar>
              <w:bottom w:w="0" w:type="dxa"/>
            </w:tcMar>
            <w:vAlign w:val="bottom"/>
          </w:tcPr>
          <w:p>
            <w:pPr>
              <w:pStyle w:val="TableContents"/>
              <w:spacing w:before="0" w:after="283"/>
              <w:jc w:val="left"/>
              <w:rPr/>
            </w:pPr>
            <w:r>
              <w:rPr/>
              <w:t> </w:t>
            </w:r>
          </w:p>
        </w:tc>
        <w:tc>
          <w:tcPr>
            <w:tcW w:w="126"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3772" w:name="TAB11815"/>
            <w:bookmarkEnd w:id="3772"/>
            <w:r>
              <w:rPr>
                <w:rFonts w:ascii="Times New Roman" w:hAnsi="Times New Roman"/>
                <w:sz w:val="20"/>
              </w:rPr>
              <w:t>$</w:t>
            </w:r>
          </w:p>
        </w:tc>
        <w:tc>
          <w:tcPr>
            <w:tcW w:w="1182"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3773" w:name="TAB11816"/>
            <w:bookmarkEnd w:id="3773"/>
            <w:r>
              <w:rPr>
                <w:rFonts w:ascii="Times New Roman" w:hAnsi="Times New Roman"/>
                <w:sz w:val="20"/>
              </w:rPr>
              <w:t>(638</w:t>
            </w:r>
          </w:p>
        </w:tc>
        <w:tc>
          <w:tcPr>
            <w:tcW w:w="200"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3774" w:name="TAB11817"/>
            <w:bookmarkEnd w:id="3774"/>
            <w:r>
              <w:rPr>
                <w:rFonts w:ascii="Times New Roman" w:hAnsi="Times New Roman"/>
                <w:sz w:val="20"/>
              </w:rPr>
              <w:t>)</w:t>
            </w:r>
          </w:p>
        </w:tc>
        <w:tc>
          <w:tcPr>
            <w:tcW w:w="126"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3775" w:name="TAB11818"/>
            <w:bookmarkEnd w:id="3775"/>
            <w:r>
              <w:rPr>
                <w:rFonts w:ascii="Times New Roman" w:hAnsi="Times New Roman"/>
                <w:sz w:val="20"/>
              </w:rPr>
              <w:t>$</w:t>
            </w:r>
          </w:p>
        </w:tc>
        <w:tc>
          <w:tcPr>
            <w:tcW w:w="1182"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3776" w:name="TAB11819"/>
            <w:bookmarkEnd w:id="3776"/>
            <w:r>
              <w:rPr>
                <w:rFonts w:ascii="Times New Roman" w:hAnsi="Times New Roman"/>
                <w:sz w:val="20"/>
              </w:rPr>
              <w:t>206</w:t>
            </w:r>
          </w:p>
        </w:tc>
        <w:tc>
          <w:tcPr>
            <w:tcW w:w="193" w:type="dxa"/>
            <w:tcBorders/>
            <w:shd w:fill="CCEEFF" w:val="clear"/>
            <w:tcMar>
              <w:bottom w:w="0" w:type="dxa"/>
            </w:tcMar>
            <w:vAlign w:val="bottom"/>
          </w:tcPr>
          <w:p>
            <w:pPr>
              <w:pStyle w:val="TableContents"/>
              <w:spacing w:before="0" w:after="283"/>
              <w:jc w:val="left"/>
              <w:rPr/>
            </w:pPr>
            <w:r>
              <w:rPr/>
              <w:t> </w:t>
            </w:r>
          </w:p>
        </w:tc>
        <w:tc>
          <w:tcPr>
            <w:tcW w:w="126"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3777" w:name="TAB11820"/>
            <w:bookmarkEnd w:id="3777"/>
            <w:r>
              <w:rPr>
                <w:rFonts w:ascii="Times New Roman" w:hAnsi="Times New Roman"/>
                <w:sz w:val="20"/>
              </w:rPr>
              <w:t>$</w:t>
            </w:r>
          </w:p>
        </w:tc>
        <w:tc>
          <w:tcPr>
            <w:tcW w:w="1182"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3778" w:name="TAB11821"/>
            <w:bookmarkEnd w:id="3778"/>
            <w:r>
              <w:rPr>
                <w:rFonts w:ascii="Times New Roman" w:hAnsi="Times New Roman"/>
                <w:sz w:val="20"/>
              </w:rPr>
              <w:t>(638</w:t>
            </w:r>
          </w:p>
        </w:tc>
        <w:tc>
          <w:tcPr>
            <w:tcW w:w="123"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3779" w:name="TAB11822"/>
            <w:bookmarkEnd w:id="3779"/>
            <w:r>
              <w:rPr>
                <w:rFonts w:ascii="Times New Roman" w:hAnsi="Times New Roman"/>
                <w:sz w:val="20"/>
              </w:rPr>
              <w:t>)</w:t>
            </w:r>
          </w:p>
        </w:tc>
      </w:tr>
    </w:tbl>
    <w:p>
      <w:pPr>
        <w:pStyle w:val="TextBody"/>
        <w:spacing w:lineRule="auto" w:line="300" w:before="0" w:after="0"/>
        <w:ind w:left="720" w:right="0" w:hanging="0"/>
        <w:jc w:val="both"/>
        <w:rPr/>
      </w:pPr>
      <w:r>
        <w:rPr/>
      </w:r>
    </w:p>
    <w:p>
      <w:pPr>
        <w:pStyle w:val="TextBody"/>
        <w:spacing w:before="0" w:after="0"/>
        <w:rPr/>
      </w:pPr>
      <w:r>
        <w:rPr/>
        <w:t> </w:t>
      </w:r>
    </w:p>
    <w:p>
      <w:pPr>
        <w:pStyle w:val="TextBody"/>
        <w:spacing w:lineRule="auto" w:line="300" w:before="0" w:after="0"/>
        <w:ind w:left="0" w:right="0" w:hanging="0"/>
        <w:jc w:val="left"/>
        <w:rPr/>
      </w:pPr>
      <w:r>
        <w:rPr>
          <w:rStyle w:val="StrongEmphasis"/>
          <w:rFonts w:ascii="Times New Roman" w:hAnsi="Times New Roman"/>
          <w:sz w:val="20"/>
          <w:u w:val="single"/>
        </w:rPr>
        <w:t>Note 17 - Lease Agreements</w:t>
      </w:r>
    </w:p>
    <w:p>
      <w:pPr>
        <w:pStyle w:val="TextBody"/>
        <w:spacing w:lineRule="auto" w:line="300" w:before="0" w:after="0"/>
        <w:ind w:left="0" w:right="0" w:hanging="0"/>
        <w:jc w:val="left"/>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Most of our cinemas conduct their operations in leased facilities. Nine of our thirteen operating multiplexes in Australia, three of our seven cinemas in New Zealand and all of our cinemas in the United States are in leased facilities. These cinema leases have remaining terms inclusive of options of 10 to 50 years. Certain of our cinema leases provide for contingent rentals based upon a specified percentage of theater revenues with a guaranteed minimum. Substantially all of our leases require the payment of property taxes, insurance and other costs applicable to the property. We also lease office space and equipment under non-cancelable operating leases. All of our leases are accounted for as operating leases and accordingly, we have no leases of facilities which require capitalization.</w:t>
      </w:r>
    </w:p>
    <w:p>
      <w:pPr>
        <w:pStyle w:val="TextBody"/>
        <w:spacing w:lineRule="auto" w:line="300" w:before="0" w:after="0"/>
        <w:ind w:left="0" w:right="0" w:hanging="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We determine the annual base rent expense of our cinemas by amortizing total minimum lease obligations on a straight-line basis over the lease terms. Base rent expense and contingent rental expense under the operating leases totaled approximately $10.8 million and $332,000 for 2006, respectively, $9.8 million and $719,000 for 2005, respectively; and $7.5 million and $739,000 for 2004, respectively. Future minimum lease payments by year and, in the aggregate, under non-cancelable operating leases consisted of the following at December 31, 2006 (dollars in thousands):</w:t>
      </w:r>
    </w:p>
    <w:p>
      <w:pPr>
        <w:pStyle w:val="TextBody"/>
        <w:spacing w:lineRule="auto" w:line="300" w:before="0" w:after="0"/>
        <w:ind w:left="0" w:right="0" w:hanging="0"/>
        <w:jc w:val="both"/>
        <w:rPr/>
      </w:pPr>
      <w:r>
        <w:rPr/>
      </w:r>
    </w:p>
    <w:p>
      <w:pPr>
        <w:pStyle w:val="Normal"/>
        <w:spacing w:before="0" w:after="0"/>
        <w:rPr>
          <w:sz w:val="4"/>
          <w:szCs w:val="4"/>
        </w:rPr>
      </w:pPr>
      <w:r>
        <w:rPr>
          <w:sz w:val="4"/>
          <w:szCs w:val="4"/>
        </w:rPr>
      </w:r>
      <w:bookmarkStart w:id="3780" w:name="ftable52"/>
      <w:bookmarkStart w:id="3781" w:name="ftable52"/>
      <w:bookmarkEnd w:id="3781"/>
    </w:p>
    <w:tbl>
      <w:tblPr>
        <w:tblW w:w="5000" w:type="pct"/>
        <w:jc w:val="left"/>
        <w:tblInd w:w="0" w:type="dxa"/>
        <w:tblCellMar>
          <w:top w:w="0" w:type="dxa"/>
          <w:left w:w="0" w:type="dxa"/>
          <w:bottom w:w="28" w:type="dxa"/>
          <w:right w:w="0" w:type="dxa"/>
        </w:tblCellMar>
      </w:tblPr>
      <w:tblGrid>
        <w:gridCol w:w="8482"/>
        <w:gridCol w:w="210"/>
        <w:gridCol w:w="131"/>
        <w:gridCol w:w="1262"/>
        <w:gridCol w:w="120"/>
      </w:tblGrid>
      <w:tr>
        <w:trPr/>
        <w:tc>
          <w:tcPr>
            <w:tcW w:w="8482" w:type="dxa"/>
            <w:tcBorders>
              <w:bottom w:val="double" w:sz="2" w:space="0" w:color="000000"/>
            </w:tcBorders>
            <w:shd w:fill="auto" w:val="clear"/>
            <w:vAlign w:val="bottom"/>
          </w:tcPr>
          <w:p>
            <w:pPr>
              <w:pStyle w:val="TableContents"/>
              <w:spacing w:before="0" w:after="283"/>
              <w:jc w:val="left"/>
              <w:rPr/>
            </w:pPr>
            <w:r>
              <w:rPr/>
              <w:t> </w:t>
            </w:r>
          </w:p>
        </w:tc>
        <w:tc>
          <w:tcPr>
            <w:tcW w:w="210" w:type="dxa"/>
            <w:tcBorders>
              <w:bottom w:val="single" w:sz="4" w:space="0" w:color="FFFFFF"/>
            </w:tcBorders>
            <w:shd w:fill="auto" w:val="clear"/>
            <w:vAlign w:val="center"/>
          </w:tcPr>
          <w:p>
            <w:pPr>
              <w:pStyle w:val="TableContents"/>
              <w:spacing w:before="0" w:after="283"/>
              <w:rPr/>
            </w:pPr>
            <w:r>
              <w:rPr/>
              <w:t> </w:t>
            </w:r>
          </w:p>
        </w:tc>
        <w:tc>
          <w:tcPr>
            <w:tcW w:w="1393"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Minimum Lease Payments</w:t>
            </w:r>
          </w:p>
        </w:tc>
        <w:tc>
          <w:tcPr>
            <w:tcW w:w="120" w:type="dxa"/>
            <w:tcBorders>
              <w:bottom w:val="single" w:sz="4" w:space="0" w:color="FFFFFF"/>
            </w:tcBorders>
            <w:shd w:fill="auto" w:val="clear"/>
            <w:vAlign w:val="bottom"/>
          </w:tcPr>
          <w:p>
            <w:pPr>
              <w:pStyle w:val="TableContents"/>
              <w:spacing w:before="0" w:after="283"/>
              <w:jc w:val="left"/>
              <w:rPr/>
            </w:pPr>
            <w:r>
              <w:rPr/>
              <w:t> </w:t>
            </w:r>
          </w:p>
        </w:tc>
      </w:tr>
      <w:tr>
        <w:trPr/>
        <w:tc>
          <w:tcPr>
            <w:tcW w:w="8482"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2007</w:t>
            </w:r>
          </w:p>
        </w:tc>
        <w:tc>
          <w:tcPr>
            <w:tcW w:w="210" w:type="dxa"/>
            <w:tcBorders/>
            <w:shd w:fill="CCEEFF" w:val="clear"/>
            <w:tcMar>
              <w:bottom w:w="0" w:type="dxa"/>
            </w:tcMar>
            <w:vAlign w:val="center"/>
          </w:tcPr>
          <w:p>
            <w:pPr>
              <w:pStyle w:val="TableContents"/>
              <w:spacing w:before="0" w:after="283"/>
              <w:rPr/>
            </w:pPr>
            <w:r>
              <w:rPr/>
              <w:t> </w:t>
            </w:r>
          </w:p>
        </w:tc>
        <w:tc>
          <w:tcPr>
            <w:tcW w:w="131"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3782" w:name="TAB11823"/>
            <w:bookmarkEnd w:id="3782"/>
            <w:r>
              <w:rPr>
                <w:rFonts w:ascii="Times New Roman" w:hAnsi="Times New Roman"/>
                <w:sz w:val="20"/>
              </w:rPr>
              <w:t>$</w:t>
            </w:r>
          </w:p>
        </w:tc>
        <w:tc>
          <w:tcPr>
            <w:tcW w:w="1262"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3783" w:name="TAB11824"/>
            <w:bookmarkEnd w:id="3783"/>
            <w:r>
              <w:rPr>
                <w:rFonts w:ascii="Times New Roman" w:hAnsi="Times New Roman"/>
                <w:sz w:val="20"/>
              </w:rPr>
              <w:t>11,482</w:t>
            </w:r>
          </w:p>
        </w:tc>
        <w:tc>
          <w:tcPr>
            <w:tcW w:w="120" w:type="dxa"/>
            <w:tcBorders/>
            <w:shd w:fill="CCEEFF" w:val="clear"/>
            <w:tcMar>
              <w:bottom w:w="0" w:type="dxa"/>
            </w:tcMar>
            <w:vAlign w:val="bottom"/>
          </w:tcPr>
          <w:p>
            <w:pPr>
              <w:pStyle w:val="TableContents"/>
              <w:spacing w:before="0" w:after="283"/>
              <w:jc w:val="left"/>
              <w:rPr/>
            </w:pPr>
            <w:r>
              <w:rPr/>
              <w:t> </w:t>
            </w:r>
          </w:p>
        </w:tc>
      </w:tr>
      <w:tr>
        <w:trPr/>
        <w:tc>
          <w:tcPr>
            <w:tcW w:w="8482"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2008</w:t>
            </w:r>
          </w:p>
        </w:tc>
        <w:tc>
          <w:tcPr>
            <w:tcW w:w="210" w:type="dxa"/>
            <w:tcBorders/>
            <w:shd w:fill="FFFFFF" w:val="clear"/>
            <w:tcMar>
              <w:bottom w:w="0" w:type="dxa"/>
            </w:tcMar>
            <w:vAlign w:val="center"/>
          </w:tcPr>
          <w:p>
            <w:pPr>
              <w:pStyle w:val="TableContents"/>
              <w:spacing w:before="0" w:after="283"/>
              <w:rPr/>
            </w:pPr>
            <w:r>
              <w:rPr/>
              <w:t> </w:t>
            </w:r>
          </w:p>
        </w:tc>
        <w:tc>
          <w:tcPr>
            <w:tcW w:w="131" w:type="dxa"/>
            <w:tcBorders/>
            <w:shd w:fill="FFFFFF" w:val="clear"/>
            <w:tcMar>
              <w:bottom w:w="0" w:type="dxa"/>
            </w:tcMar>
            <w:vAlign w:val="bottom"/>
          </w:tcPr>
          <w:p>
            <w:pPr>
              <w:pStyle w:val="TableContents"/>
              <w:spacing w:before="0" w:after="283"/>
              <w:jc w:val="left"/>
              <w:rPr/>
            </w:pPr>
            <w:r>
              <w:rPr/>
              <w:t> </w:t>
            </w:r>
          </w:p>
        </w:tc>
        <w:tc>
          <w:tcPr>
            <w:tcW w:w="1262"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10,840</w:t>
            </w:r>
          </w:p>
        </w:tc>
        <w:tc>
          <w:tcPr>
            <w:tcW w:w="120" w:type="dxa"/>
            <w:tcBorders/>
            <w:shd w:fill="FFFFFF" w:val="clear"/>
            <w:tcMar>
              <w:bottom w:w="0" w:type="dxa"/>
            </w:tcMar>
            <w:vAlign w:val="bottom"/>
          </w:tcPr>
          <w:p>
            <w:pPr>
              <w:pStyle w:val="TableContents"/>
              <w:spacing w:before="0" w:after="283"/>
              <w:jc w:val="left"/>
              <w:rPr/>
            </w:pPr>
            <w:r>
              <w:rPr/>
              <w:t> </w:t>
            </w:r>
          </w:p>
        </w:tc>
      </w:tr>
      <w:tr>
        <w:trPr/>
        <w:tc>
          <w:tcPr>
            <w:tcW w:w="8482"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2009</w:t>
            </w:r>
          </w:p>
        </w:tc>
        <w:tc>
          <w:tcPr>
            <w:tcW w:w="210" w:type="dxa"/>
            <w:tcBorders/>
            <w:shd w:fill="CCEEFF" w:val="clear"/>
            <w:tcMar>
              <w:bottom w:w="0" w:type="dxa"/>
            </w:tcMar>
            <w:vAlign w:val="center"/>
          </w:tcPr>
          <w:p>
            <w:pPr>
              <w:pStyle w:val="TableContents"/>
              <w:spacing w:before="0" w:after="283"/>
              <w:rPr/>
            </w:pPr>
            <w:r>
              <w:rPr/>
              <w:t> </w:t>
            </w:r>
          </w:p>
        </w:tc>
        <w:tc>
          <w:tcPr>
            <w:tcW w:w="131" w:type="dxa"/>
            <w:tcBorders/>
            <w:shd w:fill="CCEEFF" w:val="clear"/>
            <w:tcMar>
              <w:bottom w:w="0" w:type="dxa"/>
            </w:tcMar>
            <w:vAlign w:val="bottom"/>
          </w:tcPr>
          <w:p>
            <w:pPr>
              <w:pStyle w:val="TableContents"/>
              <w:spacing w:before="0" w:after="283"/>
              <w:jc w:val="left"/>
              <w:rPr/>
            </w:pPr>
            <w:r>
              <w:rPr/>
              <w:t> </w:t>
            </w:r>
          </w:p>
        </w:tc>
        <w:tc>
          <w:tcPr>
            <w:tcW w:w="1262"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10,833</w:t>
            </w:r>
          </w:p>
        </w:tc>
        <w:tc>
          <w:tcPr>
            <w:tcW w:w="120" w:type="dxa"/>
            <w:tcBorders/>
            <w:shd w:fill="CCEEFF" w:val="clear"/>
            <w:tcMar>
              <w:bottom w:w="0" w:type="dxa"/>
            </w:tcMar>
            <w:vAlign w:val="bottom"/>
          </w:tcPr>
          <w:p>
            <w:pPr>
              <w:pStyle w:val="TableContents"/>
              <w:spacing w:before="0" w:after="283"/>
              <w:jc w:val="left"/>
              <w:rPr/>
            </w:pPr>
            <w:r>
              <w:rPr/>
              <w:t> </w:t>
            </w:r>
          </w:p>
        </w:tc>
      </w:tr>
      <w:tr>
        <w:trPr/>
        <w:tc>
          <w:tcPr>
            <w:tcW w:w="8482"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2010</w:t>
            </w:r>
          </w:p>
        </w:tc>
        <w:tc>
          <w:tcPr>
            <w:tcW w:w="210" w:type="dxa"/>
            <w:tcBorders/>
            <w:shd w:fill="FFFFFF" w:val="clear"/>
            <w:tcMar>
              <w:bottom w:w="0" w:type="dxa"/>
            </w:tcMar>
            <w:vAlign w:val="center"/>
          </w:tcPr>
          <w:p>
            <w:pPr>
              <w:pStyle w:val="TableContents"/>
              <w:spacing w:before="0" w:after="283"/>
              <w:rPr/>
            </w:pPr>
            <w:r>
              <w:rPr/>
              <w:t> </w:t>
            </w:r>
          </w:p>
        </w:tc>
        <w:tc>
          <w:tcPr>
            <w:tcW w:w="131" w:type="dxa"/>
            <w:tcBorders/>
            <w:shd w:fill="FFFFFF" w:val="clear"/>
            <w:tcMar>
              <w:bottom w:w="0" w:type="dxa"/>
            </w:tcMar>
            <w:vAlign w:val="bottom"/>
          </w:tcPr>
          <w:p>
            <w:pPr>
              <w:pStyle w:val="TableContents"/>
              <w:spacing w:before="0" w:after="283"/>
              <w:jc w:val="left"/>
              <w:rPr/>
            </w:pPr>
            <w:r>
              <w:rPr/>
              <w:t> </w:t>
            </w:r>
          </w:p>
        </w:tc>
        <w:tc>
          <w:tcPr>
            <w:tcW w:w="1262"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10,609</w:t>
            </w:r>
          </w:p>
        </w:tc>
        <w:tc>
          <w:tcPr>
            <w:tcW w:w="120" w:type="dxa"/>
            <w:tcBorders/>
            <w:shd w:fill="FFFFFF" w:val="clear"/>
            <w:tcMar>
              <w:bottom w:w="0" w:type="dxa"/>
            </w:tcMar>
            <w:vAlign w:val="bottom"/>
          </w:tcPr>
          <w:p>
            <w:pPr>
              <w:pStyle w:val="TableContents"/>
              <w:spacing w:before="0" w:after="283"/>
              <w:jc w:val="left"/>
              <w:rPr/>
            </w:pPr>
            <w:r>
              <w:rPr/>
              <w:t> </w:t>
            </w:r>
          </w:p>
        </w:tc>
      </w:tr>
      <w:tr>
        <w:trPr/>
        <w:tc>
          <w:tcPr>
            <w:tcW w:w="8482"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2011</w:t>
            </w:r>
          </w:p>
        </w:tc>
        <w:tc>
          <w:tcPr>
            <w:tcW w:w="210" w:type="dxa"/>
            <w:tcBorders/>
            <w:shd w:fill="CCEEFF" w:val="clear"/>
            <w:tcMar>
              <w:bottom w:w="0" w:type="dxa"/>
            </w:tcMar>
            <w:vAlign w:val="center"/>
          </w:tcPr>
          <w:p>
            <w:pPr>
              <w:pStyle w:val="TableContents"/>
              <w:spacing w:before="0" w:after="283"/>
              <w:rPr/>
            </w:pPr>
            <w:r>
              <w:rPr/>
              <w:t> </w:t>
            </w:r>
          </w:p>
        </w:tc>
        <w:tc>
          <w:tcPr>
            <w:tcW w:w="131" w:type="dxa"/>
            <w:tcBorders/>
            <w:shd w:fill="CCEEFF" w:val="clear"/>
            <w:tcMar>
              <w:bottom w:w="0" w:type="dxa"/>
            </w:tcMar>
            <w:vAlign w:val="bottom"/>
          </w:tcPr>
          <w:p>
            <w:pPr>
              <w:pStyle w:val="TableContents"/>
              <w:spacing w:before="0" w:after="283"/>
              <w:jc w:val="left"/>
              <w:rPr/>
            </w:pPr>
            <w:r>
              <w:rPr/>
              <w:t> </w:t>
            </w:r>
          </w:p>
        </w:tc>
        <w:tc>
          <w:tcPr>
            <w:tcW w:w="1262"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9,928</w:t>
            </w:r>
          </w:p>
        </w:tc>
        <w:tc>
          <w:tcPr>
            <w:tcW w:w="120" w:type="dxa"/>
            <w:tcBorders/>
            <w:shd w:fill="CCEEFF" w:val="clear"/>
            <w:tcMar>
              <w:bottom w:w="0" w:type="dxa"/>
            </w:tcMar>
            <w:vAlign w:val="bottom"/>
          </w:tcPr>
          <w:p>
            <w:pPr>
              <w:pStyle w:val="TableContents"/>
              <w:spacing w:before="0" w:after="283"/>
              <w:jc w:val="left"/>
              <w:rPr/>
            </w:pPr>
            <w:r>
              <w:rPr/>
              <w:t> </w:t>
            </w:r>
          </w:p>
        </w:tc>
      </w:tr>
      <w:tr>
        <w:trPr/>
        <w:tc>
          <w:tcPr>
            <w:tcW w:w="8482" w:type="dxa"/>
            <w:tcBorders>
              <w:bottom w:val="sing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Thereafter</w:t>
            </w:r>
          </w:p>
        </w:tc>
        <w:tc>
          <w:tcPr>
            <w:tcW w:w="210" w:type="dxa"/>
            <w:tcBorders>
              <w:bottom w:val="single" w:sz="2" w:space="0" w:color="FFFFFF"/>
            </w:tcBorders>
            <w:shd w:fill="FFFFFF" w:val="clear"/>
            <w:vAlign w:val="center"/>
          </w:tcPr>
          <w:p>
            <w:pPr>
              <w:pStyle w:val="TableContents"/>
              <w:spacing w:before="0" w:after="283"/>
              <w:rPr/>
            </w:pPr>
            <w:r>
              <w:rPr/>
              <w:t> </w:t>
            </w:r>
          </w:p>
        </w:tc>
        <w:tc>
          <w:tcPr>
            <w:tcW w:w="131" w:type="dxa"/>
            <w:tcBorders>
              <w:bottom w:val="single" w:sz="2" w:space="0" w:color="000000"/>
            </w:tcBorders>
            <w:shd w:fill="FFFFFF" w:val="clear"/>
            <w:vAlign w:val="bottom"/>
          </w:tcPr>
          <w:p>
            <w:pPr>
              <w:pStyle w:val="TableContents"/>
              <w:spacing w:before="0" w:after="283"/>
              <w:jc w:val="left"/>
              <w:rPr/>
            </w:pPr>
            <w:r>
              <w:rPr/>
              <w:t> </w:t>
            </w:r>
          </w:p>
        </w:tc>
        <w:tc>
          <w:tcPr>
            <w:tcW w:w="1262"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65,290</w:t>
            </w:r>
          </w:p>
        </w:tc>
        <w:tc>
          <w:tcPr>
            <w:tcW w:w="120" w:type="dxa"/>
            <w:tcBorders>
              <w:bottom w:val="single" w:sz="2" w:space="0" w:color="FFFFFF"/>
            </w:tcBorders>
            <w:shd w:fill="FFFFFF" w:val="clear"/>
            <w:vAlign w:val="bottom"/>
          </w:tcPr>
          <w:p>
            <w:pPr>
              <w:pStyle w:val="TableContents"/>
              <w:spacing w:before="0" w:after="283"/>
              <w:jc w:val="left"/>
              <w:rPr/>
            </w:pPr>
            <w:r>
              <w:rPr/>
              <w:t> </w:t>
            </w:r>
          </w:p>
        </w:tc>
      </w:tr>
      <w:tr>
        <w:trPr/>
        <w:tc>
          <w:tcPr>
            <w:tcW w:w="8482" w:type="dxa"/>
            <w:tcBorders>
              <w:bottom w:val="doub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Total minimum lease payments</w:t>
            </w:r>
          </w:p>
        </w:tc>
        <w:tc>
          <w:tcPr>
            <w:tcW w:w="210" w:type="dxa"/>
            <w:tcBorders>
              <w:bottom w:val="single" w:sz="4" w:space="0" w:color="CCEEFF"/>
            </w:tcBorders>
            <w:shd w:fill="CCEEFF" w:val="clear"/>
            <w:vAlign w:val="center"/>
          </w:tcPr>
          <w:p>
            <w:pPr>
              <w:pStyle w:val="TableContents"/>
              <w:spacing w:before="0" w:after="283"/>
              <w:rPr/>
            </w:pPr>
            <w:r>
              <w:rPr/>
              <w:t> </w:t>
            </w:r>
          </w:p>
        </w:tc>
        <w:tc>
          <w:tcPr>
            <w:tcW w:w="131" w:type="dxa"/>
            <w:tcBorders>
              <w:bottom w:val="doub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bookmarkStart w:id="3784" w:name="TAB11825"/>
            <w:bookmarkEnd w:id="3784"/>
            <w:r>
              <w:rPr>
                <w:rFonts w:ascii="Times New Roman" w:hAnsi="Times New Roman"/>
                <w:sz w:val="20"/>
              </w:rPr>
              <w:t>$</w:t>
            </w:r>
          </w:p>
        </w:tc>
        <w:tc>
          <w:tcPr>
            <w:tcW w:w="1262" w:type="dxa"/>
            <w:tcBorders>
              <w:bottom w:val="doub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3785" w:name="TAB11826"/>
            <w:bookmarkEnd w:id="3785"/>
            <w:r>
              <w:rPr>
                <w:rFonts w:ascii="Times New Roman" w:hAnsi="Times New Roman"/>
                <w:sz w:val="20"/>
              </w:rPr>
              <w:t>118,982</w:t>
            </w:r>
          </w:p>
        </w:tc>
        <w:tc>
          <w:tcPr>
            <w:tcW w:w="120" w:type="dxa"/>
            <w:tcBorders>
              <w:bottom w:val="single" w:sz="4" w:space="0" w:color="CCEEFF"/>
            </w:tcBorders>
            <w:shd w:fill="CCEEFF" w:val="clear"/>
            <w:vAlign w:val="bottom"/>
          </w:tcPr>
          <w:p>
            <w:pPr>
              <w:pStyle w:val="TableContents"/>
              <w:spacing w:before="0" w:after="283"/>
              <w:jc w:val="left"/>
              <w:rPr/>
            </w:pPr>
            <w:r>
              <w:rPr/>
              <w:t> </w:t>
            </w:r>
          </w:p>
        </w:tc>
      </w:tr>
    </w:tbl>
    <w:p>
      <w:pPr>
        <w:pStyle w:val="TextBody"/>
        <w:spacing w:lineRule="auto" w:line="300" w:before="0" w:after="0"/>
        <w:ind w:left="0" w:right="0" w:hanging="0"/>
        <w:jc w:val="left"/>
        <w:rPr/>
      </w:pPr>
      <w:r>
        <w:rPr/>
      </w:r>
    </w:p>
    <w:p>
      <w:pPr>
        <w:pStyle w:val="TextBody"/>
        <w:spacing w:lineRule="auto" w:line="300" w:before="0" w:after="0"/>
        <w:ind w:left="720" w:right="0" w:hanging="0"/>
        <w:jc w:val="both"/>
        <w:rPr>
          <w:rFonts w:ascii="Times New Roman" w:hAnsi="Times New Roman"/>
          <w:sz w:val="20"/>
        </w:rPr>
      </w:pPr>
      <w:bookmarkStart w:id="3786" w:name="TAB11827"/>
      <w:bookmarkEnd w:id="3786"/>
      <w:r>
        <w:rPr>
          <w:rFonts w:ascii="Times New Roman" w:hAnsi="Times New Roman"/>
          <w:sz w:val="20"/>
        </w:rPr>
        <w:t>Since approximately $78.8 million of our total minimum lease payments of $119.0 million as of December 31, 2006 consisted of lease obligations denominated in Australian and New Zealand dollars, the U.S dollar amounts of these obligations will fluctuate in accordance with the relative values of these currencies.</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pPr>
      <w:r>
        <w:rPr/>
      </w:r>
    </w:p>
    <w:p>
      <w:pPr>
        <w:pStyle w:val="TextBody"/>
        <w:spacing w:lineRule="auto" w:line="300" w:before="0" w:after="0"/>
        <w:ind w:left="0" w:right="0" w:hanging="0"/>
        <w:jc w:val="left"/>
        <w:rPr/>
      </w:pPr>
      <w:r>
        <w:rPr>
          <w:rStyle w:val="StrongEmphasis"/>
          <w:rFonts w:ascii="Times New Roman" w:hAnsi="Times New Roman"/>
          <w:sz w:val="20"/>
          <w:u w:val="single"/>
        </w:rPr>
        <w:t>Note 18 - Commitments and Contingencies</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pPr>
      <w:r>
        <w:rPr>
          <w:rStyle w:val="Emphasis"/>
          <w:rFonts w:ascii="Times New Roman" w:hAnsi="Times New Roman"/>
          <w:sz w:val="20"/>
          <w:u w:val="single"/>
        </w:rPr>
        <w:t>Tower Lease</w:t>
      </w:r>
    </w:p>
    <w:p>
      <w:pPr>
        <w:pStyle w:val="TextBody"/>
        <w:spacing w:lineRule="auto" w:line="300" w:before="0" w:after="0"/>
        <w:ind w:left="0" w:right="0" w:hanging="0"/>
        <w:jc w:val="left"/>
        <w:rPr/>
      </w:pPr>
      <w:r>
        <w:rPr/>
      </w:r>
    </w:p>
    <w:p>
      <w:pPr>
        <w:pStyle w:val="TextBody"/>
        <w:spacing w:lineRule="auto" w:line="300" w:before="0" w:after="0"/>
        <w:ind w:left="720" w:right="0" w:hanging="0"/>
        <w:jc w:val="left"/>
        <w:rPr/>
      </w:pPr>
      <w:bookmarkStart w:id="3787" w:name="TAB11828"/>
      <w:bookmarkEnd w:id="3787"/>
      <w:r>
        <w:rPr>
          <w:rFonts w:ascii="Times New Roman" w:hAnsi="Times New Roman"/>
          <w:sz w:val="20"/>
        </w:rPr>
        <w:t xml:space="preserve">At December 31, 2006, we were under contract to purchase the underlying lease of our Tower Cinema in Sacramento, California. The agreement called for a purchase price of $493,000 to be paid in two installments of $243,000 due on February 8, 2007 and $250,000 due on July 1, 2007. See Note 26 - </w:t>
      </w:r>
      <w:r>
        <w:rPr>
          <w:rStyle w:val="Emphasis"/>
          <w:rFonts w:ascii="Times New Roman" w:hAnsi="Times New Roman"/>
          <w:sz w:val="20"/>
        </w:rPr>
        <w:t>Subsequent Events</w:t>
      </w:r>
      <w:r>
        <w:rPr>
          <w:rFonts w:ascii="Times New Roman" w:hAnsi="Times New Roman"/>
          <w:sz w:val="20"/>
        </w:rPr>
        <w:t>.</w:t>
      </w:r>
    </w:p>
    <w:p>
      <w:pPr>
        <w:pStyle w:val="TextBody"/>
        <w:spacing w:lineRule="auto" w:line="300" w:before="0" w:after="0"/>
        <w:ind w:left="0" w:right="0" w:hanging="0"/>
        <w:jc w:val="left"/>
        <w:rPr/>
      </w:pPr>
      <w:r>
        <w:rPr/>
      </w:r>
    </w:p>
    <w:p>
      <w:pPr>
        <w:pStyle w:val="TextBody"/>
        <w:spacing w:lineRule="auto" w:line="300" w:before="0" w:after="0"/>
        <w:ind w:left="0" w:right="0" w:hanging="0"/>
        <w:jc w:val="both"/>
        <w:rPr/>
      </w:pPr>
      <w:r>
        <w:rPr>
          <w:rStyle w:val="Emphasis"/>
          <w:rFonts w:ascii="Times New Roman" w:hAnsi="Times New Roman"/>
          <w:sz w:val="20"/>
          <w:u w:val="single"/>
        </w:rPr>
        <w:t xml:space="preserve">Cinemas 1, 2 &amp; 3 Ground Lease </w:t>
      </w:r>
    </w:p>
    <w:p>
      <w:pPr>
        <w:pStyle w:val="TextBody"/>
        <w:spacing w:lineRule="auto" w:line="300" w:before="0" w:after="0"/>
        <w:ind w:left="0" w:right="0" w:firstLine="720"/>
        <w:jc w:val="both"/>
        <w:rPr/>
      </w:pPr>
      <w:r>
        <w:rPr/>
      </w:r>
    </w:p>
    <w:p>
      <w:pPr>
        <w:pStyle w:val="TextBody"/>
        <w:spacing w:lineRule="auto" w:line="300" w:before="0" w:after="0"/>
        <w:ind w:left="0" w:right="0" w:firstLine="720"/>
        <w:jc w:val="both"/>
        <w:rPr/>
      </w:pPr>
      <w:r>
        <w:rPr>
          <w:rFonts w:ascii="Times New Roman" w:hAnsi="Times New Roman"/>
          <w:sz w:val="20"/>
        </w:rPr>
        <w:t xml:space="preserve">As part of the purchase of the Cinemas 1, 2, 3 tenant’s ground lease interest, we have agreed in principal, as a part of our negotiations to acquire the land and the SHC interests in the Cinemas 1, 2 &amp; 3, to grant an option to Sutton Hill Capital, LLC, a limited liability company beneficially owned in equal 50/50 shares by Messrs. James J. Cotter and Michael Forman (see Note 25 - </w:t>
      </w:r>
      <w:r>
        <w:rPr>
          <w:rStyle w:val="Emphasis"/>
          <w:rFonts w:ascii="Times New Roman" w:hAnsi="Times New Roman"/>
          <w:sz w:val="20"/>
        </w:rPr>
        <w:t>Related Parties and Transactions</w:t>
      </w:r>
      <w:r>
        <w:rPr>
          <w:rFonts w:ascii="Times New Roman" w:hAnsi="Times New Roman"/>
          <w:sz w:val="20"/>
        </w:rPr>
        <w:t>) to acquire, at cost, up to a 25% non-managing membership interest in the limited liability company that we formed to acquire these interests. In relation to this option,</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788" w:name="PGBRK104"/>
      <w:bookmarkStart w:id="3789" w:name="PGBRK104"/>
      <w:bookmarkEnd w:id="378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790" w:name="FTR104"/>
      <w:bookmarkStart w:id="3791" w:name="FTR104"/>
      <w:bookmarkEnd w:id="379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792" w:name="GLFTR104"/>
      <w:bookmarkStart w:id="3793" w:name="GLFTR104"/>
      <w:bookmarkEnd w:id="379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3794" w:name="PN104"/>
      <w:bookmarkEnd w:id="3794"/>
      <w:r>
        <w:rPr>
          <w:rFonts w:ascii="Times New Roman" w:hAnsi="Times New Roman"/>
          <w:sz w:val="16"/>
        </w:rPr>
        <w:t>-104-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795" w:name="HDR104"/>
      <w:bookmarkStart w:id="3796" w:name="HDR104"/>
      <w:bookmarkEnd w:id="379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3797" w:name="GLHDR104"/>
        <w:bookmarkEnd w:id="3797"/>
        <w:r>
          <w:rPr>
            <w:rStyle w:val="Emphasis"/>
            <w:rFonts w:ascii="Times New Roman" w:hAnsi="Times New Roman"/>
            <w:color w:val="000000"/>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 xml:space="preserve">we recorded a $3.7 million and $1.0 million call option liability in our other liabilities at December 31, 2006 and 2005, respectively. </w:t>
      </w:r>
    </w:p>
    <w:p>
      <w:pPr>
        <w:pStyle w:val="TextBody"/>
        <w:spacing w:lineRule="auto" w:line="300" w:before="0" w:after="0"/>
        <w:ind w:left="0" w:right="0" w:firstLine="720"/>
        <w:jc w:val="both"/>
        <w:rPr/>
      </w:pPr>
      <w:r>
        <w:rPr/>
      </w:r>
    </w:p>
    <w:p>
      <w:pPr>
        <w:pStyle w:val="TextBody"/>
        <w:spacing w:lineRule="auto" w:line="300" w:before="0" w:after="0"/>
        <w:ind w:left="0" w:right="0" w:hanging="0"/>
        <w:jc w:val="both"/>
        <w:rPr/>
      </w:pPr>
      <w:r>
        <w:rPr>
          <w:rStyle w:val="Emphasis"/>
          <w:rFonts w:ascii="Times New Roman" w:hAnsi="Times New Roman"/>
          <w:sz w:val="20"/>
          <w:u w:val="single"/>
        </w:rPr>
        <w:t>Unconsolidated Joint Venture Loans</w:t>
      </w:r>
    </w:p>
    <w:p>
      <w:pPr>
        <w:pStyle w:val="TextBody"/>
        <w:spacing w:lineRule="auto" w:line="300" w:before="0" w:after="0"/>
        <w:ind w:left="0" w:right="0" w:hanging="0"/>
        <w:jc w:val="both"/>
        <w:rPr/>
      </w:pPr>
      <w:r>
        <w:rPr/>
      </w:r>
    </w:p>
    <w:p>
      <w:pPr>
        <w:pStyle w:val="TextBody"/>
        <w:spacing w:lineRule="auto" w:line="300" w:before="0" w:after="0"/>
        <w:ind w:left="720" w:right="0" w:hanging="0"/>
        <w:jc w:val="both"/>
        <w:rPr>
          <w:rFonts w:ascii="Times New Roman" w:hAnsi="Times New Roman"/>
          <w:sz w:val="20"/>
        </w:rPr>
      </w:pPr>
      <w:bookmarkStart w:id="3798" w:name="TAB11829"/>
      <w:bookmarkEnd w:id="3798"/>
      <w:r>
        <w:rPr>
          <w:rFonts w:ascii="Times New Roman" w:hAnsi="Times New Roman"/>
          <w:sz w:val="20"/>
        </w:rPr>
        <w:t>The following section describes the loans associated with our investments in unconsolidated joint ventures. As they are unconsolidated, their associated bank loans are not reflected in our Consolidated Balance Sheet at December 31, 2006. Each loan is without recourse to any assets other than our interests in the individual joint venture.</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pPr>
      <w:r>
        <w:rPr>
          <w:rStyle w:val="Emphasis"/>
          <w:rFonts w:ascii="Times New Roman" w:hAnsi="Times New Roman"/>
          <w:sz w:val="20"/>
        </w:rPr>
        <w:t>Rialto Distribution</w:t>
      </w:r>
    </w:p>
    <w:p>
      <w:pPr>
        <w:pStyle w:val="TextBody"/>
        <w:spacing w:lineRule="auto" w:line="300" w:before="0" w:after="0"/>
        <w:ind w:left="0" w:right="0" w:hanging="0"/>
        <w:jc w:val="both"/>
        <w:rPr/>
      </w:pPr>
      <w:r>
        <w:rPr/>
      </w:r>
    </w:p>
    <w:p>
      <w:pPr>
        <w:pStyle w:val="TextBody"/>
        <w:spacing w:lineRule="auto" w:line="300" w:before="0" w:after="0"/>
        <w:ind w:left="720" w:right="0" w:hanging="0"/>
        <w:jc w:val="both"/>
        <w:rPr>
          <w:rFonts w:ascii="Times New Roman" w:hAnsi="Times New Roman"/>
          <w:sz w:val="20"/>
        </w:rPr>
      </w:pPr>
      <w:bookmarkStart w:id="3799" w:name="TAB11830"/>
      <w:bookmarkEnd w:id="3799"/>
      <w:r>
        <w:rPr>
          <w:rFonts w:ascii="Times New Roman" w:hAnsi="Times New Roman"/>
          <w:sz w:val="20"/>
        </w:rPr>
        <w:t>We are the 33.3% co-owners of the assets of Rialto Distribution. At December 31, 2006, the total line of credit was $1.4 million (NZ$2.0 million) and had an outstanding balance of $1.1 million (NZ$1.6 million).</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pPr>
      <w:r>
        <w:rPr>
          <w:rStyle w:val="Emphasis"/>
          <w:rFonts w:ascii="Times New Roman" w:hAnsi="Times New Roman"/>
          <w:sz w:val="20"/>
        </w:rPr>
        <w:t>Berkeley Cinemas</w:t>
      </w:r>
    </w:p>
    <w:p>
      <w:pPr>
        <w:pStyle w:val="TextBody"/>
        <w:spacing w:lineRule="auto" w:line="300" w:before="0" w:after="0"/>
        <w:ind w:left="0" w:right="0" w:hanging="0"/>
        <w:jc w:val="both"/>
        <w:rPr/>
      </w:pPr>
      <w:r>
        <w:rPr/>
      </w:r>
    </w:p>
    <w:p>
      <w:pPr>
        <w:pStyle w:val="TextBody"/>
        <w:spacing w:lineRule="auto" w:line="300" w:before="0" w:after="0"/>
        <w:ind w:left="720" w:right="0" w:hanging="0"/>
        <w:jc w:val="both"/>
        <w:rPr>
          <w:rFonts w:ascii="Times New Roman" w:hAnsi="Times New Roman"/>
          <w:sz w:val="20"/>
        </w:rPr>
      </w:pPr>
      <w:bookmarkStart w:id="3800" w:name="TAB11831"/>
      <w:bookmarkEnd w:id="3800"/>
      <w:r>
        <w:rPr>
          <w:rFonts w:ascii="Times New Roman" w:hAnsi="Times New Roman"/>
          <w:sz w:val="20"/>
        </w:rPr>
        <w:t xml:space="preserve">We are the 50% co-owners with the Everard Entertainment Ltd of the assets comprising an unincorporated joint venture in New Zealand, referred to in these financial statements as the Berkeley Cinemas Joint Venture. The balance of the bank loan at December 31, 2006 was $3.7 million (NZ$5.2 million) which is secured by a first mortgage over the land and building assets of the joint venture. </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pPr>
      <w:r>
        <w:rPr>
          <w:rStyle w:val="Emphasis"/>
          <w:rFonts w:ascii="Times New Roman" w:hAnsi="Times New Roman"/>
          <w:sz w:val="20"/>
          <w:u w:val="single"/>
        </w:rPr>
        <w:t xml:space="preserve">Tax Audit/Litigation </w:t>
      </w:r>
    </w:p>
    <w:p>
      <w:pPr>
        <w:pStyle w:val="TextBody"/>
        <w:spacing w:lineRule="auto" w:line="300" w:before="0" w:after="0"/>
        <w:ind w:left="0" w:right="0" w:firstLine="72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The Internal Revenue Service (the “IRS”) completed its audits of the tax return of Reading Entertainment Inc. (RDGE) for its tax years ended December 31, 1996 through December 31, 1999 and the tax return of Craig Corporation (CRG) for its tax year ended June 30, 1997. With respect to both of these companies, the principal focus of these audits was the treatment of the contribution by RDGE to our wholly owned subsidiary, Reading Australia, and thereafter the subsequent repurchase by Stater Bros. Inc. from Reading Australia of certain preferred stock in Stater Bros. Inc. (the “Stater Stock”) received by RDGE from CRG as a part of a private placement of securities by RDGE which closed in October 1996. A second issue involving equipment leasing transactions entered into by RDGE (discussed below) is also involved.</w:t>
      </w:r>
    </w:p>
    <w:p>
      <w:pPr>
        <w:pStyle w:val="TextBody"/>
        <w:spacing w:lineRule="auto" w:line="300" w:before="0" w:after="0"/>
        <w:ind w:left="0" w:right="0" w:firstLine="72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 xml:space="preserve">By letters dated November 9, 2001, the IRS issued reports of examination proposing changes to the tax returns of RDGE and CRG for the years in question (the “Examination Reports”). The Examination Report for each of RDGE and CRG proposed that the gains on the disposition by RDGE of Stater Stock, reported as taxable on the RDGE return, should be allocated to CRG. As reported, the gain resulted in no additional tax to RDGE inasmuch as the gain was entirely offset by a net operating loss carry forward of RDGE. This proposed change would result in an additional tax liability for CRG of approximately $20.9 million plus interest of approximately $13.5 million as of December 31, 2006. In addition, this proposal would result in California tax liability of approximately $5.4 million plus interest of approximately $3.5 million as of December 31, 2006. Accordingly, this proposed change represented, as of December 31, 2006, an exposure of approximately $43.3 million. </w:t>
      </w:r>
    </w:p>
    <w:p>
      <w:pPr>
        <w:pStyle w:val="TextBody"/>
        <w:spacing w:lineRule="auto" w:line="300" w:before="0" w:after="0"/>
        <w:ind w:left="0" w:right="0" w:firstLine="72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Moreover, California has “amnesty” provisions imposing additional liability on taxpayers who are determined to have materially underreported their taxable income. While these provisions have been criticized by a number of corporate taxpayers to the extent that they apply to tax liabilities that are being contested in good faith, no assurances can be given that these new provisions will be applied in a manner that would mitigate the impact on such taxpayers. Accordingly, these provisions may cause an additional $4.0 million exposure to CRG, for a total exposure of approximately $47.3 million. We have accrued $4.0 million as a probable loss in relation to this exposure and believe that the possible total settlement amount will be between $4.0 million and $47.3 million.</w:t>
      </w:r>
    </w:p>
    <w:p>
      <w:pPr>
        <w:pStyle w:val="TextBody"/>
        <w:spacing w:lineRule="auto" w:line="300" w:before="0" w:after="0"/>
        <w:ind w:left="0" w:right="0" w:firstLine="720"/>
        <w:jc w:val="both"/>
        <w:rPr/>
      </w:pPr>
      <w:r>
        <w:rPr/>
      </w:r>
    </w:p>
    <w:p>
      <w:pPr>
        <w:pStyle w:val="TextBody"/>
        <w:spacing w:lineRule="auto" w:line="300" w:before="0" w:after="0"/>
        <w:ind w:left="720" w:right="0" w:hanging="0"/>
        <w:jc w:val="both"/>
        <w:rPr>
          <w:rFonts w:ascii="Times New Roman" w:hAnsi="Times New Roman"/>
          <w:sz w:val="20"/>
        </w:rPr>
      </w:pPr>
      <w:bookmarkStart w:id="3801" w:name="TAB11832"/>
      <w:bookmarkEnd w:id="3801"/>
      <w:r>
        <w:rPr>
          <w:rFonts w:ascii="Times New Roman" w:hAnsi="Times New Roman"/>
          <w:sz w:val="20"/>
        </w:rPr>
        <w:t>In early February 2005, we had a mediation conference with the IRS concerning this proposed change. The mediation was conducted by two mediators, one of whom was selected by the taxpayer from the private sector and one of whom was an employee of the IRS. In connection with this mediation, we and the IRS each prepared written submissions to the mediators setting forth our respective cases. In its written submission, the IRS noted that it had offered to settle its claims against us at 30% of the proposed change, and reiterated this offer at the mediation. This offer constituted, in effect, an offer to settle for a payment of $5.0 million federal tax, plus interest, for an aggregate settlement amount of approximately $8.0 million. Based on advice of counsel given after reviewing the materials submitted by the IRS to the mediation panel, and the oral presentation made by the IRS to the mediation panel and the comments of the mediators (including the IRS mediator), we determined not to accept this offer.</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802" w:name="PGBRK105"/>
      <w:bookmarkStart w:id="3803" w:name="PGBRK105"/>
      <w:bookmarkEnd w:id="380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804" w:name="FTR105"/>
      <w:bookmarkStart w:id="3805" w:name="FTR105"/>
      <w:bookmarkEnd w:id="380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806" w:name="GLFTR105"/>
      <w:bookmarkStart w:id="3807" w:name="GLFTR105"/>
      <w:bookmarkEnd w:id="380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3808" w:name="PN105"/>
      <w:bookmarkEnd w:id="3808"/>
      <w:r>
        <w:rPr>
          <w:rFonts w:ascii="Times New Roman" w:hAnsi="Times New Roman"/>
          <w:sz w:val="16"/>
        </w:rPr>
        <w:t>-105-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809" w:name="HDR105"/>
      <w:bookmarkStart w:id="3810" w:name="HDR105"/>
      <w:bookmarkEnd w:id="381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3811" w:name="GLHDR105"/>
        <w:bookmarkEnd w:id="3811"/>
        <w:r>
          <w:rPr>
            <w:rStyle w:val="Emphasis"/>
            <w:rFonts w:ascii="Times New Roman" w:hAnsi="Times New Roman"/>
            <w:color w:val="000000"/>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Notices of deficiency (“N/D”) dated June 29, 2006 were received with respect to each of RDGE and CRG determining proposed deficiencies of $20.9 million for CRG and a total of $349,000 for RDGE for the tax years 1997, 1998 and 1999.</w:t>
      </w:r>
    </w:p>
    <w:p>
      <w:pPr>
        <w:pStyle w:val="TextBody"/>
        <w:spacing w:lineRule="auto" w:line="300" w:before="0" w:after="0"/>
        <w:ind w:left="0" w:right="0" w:firstLine="72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We intend to litigate aggressively these matters in the U.S. Tax Court and an appeal was filed with the court on September 26, 2006. While there are always risks in litigation, we believe that a settlement at the level currently offered by the IRS would substantially understate the strength of our position and the likelihood that we would prevail in a trial of these matters.</w:t>
      </w:r>
    </w:p>
    <w:p>
      <w:pPr>
        <w:pStyle w:val="TextBody"/>
        <w:spacing w:lineRule="auto" w:line="300" w:before="0" w:after="0"/>
        <w:ind w:left="0" w:right="0" w:firstLine="72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Since these tax liabilities relate to time periods prior to the Consolidation of CDL, RDGE, and CRG into Reading International, Inc. and since RDGE and CRG continue to exist as wholly owned subsidiaries of RII, it is expected that any adverse determination would be limited in recourse to the assets of RDGE or CRG, as the case may be, and not to the general assets of RII. At the present time, the assets of these subsidiaries are comprised principally of RII securities. Accordingly, we do not anticipate, even if there were to be an adverse judgment in favor of the IRS that the satisfaction of that judgment would interfere with the internal operation or result in any levy upon or loss of any of our material operating assets. The satisfaction of any such adverse judgment would, however, result in a material dilution to existing stockholder interests.</w:t>
      </w:r>
    </w:p>
    <w:p>
      <w:pPr>
        <w:pStyle w:val="TextBody"/>
        <w:spacing w:lineRule="auto" w:line="300" w:before="0" w:after="0"/>
        <w:ind w:left="0" w:right="0" w:firstLine="72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The N/D issued to RDGE does not cover its tax year 1996 which will be held in abeyance pending the resolution of the CRG case. An adjustment to 1996 taxable income for RDGE would result in a refund of alternative minimum tax paid that year. The N/D issued to RDGE eliminated the gains booked by RDGE in 1996 as a consequence of its acquisition certain computer equipment and sale of the anticipated income stream from the lease of such equipment to third parties and disallowed depreciation deductions that we took with respect to that equipment in 1997, 1998 and 1999. Such disallowance has the effect of decreasing net operating losses but did not result in any additional regular federal income tax for such years. However, the depreciation disallowance would increase RDGE state tax liability for those years by approximately $170,000 plus interest. The only tax liability reflected in the RDGE N/D is alternative minimum tax in the total amount of approximately $349,000 plus interest. On September 26, 2006, we filed an appeal on this N/D with the U.S. Tax Court.</w:t>
      </w:r>
    </w:p>
    <w:p>
      <w:pPr>
        <w:pStyle w:val="TextBody"/>
        <w:spacing w:lineRule="auto" w:line="300" w:before="0" w:after="0"/>
        <w:ind w:left="0" w:right="0" w:hanging="0"/>
        <w:jc w:val="left"/>
        <w:rPr/>
      </w:pPr>
      <w:r>
        <w:rPr/>
      </w:r>
    </w:p>
    <w:p>
      <w:pPr>
        <w:pStyle w:val="TextBody"/>
        <w:spacing w:lineRule="auto" w:line="300" w:before="0" w:after="0"/>
        <w:ind w:left="0" w:right="0" w:hanging="0"/>
        <w:jc w:val="both"/>
        <w:rPr/>
      </w:pPr>
      <w:r>
        <w:rPr>
          <w:rStyle w:val="Emphasis"/>
          <w:rFonts w:ascii="Times New Roman" w:hAnsi="Times New Roman"/>
          <w:sz w:val="20"/>
          <w:u w:val="single"/>
        </w:rPr>
        <w:t>Environmental and Asbestos Claims</w:t>
      </w:r>
    </w:p>
    <w:p>
      <w:pPr>
        <w:pStyle w:val="TextBody"/>
        <w:spacing w:lineRule="auto" w:line="300" w:before="0" w:after="0"/>
        <w:ind w:left="0" w:right="0" w:hanging="0"/>
        <w:jc w:val="both"/>
        <w:rPr/>
      </w:pPr>
      <w:r>
        <w:rPr/>
      </w:r>
    </w:p>
    <w:p>
      <w:pPr>
        <w:pStyle w:val="TextBody"/>
        <w:spacing w:lineRule="auto" w:line="300" w:before="0" w:after="0"/>
        <w:ind w:left="0" w:right="0" w:firstLine="720"/>
        <w:jc w:val="both"/>
        <w:rPr/>
      </w:pPr>
      <w:r>
        <w:rPr>
          <w:rFonts w:ascii="Times New Roman" w:hAnsi="Times New Roman"/>
          <w:sz w:val="20"/>
        </w:rPr>
        <w:t xml:space="preserve">The City of Philadelphia (the “City”) has asserted that the North Viaduct property owned by a subsidiary of Reading requires environmental decontamination and that such subsidiary’s share of any such remediation cost will aggregate approximately $3.5 million. The City has also asserted that we should demolish certain bridges and overpasses that comprise a portion of the North Viaduct. We have in the recent past had discussions with the City involving a possible conveyance of the property. However, these discussions have not been productive of any definitive offer or proposal from the City. We continue to believe that our recorded remediation reserves related to the North Viaduct are adequate. See Note 15 - </w:t>
      </w:r>
      <w:r>
        <w:rPr>
          <w:rStyle w:val="Emphasis"/>
          <w:rFonts w:ascii="Times New Roman" w:hAnsi="Times New Roman"/>
          <w:sz w:val="20"/>
        </w:rPr>
        <w:t>Other Liabilities</w:t>
      </w:r>
      <w:r>
        <w:rPr>
          <w:rFonts w:ascii="Times New Roman" w:hAnsi="Times New Roman"/>
          <w:sz w:val="20"/>
        </w:rPr>
        <w:t>.</w:t>
      </w:r>
    </w:p>
    <w:p>
      <w:pPr>
        <w:pStyle w:val="TextBody"/>
        <w:spacing w:lineRule="auto" w:line="300" w:before="0" w:after="0"/>
        <w:ind w:left="0" w:right="0" w:firstLine="72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Certain of our subsidiaries were historically involved in railroad operations, coal mining and manufacturing. Also, certain of these subsidiaries appear in the chain of title of properties which may suffer from pollution. Accordingly, certain of these subsidiaries have, from time to time, been named in and may in the future be named in various actions brought under applicable environmental laws. Also, we are in the real estate development business and may encounter from time to time unanticipated environmental conditions at properties that we have acquired for development. These environmental conditions can increase the cost of such projects, and adversely affect the value and potential for profit of such projects. We do not currently believe that our exposure under applicable environmental laws is material in amount.</w:t>
      </w:r>
    </w:p>
    <w:p>
      <w:pPr>
        <w:pStyle w:val="TextBody"/>
        <w:spacing w:lineRule="auto" w:line="300" w:before="0" w:after="0"/>
        <w:ind w:left="0" w:right="0" w:firstLine="72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 xml:space="preserve">From time to time, we have claims brought against us relating to the exposure of former employees of our railroad operations to asbestos and coal dust. These are generally covered by an insurance settlement reached in September 1990 with our insurance carriers. However, this insurance settlement does not cover litigation by people who were not our employees and who may claim second hand exposure to asbestos, coal dust and/or other chemicals or elements now recognized as potentially causing cancer in humans. </w:t>
      </w:r>
    </w:p>
    <w:p>
      <w:pPr>
        <w:pStyle w:val="TextBody"/>
        <w:spacing w:lineRule="auto" w:line="300"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812" w:name="PGBRK106"/>
      <w:bookmarkStart w:id="3813" w:name="PGBRK106"/>
      <w:bookmarkEnd w:id="381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814" w:name="FTR106"/>
      <w:bookmarkStart w:id="3815" w:name="FTR106"/>
      <w:bookmarkEnd w:id="38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816" w:name="GLFTR106"/>
      <w:bookmarkStart w:id="3817" w:name="GLFTR106"/>
      <w:bookmarkEnd w:id="381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3818" w:name="PN106"/>
      <w:bookmarkEnd w:id="3818"/>
      <w:r>
        <w:rPr>
          <w:rFonts w:ascii="Times New Roman" w:hAnsi="Times New Roman"/>
          <w:sz w:val="16"/>
        </w:rPr>
        <w:t>-106-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819" w:name="HDR106"/>
      <w:bookmarkStart w:id="3820" w:name="HDR106"/>
      <w:bookmarkEnd w:id="382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3821" w:name="GLHDR106"/>
        <w:bookmarkEnd w:id="3821"/>
        <w:r>
          <w:rPr>
            <w:rStyle w:val="Emphasis"/>
            <w:rFonts w:ascii="Times New Roman" w:hAnsi="Times New Roman"/>
            <w:color w:val="000000"/>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300" w:before="0" w:after="0"/>
        <w:ind w:left="0" w:right="0" w:hanging="0"/>
        <w:jc w:val="left"/>
        <w:rPr/>
      </w:pPr>
      <w:r>
        <w:rPr>
          <w:rStyle w:val="Emphasis"/>
          <w:rFonts w:ascii="Times New Roman" w:hAnsi="Times New Roman"/>
          <w:sz w:val="20"/>
          <w:u w:val="single"/>
        </w:rPr>
        <w:t>Whitehorse Center Litigation</w:t>
      </w:r>
    </w:p>
    <w:p>
      <w:pPr>
        <w:pStyle w:val="TextBody"/>
        <w:spacing w:lineRule="auto" w:line="300" w:before="0" w:after="0"/>
        <w:ind w:left="0" w:right="0" w:hanging="0"/>
        <w:jc w:val="left"/>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 xml:space="preserve">On October 30, 2000, we commenced litigation in the Supreme Court of Victoria at Melbourne, Commercial and Equity Division, against our joint venture partner and the controlling stockholders of our joint venture partner in the Whitehorse Shopping Center. That action is entitled Reading Entertainment Australia Pty, Ltd vs. Burstone Victoria Pty, Ltd and May Way Khor and David Frederick Burr, and was brought to collect on a promissory note (the “K/B Promissory Note”) evidencing a loan that we made to Ms. Khor and Mr. Burr and that was guaranteed by Burstone Victoria Pty, Ltd (“Burstone” and collectively with Ms. Khor and Mr. Burr, the “Burstone Parties”). This loan balance has been previously written off and is no longer recorded on our books. The Burstone Parties asserted in defense certain set-offs and counterclaims, alleging, in essence, that we had breached our alleged obligations to proceed with the development of the Whitehorse Shopping Center, causing the Burstone Parties substantial damages. Following trial, the trial court not only affirmed the liability of the Burstone Parties on the K/B Promissory Note but also determined that we had breached certain obligations owed to WPG (the joint venture in which we own a 50% interest and in which Burstone owns the remaining 50% interest). The trial court did not, however, find us in breach of any direct obligations to any one or more of the Burstone Parties. </w:t>
      </w:r>
    </w:p>
    <w:p>
      <w:pPr>
        <w:pStyle w:val="TextBody"/>
        <w:spacing w:lineRule="auto" w:line="300" w:before="0" w:after="0"/>
        <w:ind w:left="0" w:right="0" w:hanging="0"/>
        <w:jc w:val="both"/>
        <w:rPr/>
      </w:pPr>
      <w:r>
        <w:rPr/>
      </w:r>
    </w:p>
    <w:p>
      <w:pPr>
        <w:pStyle w:val="TextBody"/>
        <w:spacing w:lineRule="auto" w:line="300" w:before="0" w:after="0"/>
        <w:ind w:left="720" w:right="0" w:hanging="0"/>
        <w:jc w:val="both"/>
        <w:rPr>
          <w:rFonts w:ascii="Times New Roman" w:hAnsi="Times New Roman"/>
          <w:sz w:val="20"/>
        </w:rPr>
      </w:pPr>
      <w:bookmarkStart w:id="3822" w:name="TAB11833"/>
      <w:bookmarkEnd w:id="3822"/>
      <w:r>
        <w:rPr>
          <w:rFonts w:ascii="Times New Roman" w:hAnsi="Times New Roman"/>
          <w:sz w:val="20"/>
        </w:rPr>
        <w:t>The trial court has entered judgment against us and in favor of WPG in the amount of $3.5 million (AUS$4.5 million). The trial court has also entered judgment against the Burstone Parties and in our favor in the amount of $3.3 million (AUS$4.2 million). Further, the trial court has found us responsible to reimburse the Burstone Parties for 60% of their out-of-pocket legal fees. The Burstone Parties estimate that the final costs order will be in the range of $710,000 to $867,000 (AUS$900,000 to AUS$1.1 million). Even if the Court allows the maximum of this range, our judgment against the Burstone Parties will still exceed our net liability under the judgment in favor of WPG. In addition, we have settled various ancillary claims against us for an additional $315,000 (AUS$400,000), which has now been paid to WPG.</w:t>
      </w:r>
    </w:p>
    <w:p>
      <w:pPr>
        <w:pStyle w:val="TextBody"/>
        <w:spacing w:lineRule="auto" w:line="300" w:before="0" w:after="0"/>
        <w:ind w:left="0" w:right="0" w:hanging="0"/>
        <w:jc w:val="both"/>
        <w:rPr/>
      </w:pPr>
      <w:r>
        <w:rPr/>
      </w:r>
    </w:p>
    <w:p>
      <w:pPr>
        <w:pStyle w:val="TextBody"/>
        <w:spacing w:lineRule="auto" w:line="300" w:before="0" w:after="0"/>
        <w:ind w:left="720" w:right="0" w:hanging="0"/>
        <w:jc w:val="both"/>
        <w:rPr>
          <w:rFonts w:ascii="Times New Roman" w:hAnsi="Times New Roman"/>
          <w:sz w:val="20"/>
        </w:rPr>
      </w:pPr>
      <w:bookmarkStart w:id="3823" w:name="TAB11834"/>
      <w:bookmarkEnd w:id="3823"/>
      <w:r>
        <w:rPr>
          <w:rFonts w:ascii="Times New Roman" w:hAnsi="Times New Roman"/>
          <w:sz w:val="20"/>
        </w:rPr>
        <w:t xml:space="preserve">A provisional liquidator has been appointed for WPG, and that company is now in the process of being wound up. As a consequence of our 50% interest in WPG, in the event that we are not successful in our appeal, we currently anticipate that we will ultimately receive liquidating distributions from WPG in an amount equal to approximately $1.8 million (AUS$2.3 million). During the third quarter of 2005, the Burstone Parties paid us $237,000 (AUS$300,000) against our judgment against them, and we have now entered into an agreement with the Burstone Parties, pursuant to which they have agreed to pay the balance of our judgment against them, together with ongoing interest, over time and have provided various undertakings and a guaranty to secure that obligation. Accordingly, we believe that our judgment against the Burstone Parties is adequately secured and, even if we do not prevail on appeal, we will still net in the range of $1.3 million (AUS$1.6 million) from the litigation, less such attorney’s fees as may be assessed against us when the final accounting for such fees is made, and our own costs of collection. </w:t>
      </w:r>
    </w:p>
    <w:p>
      <w:pPr>
        <w:pStyle w:val="TextBody"/>
        <w:spacing w:lineRule="auto" w:line="300" w:before="0" w:after="0"/>
        <w:ind w:left="0" w:right="0" w:hanging="0"/>
        <w:jc w:val="both"/>
        <w:rPr/>
      </w:pPr>
      <w:r>
        <w:rPr/>
      </w:r>
    </w:p>
    <w:p>
      <w:pPr>
        <w:pStyle w:val="TextBody"/>
        <w:spacing w:lineRule="auto" w:line="300" w:before="0" w:after="0"/>
        <w:ind w:left="720" w:right="0" w:hanging="0"/>
        <w:jc w:val="both"/>
        <w:rPr>
          <w:rFonts w:ascii="Times New Roman" w:hAnsi="Times New Roman"/>
          <w:sz w:val="20"/>
        </w:rPr>
      </w:pPr>
      <w:bookmarkStart w:id="3824" w:name="TAB11835"/>
      <w:bookmarkEnd w:id="3824"/>
      <w:r>
        <w:rPr>
          <w:rFonts w:ascii="Times New Roman" w:hAnsi="Times New Roman"/>
          <w:sz w:val="20"/>
        </w:rPr>
        <w:t>We are advised by senior Queen’s Counsel after conducting an independent review of the evidence submitted at trial and the trial court’s opinion that, in his opinion, the trial court erred in a number of critical aspects, and that we should have no liability to WPG or any of the Burstone Parties. Accordingly, we have appealed that part of the trial court’s determination. The Burstone Parties have likewise appealed, arguing that the damages assessed in favor of WPG and against us should be higher. The appeal has been set down for hearing on March 19, 2007.</w:t>
      </w:r>
    </w:p>
    <w:p>
      <w:pPr>
        <w:pStyle w:val="TextBody"/>
        <w:spacing w:lineRule="auto" w:line="300" w:before="0" w:after="0"/>
        <w:ind w:left="0" w:right="0" w:hanging="0"/>
        <w:jc w:val="both"/>
        <w:rPr/>
      </w:pPr>
      <w:r>
        <w:rPr/>
      </w:r>
    </w:p>
    <w:p>
      <w:pPr>
        <w:pStyle w:val="TextBody"/>
        <w:spacing w:lineRule="auto" w:line="300" w:before="0" w:after="0"/>
        <w:ind w:left="720" w:right="0" w:hanging="0"/>
        <w:jc w:val="both"/>
        <w:rPr>
          <w:rFonts w:ascii="Times New Roman" w:hAnsi="Times New Roman"/>
          <w:sz w:val="20"/>
        </w:rPr>
      </w:pPr>
      <w:bookmarkStart w:id="3825" w:name="TAB11836"/>
      <w:bookmarkEnd w:id="3825"/>
      <w:r>
        <w:rPr>
          <w:rFonts w:ascii="Times New Roman" w:hAnsi="Times New Roman"/>
          <w:sz w:val="20"/>
        </w:rPr>
        <w:t>On June 22, 2005, consent orders were made, which included the appointment of Mr. Jim Downey as the provisional liquidator to WPG. The provisional liquidator is awaiting the determination of the appeal before taking further steps in relation to WPG.</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pPr>
      <w:r>
        <w:rPr>
          <w:rStyle w:val="Emphasis"/>
          <w:rFonts w:ascii="Times New Roman" w:hAnsi="Times New Roman"/>
          <w:sz w:val="20"/>
          <w:u w:val="single"/>
        </w:rPr>
        <w:t>Mackie Litigation</w:t>
      </w:r>
    </w:p>
    <w:p>
      <w:pPr>
        <w:pStyle w:val="TextBody"/>
        <w:spacing w:lineRule="auto" w:line="300" w:before="0" w:after="0"/>
        <w:ind w:left="0" w:right="0" w:hanging="0"/>
        <w:jc w:val="both"/>
        <w:rPr/>
      </w:pPr>
      <w:r>
        <w:rPr/>
      </w:r>
    </w:p>
    <w:p>
      <w:pPr>
        <w:pStyle w:val="TextBody"/>
        <w:spacing w:lineRule="auto" w:line="300" w:before="0" w:after="0"/>
        <w:ind w:left="720" w:right="0" w:hanging="0"/>
        <w:jc w:val="both"/>
        <w:rPr>
          <w:rFonts w:ascii="Times New Roman" w:hAnsi="Times New Roman"/>
          <w:sz w:val="20"/>
        </w:rPr>
      </w:pPr>
      <w:bookmarkStart w:id="3826" w:name="TAB11837"/>
      <w:bookmarkEnd w:id="3826"/>
      <w:r>
        <w:rPr>
          <w:rFonts w:ascii="Times New Roman" w:hAnsi="Times New Roman"/>
          <w:sz w:val="20"/>
        </w:rPr>
        <w:t>On November 7, 2005, we were sued in the Supreme Court of Victoria at Melbourne by a former construction contractor with respect to the discontinued development of an ETRC at Frankston, Victoria. The action is entitled Mackie Group Pty Ltd v. Reading Properties Pty Ltd, and in it the former contractor seeks payment of a claimed fee in the amount of $788,000 (AUS$1.0 million). We do not believe that any such fee is owed, and are contesting the claim. Discovery has now been completed by both parties. The next step in the litigation is likely to be mediation.</w:t>
      </w:r>
    </w:p>
    <w:p>
      <w:pPr>
        <w:pStyle w:val="TextBody"/>
        <w:spacing w:lineRule="auto" w:line="300" w:before="0" w:after="0"/>
        <w:ind w:left="0" w:right="0" w:hanging="0"/>
        <w:jc w:val="both"/>
        <w:rPr/>
      </w:pPr>
      <w:r>
        <w:rPr/>
      </w:r>
    </w:p>
    <w:p>
      <w:pPr>
        <w:pStyle w:val="TextBody"/>
        <w:spacing w:lineRule="auto" w:line="300" w:before="0" w:after="0"/>
        <w:ind w:left="720" w:right="0" w:hanging="0"/>
        <w:jc w:val="left"/>
        <w:rPr>
          <w:rFonts w:ascii="Times New Roman" w:hAnsi="Times New Roman"/>
          <w:sz w:val="20"/>
        </w:rPr>
      </w:pPr>
      <w:bookmarkStart w:id="3827" w:name="TAB11838"/>
      <w:bookmarkEnd w:id="3827"/>
      <w:r>
        <w:rPr>
          <w:rFonts w:ascii="Times New Roman" w:hAnsi="Times New Roman"/>
          <w:sz w:val="20"/>
        </w:rPr>
        <w:t>On a hearing conducted on November 22 and 29, 2006, Reading successfully defended an application for summary judgment brought by Mackie and was awarded costs for part of the preparation of its defense to the application. A bill of costs has been prepared by a cost consultant in the sum of $20,000 (AUS$25,000) (including disbursements). A summons for taxation of costs has been issued and is set down for a call over on February 27, 2007</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828" w:name="PGBRK107"/>
      <w:bookmarkStart w:id="3829" w:name="PGBRK107"/>
      <w:bookmarkEnd w:id="382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830" w:name="FTR107"/>
      <w:bookmarkStart w:id="3831" w:name="FTR107"/>
      <w:bookmarkEnd w:id="383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832" w:name="GLFTR107"/>
      <w:bookmarkStart w:id="3833" w:name="GLFTR107"/>
      <w:bookmarkEnd w:id="383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3834" w:name="PN107"/>
      <w:bookmarkEnd w:id="3834"/>
      <w:r>
        <w:rPr>
          <w:rFonts w:ascii="Times New Roman" w:hAnsi="Times New Roman"/>
          <w:sz w:val="16"/>
        </w:rPr>
        <w:t>-107-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835" w:name="HDR107"/>
      <w:bookmarkStart w:id="3836" w:name="HDR107"/>
      <w:bookmarkEnd w:id="383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3837" w:name="GLHDR107"/>
        <w:bookmarkEnd w:id="3837"/>
        <w:r>
          <w:rPr>
            <w:rStyle w:val="Emphasis"/>
            <w:rFonts w:ascii="Times New Roman" w:hAnsi="Times New Roman"/>
            <w:color w:val="000000"/>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at which time a hearing will be set and Mackie will have an opportunity to dispute the quantum of the costs claimed by Reading.</w:t>
      </w:r>
    </w:p>
    <w:p>
      <w:pPr>
        <w:pStyle w:val="TextBody"/>
        <w:spacing w:lineRule="auto" w:line="300" w:before="0" w:after="0"/>
        <w:ind w:left="0" w:right="0" w:hanging="0"/>
        <w:jc w:val="left"/>
        <w:rPr/>
      </w:pPr>
      <w:r>
        <w:rPr/>
        <w:t> </w:t>
      </w:r>
    </w:p>
    <w:p>
      <w:pPr>
        <w:pStyle w:val="TextBody"/>
        <w:spacing w:lineRule="auto" w:line="300" w:before="0" w:after="0"/>
        <w:ind w:left="0" w:right="0" w:hanging="0"/>
        <w:jc w:val="both"/>
        <w:rPr/>
      </w:pPr>
      <w:r>
        <w:rPr>
          <w:rStyle w:val="Emphasis"/>
          <w:rFonts w:ascii="Times New Roman" w:hAnsi="Times New Roman"/>
          <w:sz w:val="20"/>
          <w:u w:val="single"/>
        </w:rPr>
        <w:t>Other Claims - Credit Card Claims</w:t>
      </w:r>
    </w:p>
    <w:p>
      <w:pPr>
        <w:pStyle w:val="TextBody"/>
        <w:spacing w:lineRule="auto" w:line="300" w:before="0" w:after="0"/>
        <w:ind w:left="0" w:right="0" w:hanging="0"/>
        <w:jc w:val="both"/>
        <w:rPr/>
      </w:pPr>
      <w:r>
        <w:rPr/>
        <w:t> </w:t>
      </w:r>
    </w:p>
    <w:p>
      <w:pPr>
        <w:pStyle w:val="TextBody"/>
        <w:spacing w:lineRule="auto" w:line="300" w:before="0" w:after="0"/>
        <w:ind w:left="720" w:right="0" w:hanging="0"/>
        <w:jc w:val="both"/>
        <w:rPr>
          <w:rFonts w:ascii="Times New Roman" w:hAnsi="Times New Roman"/>
          <w:sz w:val="20"/>
        </w:rPr>
      </w:pPr>
      <w:bookmarkStart w:id="3838" w:name="TAB11839"/>
      <w:bookmarkEnd w:id="3838"/>
      <w:r>
        <w:rPr>
          <w:rFonts w:ascii="Times New Roman" w:hAnsi="Times New Roman"/>
          <w:sz w:val="20"/>
        </w:rPr>
        <w:t>During 2006, the bank, which administers our credit card activities, asserted a claim of potential loss suffered in relation to the use by third parties of counterfeit credit cards and related credit card company fines. We expect the associated claims from the bank and credit card companies for these losses and fines to total approximately $1.2 million. For this reason, we have expensed an other loss of $1.2 million during the year ending December 31, 2006. The issues surrounding this credit card situation have now been addressed and we intend to seek to recoup all or substantially all of these charges.</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pPr>
      <w:r>
        <w:rPr/>
      </w:r>
    </w:p>
    <w:p>
      <w:pPr>
        <w:pStyle w:val="TextBody"/>
        <w:spacing w:lineRule="auto" w:line="300" w:before="0" w:after="0"/>
        <w:ind w:left="0" w:right="0" w:hanging="0"/>
        <w:jc w:val="left"/>
        <w:rPr/>
      </w:pPr>
      <w:r>
        <w:rPr>
          <w:rStyle w:val="StrongEmphasis"/>
          <w:rFonts w:ascii="Times New Roman" w:hAnsi="Times New Roman"/>
          <w:sz w:val="20"/>
          <w:u w:val="single"/>
        </w:rPr>
        <w:t>Note 19 - Minority Interest</w:t>
      </w:r>
    </w:p>
    <w:p>
      <w:pPr>
        <w:pStyle w:val="TextBody"/>
        <w:spacing w:lineRule="auto" w:line="300" w:before="0" w:after="0"/>
        <w:ind w:left="0" w:right="0" w:hanging="0"/>
        <w:jc w:val="left"/>
        <w:rPr/>
      </w:pPr>
      <w:r>
        <w:rPr/>
      </w:r>
    </w:p>
    <w:p>
      <w:pPr>
        <w:pStyle w:val="TextBody"/>
        <w:spacing w:lineRule="auto" w:line="300" w:before="0" w:after="0"/>
        <w:ind w:left="720" w:right="0" w:hanging="0"/>
        <w:jc w:val="both"/>
        <w:rPr>
          <w:rFonts w:ascii="Times New Roman" w:hAnsi="Times New Roman"/>
          <w:sz w:val="20"/>
        </w:rPr>
      </w:pPr>
      <w:bookmarkStart w:id="3839" w:name="TAB11840"/>
      <w:bookmarkEnd w:id="3839"/>
      <w:r>
        <w:rPr>
          <w:rFonts w:ascii="Times New Roman" w:hAnsi="Times New Roman"/>
          <w:sz w:val="20"/>
        </w:rPr>
        <w:t>The minority interests are comprised of the following:</w:t>
      </w:r>
    </w:p>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3840" w:name="hangingindent298"/>
      <w:bookmarkStart w:id="3841" w:name="hangingindent298"/>
      <w:bookmarkEnd w:id="3841"/>
    </w:p>
    <w:tbl>
      <w:tblPr>
        <w:tblW w:w="5000" w:type="pct"/>
        <w:jc w:val="center"/>
        <w:tblInd w:w="0" w:type="dxa"/>
        <w:tblCellMar>
          <w:top w:w="0" w:type="dxa"/>
          <w:left w:w="0" w:type="dxa"/>
          <w:bottom w:w="0" w:type="dxa"/>
          <w:right w:w="0" w:type="dxa"/>
        </w:tblCellMar>
      </w:tblPr>
      <w:tblGrid>
        <w:gridCol w:w="82"/>
        <w:gridCol w:w="130"/>
        <w:gridCol w:w="9993"/>
      </w:tblGrid>
      <w:tr>
        <w:trPr/>
        <w:tc>
          <w:tcPr>
            <w:tcW w:w="82" w:type="dxa"/>
            <w:tcBorders/>
            <w:shd w:fill="auto" w:val="clear"/>
          </w:tcPr>
          <w:p>
            <w:pPr>
              <w:pStyle w:val="TableContents"/>
              <w:spacing w:before="0" w:after="283"/>
              <w:rPr/>
            </w:pPr>
            <w:r>
              <w:rPr/>
              <w:t> </w:t>
            </w:r>
          </w:p>
        </w:tc>
        <w:tc>
          <w:tcPr>
            <w:tcW w:w="130"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999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50% of membership interest in AFC by a subsidiary of National Auto Credit, Inc. (“NAC”)</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3842" w:name="hangingindent299"/>
      <w:bookmarkStart w:id="3843" w:name="hangingindent299"/>
      <w:bookmarkEnd w:id="3843"/>
    </w:p>
    <w:tbl>
      <w:tblPr>
        <w:tblW w:w="5000" w:type="pct"/>
        <w:jc w:val="center"/>
        <w:tblInd w:w="0" w:type="dxa"/>
        <w:tblCellMar>
          <w:top w:w="0" w:type="dxa"/>
          <w:left w:w="0" w:type="dxa"/>
          <w:bottom w:w="0" w:type="dxa"/>
          <w:right w:w="0" w:type="dxa"/>
        </w:tblCellMar>
      </w:tblPr>
      <w:tblGrid>
        <w:gridCol w:w="93"/>
        <w:gridCol w:w="148"/>
        <w:gridCol w:w="9964"/>
      </w:tblGrid>
      <w:tr>
        <w:trPr/>
        <w:tc>
          <w:tcPr>
            <w:tcW w:w="93" w:type="dxa"/>
            <w:tcBorders/>
            <w:shd w:fill="auto" w:val="clear"/>
          </w:tcPr>
          <w:p>
            <w:pPr>
              <w:pStyle w:val="TableContents"/>
              <w:spacing w:before="0" w:after="283"/>
              <w:rPr/>
            </w:pPr>
            <w:r>
              <w:rPr/>
              <w:t> </w:t>
            </w:r>
          </w:p>
        </w:tc>
        <w:tc>
          <w:tcPr>
            <w:tcW w:w="148"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9964" w:type="dxa"/>
            <w:tcBorders/>
            <w:shd w:fill="auto" w:val="clear"/>
          </w:tcPr>
          <w:p>
            <w:pPr>
              <w:pStyle w:val="TableContents"/>
              <w:spacing w:before="0" w:after="0"/>
              <w:ind w:left="0" w:right="0" w:hanging="0"/>
              <w:jc w:val="both"/>
              <w:rPr/>
            </w:pPr>
            <w:r>
              <w:rPr>
                <w:rFonts w:ascii="Times New Roman" w:hAnsi="Times New Roman"/>
                <w:sz w:val="20"/>
              </w:rPr>
              <w:t>25% minority interest in Australian Country Cinemas by 21</w:t>
            </w:r>
            <w:r>
              <w:rPr>
                <w:rFonts w:ascii="Times New Roman" w:hAnsi="Times New Roman"/>
                <w:position w:val="7"/>
                <w:sz w:val="16"/>
                <w:sz w:val="20"/>
              </w:rPr>
              <w:t>st</w:t>
            </w:r>
            <w:r>
              <w:rPr/>
              <w:t xml:space="preserve"> </w:t>
            </w:r>
            <w:r>
              <w:rPr>
                <w:rFonts w:ascii="Times New Roman" w:hAnsi="Times New Roman"/>
                <w:sz w:val="20"/>
              </w:rPr>
              <w:t>Century Pty, Ltd</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3844" w:name="hangingindent300"/>
      <w:bookmarkStart w:id="3845" w:name="hangingindent300"/>
      <w:bookmarkEnd w:id="3845"/>
    </w:p>
    <w:tbl>
      <w:tblPr>
        <w:tblW w:w="5000" w:type="pct"/>
        <w:jc w:val="center"/>
        <w:tblInd w:w="0" w:type="dxa"/>
        <w:tblCellMar>
          <w:top w:w="0" w:type="dxa"/>
          <w:left w:w="0" w:type="dxa"/>
          <w:bottom w:w="0" w:type="dxa"/>
          <w:right w:w="0" w:type="dxa"/>
        </w:tblCellMar>
      </w:tblPr>
      <w:tblGrid>
        <w:gridCol w:w="86"/>
        <w:gridCol w:w="138"/>
        <w:gridCol w:w="9981"/>
      </w:tblGrid>
      <w:tr>
        <w:trPr/>
        <w:tc>
          <w:tcPr>
            <w:tcW w:w="86" w:type="dxa"/>
            <w:tcBorders/>
            <w:shd w:fill="auto" w:val="clear"/>
          </w:tcPr>
          <w:p>
            <w:pPr>
              <w:pStyle w:val="TableContents"/>
              <w:spacing w:before="0" w:after="283"/>
              <w:rPr/>
            </w:pPr>
            <w:r>
              <w:rPr/>
              <w:t> </w:t>
            </w:r>
          </w:p>
        </w:tc>
        <w:tc>
          <w:tcPr>
            <w:tcW w:w="138"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998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33% minority interest in the Elsternwick joint venture by Champion Pictures Pty Ltd</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3846" w:name="hangingindent301"/>
      <w:bookmarkStart w:id="3847" w:name="hangingindent301"/>
      <w:bookmarkEnd w:id="3847"/>
    </w:p>
    <w:tbl>
      <w:tblPr>
        <w:tblW w:w="5000" w:type="pct"/>
        <w:jc w:val="center"/>
        <w:tblInd w:w="0" w:type="dxa"/>
        <w:tblCellMar>
          <w:top w:w="0" w:type="dxa"/>
          <w:left w:w="0" w:type="dxa"/>
          <w:bottom w:w="0" w:type="dxa"/>
          <w:right w:w="0" w:type="dxa"/>
        </w:tblCellMar>
      </w:tblPr>
      <w:tblGrid>
        <w:gridCol w:w="72"/>
        <w:gridCol w:w="115"/>
        <w:gridCol w:w="10018"/>
      </w:tblGrid>
      <w:tr>
        <w:trPr/>
        <w:tc>
          <w:tcPr>
            <w:tcW w:w="72" w:type="dxa"/>
            <w:tcBorders/>
            <w:shd w:fill="auto" w:val="clear"/>
          </w:tcPr>
          <w:p>
            <w:pPr>
              <w:pStyle w:val="TableContents"/>
              <w:spacing w:before="0" w:after="283"/>
              <w:rPr/>
            </w:pPr>
            <w:r>
              <w:rPr/>
              <w:t> </w:t>
            </w:r>
          </w:p>
        </w:tc>
        <w:tc>
          <w:tcPr>
            <w:tcW w:w="115"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1001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up to 27.5% minority interest in the Landplan Property Partners, Ltd by Landplan Property Group, Ltd</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3848" w:name="hangingindent302"/>
      <w:bookmarkStart w:id="3849" w:name="hangingindent302"/>
      <w:bookmarkEnd w:id="3849"/>
    </w:p>
    <w:tbl>
      <w:tblPr>
        <w:tblW w:w="5000" w:type="pct"/>
        <w:jc w:val="center"/>
        <w:tblInd w:w="0" w:type="dxa"/>
        <w:tblCellMar>
          <w:top w:w="0" w:type="dxa"/>
          <w:left w:w="0" w:type="dxa"/>
          <w:bottom w:w="0" w:type="dxa"/>
          <w:right w:w="0" w:type="dxa"/>
        </w:tblCellMar>
      </w:tblPr>
      <w:tblGrid>
        <w:gridCol w:w="94"/>
        <w:gridCol w:w="151"/>
        <w:gridCol w:w="9960"/>
      </w:tblGrid>
      <w:tr>
        <w:trPr/>
        <w:tc>
          <w:tcPr>
            <w:tcW w:w="94" w:type="dxa"/>
            <w:tcBorders/>
            <w:shd w:fill="auto" w:val="clear"/>
          </w:tcPr>
          <w:p>
            <w:pPr>
              <w:pStyle w:val="TableContents"/>
              <w:spacing w:before="0" w:after="283"/>
              <w:rPr/>
            </w:pPr>
            <w:r>
              <w:rPr/>
              <w:t> </w:t>
            </w:r>
          </w:p>
        </w:tc>
        <w:tc>
          <w:tcPr>
            <w:tcW w:w="151" w:type="dxa"/>
            <w:tcBorders/>
            <w:shd w:fill="auto" w:val="clear"/>
          </w:tcPr>
          <w:p>
            <w:pPr>
              <w:pStyle w:val="TableContents"/>
              <w:spacing w:before="0" w:after="0"/>
              <w:ind w:left="0" w:right="0" w:hanging="0"/>
              <w:jc w:val="both"/>
              <w:rPr>
                <w:rFonts w:ascii="Symbol;serif" w:hAnsi="Symbol;serif"/>
                <w:sz w:val="20"/>
              </w:rPr>
            </w:pPr>
            <w:r>
              <w:rPr>
                <w:rFonts w:ascii="Symbol;serif" w:hAnsi="Symbol;serif"/>
                <w:sz w:val="20"/>
              </w:rPr>
              <w:t>·</w:t>
            </w:r>
          </w:p>
        </w:tc>
        <w:tc>
          <w:tcPr>
            <w:tcW w:w="996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20% minority interest in Big 4 Farming LLC by Cecelia Packing Corporation</w:t>
            </w:r>
          </w:p>
        </w:tc>
      </w:tr>
    </w:tbl>
    <w:p>
      <w:pPr>
        <w:pStyle w:val="TextBody"/>
        <w:spacing w:lineRule="auto" w:line="300" w:before="0" w:after="0"/>
        <w:ind w:left="0" w:right="0" w:hanging="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The components of minority interest are as follows (dollars in thousands):</w:t>
      </w:r>
    </w:p>
    <w:p>
      <w:pPr>
        <w:pStyle w:val="TextBody"/>
        <w:spacing w:lineRule="auto" w:line="300" w:before="0" w:after="0"/>
        <w:ind w:left="0" w:right="0" w:hanging="0"/>
        <w:jc w:val="both"/>
        <w:rPr/>
      </w:pPr>
      <w:r>
        <w:rPr/>
      </w:r>
    </w:p>
    <w:p>
      <w:pPr>
        <w:pStyle w:val="Normal"/>
        <w:spacing w:before="0" w:after="0"/>
        <w:rPr>
          <w:sz w:val="4"/>
          <w:szCs w:val="4"/>
        </w:rPr>
      </w:pPr>
      <w:r>
        <w:rPr>
          <w:sz w:val="4"/>
          <w:szCs w:val="4"/>
        </w:rPr>
      </w:r>
      <w:bookmarkStart w:id="3850" w:name="ftable53"/>
      <w:bookmarkStart w:id="3851" w:name="ftable53"/>
      <w:bookmarkEnd w:id="3851"/>
    </w:p>
    <w:tbl>
      <w:tblPr>
        <w:tblW w:w="5000" w:type="pct"/>
        <w:jc w:val="left"/>
        <w:tblInd w:w="0" w:type="dxa"/>
        <w:tblCellMar>
          <w:top w:w="0" w:type="dxa"/>
          <w:left w:w="0" w:type="dxa"/>
          <w:bottom w:w="28" w:type="dxa"/>
          <w:right w:w="0" w:type="dxa"/>
        </w:tblCellMar>
      </w:tblPr>
      <w:tblGrid>
        <w:gridCol w:w="7082"/>
        <w:gridCol w:w="205"/>
        <w:gridCol w:w="127"/>
        <w:gridCol w:w="1171"/>
        <w:gridCol w:w="205"/>
        <w:gridCol w:w="127"/>
        <w:gridCol w:w="1171"/>
        <w:gridCol w:w="117"/>
      </w:tblGrid>
      <w:tr>
        <w:trPr/>
        <w:tc>
          <w:tcPr>
            <w:tcW w:w="7082" w:type="dxa"/>
            <w:tcBorders>
              <w:bottom w:val="single" w:sz="4" w:space="0" w:color="FFFFFF"/>
            </w:tcBorders>
            <w:shd w:fill="auto" w:val="clear"/>
            <w:vAlign w:val="bottom"/>
          </w:tcPr>
          <w:p>
            <w:pPr>
              <w:pStyle w:val="TableContents"/>
              <w:spacing w:before="0" w:after="283"/>
              <w:jc w:val="left"/>
              <w:rPr/>
            </w:pPr>
            <w:r>
              <w:rPr/>
              <w:t> </w:t>
            </w:r>
          </w:p>
        </w:tc>
        <w:tc>
          <w:tcPr>
            <w:tcW w:w="205" w:type="dxa"/>
            <w:tcBorders>
              <w:bottom w:val="single" w:sz="2" w:space="0" w:color="FFFFFF"/>
            </w:tcBorders>
            <w:shd w:fill="auto" w:val="clear"/>
            <w:vAlign w:val="center"/>
          </w:tcPr>
          <w:p>
            <w:pPr>
              <w:pStyle w:val="TableContents"/>
              <w:spacing w:before="0" w:after="283"/>
              <w:rPr/>
            </w:pPr>
            <w:r>
              <w:rPr/>
              <w:t> </w:t>
            </w:r>
          </w:p>
        </w:tc>
        <w:tc>
          <w:tcPr>
            <w:tcW w:w="2801" w:type="dxa"/>
            <w:gridSpan w:val="5"/>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December 31,</w:t>
            </w:r>
          </w:p>
        </w:tc>
        <w:tc>
          <w:tcPr>
            <w:tcW w:w="117" w:type="dxa"/>
            <w:tcBorders>
              <w:bottom w:val="single" w:sz="2" w:space="0" w:color="FFFFFF"/>
            </w:tcBorders>
            <w:shd w:fill="auto" w:val="clear"/>
            <w:vAlign w:val="bottom"/>
          </w:tcPr>
          <w:p>
            <w:pPr>
              <w:pStyle w:val="TableContents"/>
              <w:spacing w:before="0" w:after="283"/>
              <w:jc w:val="left"/>
              <w:rPr/>
            </w:pPr>
            <w:r>
              <w:rPr/>
              <w:t> </w:t>
            </w:r>
          </w:p>
        </w:tc>
      </w:tr>
      <w:tr>
        <w:trPr/>
        <w:tc>
          <w:tcPr>
            <w:tcW w:w="7082" w:type="dxa"/>
            <w:tcBorders>
              <w:bottom w:val="double" w:sz="2" w:space="0" w:color="000000"/>
            </w:tcBorders>
            <w:shd w:fill="auto" w:val="clear"/>
            <w:vAlign w:val="bottom"/>
          </w:tcPr>
          <w:p>
            <w:pPr>
              <w:pStyle w:val="TableContents"/>
              <w:spacing w:before="0" w:after="283"/>
              <w:jc w:val="left"/>
              <w:rPr/>
            </w:pPr>
            <w:r>
              <w:rPr/>
              <w:t> </w:t>
            </w:r>
          </w:p>
        </w:tc>
        <w:tc>
          <w:tcPr>
            <w:tcW w:w="205" w:type="dxa"/>
            <w:tcBorders>
              <w:bottom w:val="single" w:sz="4" w:space="0" w:color="FFFFFF"/>
            </w:tcBorders>
            <w:shd w:fill="auto" w:val="clear"/>
            <w:vAlign w:val="center"/>
          </w:tcPr>
          <w:p>
            <w:pPr>
              <w:pStyle w:val="TableContents"/>
              <w:spacing w:before="0" w:after="283"/>
              <w:rPr/>
            </w:pPr>
            <w:r>
              <w:rPr/>
              <w:t> </w:t>
            </w:r>
          </w:p>
        </w:tc>
        <w:tc>
          <w:tcPr>
            <w:tcW w:w="1298"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2006</w:t>
            </w:r>
          </w:p>
        </w:tc>
        <w:tc>
          <w:tcPr>
            <w:tcW w:w="205" w:type="dxa"/>
            <w:tcBorders>
              <w:bottom w:val="single" w:sz="4" w:space="0" w:color="FFFFFF"/>
            </w:tcBorders>
            <w:shd w:fill="auto" w:val="clear"/>
            <w:vAlign w:val="bottom"/>
          </w:tcPr>
          <w:p>
            <w:pPr>
              <w:pStyle w:val="TableContents"/>
              <w:spacing w:before="0" w:after="283"/>
              <w:jc w:val="left"/>
              <w:rPr/>
            </w:pPr>
            <w:r>
              <w:rPr/>
              <w:t> </w:t>
            </w:r>
          </w:p>
        </w:tc>
        <w:tc>
          <w:tcPr>
            <w:tcW w:w="1298"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2005</w:t>
            </w:r>
          </w:p>
        </w:tc>
        <w:tc>
          <w:tcPr>
            <w:tcW w:w="117" w:type="dxa"/>
            <w:tcBorders>
              <w:bottom w:val="single" w:sz="4" w:space="0" w:color="FFFFFF"/>
            </w:tcBorders>
            <w:shd w:fill="auto" w:val="clear"/>
            <w:vAlign w:val="bottom"/>
          </w:tcPr>
          <w:p>
            <w:pPr>
              <w:pStyle w:val="TableContents"/>
              <w:spacing w:before="0" w:after="283"/>
              <w:jc w:val="left"/>
              <w:rPr/>
            </w:pPr>
            <w:r>
              <w:rPr/>
              <w:t> </w:t>
            </w:r>
          </w:p>
        </w:tc>
      </w:tr>
      <w:tr>
        <w:trPr/>
        <w:tc>
          <w:tcPr>
            <w:tcW w:w="7082"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AFC</w:t>
            </w:r>
          </w:p>
        </w:tc>
        <w:tc>
          <w:tcPr>
            <w:tcW w:w="205" w:type="dxa"/>
            <w:tcBorders/>
            <w:shd w:fill="CCEEFF" w:val="clear"/>
            <w:tcMar>
              <w:bottom w:w="0" w:type="dxa"/>
            </w:tcMar>
            <w:vAlign w:val="center"/>
          </w:tcPr>
          <w:p>
            <w:pPr>
              <w:pStyle w:val="TableContents"/>
              <w:spacing w:before="0" w:after="283"/>
              <w:rPr/>
            </w:pPr>
            <w:r>
              <w:rPr/>
              <w:t> </w:t>
            </w:r>
          </w:p>
        </w:tc>
        <w:tc>
          <w:tcPr>
            <w:tcW w:w="127"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171"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2,264</w:t>
            </w:r>
          </w:p>
        </w:tc>
        <w:tc>
          <w:tcPr>
            <w:tcW w:w="205" w:type="dxa"/>
            <w:tcBorders/>
            <w:shd w:fill="CCEEFF" w:val="clear"/>
            <w:tcMar>
              <w:bottom w:w="0" w:type="dxa"/>
            </w:tcMar>
            <w:vAlign w:val="bottom"/>
          </w:tcPr>
          <w:p>
            <w:pPr>
              <w:pStyle w:val="TableContents"/>
              <w:spacing w:before="0" w:after="283"/>
              <w:jc w:val="left"/>
              <w:rPr/>
            </w:pPr>
            <w:r>
              <w:rPr/>
              <w:t> </w:t>
            </w:r>
          </w:p>
        </w:tc>
        <w:tc>
          <w:tcPr>
            <w:tcW w:w="127"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171"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2,847</w:t>
            </w:r>
          </w:p>
        </w:tc>
        <w:tc>
          <w:tcPr>
            <w:tcW w:w="117" w:type="dxa"/>
            <w:tcBorders/>
            <w:shd w:fill="CCEEFF" w:val="clear"/>
            <w:tcMar>
              <w:bottom w:w="0" w:type="dxa"/>
            </w:tcMar>
            <w:vAlign w:val="bottom"/>
          </w:tcPr>
          <w:p>
            <w:pPr>
              <w:pStyle w:val="TableContents"/>
              <w:spacing w:before="0" w:after="283"/>
              <w:jc w:val="left"/>
              <w:rPr/>
            </w:pPr>
            <w:r>
              <w:rPr/>
              <w:t> </w:t>
            </w:r>
          </w:p>
        </w:tc>
      </w:tr>
      <w:tr>
        <w:trPr/>
        <w:tc>
          <w:tcPr>
            <w:tcW w:w="7082"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Australian Country Cinemas</w:t>
            </w:r>
          </w:p>
        </w:tc>
        <w:tc>
          <w:tcPr>
            <w:tcW w:w="205" w:type="dxa"/>
            <w:tcBorders/>
            <w:shd w:fill="FFFFFF" w:val="clear"/>
            <w:tcMar>
              <w:bottom w:w="0" w:type="dxa"/>
            </w:tcMar>
            <w:vAlign w:val="center"/>
          </w:tcPr>
          <w:p>
            <w:pPr>
              <w:pStyle w:val="TableContents"/>
              <w:spacing w:before="0" w:after="283"/>
              <w:rPr/>
            </w:pPr>
            <w:r>
              <w:rPr/>
              <w:t> </w:t>
            </w:r>
          </w:p>
        </w:tc>
        <w:tc>
          <w:tcPr>
            <w:tcW w:w="127" w:type="dxa"/>
            <w:tcBorders/>
            <w:shd w:fill="FFFFFF" w:val="clear"/>
            <w:tcMar>
              <w:bottom w:w="0" w:type="dxa"/>
            </w:tcMar>
            <w:vAlign w:val="bottom"/>
          </w:tcPr>
          <w:p>
            <w:pPr>
              <w:pStyle w:val="TableContents"/>
              <w:spacing w:before="0" w:after="283"/>
              <w:jc w:val="left"/>
              <w:rPr/>
            </w:pPr>
            <w:r>
              <w:rPr/>
              <w:t> </w:t>
            </w:r>
          </w:p>
        </w:tc>
        <w:tc>
          <w:tcPr>
            <w:tcW w:w="1171"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174</w:t>
            </w:r>
          </w:p>
        </w:tc>
        <w:tc>
          <w:tcPr>
            <w:tcW w:w="205" w:type="dxa"/>
            <w:tcBorders/>
            <w:shd w:fill="FFFFFF" w:val="clear"/>
            <w:tcMar>
              <w:bottom w:w="0" w:type="dxa"/>
            </w:tcMar>
            <w:vAlign w:val="bottom"/>
          </w:tcPr>
          <w:p>
            <w:pPr>
              <w:pStyle w:val="TableContents"/>
              <w:spacing w:before="0" w:after="283"/>
              <w:jc w:val="left"/>
              <w:rPr/>
            </w:pPr>
            <w:r>
              <w:rPr/>
              <w:t> </w:t>
            </w:r>
          </w:p>
        </w:tc>
        <w:tc>
          <w:tcPr>
            <w:tcW w:w="127" w:type="dxa"/>
            <w:tcBorders/>
            <w:shd w:fill="FFFFFF" w:val="clear"/>
            <w:tcMar>
              <w:bottom w:w="0" w:type="dxa"/>
            </w:tcMar>
            <w:vAlign w:val="bottom"/>
          </w:tcPr>
          <w:p>
            <w:pPr>
              <w:pStyle w:val="TableContents"/>
              <w:spacing w:before="0" w:after="283"/>
              <w:jc w:val="left"/>
              <w:rPr/>
            </w:pPr>
            <w:r>
              <w:rPr/>
              <w:t> </w:t>
            </w:r>
          </w:p>
        </w:tc>
        <w:tc>
          <w:tcPr>
            <w:tcW w:w="1171"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113</w:t>
            </w:r>
          </w:p>
        </w:tc>
        <w:tc>
          <w:tcPr>
            <w:tcW w:w="117" w:type="dxa"/>
            <w:tcBorders/>
            <w:shd w:fill="FFFFFF" w:val="clear"/>
            <w:tcMar>
              <w:bottom w:w="0" w:type="dxa"/>
            </w:tcMar>
            <w:vAlign w:val="bottom"/>
          </w:tcPr>
          <w:p>
            <w:pPr>
              <w:pStyle w:val="TableContents"/>
              <w:spacing w:before="0" w:after="283"/>
              <w:jc w:val="left"/>
              <w:rPr/>
            </w:pPr>
            <w:r>
              <w:rPr/>
              <w:t> </w:t>
            </w:r>
          </w:p>
        </w:tc>
      </w:tr>
      <w:tr>
        <w:trPr/>
        <w:tc>
          <w:tcPr>
            <w:tcW w:w="7082"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Elsternwick unincorporated joint venture</w:t>
            </w:r>
          </w:p>
        </w:tc>
        <w:tc>
          <w:tcPr>
            <w:tcW w:w="205" w:type="dxa"/>
            <w:tcBorders/>
            <w:shd w:fill="CCEEFF" w:val="clear"/>
            <w:tcMar>
              <w:bottom w:w="0" w:type="dxa"/>
            </w:tcMar>
            <w:vAlign w:val="center"/>
          </w:tcPr>
          <w:p>
            <w:pPr>
              <w:pStyle w:val="TableContents"/>
              <w:spacing w:before="0" w:after="283"/>
              <w:rPr/>
            </w:pPr>
            <w:r>
              <w:rPr/>
              <w:t> </w:t>
            </w:r>
          </w:p>
        </w:tc>
        <w:tc>
          <w:tcPr>
            <w:tcW w:w="127" w:type="dxa"/>
            <w:tcBorders/>
            <w:shd w:fill="CCEEFF" w:val="clear"/>
            <w:tcMar>
              <w:bottom w:w="0" w:type="dxa"/>
            </w:tcMar>
            <w:vAlign w:val="bottom"/>
          </w:tcPr>
          <w:p>
            <w:pPr>
              <w:pStyle w:val="TableContents"/>
              <w:spacing w:before="0" w:after="283"/>
              <w:jc w:val="left"/>
              <w:rPr/>
            </w:pPr>
            <w:r>
              <w:rPr/>
              <w:t> </w:t>
            </w:r>
          </w:p>
        </w:tc>
        <w:tc>
          <w:tcPr>
            <w:tcW w:w="1171"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151</w:t>
            </w:r>
          </w:p>
        </w:tc>
        <w:tc>
          <w:tcPr>
            <w:tcW w:w="205" w:type="dxa"/>
            <w:tcBorders/>
            <w:shd w:fill="CCEEFF" w:val="clear"/>
            <w:tcMar>
              <w:bottom w:w="0" w:type="dxa"/>
            </w:tcMar>
            <w:vAlign w:val="bottom"/>
          </w:tcPr>
          <w:p>
            <w:pPr>
              <w:pStyle w:val="TableContents"/>
              <w:spacing w:before="0" w:after="283"/>
              <w:jc w:val="left"/>
              <w:rPr/>
            </w:pPr>
            <w:r>
              <w:rPr/>
              <w:t> </w:t>
            </w:r>
          </w:p>
        </w:tc>
        <w:tc>
          <w:tcPr>
            <w:tcW w:w="127" w:type="dxa"/>
            <w:tcBorders/>
            <w:shd w:fill="CCEEFF" w:val="clear"/>
            <w:tcMar>
              <w:bottom w:w="0" w:type="dxa"/>
            </w:tcMar>
            <w:vAlign w:val="bottom"/>
          </w:tcPr>
          <w:p>
            <w:pPr>
              <w:pStyle w:val="TableContents"/>
              <w:spacing w:before="0" w:after="283"/>
              <w:jc w:val="left"/>
              <w:rPr/>
            </w:pPr>
            <w:r>
              <w:rPr/>
              <w:t> </w:t>
            </w:r>
          </w:p>
        </w:tc>
        <w:tc>
          <w:tcPr>
            <w:tcW w:w="1171"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116</w:t>
            </w:r>
          </w:p>
        </w:tc>
        <w:tc>
          <w:tcPr>
            <w:tcW w:w="117" w:type="dxa"/>
            <w:tcBorders/>
            <w:shd w:fill="CCEEFF" w:val="clear"/>
            <w:tcMar>
              <w:bottom w:w="0" w:type="dxa"/>
            </w:tcMar>
            <w:vAlign w:val="bottom"/>
          </w:tcPr>
          <w:p>
            <w:pPr>
              <w:pStyle w:val="TableContents"/>
              <w:spacing w:before="0" w:after="283"/>
              <w:jc w:val="left"/>
              <w:rPr/>
            </w:pPr>
            <w:r>
              <w:rPr/>
              <w:t> </w:t>
            </w:r>
          </w:p>
        </w:tc>
      </w:tr>
      <w:tr>
        <w:trPr/>
        <w:tc>
          <w:tcPr>
            <w:tcW w:w="7082"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Landplan Property Partners</w:t>
            </w:r>
          </w:p>
        </w:tc>
        <w:tc>
          <w:tcPr>
            <w:tcW w:w="205" w:type="dxa"/>
            <w:tcBorders/>
            <w:shd w:fill="FFFFFF" w:val="clear"/>
            <w:tcMar>
              <w:bottom w:w="0" w:type="dxa"/>
            </w:tcMar>
            <w:vAlign w:val="center"/>
          </w:tcPr>
          <w:p>
            <w:pPr>
              <w:pStyle w:val="TableContents"/>
              <w:spacing w:before="0" w:after="283"/>
              <w:rPr/>
            </w:pPr>
            <w:r>
              <w:rPr/>
              <w:t> </w:t>
            </w:r>
          </w:p>
        </w:tc>
        <w:tc>
          <w:tcPr>
            <w:tcW w:w="127" w:type="dxa"/>
            <w:tcBorders/>
            <w:shd w:fill="FFFFFF" w:val="clear"/>
            <w:tcMar>
              <w:bottom w:w="0" w:type="dxa"/>
            </w:tcMar>
            <w:vAlign w:val="bottom"/>
          </w:tcPr>
          <w:p>
            <w:pPr>
              <w:pStyle w:val="TableContents"/>
              <w:spacing w:before="0" w:after="283"/>
              <w:jc w:val="left"/>
              <w:rPr/>
            </w:pPr>
            <w:r>
              <w:rPr/>
              <w:t> </w:t>
            </w:r>
          </w:p>
        </w:tc>
        <w:tc>
          <w:tcPr>
            <w:tcW w:w="1171"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13</w:t>
            </w:r>
          </w:p>
        </w:tc>
        <w:tc>
          <w:tcPr>
            <w:tcW w:w="205" w:type="dxa"/>
            <w:tcBorders/>
            <w:shd w:fill="FFFFFF" w:val="clear"/>
            <w:tcMar>
              <w:bottom w:w="0" w:type="dxa"/>
            </w:tcMar>
            <w:vAlign w:val="bottom"/>
          </w:tcPr>
          <w:p>
            <w:pPr>
              <w:pStyle w:val="TableContents"/>
              <w:spacing w:before="0" w:after="283"/>
              <w:jc w:val="left"/>
              <w:rPr/>
            </w:pPr>
            <w:r>
              <w:rPr/>
              <w:t> </w:t>
            </w:r>
          </w:p>
        </w:tc>
        <w:tc>
          <w:tcPr>
            <w:tcW w:w="127" w:type="dxa"/>
            <w:tcBorders/>
            <w:shd w:fill="FFFFFF" w:val="clear"/>
            <w:tcMar>
              <w:bottom w:w="0" w:type="dxa"/>
            </w:tcMar>
            <w:vAlign w:val="bottom"/>
          </w:tcPr>
          <w:p>
            <w:pPr>
              <w:pStyle w:val="TableContents"/>
              <w:spacing w:before="0" w:after="283"/>
              <w:jc w:val="left"/>
              <w:rPr/>
            </w:pPr>
            <w:r>
              <w:rPr/>
              <w:t> </w:t>
            </w:r>
          </w:p>
        </w:tc>
        <w:tc>
          <w:tcPr>
            <w:tcW w:w="1171"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117" w:type="dxa"/>
            <w:tcBorders/>
            <w:shd w:fill="FFFFFF" w:val="clear"/>
            <w:tcMar>
              <w:bottom w:w="0" w:type="dxa"/>
            </w:tcMar>
            <w:vAlign w:val="bottom"/>
          </w:tcPr>
          <w:p>
            <w:pPr>
              <w:pStyle w:val="TableContents"/>
              <w:spacing w:before="0" w:after="283"/>
              <w:jc w:val="left"/>
              <w:rPr/>
            </w:pPr>
            <w:r>
              <w:rPr/>
              <w:t> </w:t>
            </w:r>
          </w:p>
        </w:tc>
      </w:tr>
      <w:tr>
        <w:trPr/>
        <w:tc>
          <w:tcPr>
            <w:tcW w:w="7082" w:type="dxa"/>
            <w:tcBorders>
              <w:bottom w:val="sing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Other</w:t>
            </w:r>
          </w:p>
        </w:tc>
        <w:tc>
          <w:tcPr>
            <w:tcW w:w="205" w:type="dxa"/>
            <w:tcBorders>
              <w:bottom w:val="single" w:sz="2" w:space="0" w:color="CCEEFF"/>
            </w:tcBorders>
            <w:shd w:fill="CCEEFF" w:val="clear"/>
            <w:vAlign w:val="center"/>
          </w:tcPr>
          <w:p>
            <w:pPr>
              <w:pStyle w:val="TableContents"/>
              <w:spacing w:before="0" w:after="283"/>
              <w:rPr/>
            </w:pPr>
            <w:r>
              <w:rPr/>
              <w:t> </w:t>
            </w:r>
          </w:p>
        </w:tc>
        <w:tc>
          <w:tcPr>
            <w:tcW w:w="127" w:type="dxa"/>
            <w:tcBorders>
              <w:bottom w:val="single" w:sz="2" w:space="0" w:color="000000"/>
            </w:tcBorders>
            <w:shd w:fill="CCEEFF" w:val="clear"/>
            <w:vAlign w:val="bottom"/>
          </w:tcPr>
          <w:p>
            <w:pPr>
              <w:pStyle w:val="TableContents"/>
              <w:spacing w:before="0" w:after="283"/>
              <w:jc w:val="left"/>
              <w:rPr/>
            </w:pPr>
            <w:r>
              <w:rPr/>
              <w:t> </w:t>
            </w:r>
          </w:p>
        </w:tc>
        <w:tc>
          <w:tcPr>
            <w:tcW w:w="1171"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w:t>
            </w:r>
          </w:p>
        </w:tc>
        <w:tc>
          <w:tcPr>
            <w:tcW w:w="205" w:type="dxa"/>
            <w:tcBorders>
              <w:bottom w:val="single" w:sz="2" w:space="0" w:color="CCEEFF"/>
            </w:tcBorders>
            <w:shd w:fill="CCEEFF" w:val="clear"/>
            <w:vAlign w:val="bottom"/>
          </w:tcPr>
          <w:p>
            <w:pPr>
              <w:pStyle w:val="TableContents"/>
              <w:spacing w:before="0" w:after="283"/>
              <w:jc w:val="left"/>
              <w:rPr/>
            </w:pPr>
            <w:r>
              <w:rPr/>
              <w:t> </w:t>
            </w:r>
          </w:p>
        </w:tc>
        <w:tc>
          <w:tcPr>
            <w:tcW w:w="127" w:type="dxa"/>
            <w:tcBorders>
              <w:bottom w:val="single" w:sz="2" w:space="0" w:color="000000"/>
            </w:tcBorders>
            <w:shd w:fill="CCEEFF" w:val="clear"/>
            <w:vAlign w:val="bottom"/>
          </w:tcPr>
          <w:p>
            <w:pPr>
              <w:pStyle w:val="TableContents"/>
              <w:spacing w:before="0" w:after="283"/>
              <w:jc w:val="left"/>
              <w:rPr/>
            </w:pPr>
            <w:r>
              <w:rPr/>
              <w:t> </w:t>
            </w:r>
          </w:p>
        </w:tc>
        <w:tc>
          <w:tcPr>
            <w:tcW w:w="1171"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3</w:t>
            </w:r>
          </w:p>
        </w:tc>
        <w:tc>
          <w:tcPr>
            <w:tcW w:w="117" w:type="dxa"/>
            <w:tcBorders>
              <w:bottom w:val="single" w:sz="2" w:space="0" w:color="CCEEFF"/>
            </w:tcBorders>
            <w:shd w:fill="CCEEFF" w:val="clear"/>
            <w:vAlign w:val="bottom"/>
          </w:tcPr>
          <w:p>
            <w:pPr>
              <w:pStyle w:val="TableContents"/>
              <w:spacing w:before="0" w:after="283"/>
              <w:jc w:val="left"/>
              <w:rPr/>
            </w:pPr>
            <w:r>
              <w:rPr/>
              <w:t> </w:t>
            </w:r>
          </w:p>
        </w:tc>
      </w:tr>
      <w:tr>
        <w:trPr/>
        <w:tc>
          <w:tcPr>
            <w:tcW w:w="7082" w:type="dxa"/>
            <w:tcBorders>
              <w:bottom w:val="doub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Total minority interest</w:t>
            </w:r>
          </w:p>
        </w:tc>
        <w:tc>
          <w:tcPr>
            <w:tcW w:w="205" w:type="dxa"/>
            <w:tcBorders>
              <w:bottom w:val="single" w:sz="4" w:space="0" w:color="FFFFFF"/>
            </w:tcBorders>
            <w:shd w:fill="FFFFFF" w:val="clear"/>
            <w:vAlign w:val="center"/>
          </w:tcPr>
          <w:p>
            <w:pPr>
              <w:pStyle w:val="TableContents"/>
              <w:spacing w:before="0" w:after="283"/>
              <w:rPr/>
            </w:pPr>
            <w:r>
              <w:rPr/>
              <w:t> </w:t>
            </w:r>
          </w:p>
        </w:tc>
        <w:tc>
          <w:tcPr>
            <w:tcW w:w="127" w:type="dxa"/>
            <w:tcBorders>
              <w:bottom w:val="doub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171"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2,603</w:t>
            </w:r>
          </w:p>
        </w:tc>
        <w:tc>
          <w:tcPr>
            <w:tcW w:w="205" w:type="dxa"/>
            <w:tcBorders>
              <w:bottom w:val="single" w:sz="4" w:space="0" w:color="FFFFFF"/>
            </w:tcBorders>
            <w:shd w:fill="FFFFFF" w:val="clear"/>
            <w:vAlign w:val="bottom"/>
          </w:tcPr>
          <w:p>
            <w:pPr>
              <w:pStyle w:val="TableContents"/>
              <w:spacing w:before="0" w:after="283"/>
              <w:jc w:val="left"/>
              <w:rPr/>
            </w:pPr>
            <w:r>
              <w:rPr/>
              <w:t> </w:t>
            </w:r>
          </w:p>
        </w:tc>
        <w:tc>
          <w:tcPr>
            <w:tcW w:w="127" w:type="dxa"/>
            <w:tcBorders>
              <w:bottom w:val="doub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171"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3,079</w:t>
            </w:r>
          </w:p>
        </w:tc>
        <w:tc>
          <w:tcPr>
            <w:tcW w:w="117" w:type="dxa"/>
            <w:tcBorders>
              <w:bottom w:val="single" w:sz="4" w:space="0" w:color="FFFFFF"/>
            </w:tcBorders>
            <w:shd w:fill="FFFFFF" w:val="clear"/>
            <w:vAlign w:val="bottom"/>
          </w:tcPr>
          <w:p>
            <w:pPr>
              <w:pStyle w:val="TableContents"/>
              <w:spacing w:before="0" w:after="283"/>
              <w:jc w:val="left"/>
              <w:rPr/>
            </w:pPr>
            <w:r>
              <w:rPr/>
              <w:t> </w:t>
            </w:r>
          </w:p>
        </w:tc>
      </w:tr>
    </w:tbl>
    <w:p>
      <w:pPr>
        <w:pStyle w:val="TextBody"/>
        <w:spacing w:lineRule="auto" w:line="300" w:before="0" w:after="0"/>
        <w:ind w:left="0" w:right="0" w:firstLine="72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The components of minority interest expense are as follows (dollars in thousands):</w:t>
      </w:r>
    </w:p>
    <w:p>
      <w:pPr>
        <w:pStyle w:val="TextBody"/>
        <w:spacing w:lineRule="auto" w:line="300" w:before="0" w:after="0"/>
        <w:ind w:left="0" w:right="0" w:hanging="0"/>
        <w:jc w:val="both"/>
        <w:rPr/>
      </w:pPr>
      <w:r>
        <w:rPr/>
        <w:t> </w:t>
      </w:r>
    </w:p>
    <w:p>
      <w:pPr>
        <w:pStyle w:val="Normal"/>
        <w:spacing w:before="0" w:after="0"/>
        <w:ind w:left="0" w:right="0" w:hanging="0"/>
        <w:rPr>
          <w:sz w:val="4"/>
          <w:szCs w:val="4"/>
        </w:rPr>
      </w:pPr>
      <w:r>
        <w:rPr>
          <w:sz w:val="4"/>
          <w:szCs w:val="4"/>
        </w:rPr>
      </w:r>
      <w:bookmarkStart w:id="3852" w:name="ftable54"/>
      <w:bookmarkStart w:id="3853" w:name="ftable54"/>
      <w:bookmarkEnd w:id="3853"/>
    </w:p>
    <w:tbl>
      <w:tblPr>
        <w:tblW w:w="5000" w:type="pct"/>
        <w:jc w:val="left"/>
        <w:tblInd w:w="0" w:type="dxa"/>
        <w:tblCellMar>
          <w:top w:w="0" w:type="dxa"/>
          <w:left w:w="0" w:type="dxa"/>
          <w:bottom w:w="28" w:type="dxa"/>
          <w:right w:w="0" w:type="dxa"/>
        </w:tblCellMar>
      </w:tblPr>
      <w:tblGrid>
        <w:gridCol w:w="5686"/>
        <w:gridCol w:w="203"/>
        <w:gridCol w:w="127"/>
        <w:gridCol w:w="1121"/>
        <w:gridCol w:w="208"/>
        <w:gridCol w:w="127"/>
        <w:gridCol w:w="1137"/>
        <w:gridCol w:w="208"/>
        <w:gridCol w:w="127"/>
        <w:gridCol w:w="1137"/>
        <w:gridCol w:w="124"/>
      </w:tblGrid>
      <w:tr>
        <w:trPr/>
        <w:tc>
          <w:tcPr>
            <w:tcW w:w="5686" w:type="dxa"/>
            <w:tcBorders>
              <w:bottom w:val="single" w:sz="4" w:space="0" w:color="FFFFFF"/>
            </w:tcBorders>
            <w:shd w:fill="auto" w:val="clear"/>
            <w:vAlign w:val="bottom"/>
          </w:tcPr>
          <w:p>
            <w:pPr>
              <w:pStyle w:val="TableContents"/>
              <w:spacing w:before="0" w:after="283"/>
              <w:jc w:val="left"/>
              <w:rPr/>
            </w:pPr>
            <w:r>
              <w:rPr/>
              <w:t> </w:t>
            </w:r>
          </w:p>
        </w:tc>
        <w:tc>
          <w:tcPr>
            <w:tcW w:w="203" w:type="dxa"/>
            <w:tcBorders>
              <w:bottom w:val="single" w:sz="2" w:space="0" w:color="FFFFFF"/>
            </w:tcBorders>
            <w:shd w:fill="auto" w:val="clear"/>
            <w:vAlign w:val="center"/>
          </w:tcPr>
          <w:p>
            <w:pPr>
              <w:pStyle w:val="TableContents"/>
              <w:spacing w:before="0" w:after="283"/>
              <w:rPr/>
            </w:pPr>
            <w:r>
              <w:rPr/>
              <w:t> </w:t>
            </w:r>
          </w:p>
        </w:tc>
        <w:tc>
          <w:tcPr>
            <w:tcW w:w="4192" w:type="dxa"/>
            <w:gridSpan w:val="8"/>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December 31,</w:t>
            </w:r>
          </w:p>
        </w:tc>
        <w:tc>
          <w:tcPr>
            <w:tcW w:w="124" w:type="dxa"/>
            <w:tcBorders>
              <w:bottom w:val="single" w:sz="2" w:space="0" w:color="FFFFFF"/>
            </w:tcBorders>
            <w:shd w:fill="auto" w:val="clear"/>
            <w:vAlign w:val="bottom"/>
          </w:tcPr>
          <w:p>
            <w:pPr>
              <w:pStyle w:val="TableContents"/>
              <w:spacing w:before="0" w:after="283"/>
              <w:jc w:val="left"/>
              <w:rPr/>
            </w:pPr>
            <w:r>
              <w:rPr/>
              <w:t> </w:t>
            </w:r>
          </w:p>
        </w:tc>
      </w:tr>
      <w:tr>
        <w:trPr/>
        <w:tc>
          <w:tcPr>
            <w:tcW w:w="5686" w:type="dxa"/>
            <w:tcBorders>
              <w:bottom w:val="double" w:sz="2" w:space="0" w:color="000000"/>
            </w:tcBorders>
            <w:shd w:fill="auto" w:val="clear"/>
            <w:vAlign w:val="bottom"/>
          </w:tcPr>
          <w:p>
            <w:pPr>
              <w:pStyle w:val="TableContents"/>
              <w:spacing w:before="0" w:after="283"/>
              <w:jc w:val="left"/>
              <w:rPr/>
            </w:pPr>
            <w:r>
              <w:rPr/>
              <w:t> </w:t>
            </w:r>
          </w:p>
        </w:tc>
        <w:tc>
          <w:tcPr>
            <w:tcW w:w="203" w:type="dxa"/>
            <w:tcBorders>
              <w:bottom w:val="single" w:sz="4" w:space="0" w:color="FFFFFF"/>
            </w:tcBorders>
            <w:shd w:fill="auto" w:val="clear"/>
            <w:vAlign w:val="center"/>
          </w:tcPr>
          <w:p>
            <w:pPr>
              <w:pStyle w:val="TableContents"/>
              <w:spacing w:before="0" w:after="283"/>
              <w:rPr/>
            </w:pPr>
            <w:r>
              <w:rPr/>
              <w:t> </w:t>
            </w:r>
          </w:p>
        </w:tc>
        <w:tc>
          <w:tcPr>
            <w:tcW w:w="1248"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2006</w:t>
            </w:r>
          </w:p>
        </w:tc>
        <w:tc>
          <w:tcPr>
            <w:tcW w:w="208" w:type="dxa"/>
            <w:tcBorders>
              <w:bottom w:val="single" w:sz="4" w:space="0" w:color="FFFFFF"/>
            </w:tcBorders>
            <w:shd w:fill="auto" w:val="clear"/>
            <w:vAlign w:val="bottom"/>
          </w:tcPr>
          <w:p>
            <w:pPr>
              <w:pStyle w:val="TableContents"/>
              <w:spacing w:before="0" w:after="283"/>
              <w:jc w:val="left"/>
              <w:rPr/>
            </w:pPr>
            <w:r>
              <w:rPr/>
              <w:t> </w:t>
            </w:r>
          </w:p>
        </w:tc>
        <w:tc>
          <w:tcPr>
            <w:tcW w:w="1264"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2005</w:t>
            </w:r>
          </w:p>
        </w:tc>
        <w:tc>
          <w:tcPr>
            <w:tcW w:w="208" w:type="dxa"/>
            <w:tcBorders>
              <w:bottom w:val="single" w:sz="4" w:space="0" w:color="FFFFFF"/>
            </w:tcBorders>
            <w:shd w:fill="auto" w:val="clear"/>
            <w:vAlign w:val="bottom"/>
          </w:tcPr>
          <w:p>
            <w:pPr>
              <w:pStyle w:val="TableContents"/>
              <w:spacing w:before="0" w:after="283"/>
              <w:jc w:val="left"/>
              <w:rPr/>
            </w:pPr>
            <w:r>
              <w:rPr/>
              <w:t> </w:t>
            </w:r>
          </w:p>
        </w:tc>
        <w:tc>
          <w:tcPr>
            <w:tcW w:w="1264"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2004</w:t>
            </w:r>
          </w:p>
        </w:tc>
        <w:tc>
          <w:tcPr>
            <w:tcW w:w="124" w:type="dxa"/>
            <w:tcBorders>
              <w:bottom w:val="single" w:sz="4" w:space="0" w:color="FFFFFF"/>
            </w:tcBorders>
            <w:shd w:fill="auto" w:val="clear"/>
            <w:vAlign w:val="bottom"/>
          </w:tcPr>
          <w:p>
            <w:pPr>
              <w:pStyle w:val="TableContents"/>
              <w:spacing w:before="0" w:after="283"/>
              <w:jc w:val="left"/>
              <w:rPr/>
            </w:pPr>
            <w:r>
              <w:rPr/>
              <w:t> </w:t>
            </w:r>
          </w:p>
        </w:tc>
      </w:tr>
      <w:tr>
        <w:trPr/>
        <w:tc>
          <w:tcPr>
            <w:tcW w:w="5686"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AFC</w:t>
            </w:r>
          </w:p>
        </w:tc>
        <w:tc>
          <w:tcPr>
            <w:tcW w:w="203" w:type="dxa"/>
            <w:tcBorders/>
            <w:shd w:fill="CCEEFF" w:val="clear"/>
            <w:tcMar>
              <w:bottom w:w="0" w:type="dxa"/>
            </w:tcMar>
            <w:vAlign w:val="center"/>
          </w:tcPr>
          <w:p>
            <w:pPr>
              <w:pStyle w:val="TableContents"/>
              <w:spacing w:before="0" w:after="283"/>
              <w:rPr/>
            </w:pPr>
            <w:r>
              <w:rPr/>
              <w:t> </w:t>
            </w:r>
          </w:p>
        </w:tc>
        <w:tc>
          <w:tcPr>
            <w:tcW w:w="127"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121"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624</w:t>
            </w:r>
          </w:p>
        </w:tc>
        <w:tc>
          <w:tcPr>
            <w:tcW w:w="208" w:type="dxa"/>
            <w:tcBorders/>
            <w:shd w:fill="CCEEFF" w:val="clear"/>
            <w:tcMar>
              <w:bottom w:w="0" w:type="dxa"/>
            </w:tcMar>
            <w:vAlign w:val="bottom"/>
          </w:tcPr>
          <w:p>
            <w:pPr>
              <w:pStyle w:val="TableContents"/>
              <w:spacing w:before="0" w:after="283"/>
              <w:jc w:val="left"/>
              <w:rPr/>
            </w:pPr>
            <w:r>
              <w:rPr/>
              <w:t> </w:t>
            </w:r>
          </w:p>
        </w:tc>
        <w:tc>
          <w:tcPr>
            <w:tcW w:w="127"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137"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730</w:t>
            </w:r>
          </w:p>
        </w:tc>
        <w:tc>
          <w:tcPr>
            <w:tcW w:w="208" w:type="dxa"/>
            <w:tcBorders/>
            <w:shd w:fill="CCEEFF" w:val="clear"/>
            <w:tcMar>
              <w:bottom w:w="0" w:type="dxa"/>
            </w:tcMar>
            <w:vAlign w:val="bottom"/>
          </w:tcPr>
          <w:p>
            <w:pPr>
              <w:pStyle w:val="TableContents"/>
              <w:spacing w:before="0" w:after="283"/>
              <w:jc w:val="left"/>
              <w:rPr/>
            </w:pPr>
            <w:r>
              <w:rPr/>
              <w:t> </w:t>
            </w:r>
          </w:p>
        </w:tc>
        <w:tc>
          <w:tcPr>
            <w:tcW w:w="127"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137"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320</w:t>
            </w:r>
          </w:p>
        </w:tc>
        <w:tc>
          <w:tcPr>
            <w:tcW w:w="124" w:type="dxa"/>
            <w:tcBorders/>
            <w:shd w:fill="CCEEFF" w:val="clear"/>
            <w:tcMar>
              <w:bottom w:w="0" w:type="dxa"/>
            </w:tcMar>
            <w:vAlign w:val="bottom"/>
          </w:tcPr>
          <w:p>
            <w:pPr>
              <w:pStyle w:val="TableContents"/>
              <w:spacing w:before="0" w:after="283"/>
              <w:jc w:val="left"/>
              <w:rPr/>
            </w:pPr>
            <w:r>
              <w:rPr/>
              <w:t> </w:t>
            </w:r>
          </w:p>
        </w:tc>
      </w:tr>
      <w:tr>
        <w:trPr/>
        <w:tc>
          <w:tcPr>
            <w:tcW w:w="5686"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Australian Country Cinemas</w:t>
            </w:r>
          </w:p>
        </w:tc>
        <w:tc>
          <w:tcPr>
            <w:tcW w:w="203" w:type="dxa"/>
            <w:tcBorders/>
            <w:shd w:fill="FFFFFF" w:val="clear"/>
            <w:tcMar>
              <w:bottom w:w="0" w:type="dxa"/>
            </w:tcMar>
            <w:vAlign w:val="center"/>
          </w:tcPr>
          <w:p>
            <w:pPr>
              <w:pStyle w:val="TableContents"/>
              <w:spacing w:before="0" w:after="283"/>
              <w:rPr/>
            </w:pPr>
            <w:r>
              <w:rPr/>
              <w:t> </w:t>
            </w:r>
          </w:p>
        </w:tc>
        <w:tc>
          <w:tcPr>
            <w:tcW w:w="127" w:type="dxa"/>
            <w:tcBorders/>
            <w:shd w:fill="FFFFFF" w:val="clear"/>
            <w:tcMar>
              <w:bottom w:w="0" w:type="dxa"/>
            </w:tcMar>
            <w:vAlign w:val="bottom"/>
          </w:tcPr>
          <w:p>
            <w:pPr>
              <w:pStyle w:val="TableContents"/>
              <w:spacing w:before="0" w:after="283"/>
              <w:jc w:val="left"/>
              <w:rPr/>
            </w:pPr>
            <w:r>
              <w:rPr/>
              <w:t> </w:t>
            </w:r>
          </w:p>
        </w:tc>
        <w:tc>
          <w:tcPr>
            <w:tcW w:w="1121"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50</w:t>
            </w:r>
          </w:p>
        </w:tc>
        <w:tc>
          <w:tcPr>
            <w:tcW w:w="208" w:type="dxa"/>
            <w:tcBorders/>
            <w:shd w:fill="FFFFFF" w:val="clear"/>
            <w:tcMar>
              <w:bottom w:w="0" w:type="dxa"/>
            </w:tcMar>
            <w:vAlign w:val="bottom"/>
          </w:tcPr>
          <w:p>
            <w:pPr>
              <w:pStyle w:val="TableContents"/>
              <w:spacing w:before="0" w:after="283"/>
              <w:jc w:val="left"/>
              <w:rPr/>
            </w:pPr>
            <w:r>
              <w:rPr/>
              <w:t> </w:t>
            </w:r>
          </w:p>
        </w:tc>
        <w:tc>
          <w:tcPr>
            <w:tcW w:w="127" w:type="dxa"/>
            <w:tcBorders/>
            <w:shd w:fill="FFFFFF" w:val="clear"/>
            <w:tcMar>
              <w:bottom w:w="0" w:type="dxa"/>
            </w:tcMar>
            <w:vAlign w:val="bottom"/>
          </w:tcPr>
          <w:p>
            <w:pPr>
              <w:pStyle w:val="TableContents"/>
              <w:spacing w:before="0" w:after="283"/>
              <w:jc w:val="left"/>
              <w:rPr/>
            </w:pPr>
            <w:r>
              <w:rPr/>
              <w:t> </w:t>
            </w:r>
          </w:p>
        </w:tc>
        <w:tc>
          <w:tcPr>
            <w:tcW w:w="1137"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10</w:t>
            </w:r>
          </w:p>
        </w:tc>
        <w:tc>
          <w:tcPr>
            <w:tcW w:w="208" w:type="dxa"/>
            <w:tcBorders/>
            <w:shd w:fill="FFFFFF" w:val="clear"/>
            <w:tcMar>
              <w:bottom w:w="0" w:type="dxa"/>
            </w:tcMar>
            <w:vAlign w:val="bottom"/>
          </w:tcPr>
          <w:p>
            <w:pPr>
              <w:pStyle w:val="TableContents"/>
              <w:spacing w:before="0" w:after="283"/>
              <w:jc w:val="left"/>
              <w:rPr/>
            </w:pPr>
            <w:r>
              <w:rPr/>
              <w:t> </w:t>
            </w:r>
          </w:p>
        </w:tc>
        <w:tc>
          <w:tcPr>
            <w:tcW w:w="127" w:type="dxa"/>
            <w:tcBorders/>
            <w:shd w:fill="FFFFFF" w:val="clear"/>
            <w:tcMar>
              <w:bottom w:w="0" w:type="dxa"/>
            </w:tcMar>
            <w:vAlign w:val="bottom"/>
          </w:tcPr>
          <w:p>
            <w:pPr>
              <w:pStyle w:val="TableContents"/>
              <w:spacing w:before="0" w:after="283"/>
              <w:jc w:val="left"/>
              <w:rPr/>
            </w:pPr>
            <w:r>
              <w:rPr/>
              <w:t> </w:t>
            </w:r>
          </w:p>
        </w:tc>
        <w:tc>
          <w:tcPr>
            <w:tcW w:w="1137"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(93</w:t>
            </w:r>
          </w:p>
        </w:tc>
        <w:tc>
          <w:tcPr>
            <w:tcW w:w="124"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r>
      <w:tr>
        <w:trPr/>
        <w:tc>
          <w:tcPr>
            <w:tcW w:w="5686"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Elsternwick unincorporated joint venture</w:t>
            </w:r>
          </w:p>
        </w:tc>
        <w:tc>
          <w:tcPr>
            <w:tcW w:w="203" w:type="dxa"/>
            <w:tcBorders/>
            <w:shd w:fill="CCEEFF" w:val="clear"/>
            <w:tcMar>
              <w:bottom w:w="0" w:type="dxa"/>
            </w:tcMar>
            <w:vAlign w:val="center"/>
          </w:tcPr>
          <w:p>
            <w:pPr>
              <w:pStyle w:val="TableContents"/>
              <w:spacing w:before="0" w:after="283"/>
              <w:rPr/>
            </w:pPr>
            <w:r>
              <w:rPr/>
              <w:t> </w:t>
            </w:r>
          </w:p>
        </w:tc>
        <w:tc>
          <w:tcPr>
            <w:tcW w:w="127" w:type="dxa"/>
            <w:tcBorders/>
            <w:shd w:fill="CCEEFF" w:val="clear"/>
            <w:tcMar>
              <w:bottom w:w="0" w:type="dxa"/>
            </w:tcMar>
            <w:vAlign w:val="bottom"/>
          </w:tcPr>
          <w:p>
            <w:pPr>
              <w:pStyle w:val="TableContents"/>
              <w:spacing w:before="0" w:after="283"/>
              <w:jc w:val="left"/>
              <w:rPr/>
            </w:pPr>
            <w:r>
              <w:rPr/>
              <w:t> </w:t>
            </w:r>
          </w:p>
        </w:tc>
        <w:tc>
          <w:tcPr>
            <w:tcW w:w="1121"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(17</w:t>
            </w:r>
          </w:p>
        </w:tc>
        <w:tc>
          <w:tcPr>
            <w:tcW w:w="208"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27" w:type="dxa"/>
            <w:tcBorders/>
            <w:shd w:fill="CCEEFF" w:val="clear"/>
            <w:tcMar>
              <w:bottom w:w="0" w:type="dxa"/>
            </w:tcMar>
            <w:vAlign w:val="bottom"/>
          </w:tcPr>
          <w:p>
            <w:pPr>
              <w:pStyle w:val="TableContents"/>
              <w:spacing w:before="0" w:after="283"/>
              <w:jc w:val="left"/>
              <w:rPr/>
            </w:pPr>
            <w:r>
              <w:rPr/>
              <w:t> </w:t>
            </w:r>
          </w:p>
        </w:tc>
        <w:tc>
          <w:tcPr>
            <w:tcW w:w="1137"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(161</w:t>
            </w:r>
          </w:p>
        </w:tc>
        <w:tc>
          <w:tcPr>
            <w:tcW w:w="208"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27" w:type="dxa"/>
            <w:tcBorders/>
            <w:shd w:fill="CCEEFF" w:val="clear"/>
            <w:tcMar>
              <w:bottom w:w="0" w:type="dxa"/>
            </w:tcMar>
            <w:vAlign w:val="bottom"/>
          </w:tcPr>
          <w:p>
            <w:pPr>
              <w:pStyle w:val="TableContents"/>
              <w:spacing w:before="0" w:after="283"/>
              <w:jc w:val="left"/>
              <w:rPr/>
            </w:pPr>
            <w:r>
              <w:rPr/>
              <w:t> </w:t>
            </w:r>
          </w:p>
        </w:tc>
        <w:tc>
          <w:tcPr>
            <w:tcW w:w="1137"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(115</w:t>
            </w:r>
          </w:p>
        </w:tc>
        <w:tc>
          <w:tcPr>
            <w:tcW w:w="124"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r>
      <w:tr>
        <w:trPr/>
        <w:tc>
          <w:tcPr>
            <w:tcW w:w="5686"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Landplan Property Partners</w:t>
            </w:r>
          </w:p>
        </w:tc>
        <w:tc>
          <w:tcPr>
            <w:tcW w:w="203" w:type="dxa"/>
            <w:tcBorders/>
            <w:shd w:fill="FFFFFF" w:val="clear"/>
            <w:tcMar>
              <w:bottom w:w="0" w:type="dxa"/>
            </w:tcMar>
            <w:vAlign w:val="center"/>
          </w:tcPr>
          <w:p>
            <w:pPr>
              <w:pStyle w:val="TableContents"/>
              <w:spacing w:before="0" w:after="283"/>
              <w:rPr/>
            </w:pPr>
            <w:r>
              <w:rPr/>
              <w:t> </w:t>
            </w:r>
          </w:p>
        </w:tc>
        <w:tc>
          <w:tcPr>
            <w:tcW w:w="127" w:type="dxa"/>
            <w:tcBorders/>
            <w:shd w:fill="FFFFFF" w:val="clear"/>
            <w:tcMar>
              <w:bottom w:w="0" w:type="dxa"/>
            </w:tcMar>
            <w:vAlign w:val="bottom"/>
          </w:tcPr>
          <w:p>
            <w:pPr>
              <w:pStyle w:val="TableContents"/>
              <w:spacing w:before="0" w:after="283"/>
              <w:jc w:val="left"/>
              <w:rPr/>
            </w:pPr>
            <w:r>
              <w:rPr/>
              <w:t> </w:t>
            </w:r>
          </w:p>
        </w:tc>
        <w:tc>
          <w:tcPr>
            <w:tcW w:w="1121"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14</w:t>
            </w:r>
          </w:p>
        </w:tc>
        <w:tc>
          <w:tcPr>
            <w:tcW w:w="208" w:type="dxa"/>
            <w:tcBorders/>
            <w:shd w:fill="FFFFFF" w:val="clear"/>
            <w:tcMar>
              <w:bottom w:w="0" w:type="dxa"/>
            </w:tcMar>
            <w:vAlign w:val="bottom"/>
          </w:tcPr>
          <w:p>
            <w:pPr>
              <w:pStyle w:val="TableContents"/>
              <w:spacing w:before="0" w:after="283"/>
              <w:jc w:val="left"/>
              <w:rPr/>
            </w:pPr>
            <w:r>
              <w:rPr/>
              <w:t> </w:t>
            </w:r>
          </w:p>
        </w:tc>
        <w:tc>
          <w:tcPr>
            <w:tcW w:w="127" w:type="dxa"/>
            <w:tcBorders/>
            <w:shd w:fill="FFFFFF" w:val="clear"/>
            <w:tcMar>
              <w:bottom w:w="0" w:type="dxa"/>
            </w:tcMar>
            <w:vAlign w:val="bottom"/>
          </w:tcPr>
          <w:p>
            <w:pPr>
              <w:pStyle w:val="TableContents"/>
              <w:spacing w:before="0" w:after="283"/>
              <w:jc w:val="left"/>
              <w:rPr/>
            </w:pPr>
            <w:r>
              <w:rPr/>
              <w:t> </w:t>
            </w:r>
          </w:p>
        </w:tc>
        <w:tc>
          <w:tcPr>
            <w:tcW w:w="1137"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208" w:type="dxa"/>
            <w:tcBorders/>
            <w:shd w:fill="FFFFFF" w:val="clear"/>
            <w:tcMar>
              <w:bottom w:w="0" w:type="dxa"/>
            </w:tcMar>
            <w:vAlign w:val="bottom"/>
          </w:tcPr>
          <w:p>
            <w:pPr>
              <w:pStyle w:val="TableContents"/>
              <w:spacing w:before="0" w:after="283"/>
              <w:jc w:val="left"/>
              <w:rPr/>
            </w:pPr>
            <w:r>
              <w:rPr/>
              <w:t> </w:t>
            </w:r>
          </w:p>
        </w:tc>
        <w:tc>
          <w:tcPr>
            <w:tcW w:w="127" w:type="dxa"/>
            <w:tcBorders/>
            <w:shd w:fill="FFFFFF" w:val="clear"/>
            <w:tcMar>
              <w:bottom w:w="0" w:type="dxa"/>
            </w:tcMar>
            <w:vAlign w:val="bottom"/>
          </w:tcPr>
          <w:p>
            <w:pPr>
              <w:pStyle w:val="TableContents"/>
              <w:spacing w:before="0" w:after="283"/>
              <w:jc w:val="left"/>
              <w:rPr/>
            </w:pPr>
            <w:r>
              <w:rPr/>
              <w:t> </w:t>
            </w:r>
          </w:p>
        </w:tc>
        <w:tc>
          <w:tcPr>
            <w:tcW w:w="1137"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124" w:type="dxa"/>
            <w:tcBorders/>
            <w:shd w:fill="FFFFFF" w:val="clear"/>
            <w:tcMar>
              <w:bottom w:w="0" w:type="dxa"/>
            </w:tcMar>
            <w:vAlign w:val="bottom"/>
          </w:tcPr>
          <w:p>
            <w:pPr>
              <w:pStyle w:val="TableContents"/>
              <w:spacing w:before="0" w:after="283"/>
              <w:jc w:val="left"/>
              <w:rPr/>
            </w:pPr>
            <w:r>
              <w:rPr/>
              <w:t> </w:t>
            </w:r>
          </w:p>
        </w:tc>
      </w:tr>
      <w:tr>
        <w:trPr/>
        <w:tc>
          <w:tcPr>
            <w:tcW w:w="5686" w:type="dxa"/>
            <w:tcBorders>
              <w:bottom w:val="sing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Other</w:t>
            </w:r>
          </w:p>
        </w:tc>
        <w:tc>
          <w:tcPr>
            <w:tcW w:w="203" w:type="dxa"/>
            <w:tcBorders>
              <w:bottom w:val="single" w:sz="2" w:space="0" w:color="CCEEFF"/>
            </w:tcBorders>
            <w:shd w:fill="CCEEFF" w:val="clear"/>
            <w:vAlign w:val="center"/>
          </w:tcPr>
          <w:p>
            <w:pPr>
              <w:pStyle w:val="TableContents"/>
              <w:spacing w:before="0" w:after="283"/>
              <w:rPr/>
            </w:pPr>
            <w:r>
              <w:rPr/>
              <w:t> </w:t>
            </w:r>
          </w:p>
        </w:tc>
        <w:tc>
          <w:tcPr>
            <w:tcW w:w="127" w:type="dxa"/>
            <w:tcBorders>
              <w:bottom w:val="single" w:sz="2" w:space="0" w:color="000000"/>
            </w:tcBorders>
            <w:shd w:fill="CCEEFF" w:val="clear"/>
            <w:vAlign w:val="bottom"/>
          </w:tcPr>
          <w:p>
            <w:pPr>
              <w:pStyle w:val="TableContents"/>
              <w:spacing w:before="0" w:after="283"/>
              <w:jc w:val="left"/>
              <w:rPr/>
            </w:pPr>
            <w:r>
              <w:rPr/>
              <w:t> </w:t>
            </w:r>
          </w:p>
        </w:tc>
        <w:tc>
          <w:tcPr>
            <w:tcW w:w="1121"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w:t>
            </w:r>
          </w:p>
        </w:tc>
        <w:tc>
          <w:tcPr>
            <w:tcW w:w="208" w:type="dxa"/>
            <w:tcBorders>
              <w:bottom w:val="single" w:sz="2" w:space="0" w:color="CCEEFF"/>
            </w:tcBorders>
            <w:shd w:fill="CCEEFF" w:val="clear"/>
            <w:vAlign w:val="bottom"/>
          </w:tcPr>
          <w:p>
            <w:pPr>
              <w:pStyle w:val="TableContents"/>
              <w:spacing w:before="0" w:after="283"/>
              <w:jc w:val="left"/>
              <w:rPr/>
            </w:pPr>
            <w:r>
              <w:rPr/>
              <w:t> </w:t>
            </w:r>
          </w:p>
        </w:tc>
        <w:tc>
          <w:tcPr>
            <w:tcW w:w="127" w:type="dxa"/>
            <w:tcBorders>
              <w:bottom w:val="single" w:sz="2" w:space="0" w:color="000000"/>
            </w:tcBorders>
            <w:shd w:fill="CCEEFF" w:val="clear"/>
            <w:vAlign w:val="bottom"/>
          </w:tcPr>
          <w:p>
            <w:pPr>
              <w:pStyle w:val="TableContents"/>
              <w:spacing w:before="0" w:after="283"/>
              <w:jc w:val="left"/>
              <w:rPr/>
            </w:pPr>
            <w:r>
              <w:rPr/>
              <w:t> </w:t>
            </w:r>
          </w:p>
        </w:tc>
        <w:tc>
          <w:tcPr>
            <w:tcW w:w="1137"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208" w:type="dxa"/>
            <w:tcBorders>
              <w:bottom w:val="single" w:sz="2" w:space="0" w:color="CCEEFF"/>
            </w:tcBorders>
            <w:shd w:fill="CCEEFF" w:val="clear"/>
            <w:vAlign w:val="bottom"/>
          </w:tcPr>
          <w:p>
            <w:pPr>
              <w:pStyle w:val="TableContents"/>
              <w:spacing w:before="0" w:after="283"/>
              <w:jc w:val="left"/>
              <w:rPr/>
            </w:pPr>
            <w:r>
              <w:rPr/>
              <w:t> </w:t>
            </w:r>
          </w:p>
        </w:tc>
        <w:tc>
          <w:tcPr>
            <w:tcW w:w="127" w:type="dxa"/>
            <w:tcBorders>
              <w:bottom w:val="single" w:sz="2" w:space="0" w:color="000000"/>
            </w:tcBorders>
            <w:shd w:fill="CCEEFF" w:val="clear"/>
            <w:vAlign w:val="bottom"/>
          </w:tcPr>
          <w:p>
            <w:pPr>
              <w:pStyle w:val="TableContents"/>
              <w:spacing w:before="0" w:after="283"/>
              <w:jc w:val="left"/>
              <w:rPr/>
            </w:pPr>
            <w:r>
              <w:rPr/>
              <w:t> </w:t>
            </w:r>
          </w:p>
        </w:tc>
        <w:tc>
          <w:tcPr>
            <w:tcW w:w="1137"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124" w:type="dxa"/>
            <w:tcBorders>
              <w:bottom w:val="single" w:sz="2" w:space="0" w:color="CCEEFF"/>
            </w:tcBorders>
            <w:shd w:fill="CCEEFF" w:val="clear"/>
            <w:vAlign w:val="bottom"/>
          </w:tcPr>
          <w:p>
            <w:pPr>
              <w:pStyle w:val="TableContents"/>
              <w:spacing w:before="0" w:after="283"/>
              <w:jc w:val="left"/>
              <w:rPr/>
            </w:pPr>
            <w:r>
              <w:rPr/>
              <w:t> </w:t>
            </w:r>
          </w:p>
        </w:tc>
      </w:tr>
      <w:tr>
        <w:trPr/>
        <w:tc>
          <w:tcPr>
            <w:tcW w:w="5686" w:type="dxa"/>
            <w:tcBorders>
              <w:bottom w:val="doub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Total minority interest</w:t>
            </w:r>
          </w:p>
        </w:tc>
        <w:tc>
          <w:tcPr>
            <w:tcW w:w="203" w:type="dxa"/>
            <w:tcBorders>
              <w:bottom w:val="single" w:sz="4" w:space="0" w:color="FFFFFF"/>
            </w:tcBorders>
            <w:shd w:fill="FFFFFF" w:val="clear"/>
            <w:vAlign w:val="center"/>
          </w:tcPr>
          <w:p>
            <w:pPr>
              <w:pStyle w:val="TableContents"/>
              <w:spacing w:before="0" w:after="283"/>
              <w:rPr/>
            </w:pPr>
            <w:r>
              <w:rPr/>
              <w:t> </w:t>
            </w:r>
          </w:p>
        </w:tc>
        <w:tc>
          <w:tcPr>
            <w:tcW w:w="127" w:type="dxa"/>
            <w:tcBorders>
              <w:bottom w:val="doub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121"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672</w:t>
            </w:r>
          </w:p>
        </w:tc>
        <w:tc>
          <w:tcPr>
            <w:tcW w:w="208" w:type="dxa"/>
            <w:tcBorders>
              <w:bottom w:val="single" w:sz="4" w:space="0" w:color="FFFFFF"/>
            </w:tcBorders>
            <w:shd w:fill="FFFFFF" w:val="clear"/>
            <w:vAlign w:val="bottom"/>
          </w:tcPr>
          <w:p>
            <w:pPr>
              <w:pStyle w:val="TableContents"/>
              <w:spacing w:before="0" w:after="283"/>
              <w:jc w:val="left"/>
              <w:rPr/>
            </w:pPr>
            <w:r>
              <w:rPr/>
              <w:t> </w:t>
            </w:r>
          </w:p>
        </w:tc>
        <w:tc>
          <w:tcPr>
            <w:tcW w:w="127" w:type="dxa"/>
            <w:tcBorders>
              <w:bottom w:val="doub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137"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579</w:t>
            </w:r>
          </w:p>
        </w:tc>
        <w:tc>
          <w:tcPr>
            <w:tcW w:w="208" w:type="dxa"/>
            <w:tcBorders>
              <w:bottom w:val="single" w:sz="4" w:space="0" w:color="FFFFFF"/>
            </w:tcBorders>
            <w:shd w:fill="FFFFFF" w:val="clear"/>
            <w:vAlign w:val="bottom"/>
          </w:tcPr>
          <w:p>
            <w:pPr>
              <w:pStyle w:val="TableContents"/>
              <w:spacing w:before="0" w:after="283"/>
              <w:jc w:val="left"/>
              <w:rPr/>
            </w:pPr>
            <w:r>
              <w:rPr/>
              <w:t> </w:t>
            </w:r>
          </w:p>
        </w:tc>
        <w:tc>
          <w:tcPr>
            <w:tcW w:w="127" w:type="dxa"/>
            <w:tcBorders>
              <w:bottom w:val="doub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137"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112</w:t>
            </w:r>
          </w:p>
        </w:tc>
        <w:tc>
          <w:tcPr>
            <w:tcW w:w="124" w:type="dxa"/>
            <w:tcBorders>
              <w:bottom w:val="single" w:sz="4" w:space="0" w:color="FFFFFF"/>
            </w:tcBorders>
            <w:shd w:fill="FFFFFF" w:val="clear"/>
            <w:vAlign w:val="bottom"/>
          </w:tcPr>
          <w:p>
            <w:pPr>
              <w:pStyle w:val="TableContents"/>
              <w:spacing w:before="0" w:after="283"/>
              <w:jc w:val="left"/>
              <w:rPr/>
            </w:pPr>
            <w:r>
              <w:rPr/>
              <w:t> </w:t>
            </w:r>
          </w:p>
        </w:tc>
      </w:tr>
    </w:tbl>
    <w:p>
      <w:pPr>
        <w:pStyle w:val="TextBody"/>
        <w:spacing w:lineRule="auto" w:line="300" w:before="0" w:after="0"/>
        <w:ind w:left="0" w:right="0" w:hanging="0"/>
        <w:jc w:val="both"/>
        <w:rPr/>
      </w:pPr>
      <w:r>
        <w:rPr/>
        <w:br/>
      </w:r>
      <w:r>
        <w:rPr>
          <w:rFonts w:ascii="Times New Roman" w:hAnsi="Times New Roman"/>
          <w:sz w:val="20"/>
          <w:u w:val="single"/>
        </w:rPr>
        <w:t>Landplan Property Partners, Ltd</w:t>
      </w:r>
    </w:p>
    <w:p>
      <w:pPr>
        <w:pStyle w:val="TextBody"/>
        <w:spacing w:lineRule="auto" w:line="300" w:before="0" w:after="0"/>
        <w:ind w:left="0" w:right="0" w:hanging="0"/>
        <w:jc w:val="left"/>
        <w:rPr/>
      </w:pPr>
      <w:r>
        <w:rPr/>
      </w:r>
    </w:p>
    <w:p>
      <w:pPr>
        <w:pStyle w:val="TextBody"/>
        <w:spacing w:lineRule="auto" w:line="300" w:before="0" w:after="0"/>
        <w:ind w:left="0" w:right="0" w:firstLine="720"/>
        <w:jc w:val="left"/>
        <w:rPr>
          <w:rFonts w:ascii="Times New Roman" w:hAnsi="Times New Roman"/>
          <w:sz w:val="20"/>
        </w:rPr>
      </w:pPr>
      <w:r>
        <w:rPr>
          <w:rFonts w:ascii="Times New Roman" w:hAnsi="Times New Roman"/>
          <w:sz w:val="20"/>
        </w:rPr>
        <w:t>In 2006, we formed Landplan Property Partners, Ltd, to identify, acquire and develop or redevelop properties on an opportunistic basis. In connection with the formation of Landplan, we entered into an agreement with Mr. Doug Osborne pursuant to which (i) Mr. Osborne will serve as the chief executive officer of Landplan and (ii) Mr. Osborne’s affiliate, Landplan Property Group, Ltd (“LPG”), will perform certain property management services for Landplan. The agreement provides for Mr. Osborne to hold an equity interest in the entities formed to hold these properties; such equity interest to be (i) subordinate to our right to an 11% compounded return on investment and (ii) subject to adjustment depending upon various factors including the term of the investment and the amount invested. Generally speaking, this equity interest will range from 27.5% to 15%. At December 31, 2006, Landplan had acquired one property in Indooroopilly, Brisbane, Australia. With the purchase of the Indooroopilly property, based on SFAS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854" w:name="PGBRK108"/>
      <w:bookmarkStart w:id="3855" w:name="PGBRK108"/>
      <w:bookmarkEnd w:id="385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856" w:name="FTR108"/>
      <w:bookmarkStart w:id="3857" w:name="FTR108"/>
      <w:bookmarkEnd w:id="385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858" w:name="GLFTR108"/>
      <w:bookmarkStart w:id="3859" w:name="GLFTR108"/>
      <w:bookmarkEnd w:id="385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3860" w:name="PN108"/>
      <w:bookmarkEnd w:id="3860"/>
      <w:r>
        <w:rPr>
          <w:rFonts w:ascii="Times New Roman" w:hAnsi="Times New Roman"/>
          <w:sz w:val="16"/>
        </w:rPr>
        <w:t>-108-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861" w:name="HDR108"/>
      <w:bookmarkStart w:id="3862" w:name="HDR108"/>
      <w:bookmarkEnd w:id="386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3863" w:name="GLHDR108"/>
        <w:bookmarkEnd w:id="3863"/>
        <w:r>
          <w:rPr>
            <w:rStyle w:val="Emphasis"/>
            <w:rFonts w:ascii="Times New Roman" w:hAnsi="Times New Roman"/>
            <w:color w:val="000000"/>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123(R), we calculated the fair value of Mr. Osborne’s equity interest in the Indooroopilly Trust at the grant date was $77,000 (AUS$98,000) and we have expensed $13,000 (AUS$17,000)of this value during 2006.</w:t>
      </w:r>
    </w:p>
    <w:p>
      <w:pPr>
        <w:pStyle w:val="TextBody"/>
        <w:spacing w:lineRule="auto" w:line="300" w:before="0" w:after="0"/>
        <w:ind w:left="0" w:right="0" w:hanging="0"/>
        <w:jc w:val="both"/>
        <w:rPr/>
      </w:pPr>
      <w:r>
        <w:rPr/>
      </w:r>
    </w:p>
    <w:p>
      <w:pPr>
        <w:pStyle w:val="TextBody"/>
        <w:spacing w:lineRule="auto" w:line="300" w:before="0" w:after="0"/>
        <w:ind w:left="0" w:right="0" w:hanging="0"/>
        <w:jc w:val="left"/>
        <w:rPr/>
      </w:pPr>
      <w:r>
        <w:rPr/>
      </w:r>
    </w:p>
    <w:p>
      <w:pPr>
        <w:pStyle w:val="TextBody"/>
        <w:spacing w:lineRule="auto" w:line="300" w:before="0" w:after="0"/>
        <w:ind w:left="0" w:right="0" w:hanging="0"/>
        <w:jc w:val="left"/>
        <w:rPr/>
      </w:pPr>
      <w:r>
        <w:rPr>
          <w:rStyle w:val="StrongEmphasis"/>
          <w:rFonts w:ascii="Times New Roman" w:hAnsi="Times New Roman"/>
          <w:sz w:val="20"/>
          <w:u w:val="single"/>
        </w:rPr>
        <w:t>Note 20 - Common Stock</w:t>
      </w:r>
    </w:p>
    <w:p>
      <w:pPr>
        <w:pStyle w:val="TextBody"/>
        <w:spacing w:lineRule="auto" w:line="300" w:before="0" w:after="0"/>
        <w:ind w:left="0" w:right="0" w:hanging="0"/>
        <w:jc w:val="left"/>
        <w:rPr/>
      </w:pPr>
      <w:r>
        <w:rPr/>
      </w:r>
    </w:p>
    <w:p>
      <w:pPr>
        <w:pStyle w:val="TextBody"/>
        <w:spacing w:lineRule="auto" w:line="300" w:before="0" w:after="0"/>
        <w:ind w:left="720" w:right="0" w:hanging="0"/>
        <w:jc w:val="both"/>
        <w:rPr>
          <w:rFonts w:ascii="Times New Roman" w:hAnsi="Times New Roman"/>
          <w:sz w:val="20"/>
        </w:rPr>
      </w:pPr>
      <w:bookmarkStart w:id="3864" w:name="TAB11841"/>
      <w:bookmarkEnd w:id="3864"/>
      <w:r>
        <w:rPr>
          <w:rFonts w:ascii="Times New Roman" w:hAnsi="Times New Roman"/>
          <w:sz w:val="20"/>
        </w:rPr>
        <w:t>Our common stock trades on the American Stock Exchange under the symbols RDI and RDI.B which are our Class A (non-voting) and Class B (voting) stock, respectively. Our Class A (non-voting) has preference over our Class B (voting) share upon liquidation. No dividends have ever been issued for either share class.</w:t>
      </w:r>
    </w:p>
    <w:p>
      <w:pPr>
        <w:pStyle w:val="TextBody"/>
        <w:spacing w:lineRule="auto" w:line="300" w:before="0" w:after="0"/>
        <w:ind w:left="0" w:right="0" w:hanging="0"/>
        <w:jc w:val="both"/>
        <w:rPr/>
      </w:pPr>
      <w:r>
        <w:rPr/>
      </w:r>
    </w:p>
    <w:p>
      <w:pPr>
        <w:pStyle w:val="TextBody"/>
        <w:spacing w:lineRule="auto" w:line="300" w:before="0" w:after="0"/>
        <w:ind w:left="0" w:right="0" w:firstLine="720"/>
        <w:jc w:val="both"/>
        <w:rPr/>
      </w:pPr>
      <w:r>
        <w:rPr>
          <w:rFonts w:ascii="Times New Roman" w:hAnsi="Times New Roman"/>
          <w:sz w:val="20"/>
        </w:rPr>
        <w:t xml:space="preserve">During 2006, we issued for cash to an employee of the corporation under our stock based compensation plan 12,000 shares and 15,000 shares of Class A Nonvoting Common Stock at exercise prices of $3.80 and $2.76 per share, respectively. Additionally, in December 2006, we issued to Mr. James J. Cotter, our Chairman of the Board and Chief Executive Officer, 16,047 shares of Class A Non-Voting Common Stock at a market price of $7.79 per share as under the normal vesting schedule of his 2005 restricted stock compensation (see Note 3 - </w:t>
      </w:r>
      <w:r>
        <w:rPr>
          <w:rStyle w:val="Emphasis"/>
          <w:rFonts w:ascii="Times New Roman" w:hAnsi="Times New Roman"/>
          <w:sz w:val="20"/>
        </w:rPr>
        <w:t>Stock Based Compensation and Employee Stock Option Plan</w:t>
      </w:r>
      <w:r>
        <w:rPr>
          <w:rFonts w:ascii="Times New Roman" w:hAnsi="Times New Roman"/>
          <w:sz w:val="20"/>
        </w:rPr>
        <w:t>.</w:t>
      </w:r>
    </w:p>
    <w:p>
      <w:pPr>
        <w:pStyle w:val="TextBody"/>
        <w:spacing w:lineRule="auto" w:line="300" w:before="0" w:after="0"/>
        <w:ind w:left="0" w:right="0" w:firstLine="72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On February 27, 2006, we paid $791,000 (NZ$1.2 million) to the sellers of the Movieland Circuit in exchange for 98,949 Class A Common Nonvoting Common Stock. This transaction resulted from the exercise of their option to put back to us at an exercise price of NZ$11.94 the shares they received as part of the purchase price of the Movieland Circuit.</w:t>
      </w:r>
    </w:p>
    <w:p>
      <w:pPr>
        <w:pStyle w:val="TextBody"/>
        <w:spacing w:lineRule="auto" w:line="300" w:before="0" w:after="0"/>
        <w:ind w:left="0" w:right="0" w:hanging="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 xml:space="preserve">In July 2005, we issued 925,000 shares of Class A Non-Voting Common Stock at an exercise price of $3.80 per share to Mr. James J. Cotter, our Chairman of the Board and Chief Executive Officer, in connection with options issued to him under our stock based compensation plan. Pursuant to the terms of the stock option award, Mr. Cotter paid the exercise price by surrendering 486,842 shares of Class A Non-Voting Common Stock to us as treasury stock, resulting in a net increase in the number of shares of Class A Non-Voting Common Stock outstanding of 438,158 shares. </w:t>
      </w:r>
    </w:p>
    <w:p>
      <w:pPr>
        <w:pStyle w:val="TextBody"/>
        <w:spacing w:lineRule="auto" w:line="300" w:before="0" w:after="0"/>
        <w:ind w:left="0" w:right="0" w:hanging="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During 2005, we issued Class A Non-Voting Common Stock to employees of the corporation under our stock based compensation plan totaling 29,600 shares with exercise prices ranging from $2.76 to $4.97 per share for cash. Additionally, we issued 20,000 shares of Class A Non-Voting Common Stock with an exercise price of $2.76 per share pursuant to the exercise by a former director of fully vested and then currently exercisable stock options. The exercise price was paid in the form of a promissory note for $55,000. Payment of the full amount of the note was received in February 2006.</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pPr>
      <w:r>
        <w:rPr/>
      </w:r>
    </w:p>
    <w:p>
      <w:pPr>
        <w:pStyle w:val="TextBody"/>
        <w:spacing w:lineRule="auto" w:line="300" w:before="0" w:after="0"/>
        <w:ind w:left="0" w:right="0" w:hanging="0"/>
        <w:jc w:val="left"/>
        <w:rPr/>
      </w:pPr>
      <w:r>
        <w:rPr>
          <w:rStyle w:val="StrongEmphasis"/>
          <w:rFonts w:ascii="Times New Roman" w:hAnsi="Times New Roman"/>
          <w:sz w:val="20"/>
          <w:u w:val="single"/>
        </w:rPr>
        <w:t>Note 21 - Business Segments and Geographic Area Information</w:t>
      </w:r>
    </w:p>
    <w:p>
      <w:pPr>
        <w:pStyle w:val="TextBody"/>
        <w:spacing w:lineRule="auto" w:line="300" w:before="0" w:after="0"/>
        <w:ind w:left="0" w:right="0" w:hanging="0"/>
        <w:jc w:val="left"/>
        <w:rPr/>
      </w:pPr>
      <w:r>
        <w:rPr/>
      </w:r>
    </w:p>
    <w:p>
      <w:pPr>
        <w:pStyle w:val="TextBody"/>
        <w:spacing w:lineRule="auto" w:line="300" w:before="0" w:after="0"/>
        <w:ind w:left="900" w:right="0" w:hanging="0"/>
        <w:jc w:val="both"/>
        <w:rPr>
          <w:rFonts w:ascii="Times New Roman" w:hAnsi="Times New Roman"/>
          <w:sz w:val="20"/>
        </w:rPr>
      </w:pPr>
      <w:bookmarkStart w:id="3865" w:name="TAB11842"/>
      <w:bookmarkEnd w:id="3865"/>
      <w:r>
        <w:rPr>
          <w:rFonts w:ascii="Times New Roman" w:hAnsi="Times New Roman"/>
          <w:sz w:val="20"/>
        </w:rPr>
        <w:t xml:space="preserve">Effective the fourth quarter of 2006, we have changed the presentation of our segment reporting such that our intersegment revenues and expenses are reported separately from our segments’ operating activity. The effect of this change is to include intercompany rent revenues and rent expenses into their respective cinema and real estate business segments. The revenues and expenses for 2005 and 2004 have been adjusted to conform to the current year presentation. We believe that this presentation portrays how our operating decision makers’ view the operations, how they assess segment performance, and how they make decisions about allocating resources to the segments. </w:t>
      </w:r>
    </w:p>
    <w:p>
      <w:pPr>
        <w:pStyle w:val="TextBody"/>
        <w:spacing w:lineRule="auto" w:line="300" w:before="0" w:after="0"/>
        <w:ind w:left="0" w:right="0" w:hanging="0"/>
        <w:jc w:val="both"/>
        <w:rPr/>
      </w:pPr>
      <w:r>
        <w:rPr/>
      </w:r>
    </w:p>
    <w:p>
      <w:pPr>
        <w:pStyle w:val="TextBody"/>
        <w:spacing w:lineRule="auto" w:line="300" w:before="0" w:after="0"/>
        <w:ind w:left="900" w:right="0" w:hanging="0"/>
        <w:jc w:val="both"/>
        <w:rPr>
          <w:rFonts w:ascii="Times New Roman" w:hAnsi="Times New Roman"/>
          <w:sz w:val="20"/>
        </w:rPr>
      </w:pPr>
      <w:bookmarkStart w:id="3866" w:name="TAB11843"/>
      <w:bookmarkEnd w:id="3866"/>
      <w:r>
        <w:rPr>
          <w:rFonts w:ascii="Times New Roman" w:hAnsi="Times New Roman"/>
          <w:sz w:val="20"/>
        </w:rPr>
        <w:t xml:space="preserve">The table below sets forth certain information concerning our cinema operations and our real estate operations (which includes information relating to both our real estate development, retail rental and live theater rental activities) for the three years ended December 31, 2006 (dollars in thousands): </w:t>
      </w:r>
    </w:p>
    <w:p>
      <w:pPr>
        <w:pStyle w:val="TextBody"/>
        <w:spacing w:lineRule="auto" w:line="300" w:before="0" w:after="0"/>
        <w:ind w:left="0" w:right="0" w:hanging="0"/>
        <w:jc w:val="both"/>
        <w:rPr/>
      </w:pPr>
      <w:r>
        <w:rPr/>
        <w:t> </w:t>
      </w:r>
    </w:p>
    <w:p>
      <w:pPr>
        <w:pStyle w:val="TextBody"/>
        <w:spacing w:lineRule="auto" w:line="300" w:before="0" w:after="0"/>
        <w:ind w:left="0" w:right="0" w:hanging="0"/>
        <w:jc w:val="both"/>
        <w:rPr/>
      </w:pPr>
      <w:r>
        <w:rPr/>
      </w:r>
    </w:p>
    <w:p>
      <w:pPr>
        <w:pStyle w:val="Normal"/>
        <w:spacing w:lineRule="auto" w:line="300" w:before="0" w:after="0"/>
        <w:jc w:val="both"/>
        <w:rPr>
          <w:sz w:val="4"/>
          <w:szCs w:val="4"/>
        </w:rPr>
      </w:pPr>
      <w:r>
        <w:rPr>
          <w:sz w:val="4"/>
          <w:szCs w:val="4"/>
        </w:rPr>
      </w:r>
      <w:bookmarkStart w:id="3867" w:name="ftable55"/>
      <w:bookmarkStart w:id="3868" w:name="ftable55"/>
      <w:bookmarkEnd w:id="3868"/>
    </w:p>
    <w:tbl>
      <w:tblPr>
        <w:tblW w:w="5000" w:type="pct"/>
        <w:jc w:val="left"/>
        <w:tblInd w:w="0" w:type="dxa"/>
        <w:tblCellMar>
          <w:top w:w="0" w:type="dxa"/>
          <w:left w:w="0" w:type="dxa"/>
          <w:bottom w:w="28" w:type="dxa"/>
          <w:right w:w="0" w:type="dxa"/>
        </w:tblCellMar>
      </w:tblPr>
      <w:tblGrid>
        <w:gridCol w:w="4080"/>
        <w:gridCol w:w="187"/>
        <w:gridCol w:w="126"/>
        <w:gridCol w:w="1154"/>
        <w:gridCol w:w="194"/>
        <w:gridCol w:w="126"/>
        <w:gridCol w:w="1123"/>
        <w:gridCol w:w="187"/>
        <w:gridCol w:w="126"/>
        <w:gridCol w:w="1308"/>
        <w:gridCol w:w="193"/>
        <w:gridCol w:w="126"/>
        <w:gridCol w:w="1159"/>
        <w:gridCol w:w="116"/>
      </w:tblGrid>
      <w:tr>
        <w:trPr/>
        <w:tc>
          <w:tcPr>
            <w:tcW w:w="4080" w:type="dxa"/>
            <w:tcBorders>
              <w:bottom w:val="double" w:sz="2" w:space="0" w:color="000000"/>
            </w:tcBorders>
            <w:shd w:fill="auto" w:val="clear"/>
            <w:vAlign w:val="bottom"/>
          </w:tcPr>
          <w:p>
            <w:pPr>
              <w:pStyle w:val="TableContents"/>
              <w:spacing w:lineRule="auto" w:line="300" w:before="0" w:after="0"/>
              <w:ind w:left="0" w:right="0" w:hanging="0"/>
              <w:jc w:val="left"/>
              <w:rPr/>
            </w:pPr>
            <w:r>
              <w:rPr>
                <w:rStyle w:val="StrongEmphasis"/>
                <w:rFonts w:ascii="Times New Roman" w:hAnsi="Times New Roman"/>
                <w:sz w:val="20"/>
              </w:rPr>
              <w:t>Year Ended December 31, 2006</w:t>
            </w:r>
          </w:p>
        </w:tc>
        <w:tc>
          <w:tcPr>
            <w:tcW w:w="187" w:type="dxa"/>
            <w:tcBorders>
              <w:bottom w:val="single" w:sz="4" w:space="0" w:color="FFFFFF"/>
            </w:tcBorders>
            <w:shd w:fill="auto" w:val="clear"/>
            <w:vAlign w:val="center"/>
          </w:tcPr>
          <w:p>
            <w:pPr>
              <w:pStyle w:val="TableContents"/>
              <w:spacing w:before="0" w:after="283"/>
              <w:rPr/>
            </w:pPr>
            <w:r>
              <w:rPr/>
              <w:t> </w:t>
            </w:r>
          </w:p>
        </w:tc>
        <w:tc>
          <w:tcPr>
            <w:tcW w:w="1280"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Cinema</w:t>
            </w:r>
          </w:p>
        </w:tc>
        <w:tc>
          <w:tcPr>
            <w:tcW w:w="194" w:type="dxa"/>
            <w:tcBorders>
              <w:bottom w:val="single" w:sz="4" w:space="0" w:color="FFFFFF"/>
            </w:tcBorders>
            <w:shd w:fill="auto" w:val="clear"/>
            <w:vAlign w:val="bottom"/>
          </w:tcPr>
          <w:p>
            <w:pPr>
              <w:pStyle w:val="TableContents"/>
              <w:spacing w:before="0" w:after="283"/>
              <w:jc w:val="left"/>
              <w:rPr/>
            </w:pPr>
            <w:r>
              <w:rPr/>
              <w:t> </w:t>
            </w:r>
          </w:p>
        </w:tc>
        <w:tc>
          <w:tcPr>
            <w:tcW w:w="1249"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Real Estate</w:t>
            </w:r>
          </w:p>
        </w:tc>
        <w:tc>
          <w:tcPr>
            <w:tcW w:w="187" w:type="dxa"/>
            <w:tcBorders>
              <w:bottom w:val="single" w:sz="4" w:space="0" w:color="FFFFFF"/>
            </w:tcBorders>
            <w:shd w:fill="auto" w:val="clear"/>
            <w:vAlign w:val="bottom"/>
          </w:tcPr>
          <w:p>
            <w:pPr>
              <w:pStyle w:val="TableContents"/>
              <w:spacing w:before="0" w:after="283"/>
              <w:jc w:val="left"/>
              <w:rPr/>
            </w:pPr>
            <w:r>
              <w:rPr/>
              <w:t> </w:t>
            </w:r>
          </w:p>
        </w:tc>
        <w:tc>
          <w:tcPr>
            <w:tcW w:w="1434"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 xml:space="preserve">Intersegment </w:t>
            </w:r>
          </w:p>
          <w:p>
            <w:pPr>
              <w:pStyle w:val="TableContents"/>
              <w:spacing w:lineRule="auto" w:line="300" w:before="0" w:after="0"/>
              <w:ind w:left="0" w:right="0" w:hanging="0"/>
              <w:jc w:val="center"/>
              <w:rPr/>
            </w:pPr>
            <w:r>
              <w:rPr>
                <w:rStyle w:val="StrongEmphasis"/>
                <w:rFonts w:ascii="Times New Roman" w:hAnsi="Times New Roman"/>
                <w:sz w:val="20"/>
              </w:rPr>
              <w:t>Eliminations</w:t>
            </w:r>
          </w:p>
        </w:tc>
        <w:tc>
          <w:tcPr>
            <w:tcW w:w="193" w:type="dxa"/>
            <w:tcBorders>
              <w:bottom w:val="single" w:sz="4" w:space="0" w:color="FFFFFF"/>
            </w:tcBorders>
            <w:shd w:fill="auto" w:val="clear"/>
            <w:vAlign w:val="bottom"/>
          </w:tcPr>
          <w:p>
            <w:pPr>
              <w:pStyle w:val="TableContents"/>
              <w:spacing w:before="0" w:after="283"/>
              <w:jc w:val="left"/>
              <w:rPr/>
            </w:pPr>
            <w:r>
              <w:rPr/>
              <w:t> </w:t>
            </w:r>
          </w:p>
        </w:tc>
        <w:tc>
          <w:tcPr>
            <w:tcW w:w="1285"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Total</w:t>
            </w:r>
          </w:p>
        </w:tc>
        <w:tc>
          <w:tcPr>
            <w:tcW w:w="116" w:type="dxa"/>
            <w:tcBorders>
              <w:bottom w:val="single" w:sz="4" w:space="0" w:color="FFFFFF"/>
            </w:tcBorders>
            <w:shd w:fill="auto" w:val="clear"/>
            <w:vAlign w:val="bottom"/>
          </w:tcPr>
          <w:p>
            <w:pPr>
              <w:pStyle w:val="TableContents"/>
              <w:spacing w:before="0" w:after="283"/>
              <w:jc w:val="left"/>
              <w:rPr/>
            </w:pPr>
            <w:r>
              <w:rPr/>
              <w:t> </w:t>
            </w:r>
          </w:p>
        </w:tc>
      </w:tr>
      <w:tr>
        <w:trPr/>
        <w:tc>
          <w:tcPr>
            <w:tcW w:w="4080"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Revenue</w:t>
            </w:r>
          </w:p>
        </w:tc>
        <w:tc>
          <w:tcPr>
            <w:tcW w:w="187" w:type="dxa"/>
            <w:tcBorders/>
            <w:shd w:fill="CCEEFF" w:val="clear"/>
            <w:tcMar>
              <w:bottom w:w="0" w:type="dxa"/>
            </w:tcMar>
            <w:vAlign w:val="center"/>
          </w:tcPr>
          <w:p>
            <w:pPr>
              <w:pStyle w:val="TableContents"/>
              <w:spacing w:before="0" w:after="283"/>
              <w:rPr/>
            </w:pPr>
            <w:r>
              <w:rPr/>
              <w:t> </w:t>
            </w:r>
          </w:p>
        </w:tc>
        <w:tc>
          <w:tcPr>
            <w:tcW w:w="126"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bookmarkStart w:id="3869" w:name="TAB2197"/>
            <w:bookmarkEnd w:id="3869"/>
          </w:p>
        </w:tc>
        <w:tc>
          <w:tcPr>
            <w:tcW w:w="1154"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3870" w:name="TAB2198"/>
            <w:bookmarkEnd w:id="3870"/>
            <w:r>
              <w:rPr>
                <w:rFonts w:ascii="Times New Roman" w:hAnsi="Times New Roman"/>
                <w:sz w:val="20"/>
              </w:rPr>
              <w:t>94,048</w:t>
            </w:r>
          </w:p>
        </w:tc>
        <w:tc>
          <w:tcPr>
            <w:tcW w:w="194" w:type="dxa"/>
            <w:tcBorders/>
            <w:shd w:fill="CCEEFF" w:val="clear"/>
            <w:tcMar>
              <w:bottom w:w="0" w:type="dxa"/>
            </w:tcMar>
            <w:vAlign w:val="bottom"/>
          </w:tcPr>
          <w:p>
            <w:pPr>
              <w:pStyle w:val="TableContents"/>
              <w:spacing w:before="0" w:after="283"/>
              <w:jc w:val="left"/>
              <w:rPr/>
            </w:pPr>
            <w:r>
              <w:rPr/>
              <w:t> </w:t>
            </w:r>
          </w:p>
        </w:tc>
        <w:tc>
          <w:tcPr>
            <w:tcW w:w="126"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bookmarkStart w:id="3871" w:name="TAB2199"/>
            <w:bookmarkEnd w:id="3871"/>
          </w:p>
        </w:tc>
        <w:tc>
          <w:tcPr>
            <w:tcW w:w="1123"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3872" w:name="TAB2200"/>
            <w:bookmarkEnd w:id="3872"/>
            <w:r>
              <w:rPr>
                <w:rFonts w:ascii="Times New Roman" w:hAnsi="Times New Roman"/>
                <w:sz w:val="20"/>
              </w:rPr>
              <w:t>17,285</w:t>
            </w:r>
          </w:p>
        </w:tc>
        <w:tc>
          <w:tcPr>
            <w:tcW w:w="187" w:type="dxa"/>
            <w:tcBorders/>
            <w:shd w:fill="CCEEFF" w:val="clear"/>
            <w:tcMar>
              <w:bottom w:w="0" w:type="dxa"/>
            </w:tcMar>
            <w:vAlign w:val="bottom"/>
          </w:tcPr>
          <w:p>
            <w:pPr>
              <w:pStyle w:val="TableContents"/>
              <w:spacing w:before="0" w:after="283"/>
              <w:jc w:val="left"/>
              <w:rPr/>
            </w:pPr>
            <w:r>
              <w:rPr/>
              <w:t> </w:t>
            </w:r>
          </w:p>
        </w:tc>
        <w:tc>
          <w:tcPr>
            <w:tcW w:w="126"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bookmarkStart w:id="3873" w:name="TAB2201"/>
            <w:bookmarkEnd w:id="3873"/>
          </w:p>
        </w:tc>
        <w:tc>
          <w:tcPr>
            <w:tcW w:w="1308"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3874" w:name="TAB2202"/>
            <w:bookmarkEnd w:id="3874"/>
            <w:r>
              <w:rPr>
                <w:rFonts w:ascii="Times New Roman" w:hAnsi="Times New Roman"/>
                <w:sz w:val="20"/>
              </w:rPr>
              <w:t>(5,208</w:t>
            </w:r>
          </w:p>
        </w:tc>
        <w:tc>
          <w:tcPr>
            <w:tcW w:w="193"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3875" w:name="TAB2203"/>
            <w:bookmarkEnd w:id="3875"/>
            <w:r>
              <w:rPr>
                <w:rFonts w:ascii="Times New Roman" w:hAnsi="Times New Roman"/>
                <w:sz w:val="20"/>
              </w:rPr>
              <w:t>)</w:t>
            </w:r>
          </w:p>
        </w:tc>
        <w:tc>
          <w:tcPr>
            <w:tcW w:w="126"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bookmarkStart w:id="3876" w:name="TAB2204"/>
            <w:bookmarkEnd w:id="3876"/>
          </w:p>
        </w:tc>
        <w:tc>
          <w:tcPr>
            <w:tcW w:w="1159"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3877" w:name="TAB2205"/>
            <w:bookmarkEnd w:id="3877"/>
            <w:r>
              <w:rPr>
                <w:rFonts w:ascii="Times New Roman" w:hAnsi="Times New Roman"/>
                <w:sz w:val="20"/>
              </w:rPr>
              <w:t>106,125</w:t>
            </w:r>
          </w:p>
        </w:tc>
        <w:tc>
          <w:tcPr>
            <w:tcW w:w="116" w:type="dxa"/>
            <w:tcBorders/>
            <w:shd w:fill="CCEEFF" w:val="clear"/>
            <w:tcMar>
              <w:bottom w:w="0" w:type="dxa"/>
            </w:tcMar>
            <w:vAlign w:val="bottom"/>
          </w:tcPr>
          <w:p>
            <w:pPr>
              <w:pStyle w:val="TableContents"/>
              <w:spacing w:before="0" w:after="283"/>
              <w:jc w:val="left"/>
              <w:rPr/>
            </w:pPr>
            <w:r>
              <w:rPr/>
              <w:t> </w:t>
            </w:r>
          </w:p>
        </w:tc>
      </w:tr>
      <w:tr>
        <w:trPr/>
        <w:tc>
          <w:tcPr>
            <w:tcW w:w="4080"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Operating expense</w:t>
            </w:r>
          </w:p>
        </w:tc>
        <w:tc>
          <w:tcPr>
            <w:tcW w:w="187" w:type="dxa"/>
            <w:tcBorders/>
            <w:shd w:fill="FFFFFF" w:val="clear"/>
            <w:tcMar>
              <w:bottom w:w="0" w:type="dxa"/>
            </w:tcMar>
            <w:vAlign w:val="center"/>
          </w:tcPr>
          <w:p>
            <w:pPr>
              <w:pStyle w:val="TableContents"/>
              <w:spacing w:before="0" w:after="283"/>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154"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75,350</w:t>
            </w:r>
          </w:p>
        </w:tc>
        <w:tc>
          <w:tcPr>
            <w:tcW w:w="194" w:type="dxa"/>
            <w:tcBorders/>
            <w:shd w:fill="FFFFFF" w:val="clear"/>
            <w:tcMar>
              <w:bottom w:w="0" w:type="dxa"/>
            </w:tcMar>
            <w:vAlign w:val="bottom"/>
          </w:tcPr>
          <w:p>
            <w:pPr>
              <w:pStyle w:val="TableContents"/>
              <w:spacing w:before="0" w:after="283"/>
              <w:jc w:val="left"/>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123"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7,365</w:t>
            </w:r>
          </w:p>
        </w:tc>
        <w:tc>
          <w:tcPr>
            <w:tcW w:w="187" w:type="dxa"/>
            <w:tcBorders/>
            <w:shd w:fill="FFFFFF" w:val="clear"/>
            <w:tcMar>
              <w:bottom w:w="0" w:type="dxa"/>
            </w:tcMar>
            <w:vAlign w:val="bottom"/>
          </w:tcPr>
          <w:p>
            <w:pPr>
              <w:pStyle w:val="TableContents"/>
              <w:spacing w:before="0" w:after="283"/>
              <w:jc w:val="left"/>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308"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(5,208</w:t>
            </w:r>
          </w:p>
        </w:tc>
        <w:tc>
          <w:tcPr>
            <w:tcW w:w="193"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26" w:type="dxa"/>
            <w:tcBorders/>
            <w:shd w:fill="FFFFFF" w:val="clear"/>
            <w:tcMar>
              <w:bottom w:w="0" w:type="dxa"/>
            </w:tcMar>
            <w:vAlign w:val="bottom"/>
          </w:tcPr>
          <w:p>
            <w:pPr>
              <w:pStyle w:val="TableContents"/>
              <w:spacing w:before="0" w:after="283"/>
              <w:jc w:val="left"/>
              <w:rPr/>
            </w:pPr>
            <w:r>
              <w:rPr/>
              <w:t> </w:t>
            </w:r>
          </w:p>
        </w:tc>
        <w:tc>
          <w:tcPr>
            <w:tcW w:w="1159"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77,507</w:t>
            </w:r>
          </w:p>
        </w:tc>
        <w:tc>
          <w:tcPr>
            <w:tcW w:w="116" w:type="dxa"/>
            <w:tcBorders/>
            <w:shd w:fill="FFFFFF" w:val="clear"/>
            <w:tcMar>
              <w:bottom w:w="0" w:type="dxa"/>
            </w:tcMar>
            <w:vAlign w:val="bottom"/>
          </w:tcPr>
          <w:p>
            <w:pPr>
              <w:pStyle w:val="TableContents"/>
              <w:spacing w:before="0" w:after="283"/>
              <w:jc w:val="left"/>
              <w:rPr/>
            </w:pPr>
            <w:r>
              <w:rPr/>
              <w:t> </w:t>
            </w:r>
          </w:p>
        </w:tc>
      </w:tr>
      <w:tr>
        <w:trPr/>
        <w:tc>
          <w:tcPr>
            <w:tcW w:w="4080"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Depreciation &amp; amortization</w:t>
            </w:r>
          </w:p>
        </w:tc>
        <w:tc>
          <w:tcPr>
            <w:tcW w:w="187" w:type="dxa"/>
            <w:tcBorders/>
            <w:shd w:fill="CCEEFF" w:val="clear"/>
            <w:tcMar>
              <w:bottom w:w="0" w:type="dxa"/>
            </w:tcMar>
            <w:vAlign w:val="center"/>
          </w:tcPr>
          <w:p>
            <w:pPr>
              <w:pStyle w:val="TableContents"/>
              <w:spacing w:before="0" w:after="283"/>
              <w:rPr/>
            </w:pPr>
            <w:r>
              <w:rPr/>
              <w:t> </w:t>
            </w:r>
          </w:p>
        </w:tc>
        <w:tc>
          <w:tcPr>
            <w:tcW w:w="126" w:type="dxa"/>
            <w:tcBorders/>
            <w:shd w:fill="CCEEFF" w:val="clear"/>
            <w:tcMar>
              <w:bottom w:w="0" w:type="dxa"/>
            </w:tcMar>
            <w:vAlign w:val="bottom"/>
          </w:tcPr>
          <w:p>
            <w:pPr>
              <w:pStyle w:val="TableContents"/>
              <w:spacing w:before="0" w:after="283"/>
              <w:jc w:val="left"/>
              <w:rPr/>
            </w:pPr>
            <w:r>
              <w:rPr/>
              <w:t> </w:t>
            </w:r>
          </w:p>
        </w:tc>
        <w:tc>
          <w:tcPr>
            <w:tcW w:w="1154"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8,648</w:t>
            </w:r>
          </w:p>
        </w:tc>
        <w:tc>
          <w:tcPr>
            <w:tcW w:w="194" w:type="dxa"/>
            <w:tcBorders/>
            <w:shd w:fill="CCEEFF" w:val="clear"/>
            <w:tcMar>
              <w:bottom w:w="0" w:type="dxa"/>
            </w:tcMar>
            <w:vAlign w:val="bottom"/>
          </w:tcPr>
          <w:p>
            <w:pPr>
              <w:pStyle w:val="TableContents"/>
              <w:spacing w:before="0" w:after="283"/>
              <w:jc w:val="left"/>
              <w:rPr/>
            </w:pPr>
            <w:r>
              <w:rPr/>
              <w:t> </w:t>
            </w:r>
          </w:p>
        </w:tc>
        <w:tc>
          <w:tcPr>
            <w:tcW w:w="126" w:type="dxa"/>
            <w:tcBorders/>
            <w:shd w:fill="CCEEFF" w:val="clear"/>
            <w:tcMar>
              <w:bottom w:w="0" w:type="dxa"/>
            </w:tcMar>
            <w:vAlign w:val="bottom"/>
          </w:tcPr>
          <w:p>
            <w:pPr>
              <w:pStyle w:val="TableContents"/>
              <w:spacing w:before="0" w:after="283"/>
              <w:jc w:val="left"/>
              <w:rPr/>
            </w:pPr>
            <w:r>
              <w:rPr/>
              <w:t> </w:t>
            </w:r>
          </w:p>
        </w:tc>
        <w:tc>
          <w:tcPr>
            <w:tcW w:w="1123"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4,080</w:t>
            </w:r>
          </w:p>
        </w:tc>
        <w:tc>
          <w:tcPr>
            <w:tcW w:w="187" w:type="dxa"/>
            <w:tcBorders/>
            <w:shd w:fill="CCEEFF" w:val="clear"/>
            <w:tcMar>
              <w:bottom w:w="0" w:type="dxa"/>
            </w:tcMar>
            <w:vAlign w:val="bottom"/>
          </w:tcPr>
          <w:p>
            <w:pPr>
              <w:pStyle w:val="TableContents"/>
              <w:spacing w:before="0" w:after="283"/>
              <w:jc w:val="left"/>
              <w:rPr/>
            </w:pPr>
            <w:r>
              <w:rPr/>
              <w:t> </w:t>
            </w:r>
          </w:p>
        </w:tc>
        <w:tc>
          <w:tcPr>
            <w:tcW w:w="126" w:type="dxa"/>
            <w:tcBorders/>
            <w:shd w:fill="CCEEFF" w:val="clear"/>
            <w:tcMar>
              <w:bottom w:w="0" w:type="dxa"/>
            </w:tcMar>
            <w:vAlign w:val="bottom"/>
          </w:tcPr>
          <w:p>
            <w:pPr>
              <w:pStyle w:val="TableContents"/>
              <w:spacing w:before="0" w:after="283"/>
              <w:jc w:val="left"/>
              <w:rPr/>
            </w:pPr>
            <w:r>
              <w:rPr/>
              <w:t> </w:t>
            </w:r>
          </w:p>
        </w:tc>
        <w:tc>
          <w:tcPr>
            <w:tcW w:w="1308"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193" w:type="dxa"/>
            <w:tcBorders/>
            <w:shd w:fill="CCEEFF" w:val="clear"/>
            <w:tcMar>
              <w:bottom w:w="0" w:type="dxa"/>
            </w:tcMar>
            <w:vAlign w:val="bottom"/>
          </w:tcPr>
          <w:p>
            <w:pPr>
              <w:pStyle w:val="TableContents"/>
              <w:spacing w:before="0" w:after="283"/>
              <w:jc w:val="left"/>
              <w:rPr/>
            </w:pPr>
            <w:r>
              <w:rPr/>
              <w:t> </w:t>
            </w:r>
          </w:p>
        </w:tc>
        <w:tc>
          <w:tcPr>
            <w:tcW w:w="126" w:type="dxa"/>
            <w:tcBorders/>
            <w:shd w:fill="CCEEFF" w:val="clear"/>
            <w:tcMar>
              <w:bottom w:w="0" w:type="dxa"/>
            </w:tcMar>
            <w:vAlign w:val="bottom"/>
          </w:tcPr>
          <w:p>
            <w:pPr>
              <w:pStyle w:val="TableContents"/>
              <w:spacing w:before="0" w:after="283"/>
              <w:jc w:val="left"/>
              <w:rPr/>
            </w:pPr>
            <w:r>
              <w:rPr/>
              <w:t> </w:t>
            </w:r>
          </w:p>
        </w:tc>
        <w:tc>
          <w:tcPr>
            <w:tcW w:w="1159"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12,728</w:t>
            </w:r>
          </w:p>
        </w:tc>
        <w:tc>
          <w:tcPr>
            <w:tcW w:w="116" w:type="dxa"/>
            <w:tcBorders/>
            <w:shd w:fill="CCEEFF" w:val="clear"/>
            <w:tcMar>
              <w:bottom w:w="0" w:type="dxa"/>
            </w:tcMar>
            <w:vAlign w:val="bottom"/>
          </w:tcPr>
          <w:p>
            <w:pPr>
              <w:pStyle w:val="TableContents"/>
              <w:spacing w:before="0" w:after="283"/>
              <w:jc w:val="left"/>
              <w:rPr/>
            </w:pPr>
            <w:r>
              <w:rPr/>
              <w:t> </w:t>
            </w:r>
          </w:p>
        </w:tc>
      </w:tr>
      <w:tr>
        <w:trPr/>
        <w:tc>
          <w:tcPr>
            <w:tcW w:w="4080" w:type="dxa"/>
            <w:tcBorders>
              <w:bottom w:val="sing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General &amp; administrative expense</w:t>
            </w:r>
          </w:p>
        </w:tc>
        <w:tc>
          <w:tcPr>
            <w:tcW w:w="187" w:type="dxa"/>
            <w:tcBorders>
              <w:bottom w:val="single" w:sz="2" w:space="0" w:color="FFFFFF"/>
            </w:tcBorders>
            <w:shd w:fill="FFFFFF" w:val="clear"/>
            <w:vAlign w:val="center"/>
          </w:tcPr>
          <w:p>
            <w:pPr>
              <w:pStyle w:val="TableContents"/>
              <w:spacing w:before="0" w:after="283"/>
              <w:rPr/>
            </w:pPr>
            <w:r>
              <w:rPr/>
              <w:t> </w:t>
            </w:r>
          </w:p>
        </w:tc>
        <w:tc>
          <w:tcPr>
            <w:tcW w:w="126" w:type="dxa"/>
            <w:tcBorders>
              <w:bottom w:val="single" w:sz="2" w:space="0" w:color="000000"/>
            </w:tcBorders>
            <w:shd w:fill="FFFFFF" w:val="clear"/>
            <w:vAlign w:val="bottom"/>
          </w:tcPr>
          <w:p>
            <w:pPr>
              <w:pStyle w:val="TableContents"/>
              <w:spacing w:before="0" w:after="283"/>
              <w:jc w:val="left"/>
              <w:rPr/>
            </w:pPr>
            <w:r>
              <w:rPr/>
              <w:t> </w:t>
            </w:r>
          </w:p>
        </w:tc>
        <w:tc>
          <w:tcPr>
            <w:tcW w:w="1154"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3,658</w:t>
            </w:r>
          </w:p>
        </w:tc>
        <w:tc>
          <w:tcPr>
            <w:tcW w:w="194" w:type="dxa"/>
            <w:tcBorders>
              <w:bottom w:val="single" w:sz="2" w:space="0" w:color="FFFFFF"/>
            </w:tcBorders>
            <w:shd w:fill="FFFFFF" w:val="clear"/>
            <w:vAlign w:val="bottom"/>
          </w:tcPr>
          <w:p>
            <w:pPr>
              <w:pStyle w:val="TableContents"/>
              <w:spacing w:before="0" w:after="283"/>
              <w:jc w:val="left"/>
              <w:rPr/>
            </w:pPr>
            <w:r>
              <w:rPr/>
              <w:t> </w:t>
            </w:r>
          </w:p>
        </w:tc>
        <w:tc>
          <w:tcPr>
            <w:tcW w:w="126" w:type="dxa"/>
            <w:tcBorders>
              <w:bottom w:val="single" w:sz="2" w:space="0" w:color="000000"/>
            </w:tcBorders>
            <w:shd w:fill="FFFFFF" w:val="clear"/>
            <w:vAlign w:val="bottom"/>
          </w:tcPr>
          <w:p>
            <w:pPr>
              <w:pStyle w:val="TableContents"/>
              <w:spacing w:before="0" w:after="283"/>
              <w:jc w:val="left"/>
              <w:rPr/>
            </w:pPr>
            <w:r>
              <w:rPr/>
              <w:t> </w:t>
            </w:r>
          </w:p>
        </w:tc>
        <w:tc>
          <w:tcPr>
            <w:tcW w:w="1123"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782</w:t>
            </w:r>
          </w:p>
        </w:tc>
        <w:tc>
          <w:tcPr>
            <w:tcW w:w="187" w:type="dxa"/>
            <w:tcBorders>
              <w:bottom w:val="single" w:sz="2" w:space="0" w:color="FFFFFF"/>
            </w:tcBorders>
            <w:shd w:fill="FFFFFF" w:val="clear"/>
            <w:vAlign w:val="bottom"/>
          </w:tcPr>
          <w:p>
            <w:pPr>
              <w:pStyle w:val="TableContents"/>
              <w:spacing w:before="0" w:after="283"/>
              <w:jc w:val="left"/>
              <w:rPr/>
            </w:pPr>
            <w:r>
              <w:rPr/>
              <w:t> </w:t>
            </w:r>
          </w:p>
        </w:tc>
        <w:tc>
          <w:tcPr>
            <w:tcW w:w="126" w:type="dxa"/>
            <w:tcBorders>
              <w:bottom w:val="single" w:sz="2" w:space="0" w:color="000000"/>
            </w:tcBorders>
            <w:shd w:fill="FFFFFF" w:val="clear"/>
            <w:vAlign w:val="bottom"/>
          </w:tcPr>
          <w:p>
            <w:pPr>
              <w:pStyle w:val="TableContents"/>
              <w:spacing w:before="0" w:after="283"/>
              <w:jc w:val="left"/>
              <w:rPr/>
            </w:pPr>
            <w:r>
              <w:rPr/>
              <w:t> </w:t>
            </w:r>
          </w:p>
        </w:tc>
        <w:tc>
          <w:tcPr>
            <w:tcW w:w="1308"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193" w:type="dxa"/>
            <w:tcBorders>
              <w:bottom w:val="single" w:sz="2" w:space="0" w:color="FFFFFF"/>
            </w:tcBorders>
            <w:shd w:fill="FFFFFF" w:val="clear"/>
            <w:vAlign w:val="bottom"/>
          </w:tcPr>
          <w:p>
            <w:pPr>
              <w:pStyle w:val="TableContents"/>
              <w:spacing w:before="0" w:after="283"/>
              <w:jc w:val="left"/>
              <w:rPr/>
            </w:pPr>
            <w:r>
              <w:rPr/>
              <w:t> </w:t>
            </w:r>
          </w:p>
        </w:tc>
        <w:tc>
          <w:tcPr>
            <w:tcW w:w="126" w:type="dxa"/>
            <w:tcBorders>
              <w:bottom w:val="single" w:sz="2" w:space="0" w:color="000000"/>
            </w:tcBorders>
            <w:shd w:fill="FFFFFF" w:val="clear"/>
            <w:vAlign w:val="bottom"/>
          </w:tcPr>
          <w:p>
            <w:pPr>
              <w:pStyle w:val="TableContents"/>
              <w:spacing w:before="0" w:after="283"/>
              <w:jc w:val="left"/>
              <w:rPr/>
            </w:pPr>
            <w:r>
              <w:rPr/>
              <w:t> </w:t>
            </w:r>
          </w:p>
        </w:tc>
        <w:tc>
          <w:tcPr>
            <w:tcW w:w="1159"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4,440</w:t>
            </w:r>
          </w:p>
        </w:tc>
        <w:tc>
          <w:tcPr>
            <w:tcW w:w="116" w:type="dxa"/>
            <w:tcBorders>
              <w:bottom w:val="single" w:sz="2" w:space="0" w:color="FFFFFF"/>
            </w:tcBorders>
            <w:shd w:fill="FFFFFF" w:val="clear"/>
            <w:vAlign w:val="bottom"/>
          </w:tcPr>
          <w:p>
            <w:pPr>
              <w:pStyle w:val="TableContents"/>
              <w:spacing w:before="0" w:after="283"/>
              <w:jc w:val="left"/>
              <w:rPr/>
            </w:pPr>
            <w:r>
              <w:rPr/>
              <w:t> </w:t>
            </w:r>
          </w:p>
        </w:tc>
      </w:tr>
      <w:tr>
        <w:trPr/>
        <w:tc>
          <w:tcPr>
            <w:tcW w:w="4080" w:type="dxa"/>
            <w:tcBorders>
              <w:bottom w:val="doub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Segment operating income</w:t>
            </w:r>
          </w:p>
        </w:tc>
        <w:tc>
          <w:tcPr>
            <w:tcW w:w="187" w:type="dxa"/>
            <w:tcBorders>
              <w:bottom w:val="single" w:sz="4" w:space="0" w:color="CCEEFF"/>
            </w:tcBorders>
            <w:shd w:fill="CCEEFF" w:val="clear"/>
            <w:vAlign w:val="center"/>
          </w:tcPr>
          <w:p>
            <w:pPr>
              <w:pStyle w:val="TableContents"/>
              <w:spacing w:before="0" w:after="283"/>
              <w:rPr/>
            </w:pPr>
            <w:r>
              <w:rPr/>
              <w:t> </w:t>
            </w:r>
          </w:p>
        </w:tc>
        <w:tc>
          <w:tcPr>
            <w:tcW w:w="126" w:type="dxa"/>
            <w:tcBorders>
              <w:bottom w:val="doub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bookmarkStart w:id="3878" w:name="TAB2206"/>
            <w:bookmarkEnd w:id="3878"/>
          </w:p>
        </w:tc>
        <w:tc>
          <w:tcPr>
            <w:tcW w:w="1154" w:type="dxa"/>
            <w:tcBorders>
              <w:bottom w:val="doub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3879" w:name="TAB2207"/>
            <w:bookmarkEnd w:id="3879"/>
            <w:r>
              <w:rPr>
                <w:rFonts w:ascii="Times New Roman" w:hAnsi="Times New Roman"/>
                <w:sz w:val="20"/>
              </w:rPr>
              <w:t>6,392</w:t>
            </w:r>
          </w:p>
        </w:tc>
        <w:tc>
          <w:tcPr>
            <w:tcW w:w="194" w:type="dxa"/>
            <w:tcBorders>
              <w:bottom w:val="single" w:sz="4" w:space="0" w:color="CCEEFF"/>
            </w:tcBorders>
            <w:shd w:fill="CCEEFF" w:val="clear"/>
            <w:vAlign w:val="bottom"/>
          </w:tcPr>
          <w:p>
            <w:pPr>
              <w:pStyle w:val="TableContents"/>
              <w:spacing w:before="0" w:after="283"/>
              <w:jc w:val="left"/>
              <w:rPr/>
            </w:pPr>
            <w:r>
              <w:rPr/>
              <w:t> </w:t>
            </w:r>
          </w:p>
        </w:tc>
        <w:tc>
          <w:tcPr>
            <w:tcW w:w="126" w:type="dxa"/>
            <w:tcBorders>
              <w:bottom w:val="doub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bookmarkStart w:id="3880" w:name="TAB2208"/>
            <w:bookmarkEnd w:id="3880"/>
          </w:p>
        </w:tc>
        <w:tc>
          <w:tcPr>
            <w:tcW w:w="1123" w:type="dxa"/>
            <w:tcBorders>
              <w:bottom w:val="doub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3881" w:name="TAB2209"/>
            <w:bookmarkEnd w:id="3881"/>
            <w:r>
              <w:rPr>
                <w:rFonts w:ascii="Times New Roman" w:hAnsi="Times New Roman"/>
                <w:sz w:val="20"/>
              </w:rPr>
              <w:t>5,058</w:t>
            </w:r>
          </w:p>
        </w:tc>
        <w:tc>
          <w:tcPr>
            <w:tcW w:w="187" w:type="dxa"/>
            <w:tcBorders>
              <w:bottom w:val="single" w:sz="4" w:space="0" w:color="CCEEFF"/>
            </w:tcBorders>
            <w:shd w:fill="CCEEFF" w:val="clear"/>
            <w:vAlign w:val="bottom"/>
          </w:tcPr>
          <w:p>
            <w:pPr>
              <w:pStyle w:val="TableContents"/>
              <w:spacing w:before="0" w:after="283"/>
              <w:jc w:val="left"/>
              <w:rPr/>
            </w:pPr>
            <w:r>
              <w:rPr/>
              <w:t> </w:t>
            </w:r>
          </w:p>
        </w:tc>
        <w:tc>
          <w:tcPr>
            <w:tcW w:w="126" w:type="dxa"/>
            <w:tcBorders>
              <w:bottom w:val="doub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bookmarkStart w:id="3882" w:name="TAB2210"/>
            <w:bookmarkEnd w:id="3882"/>
          </w:p>
        </w:tc>
        <w:tc>
          <w:tcPr>
            <w:tcW w:w="1308" w:type="dxa"/>
            <w:tcBorders>
              <w:bottom w:val="doub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3883" w:name="TAB2211"/>
            <w:bookmarkEnd w:id="3883"/>
            <w:r>
              <w:rPr>
                <w:rFonts w:ascii="Times New Roman" w:hAnsi="Times New Roman"/>
                <w:sz w:val="20"/>
              </w:rPr>
              <w:t>--</w:t>
            </w:r>
          </w:p>
        </w:tc>
        <w:tc>
          <w:tcPr>
            <w:tcW w:w="193" w:type="dxa"/>
            <w:tcBorders>
              <w:bottom w:val="single" w:sz="4" w:space="0" w:color="CCEEFF"/>
            </w:tcBorders>
            <w:shd w:fill="CCEEFF" w:val="clear"/>
            <w:vAlign w:val="bottom"/>
          </w:tcPr>
          <w:p>
            <w:pPr>
              <w:pStyle w:val="TableContents"/>
              <w:spacing w:before="0" w:after="283"/>
              <w:jc w:val="left"/>
              <w:rPr/>
            </w:pPr>
            <w:r>
              <w:rPr/>
              <w:t> </w:t>
            </w:r>
          </w:p>
        </w:tc>
        <w:tc>
          <w:tcPr>
            <w:tcW w:w="126" w:type="dxa"/>
            <w:tcBorders>
              <w:bottom w:val="doub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bookmarkStart w:id="3884" w:name="TAB2212"/>
            <w:bookmarkEnd w:id="3884"/>
          </w:p>
        </w:tc>
        <w:tc>
          <w:tcPr>
            <w:tcW w:w="1159" w:type="dxa"/>
            <w:tcBorders>
              <w:bottom w:val="doub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3885" w:name="TAB2213"/>
            <w:bookmarkEnd w:id="3885"/>
            <w:r>
              <w:rPr>
                <w:rFonts w:ascii="Times New Roman" w:hAnsi="Times New Roman"/>
                <w:sz w:val="20"/>
              </w:rPr>
              <w:t>11,450</w:t>
            </w:r>
          </w:p>
        </w:tc>
        <w:tc>
          <w:tcPr>
            <w:tcW w:w="116" w:type="dxa"/>
            <w:tcBorders>
              <w:bottom w:val="single" w:sz="4" w:space="0" w:color="CCEEFF"/>
            </w:tcBorders>
            <w:shd w:fill="CCEEFF" w:val="clear"/>
            <w:vAlign w:val="bottom"/>
          </w:tcPr>
          <w:p>
            <w:pPr>
              <w:pStyle w:val="TableContents"/>
              <w:spacing w:before="0" w:after="283"/>
              <w:jc w:val="left"/>
              <w:rPr/>
            </w:pPr>
            <w:r>
              <w:rPr/>
              <w:t> </w:t>
            </w:r>
          </w:p>
        </w:tc>
      </w:tr>
      <w:tr>
        <w:trPr/>
        <w:tc>
          <w:tcPr>
            <w:tcW w:w="4080" w:type="dxa"/>
            <w:tcBorders>
              <w:bottom w:val="double" w:sz="2" w:space="0" w:color="000000"/>
            </w:tcBorders>
            <w:shd w:fill="FFFFFF" w:val="clear"/>
            <w:vAlign w:val="bottom"/>
          </w:tcPr>
          <w:p>
            <w:pPr>
              <w:pStyle w:val="TableContents"/>
              <w:spacing w:lineRule="auto" w:line="300" w:before="0" w:after="0"/>
              <w:ind w:left="0" w:right="0" w:hanging="0"/>
              <w:jc w:val="left"/>
              <w:rPr/>
            </w:pPr>
            <w:r>
              <w:rPr/>
              <w:t> </w:t>
            </w:r>
          </w:p>
          <w:p>
            <w:pPr>
              <w:pStyle w:val="TableContents"/>
              <w:spacing w:lineRule="auto" w:line="300" w:before="0" w:after="0"/>
              <w:ind w:left="0" w:right="0" w:hanging="0"/>
              <w:jc w:val="left"/>
              <w:rPr/>
            </w:pPr>
            <w:r>
              <w:rPr>
                <w:rStyle w:val="StrongEmphasis"/>
                <w:rFonts w:ascii="Times New Roman" w:hAnsi="Times New Roman"/>
                <w:sz w:val="20"/>
              </w:rPr>
              <w:t>Year Ended December 31, 2005</w:t>
            </w:r>
          </w:p>
        </w:tc>
        <w:tc>
          <w:tcPr>
            <w:tcW w:w="187" w:type="dxa"/>
            <w:tcBorders>
              <w:bottom w:val="single" w:sz="4" w:space="0" w:color="FFFFFF"/>
            </w:tcBorders>
            <w:shd w:fill="FFFFFF" w:val="clear"/>
            <w:vAlign w:val="center"/>
          </w:tcPr>
          <w:p>
            <w:pPr>
              <w:pStyle w:val="TableContents"/>
              <w:spacing w:before="0" w:after="283"/>
              <w:rPr/>
            </w:pPr>
            <w:r>
              <w:rPr/>
              <w:t> </w:t>
            </w:r>
          </w:p>
        </w:tc>
        <w:tc>
          <w:tcPr>
            <w:tcW w:w="126" w:type="dxa"/>
            <w:tcBorders>
              <w:bottom w:val="double" w:sz="2" w:space="0" w:color="000000"/>
            </w:tcBorders>
            <w:shd w:fill="FFFFFF" w:val="clear"/>
            <w:vAlign w:val="bottom"/>
          </w:tcPr>
          <w:p>
            <w:pPr>
              <w:pStyle w:val="TableContents"/>
              <w:spacing w:before="0" w:after="283"/>
              <w:jc w:val="left"/>
              <w:rPr/>
            </w:pPr>
            <w:r>
              <w:rPr/>
              <w:t> </w:t>
            </w:r>
          </w:p>
        </w:tc>
        <w:tc>
          <w:tcPr>
            <w:tcW w:w="1154" w:type="dxa"/>
            <w:tcBorders>
              <w:bottom w:val="double" w:sz="2" w:space="0" w:color="000000"/>
            </w:tcBorders>
            <w:shd w:fill="FFFFFF" w:val="clear"/>
            <w:vAlign w:val="bottom"/>
          </w:tcPr>
          <w:p>
            <w:pPr>
              <w:pStyle w:val="TableContents"/>
              <w:spacing w:lineRule="auto" w:line="300" w:before="0" w:after="0"/>
              <w:ind w:left="0" w:right="0" w:hanging="0"/>
              <w:jc w:val="center"/>
              <w:rPr/>
            </w:pPr>
            <w:r>
              <w:rPr>
                <w:rStyle w:val="StrongEmphasis"/>
                <w:rFonts w:ascii="Times New Roman" w:hAnsi="Times New Roman"/>
                <w:sz w:val="20"/>
              </w:rPr>
              <w:t>Cinema</w:t>
            </w:r>
          </w:p>
        </w:tc>
        <w:tc>
          <w:tcPr>
            <w:tcW w:w="194" w:type="dxa"/>
            <w:tcBorders>
              <w:bottom w:val="single" w:sz="4" w:space="0" w:color="FFFFFF"/>
            </w:tcBorders>
            <w:shd w:fill="FFFFFF" w:val="clear"/>
            <w:vAlign w:val="bottom"/>
          </w:tcPr>
          <w:p>
            <w:pPr>
              <w:pStyle w:val="TableContents"/>
              <w:spacing w:before="0" w:after="283"/>
              <w:jc w:val="left"/>
              <w:rPr/>
            </w:pPr>
            <w:r>
              <w:rPr/>
              <w:t> </w:t>
            </w:r>
          </w:p>
        </w:tc>
        <w:tc>
          <w:tcPr>
            <w:tcW w:w="126" w:type="dxa"/>
            <w:tcBorders>
              <w:bottom w:val="double" w:sz="2" w:space="0" w:color="000000"/>
            </w:tcBorders>
            <w:shd w:fill="FFFFFF" w:val="clear"/>
            <w:vAlign w:val="bottom"/>
          </w:tcPr>
          <w:p>
            <w:pPr>
              <w:pStyle w:val="TableContents"/>
              <w:spacing w:before="0" w:after="283"/>
              <w:jc w:val="left"/>
              <w:rPr/>
            </w:pPr>
            <w:r>
              <w:rPr/>
              <w:t> </w:t>
            </w:r>
          </w:p>
        </w:tc>
        <w:tc>
          <w:tcPr>
            <w:tcW w:w="1123" w:type="dxa"/>
            <w:tcBorders>
              <w:bottom w:val="double" w:sz="2" w:space="0" w:color="000000"/>
            </w:tcBorders>
            <w:shd w:fill="FFFFFF" w:val="clear"/>
            <w:vAlign w:val="bottom"/>
          </w:tcPr>
          <w:p>
            <w:pPr>
              <w:pStyle w:val="TableContents"/>
              <w:spacing w:lineRule="auto" w:line="300" w:before="0" w:after="0"/>
              <w:ind w:left="0" w:right="0" w:hanging="0"/>
              <w:jc w:val="center"/>
              <w:rPr/>
            </w:pPr>
            <w:r>
              <w:rPr>
                <w:rStyle w:val="StrongEmphasis"/>
                <w:rFonts w:ascii="Times New Roman" w:hAnsi="Times New Roman"/>
                <w:sz w:val="20"/>
              </w:rPr>
              <w:t>Real Estate</w:t>
            </w:r>
          </w:p>
        </w:tc>
        <w:tc>
          <w:tcPr>
            <w:tcW w:w="187" w:type="dxa"/>
            <w:tcBorders>
              <w:bottom w:val="single" w:sz="4" w:space="0" w:color="FFFFFF"/>
            </w:tcBorders>
            <w:shd w:fill="FFFFFF" w:val="clear"/>
            <w:vAlign w:val="bottom"/>
          </w:tcPr>
          <w:p>
            <w:pPr>
              <w:pStyle w:val="TableContents"/>
              <w:spacing w:before="0" w:after="283"/>
              <w:jc w:val="left"/>
              <w:rPr/>
            </w:pPr>
            <w:r>
              <w:rPr/>
              <w:t> </w:t>
            </w:r>
          </w:p>
        </w:tc>
        <w:tc>
          <w:tcPr>
            <w:tcW w:w="126" w:type="dxa"/>
            <w:tcBorders>
              <w:bottom w:val="double" w:sz="2" w:space="0" w:color="000000"/>
            </w:tcBorders>
            <w:shd w:fill="FFFFFF" w:val="clear"/>
            <w:vAlign w:val="bottom"/>
          </w:tcPr>
          <w:p>
            <w:pPr>
              <w:pStyle w:val="TableContents"/>
              <w:spacing w:before="0" w:after="283"/>
              <w:jc w:val="left"/>
              <w:rPr/>
            </w:pPr>
            <w:r>
              <w:rPr/>
              <w:t> </w:t>
            </w:r>
          </w:p>
        </w:tc>
        <w:tc>
          <w:tcPr>
            <w:tcW w:w="1308" w:type="dxa"/>
            <w:tcBorders>
              <w:bottom w:val="double" w:sz="2" w:space="0" w:color="000000"/>
            </w:tcBorders>
            <w:shd w:fill="FFFFFF" w:val="clear"/>
            <w:vAlign w:val="bottom"/>
          </w:tcPr>
          <w:p>
            <w:pPr>
              <w:pStyle w:val="TableContents"/>
              <w:spacing w:lineRule="auto" w:line="300" w:before="0" w:after="0"/>
              <w:ind w:left="0" w:right="0" w:hanging="0"/>
              <w:jc w:val="center"/>
              <w:rPr/>
            </w:pPr>
            <w:r>
              <w:rPr>
                <w:rStyle w:val="StrongEmphasis"/>
                <w:rFonts w:ascii="Times New Roman" w:hAnsi="Times New Roman"/>
                <w:sz w:val="20"/>
              </w:rPr>
              <w:t>Intersegment Eliminations</w:t>
            </w:r>
          </w:p>
        </w:tc>
        <w:tc>
          <w:tcPr>
            <w:tcW w:w="193" w:type="dxa"/>
            <w:tcBorders>
              <w:bottom w:val="single" w:sz="4" w:space="0" w:color="FFFFFF"/>
            </w:tcBorders>
            <w:shd w:fill="FFFFFF" w:val="clear"/>
            <w:vAlign w:val="bottom"/>
          </w:tcPr>
          <w:p>
            <w:pPr>
              <w:pStyle w:val="TableContents"/>
              <w:spacing w:before="0" w:after="283"/>
              <w:jc w:val="left"/>
              <w:rPr/>
            </w:pPr>
            <w:r>
              <w:rPr/>
              <w:t> </w:t>
            </w:r>
          </w:p>
        </w:tc>
        <w:tc>
          <w:tcPr>
            <w:tcW w:w="126" w:type="dxa"/>
            <w:tcBorders>
              <w:bottom w:val="double" w:sz="2" w:space="0" w:color="000000"/>
            </w:tcBorders>
            <w:shd w:fill="FFFFFF" w:val="clear"/>
            <w:vAlign w:val="bottom"/>
          </w:tcPr>
          <w:p>
            <w:pPr>
              <w:pStyle w:val="TableContents"/>
              <w:spacing w:before="0" w:after="283"/>
              <w:jc w:val="left"/>
              <w:rPr/>
            </w:pPr>
            <w:r>
              <w:rPr/>
              <w:t> </w:t>
            </w:r>
          </w:p>
        </w:tc>
        <w:tc>
          <w:tcPr>
            <w:tcW w:w="1159" w:type="dxa"/>
            <w:tcBorders>
              <w:bottom w:val="double" w:sz="2" w:space="0" w:color="000000"/>
            </w:tcBorders>
            <w:shd w:fill="FFFFFF" w:val="clear"/>
            <w:vAlign w:val="bottom"/>
          </w:tcPr>
          <w:p>
            <w:pPr>
              <w:pStyle w:val="TableContents"/>
              <w:spacing w:lineRule="auto" w:line="300" w:before="0" w:after="0"/>
              <w:ind w:left="0" w:right="0" w:hanging="0"/>
              <w:jc w:val="center"/>
              <w:rPr/>
            </w:pPr>
            <w:r>
              <w:rPr>
                <w:rStyle w:val="StrongEmphasis"/>
                <w:rFonts w:ascii="Times New Roman" w:hAnsi="Times New Roman"/>
                <w:sz w:val="20"/>
              </w:rPr>
              <w:t>Total</w:t>
            </w:r>
          </w:p>
        </w:tc>
        <w:tc>
          <w:tcPr>
            <w:tcW w:w="116" w:type="dxa"/>
            <w:tcBorders>
              <w:bottom w:val="single" w:sz="4" w:space="0" w:color="FFFFFF"/>
            </w:tcBorders>
            <w:shd w:fill="FFFFFF" w:val="clear"/>
            <w:vAlign w:val="bottom"/>
          </w:tcPr>
          <w:p>
            <w:pPr>
              <w:pStyle w:val="TableContents"/>
              <w:spacing w:before="0" w:after="283"/>
              <w:jc w:val="left"/>
              <w:rPr/>
            </w:pPr>
            <w:r>
              <w:rPr/>
              <w:t> </w:t>
            </w:r>
          </w:p>
        </w:tc>
      </w:tr>
      <w:tr>
        <w:trPr/>
        <w:tc>
          <w:tcPr>
            <w:tcW w:w="4080" w:type="dxa"/>
            <w:tcBorders/>
            <w:shd w:fill="CCEEFF" w:val="clear"/>
            <w:tcMar>
              <w:bottom w:w="0" w:type="dxa"/>
            </w:tcMar>
            <w:vAlign w:val="bottom"/>
          </w:tcPr>
          <w:p>
            <w:pPr>
              <w:pStyle w:val="TableContents"/>
              <w:spacing w:lineRule="auto" w:line="300" w:before="0" w:after="0"/>
              <w:ind w:left="0" w:right="0" w:hanging="0"/>
              <w:jc w:val="left"/>
              <w:rPr/>
            </w:pPr>
            <w:r>
              <w:rPr>
                <w:rFonts w:ascii="Times New Roman" w:hAnsi="Times New Roman"/>
                <w:sz w:val="20"/>
              </w:rPr>
              <w:t>Revenue</w:t>
            </w:r>
            <w:r>
              <w:rPr>
                <w:rFonts w:ascii="Times New Roman" w:hAnsi="Times New Roman"/>
                <w:position w:val="7"/>
                <w:sz w:val="16"/>
                <w:sz w:val="20"/>
              </w:rPr>
              <w:t>19</w:t>
            </w:r>
            <w:r>
              <w:rPr/>
              <w:t> </w:t>
            </w:r>
          </w:p>
        </w:tc>
        <w:tc>
          <w:tcPr>
            <w:tcW w:w="187" w:type="dxa"/>
            <w:tcBorders/>
            <w:shd w:fill="CCEEFF" w:val="clear"/>
            <w:tcMar>
              <w:bottom w:w="0" w:type="dxa"/>
            </w:tcMar>
            <w:vAlign w:val="center"/>
          </w:tcPr>
          <w:p>
            <w:pPr>
              <w:pStyle w:val="TableContents"/>
              <w:spacing w:before="0" w:after="283"/>
              <w:rPr/>
            </w:pPr>
            <w:r>
              <w:rPr/>
              <w:t> </w:t>
            </w:r>
          </w:p>
        </w:tc>
        <w:tc>
          <w:tcPr>
            <w:tcW w:w="126"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bookmarkStart w:id="3886" w:name="TAB2214"/>
            <w:bookmarkEnd w:id="3886"/>
          </w:p>
        </w:tc>
        <w:tc>
          <w:tcPr>
            <w:tcW w:w="1154"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3887" w:name="TAB2215"/>
            <w:bookmarkEnd w:id="3887"/>
            <w:r>
              <w:rPr>
                <w:rFonts w:ascii="Times New Roman" w:hAnsi="Times New Roman"/>
                <w:sz w:val="20"/>
              </w:rPr>
              <w:t>86,760</w:t>
            </w:r>
          </w:p>
        </w:tc>
        <w:tc>
          <w:tcPr>
            <w:tcW w:w="194" w:type="dxa"/>
            <w:tcBorders/>
            <w:shd w:fill="CCEEFF" w:val="clear"/>
            <w:tcMar>
              <w:bottom w:w="0" w:type="dxa"/>
            </w:tcMar>
            <w:vAlign w:val="bottom"/>
          </w:tcPr>
          <w:p>
            <w:pPr>
              <w:pStyle w:val="TableContents"/>
              <w:spacing w:before="0" w:after="283"/>
              <w:jc w:val="left"/>
              <w:rPr/>
            </w:pPr>
            <w:r>
              <w:rPr/>
              <w:t> </w:t>
            </w:r>
          </w:p>
        </w:tc>
        <w:tc>
          <w:tcPr>
            <w:tcW w:w="126"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bookmarkStart w:id="3888" w:name="TAB2216"/>
            <w:bookmarkEnd w:id="3888"/>
          </w:p>
        </w:tc>
        <w:tc>
          <w:tcPr>
            <w:tcW w:w="1123"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3889" w:name="TAB2217"/>
            <w:bookmarkEnd w:id="3889"/>
            <w:r>
              <w:rPr>
                <w:rFonts w:ascii="Times New Roman" w:hAnsi="Times New Roman"/>
                <w:sz w:val="20"/>
              </w:rPr>
              <w:t>16,523</w:t>
            </w:r>
          </w:p>
        </w:tc>
        <w:tc>
          <w:tcPr>
            <w:tcW w:w="187" w:type="dxa"/>
            <w:tcBorders/>
            <w:shd w:fill="CCEEFF" w:val="clear"/>
            <w:tcMar>
              <w:bottom w:w="0" w:type="dxa"/>
            </w:tcMar>
            <w:vAlign w:val="bottom"/>
          </w:tcPr>
          <w:p>
            <w:pPr>
              <w:pStyle w:val="TableContents"/>
              <w:spacing w:before="0" w:after="283"/>
              <w:jc w:val="left"/>
              <w:rPr/>
            </w:pPr>
            <w:r>
              <w:rPr/>
              <w:t> </w:t>
            </w:r>
          </w:p>
        </w:tc>
        <w:tc>
          <w:tcPr>
            <w:tcW w:w="126"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bookmarkStart w:id="3890" w:name="TAB2218"/>
            <w:bookmarkEnd w:id="3890"/>
          </w:p>
        </w:tc>
        <w:tc>
          <w:tcPr>
            <w:tcW w:w="1308"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3891" w:name="TAB2219"/>
            <w:bookmarkEnd w:id="3891"/>
            <w:r>
              <w:rPr>
                <w:rFonts w:ascii="Times New Roman" w:hAnsi="Times New Roman"/>
                <w:sz w:val="20"/>
              </w:rPr>
              <w:t>(5,178</w:t>
            </w:r>
          </w:p>
        </w:tc>
        <w:tc>
          <w:tcPr>
            <w:tcW w:w="193"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3892" w:name="TAB2220"/>
            <w:bookmarkEnd w:id="3892"/>
            <w:r>
              <w:rPr>
                <w:rFonts w:ascii="Times New Roman" w:hAnsi="Times New Roman"/>
                <w:sz w:val="20"/>
              </w:rPr>
              <w:t>)</w:t>
            </w:r>
          </w:p>
        </w:tc>
        <w:tc>
          <w:tcPr>
            <w:tcW w:w="126"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bookmarkStart w:id="3893" w:name="TAB2221"/>
            <w:bookmarkEnd w:id="3893"/>
          </w:p>
        </w:tc>
        <w:tc>
          <w:tcPr>
            <w:tcW w:w="1159"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3894" w:name="TAB2222"/>
            <w:bookmarkEnd w:id="3894"/>
            <w:r>
              <w:rPr>
                <w:rFonts w:ascii="Times New Roman" w:hAnsi="Times New Roman"/>
                <w:sz w:val="20"/>
              </w:rPr>
              <w:t>98,105</w:t>
            </w:r>
          </w:p>
        </w:tc>
        <w:tc>
          <w:tcPr>
            <w:tcW w:w="116" w:type="dxa"/>
            <w:tcBorders/>
            <w:shd w:fill="CCEEFF" w:val="clear"/>
            <w:tcMar>
              <w:bottom w:w="0" w:type="dxa"/>
            </w:tcMar>
            <w:vAlign w:val="bottom"/>
          </w:tcPr>
          <w:p>
            <w:pPr>
              <w:pStyle w:val="TableContents"/>
              <w:spacing w:before="0" w:after="283"/>
              <w:jc w:val="left"/>
              <w:rPr/>
            </w:pPr>
            <w:r>
              <w:rPr/>
              <w:t> </w:t>
            </w:r>
          </w:p>
        </w:tc>
      </w:tr>
      <w:tr>
        <w:trPr/>
        <w:tc>
          <w:tcPr>
            <w:tcW w:w="4080" w:type="dxa"/>
            <w:tcBorders/>
            <w:shd w:fill="FFFFFF" w:val="clear"/>
            <w:tcMar>
              <w:bottom w:w="0" w:type="dxa"/>
            </w:tcMar>
            <w:vAlign w:val="bottom"/>
          </w:tcPr>
          <w:p>
            <w:pPr>
              <w:pStyle w:val="TableContents"/>
              <w:spacing w:lineRule="auto" w:line="300" w:before="0" w:after="0"/>
              <w:ind w:left="0" w:right="0" w:hanging="0"/>
              <w:jc w:val="left"/>
              <w:rPr/>
            </w:pPr>
            <w:r>
              <w:rPr>
                <w:rFonts w:ascii="Times New Roman" w:hAnsi="Times New Roman"/>
                <w:sz w:val="20"/>
              </w:rPr>
              <w:t>Operating expense</w:t>
            </w:r>
            <w:r>
              <w:rPr>
                <w:rFonts w:ascii="Times New Roman" w:hAnsi="Times New Roman"/>
                <w:position w:val="7"/>
                <w:sz w:val="16"/>
                <w:sz w:val="20"/>
              </w:rPr>
              <w:t>19</w:t>
            </w:r>
          </w:p>
        </w:tc>
        <w:tc>
          <w:tcPr>
            <w:tcW w:w="187" w:type="dxa"/>
            <w:tcBorders/>
            <w:shd w:fill="FFFFFF" w:val="clear"/>
            <w:tcMar>
              <w:bottom w:w="0" w:type="dxa"/>
            </w:tcMar>
            <w:vAlign w:val="center"/>
          </w:tcPr>
          <w:p>
            <w:pPr>
              <w:pStyle w:val="TableContents"/>
              <w:spacing w:before="0" w:after="283"/>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154"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72,665</w:t>
            </w:r>
          </w:p>
        </w:tc>
        <w:tc>
          <w:tcPr>
            <w:tcW w:w="194" w:type="dxa"/>
            <w:tcBorders/>
            <w:shd w:fill="FFFFFF" w:val="clear"/>
            <w:tcMar>
              <w:bottom w:w="0" w:type="dxa"/>
            </w:tcMar>
            <w:vAlign w:val="bottom"/>
          </w:tcPr>
          <w:p>
            <w:pPr>
              <w:pStyle w:val="TableContents"/>
              <w:spacing w:before="0" w:after="283"/>
              <w:jc w:val="left"/>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123"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7,359</w:t>
            </w:r>
          </w:p>
        </w:tc>
        <w:tc>
          <w:tcPr>
            <w:tcW w:w="187" w:type="dxa"/>
            <w:tcBorders/>
            <w:shd w:fill="FFFFFF" w:val="clear"/>
            <w:tcMar>
              <w:bottom w:w="0" w:type="dxa"/>
            </w:tcMar>
            <w:vAlign w:val="bottom"/>
          </w:tcPr>
          <w:p>
            <w:pPr>
              <w:pStyle w:val="TableContents"/>
              <w:spacing w:before="0" w:after="283"/>
              <w:jc w:val="left"/>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308"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(5,178</w:t>
            </w:r>
          </w:p>
        </w:tc>
        <w:tc>
          <w:tcPr>
            <w:tcW w:w="193"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26" w:type="dxa"/>
            <w:tcBorders/>
            <w:shd w:fill="FFFFFF" w:val="clear"/>
            <w:tcMar>
              <w:bottom w:w="0" w:type="dxa"/>
            </w:tcMar>
            <w:vAlign w:val="bottom"/>
          </w:tcPr>
          <w:p>
            <w:pPr>
              <w:pStyle w:val="TableContents"/>
              <w:spacing w:before="0" w:after="283"/>
              <w:jc w:val="left"/>
              <w:rPr/>
            </w:pPr>
            <w:r>
              <w:rPr/>
              <w:t> </w:t>
            </w:r>
          </w:p>
        </w:tc>
        <w:tc>
          <w:tcPr>
            <w:tcW w:w="1159"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74,846</w:t>
            </w:r>
          </w:p>
        </w:tc>
        <w:tc>
          <w:tcPr>
            <w:tcW w:w="116" w:type="dxa"/>
            <w:tcBorders/>
            <w:shd w:fill="FFFFFF" w:val="clear"/>
            <w:tcMar>
              <w:bottom w:w="0" w:type="dxa"/>
            </w:tcMar>
            <w:vAlign w:val="bottom"/>
          </w:tcPr>
          <w:p>
            <w:pPr>
              <w:pStyle w:val="TableContents"/>
              <w:spacing w:before="0" w:after="283"/>
              <w:jc w:val="left"/>
              <w:rPr/>
            </w:pPr>
            <w:r>
              <w:rPr/>
              <w:t> </w:t>
            </w:r>
          </w:p>
        </w:tc>
      </w:tr>
      <w:tr>
        <w:trPr/>
        <w:tc>
          <w:tcPr>
            <w:tcW w:w="4080"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Depreciation &amp; amortization</w:t>
            </w:r>
          </w:p>
        </w:tc>
        <w:tc>
          <w:tcPr>
            <w:tcW w:w="187" w:type="dxa"/>
            <w:tcBorders/>
            <w:shd w:fill="CCEEFF" w:val="clear"/>
            <w:tcMar>
              <w:bottom w:w="0" w:type="dxa"/>
            </w:tcMar>
            <w:vAlign w:val="center"/>
          </w:tcPr>
          <w:p>
            <w:pPr>
              <w:pStyle w:val="TableContents"/>
              <w:spacing w:before="0" w:after="283"/>
              <w:rPr/>
            </w:pPr>
            <w:r>
              <w:rPr/>
              <w:t> </w:t>
            </w:r>
          </w:p>
        </w:tc>
        <w:tc>
          <w:tcPr>
            <w:tcW w:w="126" w:type="dxa"/>
            <w:tcBorders/>
            <w:shd w:fill="CCEEFF" w:val="clear"/>
            <w:tcMar>
              <w:bottom w:w="0" w:type="dxa"/>
            </w:tcMar>
            <w:vAlign w:val="bottom"/>
          </w:tcPr>
          <w:p>
            <w:pPr>
              <w:pStyle w:val="TableContents"/>
              <w:spacing w:before="0" w:after="283"/>
              <w:jc w:val="left"/>
              <w:rPr/>
            </w:pPr>
            <w:r>
              <w:rPr/>
              <w:t> </w:t>
            </w:r>
          </w:p>
        </w:tc>
        <w:tc>
          <w:tcPr>
            <w:tcW w:w="1154"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8,323</w:t>
            </w:r>
          </w:p>
        </w:tc>
        <w:tc>
          <w:tcPr>
            <w:tcW w:w="194" w:type="dxa"/>
            <w:tcBorders/>
            <w:shd w:fill="CCEEFF" w:val="clear"/>
            <w:tcMar>
              <w:bottom w:w="0" w:type="dxa"/>
            </w:tcMar>
            <w:vAlign w:val="bottom"/>
          </w:tcPr>
          <w:p>
            <w:pPr>
              <w:pStyle w:val="TableContents"/>
              <w:spacing w:before="0" w:after="283"/>
              <w:jc w:val="left"/>
              <w:rPr/>
            </w:pPr>
            <w:r>
              <w:rPr/>
              <w:t> </w:t>
            </w:r>
          </w:p>
        </w:tc>
        <w:tc>
          <w:tcPr>
            <w:tcW w:w="126" w:type="dxa"/>
            <w:tcBorders/>
            <w:shd w:fill="CCEEFF" w:val="clear"/>
            <w:tcMar>
              <w:bottom w:w="0" w:type="dxa"/>
            </w:tcMar>
            <w:vAlign w:val="bottom"/>
          </w:tcPr>
          <w:p>
            <w:pPr>
              <w:pStyle w:val="TableContents"/>
              <w:spacing w:before="0" w:after="283"/>
              <w:jc w:val="left"/>
              <w:rPr/>
            </w:pPr>
            <w:r>
              <w:rPr/>
              <w:t> </w:t>
            </w:r>
          </w:p>
        </w:tc>
        <w:tc>
          <w:tcPr>
            <w:tcW w:w="1123"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3,674</w:t>
            </w:r>
          </w:p>
        </w:tc>
        <w:tc>
          <w:tcPr>
            <w:tcW w:w="187" w:type="dxa"/>
            <w:tcBorders/>
            <w:shd w:fill="CCEEFF" w:val="clear"/>
            <w:tcMar>
              <w:bottom w:w="0" w:type="dxa"/>
            </w:tcMar>
            <w:vAlign w:val="bottom"/>
          </w:tcPr>
          <w:p>
            <w:pPr>
              <w:pStyle w:val="TableContents"/>
              <w:spacing w:before="0" w:after="283"/>
              <w:jc w:val="left"/>
              <w:rPr/>
            </w:pPr>
            <w:r>
              <w:rPr/>
              <w:t> </w:t>
            </w:r>
          </w:p>
        </w:tc>
        <w:tc>
          <w:tcPr>
            <w:tcW w:w="126" w:type="dxa"/>
            <w:tcBorders/>
            <w:shd w:fill="CCEEFF" w:val="clear"/>
            <w:tcMar>
              <w:bottom w:w="0" w:type="dxa"/>
            </w:tcMar>
            <w:vAlign w:val="bottom"/>
          </w:tcPr>
          <w:p>
            <w:pPr>
              <w:pStyle w:val="TableContents"/>
              <w:spacing w:before="0" w:after="283"/>
              <w:jc w:val="left"/>
              <w:rPr/>
            </w:pPr>
            <w:r>
              <w:rPr/>
              <w:t> </w:t>
            </w:r>
          </w:p>
        </w:tc>
        <w:tc>
          <w:tcPr>
            <w:tcW w:w="1308"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193" w:type="dxa"/>
            <w:tcBorders/>
            <w:shd w:fill="CCEEFF" w:val="clear"/>
            <w:tcMar>
              <w:bottom w:w="0" w:type="dxa"/>
            </w:tcMar>
            <w:vAlign w:val="bottom"/>
          </w:tcPr>
          <w:p>
            <w:pPr>
              <w:pStyle w:val="TableContents"/>
              <w:spacing w:before="0" w:after="283"/>
              <w:jc w:val="left"/>
              <w:rPr/>
            </w:pPr>
            <w:r>
              <w:rPr/>
              <w:t> </w:t>
            </w:r>
          </w:p>
        </w:tc>
        <w:tc>
          <w:tcPr>
            <w:tcW w:w="126" w:type="dxa"/>
            <w:tcBorders/>
            <w:shd w:fill="CCEEFF" w:val="clear"/>
            <w:tcMar>
              <w:bottom w:w="0" w:type="dxa"/>
            </w:tcMar>
            <w:vAlign w:val="bottom"/>
          </w:tcPr>
          <w:p>
            <w:pPr>
              <w:pStyle w:val="TableContents"/>
              <w:spacing w:before="0" w:after="283"/>
              <w:jc w:val="left"/>
              <w:rPr/>
            </w:pPr>
            <w:r>
              <w:rPr/>
              <w:t> </w:t>
            </w:r>
          </w:p>
        </w:tc>
        <w:tc>
          <w:tcPr>
            <w:tcW w:w="1159"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11,997</w:t>
            </w:r>
          </w:p>
        </w:tc>
        <w:tc>
          <w:tcPr>
            <w:tcW w:w="116" w:type="dxa"/>
            <w:tcBorders/>
            <w:shd w:fill="CCEEFF" w:val="clear"/>
            <w:tcMar>
              <w:bottom w:w="0" w:type="dxa"/>
            </w:tcMar>
            <w:vAlign w:val="bottom"/>
          </w:tcPr>
          <w:p>
            <w:pPr>
              <w:pStyle w:val="TableContents"/>
              <w:spacing w:before="0" w:after="283"/>
              <w:jc w:val="left"/>
              <w:rPr/>
            </w:pPr>
            <w:r>
              <w:rPr/>
              <w:t> </w:t>
            </w:r>
          </w:p>
        </w:tc>
      </w:tr>
      <w:tr>
        <w:trPr/>
        <w:tc>
          <w:tcPr>
            <w:tcW w:w="4080" w:type="dxa"/>
            <w:tcBorders>
              <w:bottom w:val="sing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General &amp; administrative expense</w:t>
            </w:r>
          </w:p>
        </w:tc>
        <w:tc>
          <w:tcPr>
            <w:tcW w:w="187" w:type="dxa"/>
            <w:tcBorders>
              <w:bottom w:val="single" w:sz="2" w:space="0" w:color="FFFFFF"/>
            </w:tcBorders>
            <w:shd w:fill="FFFFFF" w:val="clear"/>
            <w:vAlign w:val="center"/>
          </w:tcPr>
          <w:p>
            <w:pPr>
              <w:pStyle w:val="TableContents"/>
              <w:spacing w:before="0" w:after="283"/>
              <w:rPr/>
            </w:pPr>
            <w:r>
              <w:rPr/>
              <w:t> </w:t>
            </w:r>
          </w:p>
        </w:tc>
        <w:tc>
          <w:tcPr>
            <w:tcW w:w="126" w:type="dxa"/>
            <w:tcBorders>
              <w:bottom w:val="single" w:sz="2" w:space="0" w:color="000000"/>
            </w:tcBorders>
            <w:shd w:fill="FFFFFF" w:val="clear"/>
            <w:vAlign w:val="bottom"/>
          </w:tcPr>
          <w:p>
            <w:pPr>
              <w:pStyle w:val="TableContents"/>
              <w:spacing w:before="0" w:after="283"/>
              <w:jc w:val="left"/>
              <w:rPr/>
            </w:pPr>
            <w:r>
              <w:rPr/>
              <w:t> </w:t>
            </w:r>
          </w:p>
        </w:tc>
        <w:tc>
          <w:tcPr>
            <w:tcW w:w="1154"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6,802</w:t>
            </w:r>
          </w:p>
        </w:tc>
        <w:tc>
          <w:tcPr>
            <w:tcW w:w="194" w:type="dxa"/>
            <w:tcBorders>
              <w:bottom w:val="single" w:sz="2" w:space="0" w:color="FFFFFF"/>
            </w:tcBorders>
            <w:shd w:fill="FFFFFF" w:val="clear"/>
            <w:vAlign w:val="bottom"/>
          </w:tcPr>
          <w:p>
            <w:pPr>
              <w:pStyle w:val="TableContents"/>
              <w:spacing w:before="0" w:after="283"/>
              <w:jc w:val="left"/>
              <w:rPr/>
            </w:pPr>
            <w:r>
              <w:rPr/>
              <w:t> </w:t>
            </w:r>
          </w:p>
        </w:tc>
        <w:tc>
          <w:tcPr>
            <w:tcW w:w="126" w:type="dxa"/>
            <w:tcBorders>
              <w:bottom w:val="single" w:sz="2" w:space="0" w:color="000000"/>
            </w:tcBorders>
            <w:shd w:fill="FFFFFF" w:val="clear"/>
            <w:vAlign w:val="bottom"/>
          </w:tcPr>
          <w:p>
            <w:pPr>
              <w:pStyle w:val="TableContents"/>
              <w:spacing w:before="0" w:after="283"/>
              <w:jc w:val="left"/>
              <w:rPr/>
            </w:pPr>
            <w:r>
              <w:rPr/>
              <w:t> </w:t>
            </w:r>
          </w:p>
        </w:tc>
        <w:tc>
          <w:tcPr>
            <w:tcW w:w="1123"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328</w:t>
            </w:r>
          </w:p>
        </w:tc>
        <w:tc>
          <w:tcPr>
            <w:tcW w:w="187" w:type="dxa"/>
            <w:tcBorders>
              <w:bottom w:val="single" w:sz="2" w:space="0" w:color="FFFFFF"/>
            </w:tcBorders>
            <w:shd w:fill="FFFFFF" w:val="clear"/>
            <w:vAlign w:val="bottom"/>
          </w:tcPr>
          <w:p>
            <w:pPr>
              <w:pStyle w:val="TableContents"/>
              <w:spacing w:before="0" w:after="283"/>
              <w:jc w:val="left"/>
              <w:rPr/>
            </w:pPr>
            <w:r>
              <w:rPr/>
              <w:t> </w:t>
            </w:r>
          </w:p>
        </w:tc>
        <w:tc>
          <w:tcPr>
            <w:tcW w:w="126" w:type="dxa"/>
            <w:tcBorders>
              <w:bottom w:val="single" w:sz="2" w:space="0" w:color="000000"/>
            </w:tcBorders>
            <w:shd w:fill="FFFFFF" w:val="clear"/>
            <w:vAlign w:val="bottom"/>
          </w:tcPr>
          <w:p>
            <w:pPr>
              <w:pStyle w:val="TableContents"/>
              <w:spacing w:before="0" w:after="283"/>
              <w:jc w:val="left"/>
              <w:rPr/>
            </w:pPr>
            <w:r>
              <w:rPr/>
              <w:t> </w:t>
            </w:r>
          </w:p>
        </w:tc>
        <w:tc>
          <w:tcPr>
            <w:tcW w:w="1308"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193" w:type="dxa"/>
            <w:tcBorders>
              <w:bottom w:val="single" w:sz="2" w:space="0" w:color="FFFFFF"/>
            </w:tcBorders>
            <w:shd w:fill="FFFFFF" w:val="clear"/>
            <w:vAlign w:val="bottom"/>
          </w:tcPr>
          <w:p>
            <w:pPr>
              <w:pStyle w:val="TableContents"/>
              <w:spacing w:before="0" w:after="283"/>
              <w:jc w:val="left"/>
              <w:rPr/>
            </w:pPr>
            <w:r>
              <w:rPr/>
              <w:t> </w:t>
            </w:r>
          </w:p>
        </w:tc>
        <w:tc>
          <w:tcPr>
            <w:tcW w:w="126" w:type="dxa"/>
            <w:tcBorders>
              <w:bottom w:val="single" w:sz="2" w:space="0" w:color="000000"/>
            </w:tcBorders>
            <w:shd w:fill="FFFFFF" w:val="clear"/>
            <w:vAlign w:val="bottom"/>
          </w:tcPr>
          <w:p>
            <w:pPr>
              <w:pStyle w:val="TableContents"/>
              <w:spacing w:before="0" w:after="283"/>
              <w:jc w:val="left"/>
              <w:rPr/>
            </w:pPr>
            <w:r>
              <w:rPr/>
              <w:t> </w:t>
            </w:r>
          </w:p>
        </w:tc>
        <w:tc>
          <w:tcPr>
            <w:tcW w:w="1159"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7,130</w:t>
            </w:r>
          </w:p>
        </w:tc>
        <w:tc>
          <w:tcPr>
            <w:tcW w:w="116" w:type="dxa"/>
            <w:tcBorders>
              <w:bottom w:val="single" w:sz="2" w:space="0" w:color="FFFFFF"/>
            </w:tcBorders>
            <w:shd w:fill="FFFFFF" w:val="clear"/>
            <w:vAlign w:val="bottom"/>
          </w:tcPr>
          <w:p>
            <w:pPr>
              <w:pStyle w:val="TableContents"/>
              <w:spacing w:before="0" w:after="283"/>
              <w:jc w:val="left"/>
              <w:rPr/>
            </w:pPr>
            <w:r>
              <w:rPr/>
              <w:t> </w:t>
            </w:r>
          </w:p>
        </w:tc>
      </w:tr>
      <w:tr>
        <w:trPr/>
        <w:tc>
          <w:tcPr>
            <w:tcW w:w="4080" w:type="dxa"/>
            <w:tcBorders>
              <w:bottom w:val="doub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Segment operating income (loss)</w:t>
            </w:r>
          </w:p>
        </w:tc>
        <w:tc>
          <w:tcPr>
            <w:tcW w:w="187" w:type="dxa"/>
            <w:tcBorders>
              <w:bottom w:val="single" w:sz="4" w:space="0" w:color="CCEEFF"/>
            </w:tcBorders>
            <w:shd w:fill="CCEEFF" w:val="clear"/>
            <w:vAlign w:val="center"/>
          </w:tcPr>
          <w:p>
            <w:pPr>
              <w:pStyle w:val="TableContents"/>
              <w:spacing w:before="0" w:after="283"/>
              <w:rPr/>
            </w:pPr>
            <w:r>
              <w:rPr/>
              <w:t> </w:t>
            </w:r>
          </w:p>
        </w:tc>
        <w:tc>
          <w:tcPr>
            <w:tcW w:w="126" w:type="dxa"/>
            <w:tcBorders>
              <w:bottom w:val="doub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bookmarkStart w:id="3895" w:name="TAB2223"/>
            <w:bookmarkEnd w:id="3895"/>
          </w:p>
        </w:tc>
        <w:tc>
          <w:tcPr>
            <w:tcW w:w="1154" w:type="dxa"/>
            <w:tcBorders>
              <w:bottom w:val="doub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3896" w:name="TAB2224"/>
            <w:bookmarkEnd w:id="3896"/>
            <w:r>
              <w:rPr>
                <w:rFonts w:ascii="Times New Roman" w:hAnsi="Times New Roman"/>
                <w:sz w:val="20"/>
              </w:rPr>
              <w:t>(1,030</w:t>
            </w:r>
          </w:p>
        </w:tc>
        <w:tc>
          <w:tcPr>
            <w:tcW w:w="194" w:type="dxa"/>
            <w:tcBorders>
              <w:bottom w:val="single" w:sz="4" w:space="0" w:color="CCEEFF"/>
            </w:tcBorders>
            <w:shd w:fill="CCEEFF" w:val="clear"/>
            <w:vAlign w:val="bottom"/>
          </w:tcPr>
          <w:p>
            <w:pPr>
              <w:pStyle w:val="TableContents"/>
              <w:spacing w:lineRule="auto" w:line="300" w:before="0" w:after="0"/>
              <w:ind w:left="0" w:right="0" w:hanging="0"/>
              <w:jc w:val="left"/>
              <w:rPr>
                <w:rFonts w:ascii="Times New Roman" w:hAnsi="Times New Roman"/>
                <w:sz w:val="20"/>
              </w:rPr>
            </w:pPr>
            <w:bookmarkStart w:id="3897" w:name="TAB2225"/>
            <w:bookmarkEnd w:id="3897"/>
            <w:r>
              <w:rPr>
                <w:rFonts w:ascii="Times New Roman" w:hAnsi="Times New Roman"/>
                <w:sz w:val="20"/>
              </w:rPr>
              <w:t>)</w:t>
            </w:r>
          </w:p>
        </w:tc>
        <w:tc>
          <w:tcPr>
            <w:tcW w:w="126" w:type="dxa"/>
            <w:tcBorders>
              <w:bottom w:val="doub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bookmarkStart w:id="3898" w:name="TAB2226"/>
            <w:bookmarkEnd w:id="3898"/>
          </w:p>
        </w:tc>
        <w:tc>
          <w:tcPr>
            <w:tcW w:w="1123" w:type="dxa"/>
            <w:tcBorders>
              <w:bottom w:val="doub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3899" w:name="TAB2227"/>
            <w:bookmarkEnd w:id="3899"/>
            <w:r>
              <w:rPr>
                <w:rFonts w:ascii="Times New Roman" w:hAnsi="Times New Roman"/>
                <w:sz w:val="20"/>
              </w:rPr>
              <w:t>5,162</w:t>
            </w:r>
          </w:p>
        </w:tc>
        <w:tc>
          <w:tcPr>
            <w:tcW w:w="187" w:type="dxa"/>
            <w:tcBorders>
              <w:bottom w:val="single" w:sz="4" w:space="0" w:color="CCEEFF"/>
            </w:tcBorders>
            <w:shd w:fill="CCEEFF" w:val="clear"/>
            <w:vAlign w:val="bottom"/>
          </w:tcPr>
          <w:p>
            <w:pPr>
              <w:pStyle w:val="TableContents"/>
              <w:spacing w:before="0" w:after="283"/>
              <w:jc w:val="left"/>
              <w:rPr/>
            </w:pPr>
            <w:r>
              <w:rPr/>
              <w:t> </w:t>
            </w:r>
          </w:p>
        </w:tc>
        <w:tc>
          <w:tcPr>
            <w:tcW w:w="126" w:type="dxa"/>
            <w:tcBorders>
              <w:bottom w:val="doub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bookmarkStart w:id="3900" w:name="TAB2228"/>
            <w:bookmarkEnd w:id="3900"/>
          </w:p>
        </w:tc>
        <w:tc>
          <w:tcPr>
            <w:tcW w:w="1308" w:type="dxa"/>
            <w:tcBorders>
              <w:bottom w:val="doub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3901" w:name="TAB2229"/>
            <w:bookmarkEnd w:id="3901"/>
            <w:r>
              <w:rPr>
                <w:rFonts w:ascii="Times New Roman" w:hAnsi="Times New Roman"/>
                <w:sz w:val="20"/>
              </w:rPr>
              <w:t>--</w:t>
            </w:r>
          </w:p>
        </w:tc>
        <w:tc>
          <w:tcPr>
            <w:tcW w:w="193" w:type="dxa"/>
            <w:tcBorders>
              <w:bottom w:val="single" w:sz="4" w:space="0" w:color="CCEEFF"/>
            </w:tcBorders>
            <w:shd w:fill="CCEEFF" w:val="clear"/>
            <w:vAlign w:val="bottom"/>
          </w:tcPr>
          <w:p>
            <w:pPr>
              <w:pStyle w:val="TableContents"/>
              <w:spacing w:before="0" w:after="283"/>
              <w:jc w:val="left"/>
              <w:rPr/>
            </w:pPr>
            <w:r>
              <w:rPr/>
              <w:t> </w:t>
            </w:r>
          </w:p>
        </w:tc>
        <w:tc>
          <w:tcPr>
            <w:tcW w:w="126" w:type="dxa"/>
            <w:tcBorders>
              <w:bottom w:val="doub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bookmarkStart w:id="3902" w:name="TAB2230"/>
            <w:bookmarkEnd w:id="3902"/>
          </w:p>
        </w:tc>
        <w:tc>
          <w:tcPr>
            <w:tcW w:w="1159" w:type="dxa"/>
            <w:tcBorders>
              <w:bottom w:val="doub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3903" w:name="TAB2231"/>
            <w:bookmarkEnd w:id="3903"/>
            <w:r>
              <w:rPr>
                <w:rFonts w:ascii="Times New Roman" w:hAnsi="Times New Roman"/>
                <w:sz w:val="20"/>
              </w:rPr>
              <w:t>4,132</w:t>
            </w:r>
          </w:p>
        </w:tc>
        <w:tc>
          <w:tcPr>
            <w:tcW w:w="116" w:type="dxa"/>
            <w:tcBorders>
              <w:bottom w:val="single" w:sz="4" w:space="0" w:color="CCEEFF"/>
            </w:tcBorders>
            <w:shd w:fill="CCEEFF" w:val="clear"/>
            <w:vAlign w:val="bottom"/>
          </w:tcPr>
          <w:p>
            <w:pPr>
              <w:pStyle w:val="TableContents"/>
              <w:spacing w:before="0" w:after="283"/>
              <w:jc w:val="left"/>
              <w:rPr/>
            </w:pPr>
            <w:r>
              <w:rPr/>
              <w:t> </w:t>
            </w:r>
          </w:p>
        </w:tc>
      </w:tr>
      <w:tr>
        <w:trPr/>
        <w:tc>
          <w:tcPr>
            <w:tcW w:w="4080" w:type="dxa"/>
            <w:tcBorders>
              <w:bottom w:val="double" w:sz="2" w:space="0" w:color="000000"/>
            </w:tcBorders>
            <w:shd w:fill="FFFFFF" w:val="clear"/>
            <w:vAlign w:val="bottom"/>
          </w:tcPr>
          <w:p>
            <w:pPr>
              <w:pStyle w:val="TableContents"/>
              <w:spacing w:lineRule="auto" w:line="300" w:before="0" w:after="0"/>
              <w:ind w:left="0" w:right="0" w:hanging="0"/>
              <w:jc w:val="left"/>
              <w:rPr/>
            </w:pPr>
            <w:r>
              <w:rPr>
                <w:rStyle w:val="StrongEmphasis"/>
                <w:rFonts w:ascii="Times New Roman" w:hAnsi="Times New Roman"/>
                <w:sz w:val="20"/>
              </w:rPr>
              <w:t>Year Ended December 31, 2004</w:t>
            </w:r>
          </w:p>
        </w:tc>
        <w:tc>
          <w:tcPr>
            <w:tcW w:w="187" w:type="dxa"/>
            <w:tcBorders>
              <w:bottom w:val="single" w:sz="4" w:space="0" w:color="FFFFFF"/>
            </w:tcBorders>
            <w:shd w:fill="FFFFFF" w:val="clear"/>
            <w:vAlign w:val="center"/>
          </w:tcPr>
          <w:p>
            <w:pPr>
              <w:pStyle w:val="TableContents"/>
              <w:spacing w:before="0" w:after="283"/>
              <w:rPr/>
            </w:pPr>
            <w:r>
              <w:rPr/>
              <w:t> </w:t>
            </w:r>
          </w:p>
        </w:tc>
        <w:tc>
          <w:tcPr>
            <w:tcW w:w="126" w:type="dxa"/>
            <w:tcBorders>
              <w:bottom w:val="double" w:sz="2" w:space="0" w:color="000000"/>
            </w:tcBorders>
            <w:shd w:fill="FFFFFF" w:val="clear"/>
            <w:vAlign w:val="bottom"/>
          </w:tcPr>
          <w:p>
            <w:pPr>
              <w:pStyle w:val="TableContents"/>
              <w:spacing w:before="0" w:after="283"/>
              <w:jc w:val="left"/>
              <w:rPr/>
            </w:pPr>
            <w:r>
              <w:rPr/>
              <w:t> </w:t>
            </w:r>
          </w:p>
        </w:tc>
        <w:tc>
          <w:tcPr>
            <w:tcW w:w="1154" w:type="dxa"/>
            <w:tcBorders>
              <w:bottom w:val="double" w:sz="2" w:space="0" w:color="000000"/>
            </w:tcBorders>
            <w:shd w:fill="FFFFFF" w:val="clear"/>
            <w:vAlign w:val="bottom"/>
          </w:tcPr>
          <w:p>
            <w:pPr>
              <w:pStyle w:val="TableContents"/>
              <w:spacing w:lineRule="auto" w:line="300" w:before="0" w:after="0"/>
              <w:ind w:left="0" w:right="0" w:hanging="0"/>
              <w:jc w:val="center"/>
              <w:rPr/>
            </w:pPr>
            <w:r>
              <w:rPr>
                <w:rStyle w:val="StrongEmphasis"/>
                <w:rFonts w:ascii="Times New Roman" w:hAnsi="Times New Roman"/>
                <w:sz w:val="20"/>
              </w:rPr>
              <w:t>Cinema</w:t>
            </w:r>
          </w:p>
        </w:tc>
        <w:tc>
          <w:tcPr>
            <w:tcW w:w="194" w:type="dxa"/>
            <w:tcBorders>
              <w:bottom w:val="single" w:sz="4" w:space="0" w:color="FFFFFF"/>
            </w:tcBorders>
            <w:shd w:fill="FFFFFF" w:val="clear"/>
            <w:vAlign w:val="bottom"/>
          </w:tcPr>
          <w:p>
            <w:pPr>
              <w:pStyle w:val="TableContents"/>
              <w:spacing w:before="0" w:after="283"/>
              <w:jc w:val="left"/>
              <w:rPr/>
            </w:pPr>
            <w:r>
              <w:rPr/>
              <w:t> </w:t>
            </w:r>
          </w:p>
        </w:tc>
        <w:tc>
          <w:tcPr>
            <w:tcW w:w="126" w:type="dxa"/>
            <w:tcBorders>
              <w:bottom w:val="double" w:sz="2" w:space="0" w:color="000000"/>
            </w:tcBorders>
            <w:shd w:fill="FFFFFF" w:val="clear"/>
            <w:vAlign w:val="bottom"/>
          </w:tcPr>
          <w:p>
            <w:pPr>
              <w:pStyle w:val="TableContents"/>
              <w:spacing w:before="0" w:after="283"/>
              <w:jc w:val="left"/>
              <w:rPr/>
            </w:pPr>
            <w:r>
              <w:rPr/>
              <w:t> </w:t>
            </w:r>
          </w:p>
        </w:tc>
        <w:tc>
          <w:tcPr>
            <w:tcW w:w="1123" w:type="dxa"/>
            <w:tcBorders>
              <w:bottom w:val="double" w:sz="2" w:space="0" w:color="000000"/>
            </w:tcBorders>
            <w:shd w:fill="FFFFFF" w:val="clear"/>
            <w:vAlign w:val="bottom"/>
          </w:tcPr>
          <w:p>
            <w:pPr>
              <w:pStyle w:val="TableContents"/>
              <w:spacing w:lineRule="auto" w:line="300" w:before="0" w:after="0"/>
              <w:ind w:left="0" w:right="0" w:hanging="0"/>
              <w:jc w:val="center"/>
              <w:rPr/>
            </w:pPr>
            <w:r>
              <w:rPr>
                <w:rStyle w:val="StrongEmphasis"/>
                <w:rFonts w:ascii="Times New Roman" w:hAnsi="Times New Roman"/>
                <w:sz w:val="20"/>
              </w:rPr>
              <w:t>Real Estate</w:t>
            </w:r>
          </w:p>
        </w:tc>
        <w:tc>
          <w:tcPr>
            <w:tcW w:w="187" w:type="dxa"/>
            <w:tcBorders>
              <w:bottom w:val="single" w:sz="4" w:space="0" w:color="FFFFFF"/>
            </w:tcBorders>
            <w:shd w:fill="FFFFFF" w:val="clear"/>
            <w:vAlign w:val="bottom"/>
          </w:tcPr>
          <w:p>
            <w:pPr>
              <w:pStyle w:val="TableContents"/>
              <w:spacing w:before="0" w:after="283"/>
              <w:jc w:val="left"/>
              <w:rPr/>
            </w:pPr>
            <w:r>
              <w:rPr/>
              <w:t> </w:t>
            </w:r>
          </w:p>
        </w:tc>
        <w:tc>
          <w:tcPr>
            <w:tcW w:w="126" w:type="dxa"/>
            <w:tcBorders>
              <w:bottom w:val="double" w:sz="2" w:space="0" w:color="000000"/>
            </w:tcBorders>
            <w:shd w:fill="FFFFFF" w:val="clear"/>
            <w:vAlign w:val="bottom"/>
          </w:tcPr>
          <w:p>
            <w:pPr>
              <w:pStyle w:val="TableContents"/>
              <w:spacing w:before="0" w:after="283"/>
              <w:jc w:val="left"/>
              <w:rPr/>
            </w:pPr>
            <w:r>
              <w:rPr/>
              <w:t> </w:t>
            </w:r>
          </w:p>
        </w:tc>
        <w:tc>
          <w:tcPr>
            <w:tcW w:w="1308" w:type="dxa"/>
            <w:tcBorders>
              <w:bottom w:val="double" w:sz="2" w:space="0" w:color="000000"/>
            </w:tcBorders>
            <w:shd w:fill="FFFFFF" w:val="clear"/>
            <w:vAlign w:val="bottom"/>
          </w:tcPr>
          <w:p>
            <w:pPr>
              <w:pStyle w:val="TableContents"/>
              <w:spacing w:lineRule="auto" w:line="300" w:before="0" w:after="0"/>
              <w:ind w:left="0" w:right="0" w:hanging="0"/>
              <w:jc w:val="center"/>
              <w:rPr/>
            </w:pPr>
            <w:r>
              <w:rPr>
                <w:rStyle w:val="StrongEmphasis"/>
                <w:rFonts w:ascii="Times New Roman" w:hAnsi="Times New Roman"/>
                <w:sz w:val="20"/>
              </w:rPr>
              <w:t>Intersegment Eliminations</w:t>
            </w:r>
          </w:p>
        </w:tc>
        <w:tc>
          <w:tcPr>
            <w:tcW w:w="193" w:type="dxa"/>
            <w:tcBorders>
              <w:bottom w:val="single" w:sz="4" w:space="0" w:color="FFFFFF"/>
            </w:tcBorders>
            <w:shd w:fill="FFFFFF" w:val="clear"/>
            <w:vAlign w:val="bottom"/>
          </w:tcPr>
          <w:p>
            <w:pPr>
              <w:pStyle w:val="TableContents"/>
              <w:spacing w:before="0" w:after="283"/>
              <w:jc w:val="left"/>
              <w:rPr/>
            </w:pPr>
            <w:r>
              <w:rPr/>
              <w:t> </w:t>
            </w:r>
          </w:p>
        </w:tc>
        <w:tc>
          <w:tcPr>
            <w:tcW w:w="126" w:type="dxa"/>
            <w:tcBorders>
              <w:bottom w:val="double" w:sz="2" w:space="0" w:color="000000"/>
            </w:tcBorders>
            <w:shd w:fill="FFFFFF" w:val="clear"/>
            <w:vAlign w:val="bottom"/>
          </w:tcPr>
          <w:p>
            <w:pPr>
              <w:pStyle w:val="TableContents"/>
              <w:spacing w:before="0" w:after="283"/>
              <w:jc w:val="left"/>
              <w:rPr/>
            </w:pPr>
            <w:r>
              <w:rPr/>
              <w:t> </w:t>
            </w:r>
          </w:p>
        </w:tc>
        <w:tc>
          <w:tcPr>
            <w:tcW w:w="1159" w:type="dxa"/>
            <w:tcBorders>
              <w:bottom w:val="double" w:sz="2" w:space="0" w:color="000000"/>
            </w:tcBorders>
            <w:shd w:fill="FFFFFF" w:val="clear"/>
            <w:vAlign w:val="bottom"/>
          </w:tcPr>
          <w:p>
            <w:pPr>
              <w:pStyle w:val="TableContents"/>
              <w:spacing w:lineRule="auto" w:line="300" w:before="0" w:after="0"/>
              <w:ind w:left="0" w:right="0" w:hanging="0"/>
              <w:jc w:val="center"/>
              <w:rPr/>
            </w:pPr>
            <w:r>
              <w:rPr>
                <w:rStyle w:val="StrongEmphasis"/>
                <w:rFonts w:ascii="Times New Roman" w:hAnsi="Times New Roman"/>
                <w:sz w:val="20"/>
              </w:rPr>
              <w:t>Total</w:t>
            </w:r>
          </w:p>
        </w:tc>
        <w:tc>
          <w:tcPr>
            <w:tcW w:w="116" w:type="dxa"/>
            <w:tcBorders>
              <w:bottom w:val="single" w:sz="4" w:space="0" w:color="FFFFFF"/>
            </w:tcBorders>
            <w:shd w:fill="FFFFFF" w:val="clear"/>
            <w:vAlign w:val="bottom"/>
          </w:tcPr>
          <w:p>
            <w:pPr>
              <w:pStyle w:val="TableContents"/>
              <w:spacing w:before="0" w:after="283"/>
              <w:jc w:val="left"/>
              <w:rPr/>
            </w:pPr>
            <w:r>
              <w:rPr/>
              <w:t> </w:t>
            </w:r>
          </w:p>
        </w:tc>
      </w:tr>
      <w:tr>
        <w:trPr/>
        <w:tc>
          <w:tcPr>
            <w:tcW w:w="4080" w:type="dxa"/>
            <w:tcBorders/>
            <w:shd w:fill="CCEEFF" w:val="clear"/>
            <w:tcMar>
              <w:bottom w:w="0" w:type="dxa"/>
            </w:tcMar>
            <w:vAlign w:val="bottom"/>
          </w:tcPr>
          <w:p>
            <w:pPr>
              <w:pStyle w:val="TableContents"/>
              <w:spacing w:lineRule="auto" w:line="300" w:before="0" w:after="0"/>
              <w:ind w:left="0" w:right="0" w:hanging="0"/>
              <w:jc w:val="left"/>
              <w:rPr/>
            </w:pPr>
            <w:r>
              <w:rPr>
                <w:rFonts w:ascii="Times New Roman" w:hAnsi="Times New Roman"/>
                <w:sz w:val="20"/>
              </w:rPr>
              <w:t>Revenue</w:t>
            </w:r>
            <w:r>
              <w:rPr>
                <w:rFonts w:ascii="Times New Roman" w:hAnsi="Times New Roman"/>
                <w:position w:val="7"/>
                <w:sz w:val="16"/>
                <w:sz w:val="20"/>
              </w:rPr>
              <w:t>19</w:t>
            </w:r>
          </w:p>
        </w:tc>
        <w:tc>
          <w:tcPr>
            <w:tcW w:w="187" w:type="dxa"/>
            <w:tcBorders/>
            <w:shd w:fill="CCEEFF" w:val="clear"/>
            <w:tcMar>
              <w:bottom w:w="0" w:type="dxa"/>
            </w:tcMar>
            <w:vAlign w:val="center"/>
          </w:tcPr>
          <w:p>
            <w:pPr>
              <w:pStyle w:val="TableContents"/>
              <w:spacing w:before="0" w:after="283"/>
              <w:rPr/>
            </w:pPr>
            <w:r>
              <w:rPr/>
              <w:t> </w:t>
            </w:r>
          </w:p>
        </w:tc>
        <w:tc>
          <w:tcPr>
            <w:tcW w:w="126"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bookmarkStart w:id="3904" w:name="TAB2232"/>
            <w:bookmarkEnd w:id="3904"/>
          </w:p>
        </w:tc>
        <w:tc>
          <w:tcPr>
            <w:tcW w:w="1154"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3905" w:name="TAB2233"/>
            <w:bookmarkEnd w:id="3905"/>
            <w:r>
              <w:rPr>
                <w:rFonts w:ascii="Times New Roman" w:hAnsi="Times New Roman"/>
                <w:sz w:val="20"/>
              </w:rPr>
              <w:t>74,324</w:t>
            </w:r>
          </w:p>
        </w:tc>
        <w:tc>
          <w:tcPr>
            <w:tcW w:w="194" w:type="dxa"/>
            <w:tcBorders/>
            <w:shd w:fill="CCEEFF" w:val="clear"/>
            <w:tcMar>
              <w:bottom w:w="0" w:type="dxa"/>
            </w:tcMar>
            <w:vAlign w:val="bottom"/>
          </w:tcPr>
          <w:p>
            <w:pPr>
              <w:pStyle w:val="TableContents"/>
              <w:spacing w:before="0" w:after="283"/>
              <w:jc w:val="left"/>
              <w:rPr/>
            </w:pPr>
            <w:r>
              <w:rPr/>
              <w:t> </w:t>
            </w:r>
          </w:p>
        </w:tc>
        <w:tc>
          <w:tcPr>
            <w:tcW w:w="126"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bookmarkStart w:id="3906" w:name="TAB2234"/>
            <w:bookmarkEnd w:id="3906"/>
          </w:p>
        </w:tc>
        <w:tc>
          <w:tcPr>
            <w:tcW w:w="1123"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3907" w:name="TAB2235"/>
            <w:bookmarkEnd w:id="3907"/>
            <w:r>
              <w:rPr>
                <w:rFonts w:ascii="Times New Roman" w:hAnsi="Times New Roman"/>
                <w:sz w:val="20"/>
              </w:rPr>
              <w:t>14,990</w:t>
            </w:r>
          </w:p>
        </w:tc>
        <w:tc>
          <w:tcPr>
            <w:tcW w:w="187" w:type="dxa"/>
            <w:tcBorders/>
            <w:shd w:fill="CCEEFF" w:val="clear"/>
            <w:tcMar>
              <w:bottom w:w="0" w:type="dxa"/>
            </w:tcMar>
            <w:vAlign w:val="bottom"/>
          </w:tcPr>
          <w:p>
            <w:pPr>
              <w:pStyle w:val="TableContents"/>
              <w:spacing w:before="0" w:after="283"/>
              <w:jc w:val="left"/>
              <w:rPr/>
            </w:pPr>
            <w:r>
              <w:rPr/>
              <w:t> </w:t>
            </w:r>
          </w:p>
        </w:tc>
        <w:tc>
          <w:tcPr>
            <w:tcW w:w="126"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bookmarkStart w:id="3908" w:name="TAB2236"/>
            <w:bookmarkEnd w:id="3908"/>
          </w:p>
        </w:tc>
        <w:tc>
          <w:tcPr>
            <w:tcW w:w="1308"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3909" w:name="TAB2237"/>
            <w:bookmarkEnd w:id="3909"/>
            <w:r>
              <w:rPr>
                <w:rFonts w:ascii="Times New Roman" w:hAnsi="Times New Roman"/>
                <w:sz w:val="20"/>
              </w:rPr>
              <w:t>(5,225</w:t>
            </w:r>
          </w:p>
        </w:tc>
        <w:tc>
          <w:tcPr>
            <w:tcW w:w="193"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3910" w:name="TAB2238"/>
            <w:bookmarkEnd w:id="3910"/>
            <w:r>
              <w:rPr>
                <w:rFonts w:ascii="Times New Roman" w:hAnsi="Times New Roman"/>
                <w:sz w:val="20"/>
              </w:rPr>
              <w:t>)</w:t>
            </w:r>
          </w:p>
        </w:tc>
        <w:tc>
          <w:tcPr>
            <w:tcW w:w="126"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159"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84,089</w:t>
            </w:r>
          </w:p>
        </w:tc>
        <w:tc>
          <w:tcPr>
            <w:tcW w:w="116" w:type="dxa"/>
            <w:tcBorders/>
            <w:shd w:fill="CCEEFF" w:val="clear"/>
            <w:tcMar>
              <w:bottom w:w="0" w:type="dxa"/>
            </w:tcMar>
            <w:vAlign w:val="bottom"/>
          </w:tcPr>
          <w:p>
            <w:pPr>
              <w:pStyle w:val="TableContents"/>
              <w:spacing w:before="0" w:after="283"/>
              <w:jc w:val="left"/>
              <w:rPr/>
            </w:pPr>
            <w:r>
              <w:rPr/>
              <w:t> </w:t>
            </w:r>
          </w:p>
        </w:tc>
      </w:tr>
      <w:tr>
        <w:trPr/>
        <w:tc>
          <w:tcPr>
            <w:tcW w:w="4080" w:type="dxa"/>
            <w:tcBorders/>
            <w:shd w:fill="FFFFFF" w:val="clear"/>
            <w:tcMar>
              <w:bottom w:w="0" w:type="dxa"/>
            </w:tcMar>
            <w:vAlign w:val="bottom"/>
          </w:tcPr>
          <w:p>
            <w:pPr>
              <w:pStyle w:val="TableContents"/>
              <w:spacing w:lineRule="auto" w:line="300" w:before="0" w:after="0"/>
              <w:ind w:left="0" w:right="0" w:hanging="0"/>
              <w:jc w:val="left"/>
              <w:rPr/>
            </w:pPr>
            <w:r>
              <w:rPr>
                <w:rFonts w:ascii="Times New Roman" w:hAnsi="Times New Roman"/>
                <w:sz w:val="20"/>
              </w:rPr>
              <w:t>Operating expense</w:t>
            </w:r>
            <w:r>
              <w:rPr>
                <w:rFonts w:ascii="Times New Roman" w:hAnsi="Times New Roman"/>
                <w:position w:val="7"/>
                <w:sz w:val="16"/>
                <w:sz w:val="20"/>
              </w:rPr>
              <w:t>19</w:t>
            </w:r>
          </w:p>
        </w:tc>
        <w:tc>
          <w:tcPr>
            <w:tcW w:w="187" w:type="dxa"/>
            <w:tcBorders/>
            <w:shd w:fill="FFFFFF" w:val="clear"/>
            <w:tcMar>
              <w:bottom w:w="0" w:type="dxa"/>
            </w:tcMar>
            <w:vAlign w:val="center"/>
          </w:tcPr>
          <w:p>
            <w:pPr>
              <w:pStyle w:val="TableContents"/>
              <w:spacing w:before="0" w:after="283"/>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154"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62,041</w:t>
            </w:r>
          </w:p>
        </w:tc>
        <w:tc>
          <w:tcPr>
            <w:tcW w:w="194" w:type="dxa"/>
            <w:tcBorders/>
            <w:shd w:fill="FFFFFF" w:val="clear"/>
            <w:tcMar>
              <w:bottom w:w="0" w:type="dxa"/>
            </w:tcMar>
            <w:vAlign w:val="bottom"/>
          </w:tcPr>
          <w:p>
            <w:pPr>
              <w:pStyle w:val="TableContents"/>
              <w:spacing w:before="0" w:after="283"/>
              <w:jc w:val="left"/>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123"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6,948</w:t>
            </w:r>
          </w:p>
        </w:tc>
        <w:tc>
          <w:tcPr>
            <w:tcW w:w="187" w:type="dxa"/>
            <w:tcBorders/>
            <w:shd w:fill="FFFFFF" w:val="clear"/>
            <w:tcMar>
              <w:bottom w:w="0" w:type="dxa"/>
            </w:tcMar>
            <w:vAlign w:val="bottom"/>
          </w:tcPr>
          <w:p>
            <w:pPr>
              <w:pStyle w:val="TableContents"/>
              <w:spacing w:before="0" w:after="283"/>
              <w:jc w:val="left"/>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308"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(5,225</w:t>
            </w:r>
          </w:p>
        </w:tc>
        <w:tc>
          <w:tcPr>
            <w:tcW w:w="193"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26" w:type="dxa"/>
            <w:tcBorders/>
            <w:shd w:fill="FFFFFF" w:val="clear"/>
            <w:tcMar>
              <w:bottom w:w="0" w:type="dxa"/>
            </w:tcMar>
            <w:vAlign w:val="bottom"/>
          </w:tcPr>
          <w:p>
            <w:pPr>
              <w:pStyle w:val="TableContents"/>
              <w:spacing w:before="0" w:after="283"/>
              <w:jc w:val="left"/>
              <w:rPr/>
            </w:pPr>
            <w:r>
              <w:rPr/>
              <w:t> </w:t>
            </w:r>
          </w:p>
        </w:tc>
        <w:tc>
          <w:tcPr>
            <w:tcW w:w="1159"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63,764</w:t>
            </w:r>
          </w:p>
        </w:tc>
        <w:tc>
          <w:tcPr>
            <w:tcW w:w="116" w:type="dxa"/>
            <w:tcBorders/>
            <w:shd w:fill="FFFFFF" w:val="clear"/>
            <w:tcMar>
              <w:bottom w:w="0" w:type="dxa"/>
            </w:tcMar>
            <w:vAlign w:val="bottom"/>
          </w:tcPr>
          <w:p>
            <w:pPr>
              <w:pStyle w:val="TableContents"/>
              <w:spacing w:before="0" w:after="283"/>
              <w:jc w:val="left"/>
              <w:rPr/>
            </w:pPr>
            <w:r>
              <w:rPr/>
              <w:t> </w:t>
            </w:r>
          </w:p>
        </w:tc>
      </w:tr>
      <w:tr>
        <w:trPr/>
        <w:tc>
          <w:tcPr>
            <w:tcW w:w="4080"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Depreciation &amp; amortization</w:t>
            </w:r>
          </w:p>
        </w:tc>
        <w:tc>
          <w:tcPr>
            <w:tcW w:w="187" w:type="dxa"/>
            <w:tcBorders/>
            <w:shd w:fill="CCEEFF" w:val="clear"/>
            <w:tcMar>
              <w:bottom w:w="0" w:type="dxa"/>
            </w:tcMar>
            <w:vAlign w:val="center"/>
          </w:tcPr>
          <w:p>
            <w:pPr>
              <w:pStyle w:val="TableContents"/>
              <w:spacing w:before="0" w:after="283"/>
              <w:rPr/>
            </w:pPr>
            <w:r>
              <w:rPr/>
              <w:t> </w:t>
            </w:r>
          </w:p>
        </w:tc>
        <w:tc>
          <w:tcPr>
            <w:tcW w:w="126" w:type="dxa"/>
            <w:tcBorders/>
            <w:shd w:fill="CCEEFF" w:val="clear"/>
            <w:tcMar>
              <w:bottom w:w="0" w:type="dxa"/>
            </w:tcMar>
            <w:vAlign w:val="bottom"/>
          </w:tcPr>
          <w:p>
            <w:pPr>
              <w:pStyle w:val="TableContents"/>
              <w:spacing w:before="0" w:after="283"/>
              <w:jc w:val="left"/>
              <w:rPr/>
            </w:pPr>
            <w:r>
              <w:rPr/>
              <w:t> </w:t>
            </w:r>
          </w:p>
        </w:tc>
        <w:tc>
          <w:tcPr>
            <w:tcW w:w="1154"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8,093</w:t>
            </w:r>
          </w:p>
        </w:tc>
        <w:tc>
          <w:tcPr>
            <w:tcW w:w="194" w:type="dxa"/>
            <w:tcBorders/>
            <w:shd w:fill="CCEEFF" w:val="clear"/>
            <w:tcMar>
              <w:bottom w:w="0" w:type="dxa"/>
            </w:tcMar>
            <w:vAlign w:val="bottom"/>
          </w:tcPr>
          <w:p>
            <w:pPr>
              <w:pStyle w:val="TableContents"/>
              <w:spacing w:before="0" w:after="283"/>
              <w:jc w:val="left"/>
              <w:rPr/>
            </w:pPr>
            <w:r>
              <w:rPr/>
              <w:t> </w:t>
            </w:r>
          </w:p>
        </w:tc>
        <w:tc>
          <w:tcPr>
            <w:tcW w:w="126" w:type="dxa"/>
            <w:tcBorders/>
            <w:shd w:fill="CCEEFF" w:val="clear"/>
            <w:tcMar>
              <w:bottom w:w="0" w:type="dxa"/>
            </w:tcMar>
            <w:vAlign w:val="bottom"/>
          </w:tcPr>
          <w:p>
            <w:pPr>
              <w:pStyle w:val="TableContents"/>
              <w:spacing w:before="0" w:after="283"/>
              <w:jc w:val="left"/>
              <w:rPr/>
            </w:pPr>
            <w:r>
              <w:rPr/>
              <w:t> </w:t>
            </w:r>
          </w:p>
        </w:tc>
        <w:tc>
          <w:tcPr>
            <w:tcW w:w="1123"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3,630</w:t>
            </w:r>
          </w:p>
        </w:tc>
        <w:tc>
          <w:tcPr>
            <w:tcW w:w="187" w:type="dxa"/>
            <w:tcBorders/>
            <w:shd w:fill="CCEEFF" w:val="clear"/>
            <w:tcMar>
              <w:bottom w:w="0" w:type="dxa"/>
            </w:tcMar>
            <w:vAlign w:val="bottom"/>
          </w:tcPr>
          <w:p>
            <w:pPr>
              <w:pStyle w:val="TableContents"/>
              <w:spacing w:before="0" w:after="283"/>
              <w:jc w:val="left"/>
              <w:rPr/>
            </w:pPr>
            <w:r>
              <w:rPr/>
              <w:t> </w:t>
            </w:r>
          </w:p>
        </w:tc>
        <w:tc>
          <w:tcPr>
            <w:tcW w:w="126" w:type="dxa"/>
            <w:tcBorders/>
            <w:shd w:fill="CCEEFF" w:val="clear"/>
            <w:tcMar>
              <w:bottom w:w="0" w:type="dxa"/>
            </w:tcMar>
            <w:vAlign w:val="bottom"/>
          </w:tcPr>
          <w:p>
            <w:pPr>
              <w:pStyle w:val="TableContents"/>
              <w:spacing w:before="0" w:after="283"/>
              <w:jc w:val="left"/>
              <w:rPr/>
            </w:pPr>
            <w:r>
              <w:rPr/>
              <w:t> </w:t>
            </w:r>
          </w:p>
        </w:tc>
        <w:tc>
          <w:tcPr>
            <w:tcW w:w="1308"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193" w:type="dxa"/>
            <w:tcBorders/>
            <w:shd w:fill="CCEEFF" w:val="clear"/>
            <w:tcMar>
              <w:bottom w:w="0" w:type="dxa"/>
            </w:tcMar>
            <w:vAlign w:val="bottom"/>
          </w:tcPr>
          <w:p>
            <w:pPr>
              <w:pStyle w:val="TableContents"/>
              <w:spacing w:before="0" w:after="283"/>
              <w:jc w:val="left"/>
              <w:rPr/>
            </w:pPr>
            <w:r>
              <w:rPr/>
              <w:t> </w:t>
            </w:r>
          </w:p>
        </w:tc>
        <w:tc>
          <w:tcPr>
            <w:tcW w:w="126" w:type="dxa"/>
            <w:tcBorders/>
            <w:shd w:fill="CCEEFF" w:val="clear"/>
            <w:tcMar>
              <w:bottom w:w="0" w:type="dxa"/>
            </w:tcMar>
            <w:vAlign w:val="bottom"/>
          </w:tcPr>
          <w:p>
            <w:pPr>
              <w:pStyle w:val="TableContents"/>
              <w:spacing w:before="0" w:after="283"/>
              <w:jc w:val="left"/>
              <w:rPr/>
            </w:pPr>
            <w:r>
              <w:rPr/>
              <w:t> </w:t>
            </w:r>
          </w:p>
        </w:tc>
        <w:tc>
          <w:tcPr>
            <w:tcW w:w="1159"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11,723</w:t>
            </w:r>
          </w:p>
        </w:tc>
        <w:tc>
          <w:tcPr>
            <w:tcW w:w="116" w:type="dxa"/>
            <w:tcBorders/>
            <w:shd w:fill="CCEEFF" w:val="clear"/>
            <w:tcMar>
              <w:bottom w:w="0" w:type="dxa"/>
            </w:tcMar>
            <w:vAlign w:val="bottom"/>
          </w:tcPr>
          <w:p>
            <w:pPr>
              <w:pStyle w:val="TableContents"/>
              <w:spacing w:before="0" w:after="283"/>
              <w:jc w:val="left"/>
              <w:rPr/>
            </w:pPr>
            <w:r>
              <w:rPr/>
              <w:t> </w:t>
            </w:r>
          </w:p>
        </w:tc>
      </w:tr>
      <w:tr>
        <w:trPr/>
        <w:tc>
          <w:tcPr>
            <w:tcW w:w="4080" w:type="dxa"/>
            <w:tcBorders>
              <w:bottom w:val="sing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General &amp; administrative expense</w:t>
            </w:r>
          </w:p>
        </w:tc>
        <w:tc>
          <w:tcPr>
            <w:tcW w:w="187" w:type="dxa"/>
            <w:tcBorders>
              <w:bottom w:val="single" w:sz="2" w:space="0" w:color="FFFFFF"/>
            </w:tcBorders>
            <w:shd w:fill="FFFFFF" w:val="clear"/>
            <w:vAlign w:val="center"/>
          </w:tcPr>
          <w:p>
            <w:pPr>
              <w:pStyle w:val="TableContents"/>
              <w:spacing w:before="0" w:after="283"/>
              <w:rPr/>
            </w:pPr>
            <w:r>
              <w:rPr/>
              <w:t> </w:t>
            </w:r>
          </w:p>
        </w:tc>
        <w:tc>
          <w:tcPr>
            <w:tcW w:w="126" w:type="dxa"/>
            <w:tcBorders>
              <w:bottom w:val="single" w:sz="2" w:space="0" w:color="000000"/>
            </w:tcBorders>
            <w:shd w:fill="FFFFFF" w:val="clear"/>
            <w:vAlign w:val="bottom"/>
          </w:tcPr>
          <w:p>
            <w:pPr>
              <w:pStyle w:val="TableContents"/>
              <w:spacing w:before="0" w:after="283"/>
              <w:jc w:val="left"/>
              <w:rPr/>
            </w:pPr>
            <w:r>
              <w:rPr/>
              <w:t> </w:t>
            </w:r>
          </w:p>
        </w:tc>
        <w:tc>
          <w:tcPr>
            <w:tcW w:w="1154"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5,868</w:t>
            </w:r>
          </w:p>
        </w:tc>
        <w:tc>
          <w:tcPr>
            <w:tcW w:w="194" w:type="dxa"/>
            <w:tcBorders>
              <w:bottom w:val="single" w:sz="2" w:space="0" w:color="FFFFFF"/>
            </w:tcBorders>
            <w:shd w:fill="FFFFFF" w:val="clear"/>
            <w:vAlign w:val="bottom"/>
          </w:tcPr>
          <w:p>
            <w:pPr>
              <w:pStyle w:val="TableContents"/>
              <w:spacing w:before="0" w:after="283"/>
              <w:jc w:val="left"/>
              <w:rPr/>
            </w:pPr>
            <w:r>
              <w:rPr/>
              <w:t> </w:t>
            </w:r>
          </w:p>
        </w:tc>
        <w:tc>
          <w:tcPr>
            <w:tcW w:w="126" w:type="dxa"/>
            <w:tcBorders>
              <w:bottom w:val="single" w:sz="2" w:space="0" w:color="000000"/>
            </w:tcBorders>
            <w:shd w:fill="FFFFFF" w:val="clear"/>
            <w:vAlign w:val="bottom"/>
          </w:tcPr>
          <w:p>
            <w:pPr>
              <w:pStyle w:val="TableContents"/>
              <w:spacing w:before="0" w:after="283"/>
              <w:jc w:val="left"/>
              <w:rPr/>
            </w:pPr>
            <w:r>
              <w:rPr/>
              <w:t> </w:t>
            </w:r>
          </w:p>
        </w:tc>
        <w:tc>
          <w:tcPr>
            <w:tcW w:w="1123"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489</w:t>
            </w:r>
          </w:p>
        </w:tc>
        <w:tc>
          <w:tcPr>
            <w:tcW w:w="187" w:type="dxa"/>
            <w:tcBorders>
              <w:bottom w:val="single" w:sz="2" w:space="0" w:color="FFFFFF"/>
            </w:tcBorders>
            <w:shd w:fill="FFFFFF" w:val="clear"/>
            <w:vAlign w:val="bottom"/>
          </w:tcPr>
          <w:p>
            <w:pPr>
              <w:pStyle w:val="TableContents"/>
              <w:spacing w:before="0" w:after="283"/>
              <w:jc w:val="left"/>
              <w:rPr/>
            </w:pPr>
            <w:r>
              <w:rPr/>
              <w:t> </w:t>
            </w:r>
          </w:p>
        </w:tc>
        <w:tc>
          <w:tcPr>
            <w:tcW w:w="126" w:type="dxa"/>
            <w:tcBorders>
              <w:bottom w:val="single" w:sz="2" w:space="0" w:color="000000"/>
            </w:tcBorders>
            <w:shd w:fill="FFFFFF" w:val="clear"/>
            <w:vAlign w:val="bottom"/>
          </w:tcPr>
          <w:p>
            <w:pPr>
              <w:pStyle w:val="TableContents"/>
              <w:spacing w:before="0" w:after="283"/>
              <w:jc w:val="left"/>
              <w:rPr/>
            </w:pPr>
            <w:r>
              <w:rPr/>
              <w:t> </w:t>
            </w:r>
          </w:p>
        </w:tc>
        <w:tc>
          <w:tcPr>
            <w:tcW w:w="1308"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193" w:type="dxa"/>
            <w:tcBorders>
              <w:bottom w:val="single" w:sz="2" w:space="0" w:color="FFFFFF"/>
            </w:tcBorders>
            <w:shd w:fill="FFFFFF" w:val="clear"/>
            <w:vAlign w:val="bottom"/>
          </w:tcPr>
          <w:p>
            <w:pPr>
              <w:pStyle w:val="TableContents"/>
              <w:spacing w:before="0" w:after="283"/>
              <w:jc w:val="left"/>
              <w:rPr/>
            </w:pPr>
            <w:r>
              <w:rPr/>
              <w:t> </w:t>
            </w:r>
          </w:p>
        </w:tc>
        <w:tc>
          <w:tcPr>
            <w:tcW w:w="126" w:type="dxa"/>
            <w:tcBorders>
              <w:bottom w:val="single" w:sz="2" w:space="0" w:color="000000"/>
            </w:tcBorders>
            <w:shd w:fill="FFFFFF" w:val="clear"/>
            <w:vAlign w:val="bottom"/>
          </w:tcPr>
          <w:p>
            <w:pPr>
              <w:pStyle w:val="TableContents"/>
              <w:spacing w:before="0" w:after="283"/>
              <w:jc w:val="left"/>
              <w:rPr/>
            </w:pPr>
            <w:r>
              <w:rPr/>
              <w:t> </w:t>
            </w:r>
          </w:p>
        </w:tc>
        <w:tc>
          <w:tcPr>
            <w:tcW w:w="1159"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6,357</w:t>
            </w:r>
          </w:p>
        </w:tc>
        <w:tc>
          <w:tcPr>
            <w:tcW w:w="116" w:type="dxa"/>
            <w:tcBorders>
              <w:bottom w:val="single" w:sz="2" w:space="0" w:color="FFFFFF"/>
            </w:tcBorders>
            <w:shd w:fill="FFFFFF" w:val="clear"/>
            <w:vAlign w:val="bottom"/>
          </w:tcPr>
          <w:p>
            <w:pPr>
              <w:pStyle w:val="TableContents"/>
              <w:spacing w:before="0" w:after="283"/>
              <w:jc w:val="left"/>
              <w:rPr/>
            </w:pPr>
            <w:r>
              <w:rPr/>
              <w:t> </w:t>
            </w:r>
          </w:p>
        </w:tc>
      </w:tr>
      <w:tr>
        <w:trPr/>
        <w:tc>
          <w:tcPr>
            <w:tcW w:w="4080" w:type="dxa"/>
            <w:tcBorders>
              <w:bottom w:val="doub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Segment operating income (loss)</w:t>
            </w:r>
          </w:p>
        </w:tc>
        <w:tc>
          <w:tcPr>
            <w:tcW w:w="187" w:type="dxa"/>
            <w:tcBorders>
              <w:bottom w:val="single" w:sz="4" w:space="0" w:color="CCEEFF"/>
            </w:tcBorders>
            <w:shd w:fill="CCEEFF" w:val="clear"/>
            <w:vAlign w:val="center"/>
          </w:tcPr>
          <w:p>
            <w:pPr>
              <w:pStyle w:val="TableContents"/>
              <w:spacing w:before="0" w:after="283"/>
              <w:rPr/>
            </w:pPr>
            <w:r>
              <w:rPr/>
              <w:t> </w:t>
            </w:r>
          </w:p>
        </w:tc>
        <w:tc>
          <w:tcPr>
            <w:tcW w:w="126" w:type="dxa"/>
            <w:tcBorders>
              <w:bottom w:val="doub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bookmarkStart w:id="3911" w:name="TAB2239"/>
            <w:bookmarkEnd w:id="3911"/>
          </w:p>
        </w:tc>
        <w:tc>
          <w:tcPr>
            <w:tcW w:w="1154" w:type="dxa"/>
            <w:tcBorders>
              <w:bottom w:val="doub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3912" w:name="TAB2240"/>
            <w:bookmarkEnd w:id="3912"/>
            <w:r>
              <w:rPr>
                <w:rFonts w:ascii="Times New Roman" w:hAnsi="Times New Roman"/>
                <w:sz w:val="20"/>
              </w:rPr>
              <w:t>(1,678</w:t>
            </w:r>
          </w:p>
        </w:tc>
        <w:tc>
          <w:tcPr>
            <w:tcW w:w="194" w:type="dxa"/>
            <w:tcBorders>
              <w:bottom w:val="single" w:sz="4" w:space="0" w:color="CCEEFF"/>
            </w:tcBorders>
            <w:shd w:fill="CCEEFF" w:val="clear"/>
            <w:vAlign w:val="bottom"/>
          </w:tcPr>
          <w:p>
            <w:pPr>
              <w:pStyle w:val="TableContents"/>
              <w:spacing w:lineRule="auto" w:line="300" w:before="0" w:after="0"/>
              <w:ind w:left="0" w:right="0" w:hanging="0"/>
              <w:jc w:val="left"/>
              <w:rPr>
                <w:rFonts w:ascii="Times New Roman" w:hAnsi="Times New Roman"/>
                <w:sz w:val="20"/>
              </w:rPr>
            </w:pPr>
            <w:bookmarkStart w:id="3913" w:name="TAB2241"/>
            <w:bookmarkEnd w:id="3913"/>
            <w:r>
              <w:rPr>
                <w:rFonts w:ascii="Times New Roman" w:hAnsi="Times New Roman"/>
                <w:sz w:val="20"/>
              </w:rPr>
              <w:t>)</w:t>
            </w:r>
          </w:p>
        </w:tc>
        <w:tc>
          <w:tcPr>
            <w:tcW w:w="126" w:type="dxa"/>
            <w:tcBorders>
              <w:bottom w:val="doub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bookmarkStart w:id="3914" w:name="TAB2242"/>
            <w:bookmarkEnd w:id="3914"/>
          </w:p>
        </w:tc>
        <w:tc>
          <w:tcPr>
            <w:tcW w:w="1123" w:type="dxa"/>
            <w:tcBorders>
              <w:bottom w:val="doub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3915" w:name="TAB2243"/>
            <w:bookmarkEnd w:id="3915"/>
            <w:r>
              <w:rPr>
                <w:rFonts w:ascii="Times New Roman" w:hAnsi="Times New Roman"/>
                <w:sz w:val="20"/>
              </w:rPr>
              <w:t>3,923</w:t>
            </w:r>
          </w:p>
        </w:tc>
        <w:tc>
          <w:tcPr>
            <w:tcW w:w="187" w:type="dxa"/>
            <w:tcBorders>
              <w:bottom w:val="single" w:sz="4" w:space="0" w:color="CCEEFF"/>
            </w:tcBorders>
            <w:shd w:fill="CCEEFF" w:val="clear"/>
            <w:vAlign w:val="bottom"/>
          </w:tcPr>
          <w:p>
            <w:pPr>
              <w:pStyle w:val="TableContents"/>
              <w:spacing w:before="0" w:after="283"/>
              <w:jc w:val="left"/>
              <w:rPr/>
            </w:pPr>
            <w:r>
              <w:rPr/>
              <w:t> </w:t>
            </w:r>
          </w:p>
        </w:tc>
        <w:tc>
          <w:tcPr>
            <w:tcW w:w="126" w:type="dxa"/>
            <w:tcBorders>
              <w:bottom w:val="doub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bookmarkStart w:id="3916" w:name="TAB2244"/>
            <w:bookmarkEnd w:id="3916"/>
          </w:p>
        </w:tc>
        <w:tc>
          <w:tcPr>
            <w:tcW w:w="1308" w:type="dxa"/>
            <w:tcBorders>
              <w:bottom w:val="doub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3917" w:name="TAB2245"/>
            <w:bookmarkEnd w:id="3917"/>
            <w:r>
              <w:rPr>
                <w:rFonts w:ascii="Times New Roman" w:hAnsi="Times New Roman"/>
                <w:sz w:val="20"/>
              </w:rPr>
              <w:t>--</w:t>
            </w:r>
          </w:p>
        </w:tc>
        <w:tc>
          <w:tcPr>
            <w:tcW w:w="193" w:type="dxa"/>
            <w:tcBorders>
              <w:bottom w:val="single" w:sz="4" w:space="0" w:color="CCEEFF"/>
            </w:tcBorders>
            <w:shd w:fill="CCEEFF" w:val="clear"/>
            <w:vAlign w:val="bottom"/>
          </w:tcPr>
          <w:p>
            <w:pPr>
              <w:pStyle w:val="TableContents"/>
              <w:spacing w:before="0" w:after="283"/>
              <w:jc w:val="left"/>
              <w:rPr/>
            </w:pPr>
            <w:r>
              <w:rPr/>
              <w:t> </w:t>
            </w:r>
          </w:p>
        </w:tc>
        <w:tc>
          <w:tcPr>
            <w:tcW w:w="126" w:type="dxa"/>
            <w:tcBorders>
              <w:bottom w:val="doub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159" w:type="dxa"/>
            <w:tcBorders>
              <w:bottom w:val="doub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2,245</w:t>
            </w:r>
          </w:p>
        </w:tc>
        <w:tc>
          <w:tcPr>
            <w:tcW w:w="116" w:type="dxa"/>
            <w:tcBorders>
              <w:bottom w:val="single" w:sz="4" w:space="0" w:color="CCEEFF"/>
            </w:tcBorders>
            <w:shd w:fill="CCEEFF" w:val="clear"/>
            <w:vAlign w:val="bottom"/>
          </w:tcPr>
          <w:p>
            <w:pPr>
              <w:pStyle w:val="TableContents"/>
              <w:spacing w:before="0" w:after="283"/>
              <w:jc w:val="left"/>
              <w:rPr/>
            </w:pPr>
            <w:r>
              <w:rPr/>
              <w:t> </w:t>
            </w:r>
          </w:p>
        </w:tc>
      </w:tr>
    </w:tbl>
    <w:p>
      <w:pPr>
        <w:pStyle w:val="TextBody"/>
        <w:spacing w:lineRule="auto" w:line="300" w:before="0" w:after="0"/>
        <w:jc w:val="both"/>
        <w:rPr/>
      </w:pPr>
      <w:r>
        <w:rPr/>
      </w:r>
    </w:p>
    <w:p>
      <w:pPr>
        <w:pStyle w:val="TextBody"/>
        <w:spacing w:lineRule="auto" w:line="300" w:before="0" w:after="0"/>
        <w:ind w:left="0" w:right="0" w:hanging="0"/>
        <w:jc w:val="left"/>
        <w:rPr/>
      </w:pPr>
      <w:r>
        <w:rPr>
          <w:rFonts w:ascii="Times New Roman" w:hAnsi="Times New Roman"/>
          <w:position w:val="7"/>
          <w:sz w:val="16"/>
          <w:sz w:val="20"/>
        </w:rPr>
        <w:t>19</w:t>
      </w:r>
      <w:r>
        <w:rPr/>
        <w:t xml:space="preserve"> </w:t>
      </w:r>
      <w:r>
        <w:rPr>
          <w:rFonts w:ascii="Times New Roman" w:hAnsi="Times New Roman"/>
          <w:sz w:val="20"/>
        </w:rPr>
        <w:t xml:space="preserve">2005 and 2004 real estate revenues and cinema operating expenses have been adjusted from the amounts previously reported. See Note 2 - </w:t>
      </w:r>
      <w:r>
        <w:rPr>
          <w:rStyle w:val="Emphasis"/>
          <w:rFonts w:ascii="Times New Roman" w:hAnsi="Times New Roman"/>
          <w:sz w:val="20"/>
        </w:rPr>
        <w:t>Summary of Significant Accounting Policies</w:t>
      </w:r>
      <w:r>
        <w:rPr>
          <w:rFonts w:ascii="Times New Roman" w:hAnsi="Times New Roman"/>
          <w:sz w:val="20"/>
        </w:rPr>
        <w:t>.</w:t>
      </w:r>
    </w:p>
    <w:p>
      <w:pPr>
        <w:pStyle w:val="TextBody"/>
        <w:spacing w:lineRule="auto" w:line="300"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300" w:before="0" w:after="0"/>
        <w:ind w:left="0" w:right="0" w:hanging="0"/>
        <w:jc w:val="both"/>
        <w:rPr/>
      </w:pPr>
      <w:r>
        <w:rPr/>
      </w:r>
      <w:bookmarkStart w:id="3918" w:name="PGBRK109"/>
      <w:bookmarkStart w:id="3919" w:name="PGBRK109"/>
      <w:bookmarkEnd w:id="39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0"/>
        <w:jc w:val="both"/>
        <w:rPr/>
      </w:pPr>
      <w:r>
        <w:rPr/>
      </w:r>
      <w:bookmarkStart w:id="3920" w:name="FTR109"/>
      <w:bookmarkStart w:id="3921" w:name="FTR109"/>
      <w:bookmarkEnd w:id="392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0"/>
        <w:jc w:val="both"/>
        <w:rPr/>
      </w:pPr>
      <w:r>
        <w:rPr/>
      </w:r>
      <w:bookmarkStart w:id="3922" w:name="GLFTR109"/>
      <w:bookmarkStart w:id="3923" w:name="GLFTR109"/>
      <w:bookmarkEnd w:id="39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0"/>
        <w:jc w:val="center"/>
        <w:rPr>
          <w:rFonts w:ascii="Times New Roman" w:hAnsi="Times New Roman"/>
          <w:sz w:val="16"/>
        </w:rPr>
      </w:pPr>
      <w:bookmarkStart w:id="3924" w:name="PN109"/>
      <w:bookmarkEnd w:id="3924"/>
      <w:r>
        <w:rPr>
          <w:rFonts w:ascii="Times New Roman" w:hAnsi="Times New Roman"/>
          <w:sz w:val="16"/>
        </w:rPr>
        <w:t>-109-</w:t>
      </w:r>
    </w:p>
    <w:p>
      <w:pPr>
        <w:pStyle w:val="HorizontalLine"/>
        <w:pBdr>
          <w:bottom w:val="single" w:sz="12" w:space="0" w:color="808080"/>
        </w:pBdr>
        <w:spacing w:lineRule="auto" w:line="300"/>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0"/>
        <w:jc w:val="both"/>
        <w:rPr/>
      </w:pPr>
      <w:r>
        <w:rPr/>
      </w:r>
      <w:bookmarkStart w:id="3925" w:name="HDR109"/>
      <w:bookmarkStart w:id="3926" w:name="HDR109"/>
      <w:bookmarkEnd w:id="392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0"/>
        <w:jc w:val="left"/>
        <w:rPr/>
      </w:pPr>
      <w:hyperlink w:anchor="tableofcontents">
        <w:bookmarkStart w:id="3927" w:name="GLHDR109"/>
        <w:bookmarkEnd w:id="3927"/>
        <w:r>
          <w:rPr>
            <w:rStyle w:val="Emphasis"/>
            <w:rFonts w:ascii="Times New Roman" w:hAnsi="Times New Roman"/>
            <w:color w:val="000000"/>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0"/>
        <w:ind w:left="0" w:right="0" w:hanging="0"/>
        <w:jc w:val="left"/>
        <w:rPr/>
      </w:pPr>
      <w:r>
        <w:rPr/>
        <w:t> </w:t>
      </w:r>
    </w:p>
    <w:p>
      <w:pPr>
        <w:pStyle w:val="Normal"/>
        <w:spacing w:lineRule="auto" w:line="300" w:before="0" w:after="0"/>
        <w:ind w:left="0" w:right="0" w:hanging="0"/>
        <w:jc w:val="both"/>
        <w:rPr>
          <w:sz w:val="4"/>
          <w:szCs w:val="4"/>
        </w:rPr>
      </w:pPr>
      <w:r>
        <w:rPr>
          <w:sz w:val="4"/>
          <w:szCs w:val="4"/>
        </w:rPr>
      </w:r>
      <w:bookmarkStart w:id="3928" w:name="ftable56"/>
      <w:bookmarkStart w:id="3929" w:name="ftable56"/>
      <w:bookmarkEnd w:id="3929"/>
    </w:p>
    <w:tbl>
      <w:tblPr>
        <w:tblW w:w="5000" w:type="pct"/>
        <w:jc w:val="left"/>
        <w:tblInd w:w="0" w:type="dxa"/>
        <w:tblCellMar>
          <w:top w:w="0" w:type="dxa"/>
          <w:left w:w="0" w:type="dxa"/>
          <w:bottom w:w="28" w:type="dxa"/>
          <w:right w:w="0" w:type="dxa"/>
        </w:tblCellMar>
      </w:tblPr>
      <w:tblGrid>
        <w:gridCol w:w="5537"/>
        <w:gridCol w:w="198"/>
        <w:gridCol w:w="126"/>
        <w:gridCol w:w="1198"/>
        <w:gridCol w:w="203"/>
        <w:gridCol w:w="126"/>
        <w:gridCol w:w="1198"/>
        <w:gridCol w:w="203"/>
        <w:gridCol w:w="126"/>
        <w:gridCol w:w="1167"/>
        <w:gridCol w:w="123"/>
      </w:tblGrid>
      <w:tr>
        <w:trPr/>
        <w:tc>
          <w:tcPr>
            <w:tcW w:w="5537" w:type="dxa"/>
            <w:tcBorders>
              <w:bottom w:val="double" w:sz="2" w:space="0" w:color="000000"/>
            </w:tcBorders>
            <w:shd w:fill="auto" w:val="clear"/>
            <w:vAlign w:val="bottom"/>
          </w:tcPr>
          <w:p>
            <w:pPr>
              <w:pStyle w:val="TableContents"/>
              <w:spacing w:lineRule="auto" w:line="300" w:before="0" w:after="0"/>
              <w:ind w:left="0" w:right="0" w:hanging="0"/>
              <w:jc w:val="left"/>
              <w:rPr/>
            </w:pPr>
            <w:r>
              <w:rPr>
                <w:rStyle w:val="StrongEmphasis"/>
                <w:rFonts w:ascii="Times New Roman" w:hAnsi="Times New Roman"/>
                <w:sz w:val="20"/>
              </w:rPr>
              <w:t>Reconciliation to net income:</w:t>
            </w:r>
          </w:p>
        </w:tc>
        <w:tc>
          <w:tcPr>
            <w:tcW w:w="198" w:type="dxa"/>
            <w:tcBorders>
              <w:bottom w:val="single" w:sz="4" w:space="0" w:color="FFFFFF"/>
            </w:tcBorders>
            <w:shd w:fill="auto" w:val="clear"/>
            <w:vAlign w:val="center"/>
          </w:tcPr>
          <w:p>
            <w:pPr>
              <w:pStyle w:val="TableContents"/>
              <w:spacing w:before="0" w:after="283"/>
              <w:rPr/>
            </w:pPr>
            <w:r>
              <w:rPr/>
              <w:t> </w:t>
            </w:r>
          </w:p>
        </w:tc>
        <w:tc>
          <w:tcPr>
            <w:tcW w:w="1324"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2006</w:t>
            </w:r>
          </w:p>
        </w:tc>
        <w:tc>
          <w:tcPr>
            <w:tcW w:w="203" w:type="dxa"/>
            <w:tcBorders>
              <w:bottom w:val="single" w:sz="4" w:space="0" w:color="FFFFFF"/>
            </w:tcBorders>
            <w:shd w:fill="auto" w:val="clear"/>
            <w:vAlign w:val="bottom"/>
          </w:tcPr>
          <w:p>
            <w:pPr>
              <w:pStyle w:val="TableContents"/>
              <w:spacing w:before="0" w:after="283"/>
              <w:jc w:val="left"/>
              <w:rPr/>
            </w:pPr>
            <w:r>
              <w:rPr/>
              <w:t> </w:t>
            </w:r>
          </w:p>
        </w:tc>
        <w:tc>
          <w:tcPr>
            <w:tcW w:w="1324"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2005</w:t>
            </w:r>
          </w:p>
        </w:tc>
        <w:tc>
          <w:tcPr>
            <w:tcW w:w="203" w:type="dxa"/>
            <w:tcBorders>
              <w:bottom w:val="single" w:sz="4" w:space="0" w:color="FFFFFF"/>
            </w:tcBorders>
            <w:shd w:fill="auto" w:val="clear"/>
            <w:vAlign w:val="bottom"/>
          </w:tcPr>
          <w:p>
            <w:pPr>
              <w:pStyle w:val="TableContents"/>
              <w:spacing w:before="0" w:after="283"/>
              <w:jc w:val="left"/>
              <w:rPr/>
            </w:pPr>
            <w:r>
              <w:rPr/>
              <w:t> </w:t>
            </w:r>
          </w:p>
        </w:tc>
        <w:tc>
          <w:tcPr>
            <w:tcW w:w="1293"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2004</w:t>
            </w:r>
          </w:p>
        </w:tc>
        <w:tc>
          <w:tcPr>
            <w:tcW w:w="123" w:type="dxa"/>
            <w:tcBorders>
              <w:bottom w:val="single" w:sz="4" w:space="0" w:color="FFFFFF"/>
            </w:tcBorders>
            <w:shd w:fill="auto" w:val="clear"/>
            <w:vAlign w:val="bottom"/>
          </w:tcPr>
          <w:p>
            <w:pPr>
              <w:pStyle w:val="TableContents"/>
              <w:spacing w:before="0" w:after="283"/>
              <w:jc w:val="left"/>
              <w:rPr/>
            </w:pPr>
            <w:r>
              <w:rPr/>
              <w:t> </w:t>
            </w:r>
          </w:p>
        </w:tc>
      </w:tr>
      <w:tr>
        <w:trPr/>
        <w:tc>
          <w:tcPr>
            <w:tcW w:w="5537"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Total segment operating income</w:t>
            </w:r>
          </w:p>
        </w:tc>
        <w:tc>
          <w:tcPr>
            <w:tcW w:w="198" w:type="dxa"/>
            <w:tcBorders/>
            <w:shd w:fill="CCEEFF" w:val="clear"/>
            <w:tcMar>
              <w:bottom w:w="0" w:type="dxa"/>
            </w:tcMar>
            <w:vAlign w:val="center"/>
          </w:tcPr>
          <w:p>
            <w:pPr>
              <w:pStyle w:val="TableContents"/>
              <w:spacing w:before="0" w:after="283"/>
              <w:rPr/>
            </w:pPr>
            <w:r>
              <w:rPr/>
              <w:t> </w:t>
            </w:r>
          </w:p>
        </w:tc>
        <w:tc>
          <w:tcPr>
            <w:tcW w:w="126"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bookmarkStart w:id="3930" w:name="TAB2246"/>
            <w:bookmarkEnd w:id="3930"/>
          </w:p>
        </w:tc>
        <w:tc>
          <w:tcPr>
            <w:tcW w:w="1198"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3931" w:name="TAB2247"/>
            <w:bookmarkEnd w:id="3931"/>
            <w:r>
              <w:rPr>
                <w:rFonts w:ascii="Times New Roman" w:hAnsi="Times New Roman"/>
                <w:sz w:val="20"/>
              </w:rPr>
              <w:t>11,450</w:t>
            </w:r>
          </w:p>
        </w:tc>
        <w:tc>
          <w:tcPr>
            <w:tcW w:w="203" w:type="dxa"/>
            <w:tcBorders/>
            <w:shd w:fill="CCEEFF" w:val="clear"/>
            <w:tcMar>
              <w:bottom w:w="0" w:type="dxa"/>
            </w:tcMar>
            <w:vAlign w:val="bottom"/>
          </w:tcPr>
          <w:p>
            <w:pPr>
              <w:pStyle w:val="TableContents"/>
              <w:spacing w:before="0" w:after="283"/>
              <w:jc w:val="left"/>
              <w:rPr/>
            </w:pPr>
            <w:r>
              <w:rPr/>
              <w:t> </w:t>
            </w:r>
          </w:p>
        </w:tc>
        <w:tc>
          <w:tcPr>
            <w:tcW w:w="126"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bookmarkStart w:id="3932" w:name="TAB2248"/>
            <w:bookmarkEnd w:id="3932"/>
          </w:p>
        </w:tc>
        <w:tc>
          <w:tcPr>
            <w:tcW w:w="1198"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3933" w:name="TAB2249"/>
            <w:bookmarkEnd w:id="3933"/>
            <w:r>
              <w:rPr>
                <w:rFonts w:ascii="Times New Roman" w:hAnsi="Times New Roman"/>
                <w:sz w:val="20"/>
              </w:rPr>
              <w:t>4,132</w:t>
            </w:r>
          </w:p>
        </w:tc>
        <w:tc>
          <w:tcPr>
            <w:tcW w:w="203" w:type="dxa"/>
            <w:tcBorders/>
            <w:shd w:fill="CCEEFF" w:val="clear"/>
            <w:tcMar>
              <w:bottom w:w="0" w:type="dxa"/>
            </w:tcMar>
            <w:vAlign w:val="bottom"/>
          </w:tcPr>
          <w:p>
            <w:pPr>
              <w:pStyle w:val="TableContents"/>
              <w:spacing w:before="0" w:after="283"/>
              <w:jc w:val="left"/>
              <w:rPr/>
            </w:pPr>
            <w:r>
              <w:rPr/>
              <w:t> </w:t>
            </w:r>
          </w:p>
        </w:tc>
        <w:tc>
          <w:tcPr>
            <w:tcW w:w="126"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bookmarkStart w:id="3934" w:name="TAB2250"/>
            <w:bookmarkEnd w:id="3934"/>
          </w:p>
        </w:tc>
        <w:tc>
          <w:tcPr>
            <w:tcW w:w="1167"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3935" w:name="TAB2251"/>
            <w:bookmarkEnd w:id="3935"/>
            <w:r>
              <w:rPr>
                <w:rFonts w:ascii="Times New Roman" w:hAnsi="Times New Roman"/>
                <w:sz w:val="20"/>
              </w:rPr>
              <w:t>2,245</w:t>
            </w:r>
          </w:p>
        </w:tc>
        <w:tc>
          <w:tcPr>
            <w:tcW w:w="123" w:type="dxa"/>
            <w:tcBorders/>
            <w:shd w:fill="CCEEFF" w:val="clear"/>
            <w:tcMar>
              <w:bottom w:w="0" w:type="dxa"/>
            </w:tcMar>
            <w:vAlign w:val="bottom"/>
          </w:tcPr>
          <w:p>
            <w:pPr>
              <w:pStyle w:val="TableContents"/>
              <w:spacing w:before="0" w:after="283"/>
              <w:jc w:val="left"/>
              <w:rPr/>
            </w:pPr>
            <w:r>
              <w:rPr/>
              <w:t> </w:t>
            </w:r>
          </w:p>
        </w:tc>
      </w:tr>
      <w:tr>
        <w:trPr/>
        <w:tc>
          <w:tcPr>
            <w:tcW w:w="5537" w:type="dxa"/>
            <w:tcBorders/>
            <w:shd w:fill="FFFFFF" w:val="clear"/>
            <w:tcMar>
              <w:bottom w:w="0" w:type="dxa"/>
            </w:tcMar>
            <w:vAlign w:val="bottom"/>
          </w:tcPr>
          <w:p>
            <w:pPr>
              <w:pStyle w:val="TableContents"/>
              <w:spacing w:lineRule="auto" w:line="300" w:before="0" w:after="0"/>
              <w:ind w:left="180" w:right="0" w:hanging="0"/>
              <w:jc w:val="left"/>
              <w:rPr>
                <w:rFonts w:ascii="Times New Roman" w:hAnsi="Times New Roman"/>
                <w:sz w:val="20"/>
              </w:rPr>
            </w:pPr>
            <w:bookmarkStart w:id="3936" w:name="TAB11844"/>
            <w:bookmarkEnd w:id="3936"/>
            <w:r>
              <w:rPr>
                <w:rFonts w:ascii="Times New Roman" w:hAnsi="Times New Roman"/>
                <w:sz w:val="20"/>
              </w:rPr>
              <w:t>Non-segment:</w:t>
            </w:r>
          </w:p>
        </w:tc>
        <w:tc>
          <w:tcPr>
            <w:tcW w:w="198" w:type="dxa"/>
            <w:tcBorders/>
            <w:shd w:fill="FFFFFF" w:val="clear"/>
            <w:tcMar>
              <w:bottom w:w="0" w:type="dxa"/>
            </w:tcMar>
            <w:vAlign w:val="center"/>
          </w:tcPr>
          <w:p>
            <w:pPr>
              <w:pStyle w:val="TableContents"/>
              <w:spacing w:before="0" w:after="283"/>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198" w:type="dxa"/>
            <w:tcBorders/>
            <w:shd w:fill="FFFFFF" w:val="clear"/>
            <w:tcMar>
              <w:bottom w:w="0" w:type="dxa"/>
            </w:tcMar>
            <w:vAlign w:val="bottom"/>
          </w:tcPr>
          <w:p>
            <w:pPr>
              <w:pStyle w:val="TableContents"/>
              <w:spacing w:before="0" w:after="283"/>
              <w:jc w:val="right"/>
              <w:rPr/>
            </w:pPr>
            <w:r>
              <w:rPr/>
              <w:t> </w:t>
            </w:r>
          </w:p>
        </w:tc>
        <w:tc>
          <w:tcPr>
            <w:tcW w:w="203" w:type="dxa"/>
            <w:tcBorders/>
            <w:shd w:fill="FFFFFF" w:val="clear"/>
            <w:tcMar>
              <w:bottom w:w="0" w:type="dxa"/>
            </w:tcMar>
            <w:vAlign w:val="bottom"/>
          </w:tcPr>
          <w:p>
            <w:pPr>
              <w:pStyle w:val="TableContents"/>
              <w:spacing w:before="0" w:after="283"/>
              <w:jc w:val="left"/>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198" w:type="dxa"/>
            <w:tcBorders/>
            <w:shd w:fill="FFFFFF" w:val="clear"/>
            <w:tcMar>
              <w:bottom w:w="0" w:type="dxa"/>
            </w:tcMar>
            <w:vAlign w:val="bottom"/>
          </w:tcPr>
          <w:p>
            <w:pPr>
              <w:pStyle w:val="TableContents"/>
              <w:spacing w:before="0" w:after="283"/>
              <w:jc w:val="right"/>
              <w:rPr/>
            </w:pPr>
            <w:r>
              <w:rPr/>
              <w:t> </w:t>
            </w:r>
          </w:p>
        </w:tc>
        <w:tc>
          <w:tcPr>
            <w:tcW w:w="203" w:type="dxa"/>
            <w:tcBorders/>
            <w:shd w:fill="FFFFFF" w:val="clear"/>
            <w:tcMar>
              <w:bottom w:w="0" w:type="dxa"/>
            </w:tcMar>
            <w:vAlign w:val="bottom"/>
          </w:tcPr>
          <w:p>
            <w:pPr>
              <w:pStyle w:val="TableContents"/>
              <w:spacing w:before="0" w:after="283"/>
              <w:jc w:val="left"/>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167" w:type="dxa"/>
            <w:tcBorders/>
            <w:shd w:fill="FFFFFF" w:val="clear"/>
            <w:tcMar>
              <w:bottom w:w="0" w:type="dxa"/>
            </w:tcMar>
            <w:vAlign w:val="bottom"/>
          </w:tcPr>
          <w:p>
            <w:pPr>
              <w:pStyle w:val="TableContents"/>
              <w:spacing w:before="0" w:after="283"/>
              <w:jc w:val="right"/>
              <w:rPr/>
            </w:pPr>
            <w:r>
              <w:rPr/>
              <w:t> </w:t>
            </w:r>
          </w:p>
        </w:tc>
        <w:tc>
          <w:tcPr>
            <w:tcW w:w="123" w:type="dxa"/>
            <w:tcBorders/>
            <w:shd w:fill="FFFFFF" w:val="clear"/>
            <w:tcMar>
              <w:bottom w:w="0" w:type="dxa"/>
            </w:tcMar>
            <w:vAlign w:val="bottom"/>
          </w:tcPr>
          <w:p>
            <w:pPr>
              <w:pStyle w:val="TableContents"/>
              <w:spacing w:before="0" w:after="283"/>
              <w:jc w:val="left"/>
              <w:rPr/>
            </w:pPr>
            <w:r>
              <w:rPr/>
              <w:t> </w:t>
            </w:r>
          </w:p>
        </w:tc>
      </w:tr>
      <w:tr>
        <w:trPr/>
        <w:tc>
          <w:tcPr>
            <w:tcW w:w="5537" w:type="dxa"/>
            <w:tcBorders/>
            <w:shd w:fill="CCEEFF" w:val="clear"/>
            <w:tcMar>
              <w:bottom w:w="0" w:type="dxa"/>
            </w:tcMar>
            <w:vAlign w:val="bottom"/>
          </w:tcPr>
          <w:p>
            <w:pPr>
              <w:pStyle w:val="TableContents"/>
              <w:spacing w:lineRule="auto" w:line="300" w:before="0" w:after="0"/>
              <w:ind w:left="360" w:right="0" w:hanging="0"/>
              <w:jc w:val="left"/>
              <w:rPr>
                <w:rFonts w:ascii="Times New Roman" w:hAnsi="Times New Roman"/>
                <w:sz w:val="20"/>
              </w:rPr>
            </w:pPr>
            <w:bookmarkStart w:id="3937" w:name="TAB11845"/>
            <w:bookmarkStart w:id="3938" w:name="TAB11846"/>
            <w:bookmarkEnd w:id="3937"/>
            <w:bookmarkEnd w:id="3938"/>
            <w:r>
              <w:rPr>
                <w:rFonts w:ascii="Times New Roman" w:hAnsi="Times New Roman"/>
                <w:sz w:val="20"/>
              </w:rPr>
              <w:t>Depreciation and amortization expense</w:t>
            </w:r>
          </w:p>
        </w:tc>
        <w:tc>
          <w:tcPr>
            <w:tcW w:w="198" w:type="dxa"/>
            <w:tcBorders/>
            <w:shd w:fill="CCEEFF" w:val="clear"/>
            <w:tcMar>
              <w:bottom w:w="0" w:type="dxa"/>
            </w:tcMar>
            <w:vAlign w:val="center"/>
          </w:tcPr>
          <w:p>
            <w:pPr>
              <w:pStyle w:val="TableContents"/>
              <w:spacing w:before="0" w:after="283"/>
              <w:rPr/>
            </w:pPr>
            <w:r>
              <w:rPr/>
              <w:t> </w:t>
            </w:r>
          </w:p>
        </w:tc>
        <w:tc>
          <w:tcPr>
            <w:tcW w:w="126" w:type="dxa"/>
            <w:tcBorders/>
            <w:shd w:fill="CCEEFF" w:val="clear"/>
            <w:tcMar>
              <w:bottom w:w="0" w:type="dxa"/>
            </w:tcMar>
            <w:vAlign w:val="bottom"/>
          </w:tcPr>
          <w:p>
            <w:pPr>
              <w:pStyle w:val="TableContents"/>
              <w:spacing w:before="0" w:after="283"/>
              <w:jc w:val="left"/>
              <w:rPr/>
            </w:pPr>
            <w:r>
              <w:rPr/>
              <w:t> </w:t>
            </w:r>
          </w:p>
        </w:tc>
        <w:tc>
          <w:tcPr>
            <w:tcW w:w="1198"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484</w:t>
            </w:r>
          </w:p>
        </w:tc>
        <w:tc>
          <w:tcPr>
            <w:tcW w:w="203" w:type="dxa"/>
            <w:tcBorders/>
            <w:shd w:fill="CCEEFF" w:val="clear"/>
            <w:tcMar>
              <w:bottom w:w="0" w:type="dxa"/>
            </w:tcMar>
            <w:vAlign w:val="bottom"/>
          </w:tcPr>
          <w:p>
            <w:pPr>
              <w:pStyle w:val="TableContents"/>
              <w:spacing w:before="0" w:after="283"/>
              <w:jc w:val="left"/>
              <w:rPr/>
            </w:pPr>
            <w:r>
              <w:rPr/>
              <w:t> </w:t>
            </w:r>
          </w:p>
        </w:tc>
        <w:tc>
          <w:tcPr>
            <w:tcW w:w="126" w:type="dxa"/>
            <w:tcBorders/>
            <w:shd w:fill="CCEEFF" w:val="clear"/>
            <w:tcMar>
              <w:bottom w:w="0" w:type="dxa"/>
            </w:tcMar>
            <w:vAlign w:val="bottom"/>
          </w:tcPr>
          <w:p>
            <w:pPr>
              <w:pStyle w:val="TableContents"/>
              <w:spacing w:before="0" w:after="283"/>
              <w:jc w:val="left"/>
              <w:rPr/>
            </w:pPr>
            <w:r>
              <w:rPr/>
              <w:t> </w:t>
            </w:r>
          </w:p>
        </w:tc>
        <w:tc>
          <w:tcPr>
            <w:tcW w:w="1198"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387</w:t>
            </w:r>
          </w:p>
        </w:tc>
        <w:tc>
          <w:tcPr>
            <w:tcW w:w="203" w:type="dxa"/>
            <w:tcBorders/>
            <w:shd w:fill="CCEEFF" w:val="clear"/>
            <w:tcMar>
              <w:bottom w:w="0" w:type="dxa"/>
            </w:tcMar>
            <w:vAlign w:val="bottom"/>
          </w:tcPr>
          <w:p>
            <w:pPr>
              <w:pStyle w:val="TableContents"/>
              <w:spacing w:before="0" w:after="283"/>
              <w:jc w:val="left"/>
              <w:rPr/>
            </w:pPr>
            <w:r>
              <w:rPr/>
              <w:t> </w:t>
            </w:r>
          </w:p>
        </w:tc>
        <w:tc>
          <w:tcPr>
            <w:tcW w:w="126" w:type="dxa"/>
            <w:tcBorders/>
            <w:shd w:fill="CCEEFF" w:val="clear"/>
            <w:tcMar>
              <w:bottom w:w="0" w:type="dxa"/>
            </w:tcMar>
            <w:vAlign w:val="bottom"/>
          </w:tcPr>
          <w:p>
            <w:pPr>
              <w:pStyle w:val="TableContents"/>
              <w:spacing w:before="0" w:after="283"/>
              <w:jc w:val="left"/>
              <w:rPr/>
            </w:pPr>
            <w:r>
              <w:rPr/>
              <w:t> </w:t>
            </w:r>
          </w:p>
        </w:tc>
        <w:tc>
          <w:tcPr>
            <w:tcW w:w="1167"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100</w:t>
            </w:r>
          </w:p>
        </w:tc>
        <w:tc>
          <w:tcPr>
            <w:tcW w:w="123" w:type="dxa"/>
            <w:tcBorders/>
            <w:shd w:fill="CCEEFF" w:val="clear"/>
            <w:tcMar>
              <w:bottom w:w="0" w:type="dxa"/>
            </w:tcMar>
            <w:vAlign w:val="bottom"/>
          </w:tcPr>
          <w:p>
            <w:pPr>
              <w:pStyle w:val="TableContents"/>
              <w:spacing w:before="0" w:after="283"/>
              <w:jc w:val="left"/>
              <w:rPr/>
            </w:pPr>
            <w:r>
              <w:rPr/>
              <w:t> </w:t>
            </w:r>
          </w:p>
        </w:tc>
      </w:tr>
      <w:tr>
        <w:trPr/>
        <w:tc>
          <w:tcPr>
            <w:tcW w:w="5537" w:type="dxa"/>
            <w:tcBorders>
              <w:bottom w:val="single" w:sz="2" w:space="0" w:color="000000"/>
            </w:tcBorders>
            <w:shd w:fill="FFFFFF" w:val="clear"/>
            <w:vAlign w:val="bottom"/>
          </w:tcPr>
          <w:p>
            <w:pPr>
              <w:pStyle w:val="TableContents"/>
              <w:spacing w:lineRule="auto" w:line="300" w:before="0" w:after="0"/>
              <w:ind w:left="360" w:right="0" w:hanging="0"/>
              <w:jc w:val="left"/>
              <w:rPr>
                <w:rFonts w:ascii="Times New Roman" w:hAnsi="Times New Roman"/>
                <w:sz w:val="20"/>
              </w:rPr>
            </w:pPr>
            <w:bookmarkStart w:id="3939" w:name="TAB11847"/>
            <w:bookmarkStart w:id="3940" w:name="TAB11848"/>
            <w:bookmarkEnd w:id="3939"/>
            <w:bookmarkEnd w:id="3940"/>
            <w:r>
              <w:rPr>
                <w:rFonts w:ascii="Times New Roman" w:hAnsi="Times New Roman"/>
                <w:sz w:val="20"/>
              </w:rPr>
              <w:t>General and administrative expense</w:t>
            </w:r>
          </w:p>
        </w:tc>
        <w:tc>
          <w:tcPr>
            <w:tcW w:w="198" w:type="dxa"/>
            <w:tcBorders>
              <w:bottom w:val="single" w:sz="2" w:space="0" w:color="FFFFFF"/>
            </w:tcBorders>
            <w:shd w:fill="FFFFFF" w:val="clear"/>
            <w:vAlign w:val="center"/>
          </w:tcPr>
          <w:p>
            <w:pPr>
              <w:pStyle w:val="TableContents"/>
              <w:spacing w:before="0" w:after="283"/>
              <w:rPr/>
            </w:pPr>
            <w:r>
              <w:rPr/>
              <w:t> </w:t>
            </w:r>
          </w:p>
        </w:tc>
        <w:tc>
          <w:tcPr>
            <w:tcW w:w="126" w:type="dxa"/>
            <w:tcBorders>
              <w:bottom w:val="single" w:sz="2" w:space="0" w:color="000000"/>
            </w:tcBorders>
            <w:shd w:fill="FFFFFF" w:val="clear"/>
            <w:vAlign w:val="bottom"/>
          </w:tcPr>
          <w:p>
            <w:pPr>
              <w:pStyle w:val="TableContents"/>
              <w:spacing w:before="0" w:after="283"/>
              <w:jc w:val="left"/>
              <w:rPr/>
            </w:pPr>
            <w:r>
              <w:rPr/>
              <w:t> </w:t>
            </w:r>
          </w:p>
        </w:tc>
        <w:tc>
          <w:tcPr>
            <w:tcW w:w="1198"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8,551</w:t>
            </w:r>
          </w:p>
        </w:tc>
        <w:tc>
          <w:tcPr>
            <w:tcW w:w="203" w:type="dxa"/>
            <w:tcBorders>
              <w:bottom w:val="single" w:sz="2" w:space="0" w:color="FFFFFF"/>
            </w:tcBorders>
            <w:shd w:fill="FFFFFF" w:val="clear"/>
            <w:vAlign w:val="bottom"/>
          </w:tcPr>
          <w:p>
            <w:pPr>
              <w:pStyle w:val="TableContents"/>
              <w:spacing w:before="0" w:after="283"/>
              <w:jc w:val="left"/>
              <w:rPr/>
            </w:pPr>
            <w:r>
              <w:rPr/>
              <w:t> </w:t>
            </w:r>
          </w:p>
        </w:tc>
        <w:tc>
          <w:tcPr>
            <w:tcW w:w="126" w:type="dxa"/>
            <w:tcBorders>
              <w:bottom w:val="single" w:sz="2" w:space="0" w:color="000000"/>
            </w:tcBorders>
            <w:shd w:fill="FFFFFF" w:val="clear"/>
            <w:vAlign w:val="bottom"/>
          </w:tcPr>
          <w:p>
            <w:pPr>
              <w:pStyle w:val="TableContents"/>
              <w:spacing w:before="0" w:after="283"/>
              <w:jc w:val="left"/>
              <w:rPr/>
            </w:pPr>
            <w:r>
              <w:rPr/>
              <w:t> </w:t>
            </w:r>
          </w:p>
        </w:tc>
        <w:tc>
          <w:tcPr>
            <w:tcW w:w="1198"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10,117</w:t>
            </w:r>
          </w:p>
        </w:tc>
        <w:tc>
          <w:tcPr>
            <w:tcW w:w="203" w:type="dxa"/>
            <w:tcBorders>
              <w:bottom w:val="single" w:sz="2" w:space="0" w:color="FFFFFF"/>
            </w:tcBorders>
            <w:shd w:fill="FFFFFF" w:val="clear"/>
            <w:vAlign w:val="bottom"/>
          </w:tcPr>
          <w:p>
            <w:pPr>
              <w:pStyle w:val="TableContents"/>
              <w:spacing w:before="0" w:after="283"/>
              <w:jc w:val="left"/>
              <w:rPr/>
            </w:pPr>
            <w:r>
              <w:rPr/>
              <w:t> </w:t>
            </w:r>
          </w:p>
        </w:tc>
        <w:tc>
          <w:tcPr>
            <w:tcW w:w="126" w:type="dxa"/>
            <w:tcBorders>
              <w:bottom w:val="single" w:sz="2" w:space="0" w:color="000000"/>
            </w:tcBorders>
            <w:shd w:fill="FFFFFF" w:val="clear"/>
            <w:vAlign w:val="bottom"/>
          </w:tcPr>
          <w:p>
            <w:pPr>
              <w:pStyle w:val="TableContents"/>
              <w:spacing w:before="0" w:after="283"/>
              <w:jc w:val="left"/>
              <w:rPr/>
            </w:pPr>
            <w:r>
              <w:rPr/>
              <w:t> </w:t>
            </w:r>
          </w:p>
        </w:tc>
        <w:tc>
          <w:tcPr>
            <w:tcW w:w="1167"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8,467</w:t>
            </w:r>
          </w:p>
        </w:tc>
        <w:tc>
          <w:tcPr>
            <w:tcW w:w="123" w:type="dxa"/>
            <w:tcBorders>
              <w:bottom w:val="single" w:sz="2" w:space="0" w:color="FFFFFF"/>
            </w:tcBorders>
            <w:shd w:fill="FFFFFF" w:val="clear"/>
            <w:vAlign w:val="bottom"/>
          </w:tcPr>
          <w:p>
            <w:pPr>
              <w:pStyle w:val="TableContents"/>
              <w:spacing w:before="0" w:after="283"/>
              <w:jc w:val="left"/>
              <w:rPr/>
            </w:pPr>
            <w:r>
              <w:rPr/>
              <w:t> </w:t>
            </w:r>
          </w:p>
        </w:tc>
      </w:tr>
      <w:tr>
        <w:trPr/>
        <w:tc>
          <w:tcPr>
            <w:tcW w:w="5537"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Operating income (loss)</w:t>
            </w:r>
          </w:p>
        </w:tc>
        <w:tc>
          <w:tcPr>
            <w:tcW w:w="198" w:type="dxa"/>
            <w:tcBorders/>
            <w:shd w:fill="CCEEFF" w:val="clear"/>
            <w:tcMar>
              <w:bottom w:w="0" w:type="dxa"/>
            </w:tcMar>
            <w:vAlign w:val="center"/>
          </w:tcPr>
          <w:p>
            <w:pPr>
              <w:pStyle w:val="TableContents"/>
              <w:spacing w:before="0" w:after="283"/>
              <w:rPr/>
            </w:pPr>
            <w:r>
              <w:rPr/>
              <w:t> </w:t>
            </w:r>
          </w:p>
        </w:tc>
        <w:tc>
          <w:tcPr>
            <w:tcW w:w="126" w:type="dxa"/>
            <w:tcBorders/>
            <w:shd w:fill="CCEEFF" w:val="clear"/>
            <w:tcMar>
              <w:bottom w:w="0" w:type="dxa"/>
            </w:tcMar>
            <w:vAlign w:val="bottom"/>
          </w:tcPr>
          <w:p>
            <w:pPr>
              <w:pStyle w:val="TableContents"/>
              <w:spacing w:before="0" w:after="283"/>
              <w:jc w:val="left"/>
              <w:rPr/>
            </w:pPr>
            <w:r>
              <w:rPr/>
              <w:t> </w:t>
            </w:r>
          </w:p>
        </w:tc>
        <w:tc>
          <w:tcPr>
            <w:tcW w:w="1198"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2,415</w:t>
            </w:r>
          </w:p>
        </w:tc>
        <w:tc>
          <w:tcPr>
            <w:tcW w:w="203" w:type="dxa"/>
            <w:tcBorders/>
            <w:shd w:fill="CCEEFF" w:val="clear"/>
            <w:tcMar>
              <w:bottom w:w="0" w:type="dxa"/>
            </w:tcMar>
            <w:vAlign w:val="bottom"/>
          </w:tcPr>
          <w:p>
            <w:pPr>
              <w:pStyle w:val="TableContents"/>
              <w:spacing w:before="0" w:after="283"/>
              <w:jc w:val="left"/>
              <w:rPr/>
            </w:pPr>
            <w:r>
              <w:rPr/>
              <w:t> </w:t>
            </w:r>
          </w:p>
        </w:tc>
        <w:tc>
          <w:tcPr>
            <w:tcW w:w="126" w:type="dxa"/>
            <w:tcBorders/>
            <w:shd w:fill="CCEEFF" w:val="clear"/>
            <w:tcMar>
              <w:bottom w:w="0" w:type="dxa"/>
            </w:tcMar>
            <w:vAlign w:val="bottom"/>
          </w:tcPr>
          <w:p>
            <w:pPr>
              <w:pStyle w:val="TableContents"/>
              <w:spacing w:before="0" w:after="283"/>
              <w:jc w:val="left"/>
              <w:rPr/>
            </w:pPr>
            <w:r>
              <w:rPr/>
              <w:t> </w:t>
            </w:r>
          </w:p>
        </w:tc>
        <w:tc>
          <w:tcPr>
            <w:tcW w:w="1198"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(6,372</w:t>
            </w:r>
          </w:p>
        </w:tc>
        <w:tc>
          <w:tcPr>
            <w:tcW w:w="203"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26" w:type="dxa"/>
            <w:tcBorders/>
            <w:shd w:fill="CCEEFF" w:val="clear"/>
            <w:tcMar>
              <w:bottom w:w="0" w:type="dxa"/>
            </w:tcMar>
            <w:vAlign w:val="bottom"/>
          </w:tcPr>
          <w:p>
            <w:pPr>
              <w:pStyle w:val="TableContents"/>
              <w:spacing w:before="0" w:after="283"/>
              <w:jc w:val="left"/>
              <w:rPr/>
            </w:pPr>
            <w:r>
              <w:rPr/>
              <w:t> </w:t>
            </w:r>
          </w:p>
        </w:tc>
        <w:tc>
          <w:tcPr>
            <w:tcW w:w="1167"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(6,322</w:t>
            </w:r>
          </w:p>
        </w:tc>
        <w:tc>
          <w:tcPr>
            <w:tcW w:w="123"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r>
      <w:tr>
        <w:trPr/>
        <w:tc>
          <w:tcPr>
            <w:tcW w:w="5537" w:type="dxa"/>
            <w:tcBorders/>
            <w:shd w:fill="FFFFFF" w:val="clear"/>
            <w:tcMar>
              <w:bottom w:w="0" w:type="dxa"/>
            </w:tcMar>
            <w:vAlign w:val="bottom"/>
          </w:tcPr>
          <w:p>
            <w:pPr>
              <w:pStyle w:val="TableContents"/>
              <w:spacing w:lineRule="auto" w:line="300" w:before="0" w:after="0"/>
              <w:ind w:left="180" w:right="0" w:hanging="0"/>
              <w:jc w:val="left"/>
              <w:rPr>
                <w:rFonts w:ascii="Times New Roman" w:hAnsi="Times New Roman"/>
                <w:sz w:val="20"/>
              </w:rPr>
            </w:pPr>
            <w:bookmarkStart w:id="3941" w:name="TAB11849"/>
            <w:bookmarkEnd w:id="3941"/>
            <w:r>
              <w:rPr>
                <w:rFonts w:ascii="Times New Roman" w:hAnsi="Times New Roman"/>
                <w:sz w:val="20"/>
              </w:rPr>
              <w:t>Interest expense, net</w:t>
            </w:r>
          </w:p>
        </w:tc>
        <w:tc>
          <w:tcPr>
            <w:tcW w:w="198" w:type="dxa"/>
            <w:tcBorders/>
            <w:shd w:fill="FFFFFF" w:val="clear"/>
            <w:tcMar>
              <w:bottom w:w="0" w:type="dxa"/>
            </w:tcMar>
            <w:vAlign w:val="center"/>
          </w:tcPr>
          <w:p>
            <w:pPr>
              <w:pStyle w:val="TableContents"/>
              <w:spacing w:before="0" w:after="283"/>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198"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(6,608</w:t>
            </w:r>
          </w:p>
        </w:tc>
        <w:tc>
          <w:tcPr>
            <w:tcW w:w="203"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26" w:type="dxa"/>
            <w:tcBorders/>
            <w:shd w:fill="FFFFFF" w:val="clear"/>
            <w:tcMar>
              <w:bottom w:w="0" w:type="dxa"/>
            </w:tcMar>
            <w:vAlign w:val="bottom"/>
          </w:tcPr>
          <w:p>
            <w:pPr>
              <w:pStyle w:val="TableContents"/>
              <w:spacing w:before="0" w:after="283"/>
              <w:jc w:val="left"/>
              <w:rPr/>
            </w:pPr>
            <w:r>
              <w:rPr/>
              <w:t> </w:t>
            </w:r>
          </w:p>
        </w:tc>
        <w:tc>
          <w:tcPr>
            <w:tcW w:w="1198"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(4,473</w:t>
            </w:r>
          </w:p>
        </w:tc>
        <w:tc>
          <w:tcPr>
            <w:tcW w:w="203"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26" w:type="dxa"/>
            <w:tcBorders/>
            <w:shd w:fill="FFFFFF" w:val="clear"/>
            <w:tcMar>
              <w:bottom w:w="0" w:type="dxa"/>
            </w:tcMar>
            <w:vAlign w:val="bottom"/>
          </w:tcPr>
          <w:p>
            <w:pPr>
              <w:pStyle w:val="TableContents"/>
              <w:spacing w:before="0" w:after="283"/>
              <w:jc w:val="left"/>
              <w:rPr/>
            </w:pPr>
            <w:r>
              <w:rPr/>
              <w:t> </w:t>
            </w:r>
          </w:p>
        </w:tc>
        <w:tc>
          <w:tcPr>
            <w:tcW w:w="1167"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(3,078</w:t>
            </w:r>
          </w:p>
        </w:tc>
        <w:tc>
          <w:tcPr>
            <w:tcW w:w="123"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r>
      <w:tr>
        <w:trPr/>
        <w:tc>
          <w:tcPr>
            <w:tcW w:w="5537" w:type="dxa"/>
            <w:tcBorders/>
            <w:shd w:fill="CCEEFF" w:val="clear"/>
            <w:tcMar>
              <w:bottom w:w="0" w:type="dxa"/>
            </w:tcMar>
            <w:vAlign w:val="bottom"/>
          </w:tcPr>
          <w:p>
            <w:pPr>
              <w:pStyle w:val="TableContents"/>
              <w:spacing w:lineRule="auto" w:line="300" w:before="0" w:after="0"/>
              <w:ind w:left="180" w:right="0" w:hanging="0"/>
              <w:jc w:val="left"/>
              <w:rPr>
                <w:rFonts w:ascii="Times New Roman" w:hAnsi="Times New Roman"/>
                <w:sz w:val="20"/>
              </w:rPr>
            </w:pPr>
            <w:bookmarkStart w:id="3942" w:name="TAB11850"/>
            <w:bookmarkEnd w:id="3942"/>
            <w:r>
              <w:rPr>
                <w:rFonts w:ascii="Times New Roman" w:hAnsi="Times New Roman"/>
                <w:sz w:val="20"/>
              </w:rPr>
              <w:t>Other income (expense)</w:t>
            </w:r>
          </w:p>
        </w:tc>
        <w:tc>
          <w:tcPr>
            <w:tcW w:w="198" w:type="dxa"/>
            <w:tcBorders/>
            <w:shd w:fill="CCEEFF" w:val="clear"/>
            <w:tcMar>
              <w:bottom w:w="0" w:type="dxa"/>
            </w:tcMar>
            <w:vAlign w:val="center"/>
          </w:tcPr>
          <w:p>
            <w:pPr>
              <w:pStyle w:val="TableContents"/>
              <w:spacing w:before="0" w:after="283"/>
              <w:rPr/>
            </w:pPr>
            <w:r>
              <w:rPr/>
              <w:t> </w:t>
            </w:r>
          </w:p>
        </w:tc>
        <w:tc>
          <w:tcPr>
            <w:tcW w:w="126" w:type="dxa"/>
            <w:tcBorders/>
            <w:shd w:fill="CCEEFF" w:val="clear"/>
            <w:tcMar>
              <w:bottom w:w="0" w:type="dxa"/>
            </w:tcMar>
            <w:vAlign w:val="bottom"/>
          </w:tcPr>
          <w:p>
            <w:pPr>
              <w:pStyle w:val="TableContents"/>
              <w:spacing w:before="0" w:after="283"/>
              <w:jc w:val="left"/>
              <w:rPr/>
            </w:pPr>
            <w:r>
              <w:rPr/>
              <w:t> </w:t>
            </w:r>
          </w:p>
        </w:tc>
        <w:tc>
          <w:tcPr>
            <w:tcW w:w="1198"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(1,998</w:t>
            </w:r>
          </w:p>
        </w:tc>
        <w:tc>
          <w:tcPr>
            <w:tcW w:w="203"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26" w:type="dxa"/>
            <w:tcBorders/>
            <w:shd w:fill="CCEEFF" w:val="clear"/>
            <w:tcMar>
              <w:bottom w:w="0" w:type="dxa"/>
            </w:tcMar>
            <w:vAlign w:val="bottom"/>
          </w:tcPr>
          <w:p>
            <w:pPr>
              <w:pStyle w:val="TableContents"/>
              <w:spacing w:before="0" w:after="283"/>
              <w:jc w:val="left"/>
              <w:rPr/>
            </w:pPr>
            <w:r>
              <w:rPr/>
              <w:t> </w:t>
            </w:r>
          </w:p>
        </w:tc>
        <w:tc>
          <w:tcPr>
            <w:tcW w:w="1198"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19</w:t>
            </w:r>
          </w:p>
        </w:tc>
        <w:tc>
          <w:tcPr>
            <w:tcW w:w="203" w:type="dxa"/>
            <w:tcBorders/>
            <w:shd w:fill="CCEEFF" w:val="clear"/>
            <w:tcMar>
              <w:bottom w:w="0" w:type="dxa"/>
            </w:tcMar>
            <w:vAlign w:val="bottom"/>
          </w:tcPr>
          <w:p>
            <w:pPr>
              <w:pStyle w:val="TableContents"/>
              <w:spacing w:before="0" w:after="283"/>
              <w:jc w:val="left"/>
              <w:rPr/>
            </w:pPr>
            <w:r>
              <w:rPr/>
              <w:t> </w:t>
            </w:r>
          </w:p>
        </w:tc>
        <w:tc>
          <w:tcPr>
            <w:tcW w:w="126" w:type="dxa"/>
            <w:tcBorders/>
            <w:shd w:fill="CCEEFF" w:val="clear"/>
            <w:tcMar>
              <w:bottom w:w="0" w:type="dxa"/>
            </w:tcMar>
            <w:vAlign w:val="bottom"/>
          </w:tcPr>
          <w:p>
            <w:pPr>
              <w:pStyle w:val="TableContents"/>
              <w:spacing w:before="0" w:after="283"/>
              <w:jc w:val="left"/>
              <w:rPr/>
            </w:pPr>
            <w:r>
              <w:rPr/>
              <w:t> </w:t>
            </w:r>
          </w:p>
        </w:tc>
        <w:tc>
          <w:tcPr>
            <w:tcW w:w="1167"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884</w:t>
            </w:r>
          </w:p>
        </w:tc>
        <w:tc>
          <w:tcPr>
            <w:tcW w:w="123" w:type="dxa"/>
            <w:tcBorders/>
            <w:shd w:fill="CCEEFF" w:val="clear"/>
            <w:tcMar>
              <w:bottom w:w="0" w:type="dxa"/>
            </w:tcMar>
            <w:vAlign w:val="bottom"/>
          </w:tcPr>
          <w:p>
            <w:pPr>
              <w:pStyle w:val="TableContents"/>
              <w:spacing w:before="0" w:after="283"/>
              <w:jc w:val="left"/>
              <w:rPr/>
            </w:pPr>
            <w:r>
              <w:rPr/>
              <w:t> </w:t>
            </w:r>
          </w:p>
        </w:tc>
      </w:tr>
      <w:tr>
        <w:trPr/>
        <w:tc>
          <w:tcPr>
            <w:tcW w:w="5537" w:type="dxa"/>
            <w:tcBorders/>
            <w:shd w:fill="FFFFFF" w:val="clear"/>
            <w:tcMar>
              <w:bottom w:w="0" w:type="dxa"/>
            </w:tcMar>
            <w:vAlign w:val="bottom"/>
          </w:tcPr>
          <w:p>
            <w:pPr>
              <w:pStyle w:val="TableContents"/>
              <w:spacing w:lineRule="auto" w:line="300" w:before="0" w:after="0"/>
              <w:ind w:left="180" w:right="0" w:hanging="0"/>
              <w:jc w:val="left"/>
              <w:rPr>
                <w:rFonts w:ascii="Times New Roman" w:hAnsi="Times New Roman"/>
                <w:sz w:val="20"/>
              </w:rPr>
            </w:pPr>
            <w:bookmarkStart w:id="3943" w:name="TAB11851"/>
            <w:bookmarkEnd w:id="3943"/>
            <w:r>
              <w:rPr>
                <w:rFonts w:ascii="Times New Roman" w:hAnsi="Times New Roman"/>
                <w:sz w:val="20"/>
              </w:rPr>
              <w:t>Minority interest</w:t>
            </w:r>
          </w:p>
        </w:tc>
        <w:tc>
          <w:tcPr>
            <w:tcW w:w="198" w:type="dxa"/>
            <w:tcBorders/>
            <w:shd w:fill="FFFFFF" w:val="clear"/>
            <w:tcMar>
              <w:bottom w:w="0" w:type="dxa"/>
            </w:tcMar>
            <w:vAlign w:val="center"/>
          </w:tcPr>
          <w:p>
            <w:pPr>
              <w:pStyle w:val="TableContents"/>
              <w:spacing w:before="0" w:after="283"/>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198"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(672</w:t>
            </w:r>
          </w:p>
        </w:tc>
        <w:tc>
          <w:tcPr>
            <w:tcW w:w="203"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26" w:type="dxa"/>
            <w:tcBorders/>
            <w:shd w:fill="FFFFFF" w:val="clear"/>
            <w:tcMar>
              <w:bottom w:w="0" w:type="dxa"/>
            </w:tcMar>
            <w:vAlign w:val="bottom"/>
          </w:tcPr>
          <w:p>
            <w:pPr>
              <w:pStyle w:val="TableContents"/>
              <w:spacing w:before="0" w:after="283"/>
              <w:jc w:val="left"/>
              <w:rPr/>
            </w:pPr>
            <w:r>
              <w:rPr/>
              <w:t> </w:t>
            </w:r>
          </w:p>
        </w:tc>
        <w:tc>
          <w:tcPr>
            <w:tcW w:w="1198"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(579</w:t>
            </w:r>
          </w:p>
        </w:tc>
        <w:tc>
          <w:tcPr>
            <w:tcW w:w="203"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26" w:type="dxa"/>
            <w:tcBorders/>
            <w:shd w:fill="FFFFFF" w:val="clear"/>
            <w:tcMar>
              <w:bottom w:w="0" w:type="dxa"/>
            </w:tcMar>
            <w:vAlign w:val="bottom"/>
          </w:tcPr>
          <w:p>
            <w:pPr>
              <w:pStyle w:val="TableContents"/>
              <w:spacing w:before="0" w:after="283"/>
              <w:jc w:val="left"/>
              <w:rPr/>
            </w:pPr>
            <w:r>
              <w:rPr/>
              <w:t> </w:t>
            </w:r>
          </w:p>
        </w:tc>
        <w:tc>
          <w:tcPr>
            <w:tcW w:w="1167"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(112</w:t>
            </w:r>
          </w:p>
        </w:tc>
        <w:tc>
          <w:tcPr>
            <w:tcW w:w="123"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r>
      <w:tr>
        <w:trPr/>
        <w:tc>
          <w:tcPr>
            <w:tcW w:w="5537" w:type="dxa"/>
            <w:tcBorders/>
            <w:shd w:fill="CCEEFF" w:val="clear"/>
            <w:tcMar>
              <w:bottom w:w="0" w:type="dxa"/>
            </w:tcMar>
            <w:vAlign w:val="bottom"/>
          </w:tcPr>
          <w:p>
            <w:pPr>
              <w:pStyle w:val="TableContents"/>
              <w:spacing w:lineRule="auto" w:line="300" w:before="0" w:after="0"/>
              <w:ind w:left="180" w:right="0" w:hanging="0"/>
              <w:jc w:val="left"/>
              <w:rPr/>
            </w:pPr>
            <w:bookmarkStart w:id="3944" w:name="TAB11852"/>
            <w:bookmarkEnd w:id="3944"/>
            <w:r>
              <w:rPr>
                <w:rFonts w:ascii="Times New Roman" w:hAnsi="Times New Roman"/>
                <w:sz w:val="20"/>
              </w:rPr>
              <w:t>Gain on disposal of discontinued operations</w:t>
            </w:r>
            <w:r>
              <w:rPr>
                <w:rFonts w:ascii="Times New Roman" w:hAnsi="Times New Roman"/>
                <w:position w:val="7"/>
                <w:sz w:val="16"/>
                <w:sz w:val="20"/>
              </w:rPr>
              <w:t>20</w:t>
            </w:r>
            <w:r>
              <w:rPr>
                <w:position w:val="8"/>
                <w:sz w:val="19"/>
              </w:rPr>
              <w:t> </w:t>
            </w:r>
          </w:p>
        </w:tc>
        <w:tc>
          <w:tcPr>
            <w:tcW w:w="198" w:type="dxa"/>
            <w:tcBorders/>
            <w:shd w:fill="CCEEFF" w:val="clear"/>
            <w:tcMar>
              <w:bottom w:w="0" w:type="dxa"/>
            </w:tcMar>
            <w:vAlign w:val="center"/>
          </w:tcPr>
          <w:p>
            <w:pPr>
              <w:pStyle w:val="TableContents"/>
              <w:spacing w:before="0" w:after="283"/>
              <w:rPr/>
            </w:pPr>
            <w:r>
              <w:rPr/>
              <w:t> </w:t>
            </w:r>
          </w:p>
        </w:tc>
        <w:tc>
          <w:tcPr>
            <w:tcW w:w="126" w:type="dxa"/>
            <w:tcBorders/>
            <w:shd w:fill="CCEEFF" w:val="clear"/>
            <w:tcMar>
              <w:bottom w:w="0" w:type="dxa"/>
            </w:tcMar>
            <w:vAlign w:val="bottom"/>
          </w:tcPr>
          <w:p>
            <w:pPr>
              <w:pStyle w:val="TableContents"/>
              <w:spacing w:before="0" w:after="283"/>
              <w:jc w:val="left"/>
              <w:rPr/>
            </w:pPr>
            <w:r>
              <w:rPr/>
              <w:t> </w:t>
            </w:r>
          </w:p>
        </w:tc>
        <w:tc>
          <w:tcPr>
            <w:tcW w:w="1198"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203" w:type="dxa"/>
            <w:tcBorders/>
            <w:shd w:fill="CCEEFF" w:val="clear"/>
            <w:tcMar>
              <w:bottom w:w="0" w:type="dxa"/>
            </w:tcMar>
            <w:vAlign w:val="bottom"/>
          </w:tcPr>
          <w:p>
            <w:pPr>
              <w:pStyle w:val="TableContents"/>
              <w:spacing w:before="0" w:after="283"/>
              <w:jc w:val="left"/>
              <w:rPr/>
            </w:pPr>
            <w:r>
              <w:rPr/>
              <w:t> </w:t>
            </w:r>
          </w:p>
        </w:tc>
        <w:tc>
          <w:tcPr>
            <w:tcW w:w="126" w:type="dxa"/>
            <w:tcBorders/>
            <w:shd w:fill="CCEEFF" w:val="clear"/>
            <w:tcMar>
              <w:bottom w:w="0" w:type="dxa"/>
            </w:tcMar>
            <w:vAlign w:val="bottom"/>
          </w:tcPr>
          <w:p>
            <w:pPr>
              <w:pStyle w:val="TableContents"/>
              <w:spacing w:before="0" w:after="283"/>
              <w:jc w:val="left"/>
              <w:rPr/>
            </w:pPr>
            <w:r>
              <w:rPr/>
              <w:t> </w:t>
            </w:r>
          </w:p>
        </w:tc>
        <w:tc>
          <w:tcPr>
            <w:tcW w:w="1198"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13,610</w:t>
            </w:r>
          </w:p>
        </w:tc>
        <w:tc>
          <w:tcPr>
            <w:tcW w:w="203" w:type="dxa"/>
            <w:tcBorders/>
            <w:shd w:fill="CCEEFF" w:val="clear"/>
            <w:tcMar>
              <w:bottom w:w="0" w:type="dxa"/>
            </w:tcMar>
            <w:vAlign w:val="bottom"/>
          </w:tcPr>
          <w:p>
            <w:pPr>
              <w:pStyle w:val="TableContents"/>
              <w:spacing w:before="0" w:after="283"/>
              <w:jc w:val="left"/>
              <w:rPr/>
            </w:pPr>
            <w:r>
              <w:rPr/>
              <w:t> </w:t>
            </w:r>
          </w:p>
        </w:tc>
        <w:tc>
          <w:tcPr>
            <w:tcW w:w="126" w:type="dxa"/>
            <w:tcBorders/>
            <w:shd w:fill="CCEEFF" w:val="clear"/>
            <w:tcMar>
              <w:bottom w:w="0" w:type="dxa"/>
            </w:tcMar>
            <w:vAlign w:val="bottom"/>
          </w:tcPr>
          <w:p>
            <w:pPr>
              <w:pStyle w:val="TableContents"/>
              <w:spacing w:before="0" w:after="283"/>
              <w:jc w:val="left"/>
              <w:rPr/>
            </w:pPr>
            <w:r>
              <w:rPr/>
              <w:t> </w:t>
            </w:r>
          </w:p>
        </w:tc>
        <w:tc>
          <w:tcPr>
            <w:tcW w:w="1167"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123" w:type="dxa"/>
            <w:tcBorders/>
            <w:shd w:fill="CCEEFF" w:val="clear"/>
            <w:tcMar>
              <w:bottom w:w="0" w:type="dxa"/>
            </w:tcMar>
            <w:vAlign w:val="bottom"/>
          </w:tcPr>
          <w:p>
            <w:pPr>
              <w:pStyle w:val="TableContents"/>
              <w:spacing w:before="0" w:after="283"/>
              <w:jc w:val="left"/>
              <w:rPr/>
            </w:pPr>
            <w:r>
              <w:rPr/>
              <w:t> </w:t>
            </w:r>
          </w:p>
        </w:tc>
      </w:tr>
      <w:tr>
        <w:trPr/>
        <w:tc>
          <w:tcPr>
            <w:tcW w:w="5537" w:type="dxa"/>
            <w:tcBorders/>
            <w:shd w:fill="FFFFFF" w:val="clear"/>
            <w:tcMar>
              <w:bottom w:w="0" w:type="dxa"/>
            </w:tcMar>
            <w:vAlign w:val="bottom"/>
          </w:tcPr>
          <w:p>
            <w:pPr>
              <w:pStyle w:val="TableContents"/>
              <w:spacing w:lineRule="auto" w:line="300" w:before="0" w:after="0"/>
              <w:ind w:left="180" w:right="0" w:hanging="0"/>
              <w:jc w:val="left"/>
              <w:rPr>
                <w:rFonts w:ascii="Times New Roman" w:hAnsi="Times New Roman"/>
                <w:sz w:val="20"/>
              </w:rPr>
            </w:pPr>
            <w:bookmarkStart w:id="3945" w:name="TAB11853"/>
            <w:bookmarkEnd w:id="3945"/>
            <w:r>
              <w:rPr>
                <w:rFonts w:ascii="Times New Roman" w:hAnsi="Times New Roman"/>
                <w:sz w:val="20"/>
              </w:rPr>
              <w:t>Income (loss) from discontinued operations</w:t>
            </w:r>
          </w:p>
        </w:tc>
        <w:tc>
          <w:tcPr>
            <w:tcW w:w="198" w:type="dxa"/>
            <w:tcBorders/>
            <w:shd w:fill="FFFFFF" w:val="clear"/>
            <w:tcMar>
              <w:bottom w:w="0" w:type="dxa"/>
            </w:tcMar>
            <w:vAlign w:val="center"/>
          </w:tcPr>
          <w:p>
            <w:pPr>
              <w:pStyle w:val="TableContents"/>
              <w:spacing w:before="0" w:after="283"/>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198"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203" w:type="dxa"/>
            <w:tcBorders/>
            <w:shd w:fill="FFFFFF" w:val="clear"/>
            <w:tcMar>
              <w:bottom w:w="0" w:type="dxa"/>
            </w:tcMar>
            <w:vAlign w:val="bottom"/>
          </w:tcPr>
          <w:p>
            <w:pPr>
              <w:pStyle w:val="TableContents"/>
              <w:spacing w:before="0" w:after="283"/>
              <w:jc w:val="left"/>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198"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(1,379</w:t>
            </w:r>
          </w:p>
        </w:tc>
        <w:tc>
          <w:tcPr>
            <w:tcW w:w="203"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26" w:type="dxa"/>
            <w:tcBorders/>
            <w:shd w:fill="FFFFFF" w:val="clear"/>
            <w:tcMar>
              <w:bottom w:w="0" w:type="dxa"/>
            </w:tcMar>
            <w:vAlign w:val="bottom"/>
          </w:tcPr>
          <w:p>
            <w:pPr>
              <w:pStyle w:val="TableContents"/>
              <w:spacing w:before="0" w:after="283"/>
              <w:jc w:val="left"/>
              <w:rPr/>
            </w:pPr>
            <w:r>
              <w:rPr/>
              <w:t> </w:t>
            </w:r>
          </w:p>
        </w:tc>
        <w:tc>
          <w:tcPr>
            <w:tcW w:w="1167"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(469</w:t>
            </w:r>
          </w:p>
        </w:tc>
        <w:tc>
          <w:tcPr>
            <w:tcW w:w="123"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r>
      <w:tr>
        <w:trPr/>
        <w:tc>
          <w:tcPr>
            <w:tcW w:w="5537" w:type="dxa"/>
            <w:tcBorders/>
            <w:shd w:fill="CCEEFF" w:val="clear"/>
            <w:tcMar>
              <w:bottom w:w="0" w:type="dxa"/>
            </w:tcMar>
            <w:vAlign w:val="bottom"/>
          </w:tcPr>
          <w:p>
            <w:pPr>
              <w:pStyle w:val="TableContents"/>
              <w:spacing w:lineRule="auto" w:line="300" w:before="0" w:after="0"/>
              <w:ind w:left="180" w:right="0" w:hanging="0"/>
              <w:jc w:val="left"/>
              <w:rPr>
                <w:rFonts w:ascii="Times New Roman" w:hAnsi="Times New Roman"/>
                <w:sz w:val="20"/>
              </w:rPr>
            </w:pPr>
            <w:bookmarkStart w:id="3946" w:name="TAB11854"/>
            <w:bookmarkEnd w:id="3946"/>
            <w:r>
              <w:rPr>
                <w:rFonts w:ascii="Times New Roman" w:hAnsi="Times New Roman"/>
                <w:sz w:val="20"/>
              </w:rPr>
              <w:t>Income tax expense</w:t>
            </w:r>
          </w:p>
        </w:tc>
        <w:tc>
          <w:tcPr>
            <w:tcW w:w="198" w:type="dxa"/>
            <w:tcBorders/>
            <w:shd w:fill="CCEEFF" w:val="clear"/>
            <w:tcMar>
              <w:bottom w:w="0" w:type="dxa"/>
            </w:tcMar>
            <w:vAlign w:val="center"/>
          </w:tcPr>
          <w:p>
            <w:pPr>
              <w:pStyle w:val="TableContents"/>
              <w:spacing w:before="0" w:after="283"/>
              <w:rPr/>
            </w:pPr>
            <w:r>
              <w:rPr/>
              <w:t> </w:t>
            </w:r>
          </w:p>
        </w:tc>
        <w:tc>
          <w:tcPr>
            <w:tcW w:w="126" w:type="dxa"/>
            <w:tcBorders/>
            <w:shd w:fill="CCEEFF" w:val="clear"/>
            <w:tcMar>
              <w:bottom w:w="0" w:type="dxa"/>
            </w:tcMar>
            <w:vAlign w:val="bottom"/>
          </w:tcPr>
          <w:p>
            <w:pPr>
              <w:pStyle w:val="TableContents"/>
              <w:spacing w:before="0" w:after="283"/>
              <w:jc w:val="left"/>
              <w:rPr/>
            </w:pPr>
            <w:r>
              <w:rPr/>
              <w:t> </w:t>
            </w:r>
          </w:p>
        </w:tc>
        <w:tc>
          <w:tcPr>
            <w:tcW w:w="1198"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(2,270</w:t>
            </w:r>
          </w:p>
        </w:tc>
        <w:tc>
          <w:tcPr>
            <w:tcW w:w="203"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26" w:type="dxa"/>
            <w:tcBorders/>
            <w:shd w:fill="CCEEFF" w:val="clear"/>
            <w:tcMar>
              <w:bottom w:w="0" w:type="dxa"/>
            </w:tcMar>
            <w:vAlign w:val="bottom"/>
          </w:tcPr>
          <w:p>
            <w:pPr>
              <w:pStyle w:val="TableContents"/>
              <w:spacing w:before="0" w:after="283"/>
              <w:jc w:val="left"/>
              <w:rPr/>
            </w:pPr>
            <w:r>
              <w:rPr/>
              <w:t> </w:t>
            </w:r>
          </w:p>
        </w:tc>
        <w:tc>
          <w:tcPr>
            <w:tcW w:w="1198"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(1,209</w:t>
            </w:r>
          </w:p>
        </w:tc>
        <w:tc>
          <w:tcPr>
            <w:tcW w:w="203"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26" w:type="dxa"/>
            <w:tcBorders/>
            <w:shd w:fill="CCEEFF" w:val="clear"/>
            <w:tcMar>
              <w:bottom w:w="0" w:type="dxa"/>
            </w:tcMar>
            <w:vAlign w:val="bottom"/>
          </w:tcPr>
          <w:p>
            <w:pPr>
              <w:pStyle w:val="TableContents"/>
              <w:spacing w:before="0" w:after="283"/>
              <w:jc w:val="left"/>
              <w:rPr/>
            </w:pPr>
            <w:r>
              <w:rPr/>
              <w:t> </w:t>
            </w:r>
          </w:p>
        </w:tc>
        <w:tc>
          <w:tcPr>
            <w:tcW w:w="1167"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(1,046</w:t>
            </w:r>
          </w:p>
        </w:tc>
        <w:tc>
          <w:tcPr>
            <w:tcW w:w="123"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r>
      <w:tr>
        <w:trPr/>
        <w:tc>
          <w:tcPr>
            <w:tcW w:w="5537" w:type="dxa"/>
            <w:tcBorders/>
            <w:shd w:fill="FFFFFF" w:val="clear"/>
            <w:tcMar>
              <w:bottom w:w="0" w:type="dxa"/>
            </w:tcMar>
            <w:vAlign w:val="bottom"/>
          </w:tcPr>
          <w:p>
            <w:pPr>
              <w:pStyle w:val="TableContents"/>
              <w:spacing w:lineRule="auto" w:line="300" w:before="0" w:after="0"/>
              <w:ind w:left="360" w:right="0" w:hanging="180"/>
              <w:jc w:val="left"/>
              <w:rPr>
                <w:rFonts w:ascii="Times New Roman" w:hAnsi="Times New Roman"/>
                <w:sz w:val="20"/>
              </w:rPr>
            </w:pPr>
            <w:bookmarkStart w:id="3947" w:name="TAB11855"/>
            <w:bookmarkEnd w:id="3947"/>
            <w:r>
              <w:rPr>
                <w:rFonts w:ascii="Times New Roman" w:hAnsi="Times New Roman"/>
                <w:sz w:val="20"/>
              </w:rPr>
              <w:t>Equity earnings of unconsolidated joint ventures and entities</w:t>
            </w:r>
          </w:p>
        </w:tc>
        <w:tc>
          <w:tcPr>
            <w:tcW w:w="198" w:type="dxa"/>
            <w:tcBorders/>
            <w:shd w:fill="FFFFFF" w:val="clear"/>
            <w:tcMar>
              <w:bottom w:w="0" w:type="dxa"/>
            </w:tcMar>
            <w:vAlign w:val="center"/>
          </w:tcPr>
          <w:p>
            <w:pPr>
              <w:pStyle w:val="TableContents"/>
              <w:spacing w:before="0" w:after="283"/>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198"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9,547</w:t>
            </w:r>
          </w:p>
        </w:tc>
        <w:tc>
          <w:tcPr>
            <w:tcW w:w="203" w:type="dxa"/>
            <w:tcBorders/>
            <w:shd w:fill="FFFFFF" w:val="clear"/>
            <w:tcMar>
              <w:bottom w:w="0" w:type="dxa"/>
            </w:tcMar>
            <w:vAlign w:val="bottom"/>
          </w:tcPr>
          <w:p>
            <w:pPr>
              <w:pStyle w:val="TableContents"/>
              <w:spacing w:before="0" w:after="283"/>
              <w:jc w:val="left"/>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198"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1,372</w:t>
            </w:r>
          </w:p>
        </w:tc>
        <w:tc>
          <w:tcPr>
            <w:tcW w:w="203" w:type="dxa"/>
            <w:tcBorders/>
            <w:shd w:fill="FFFFFF" w:val="clear"/>
            <w:tcMar>
              <w:bottom w:w="0" w:type="dxa"/>
            </w:tcMar>
            <w:vAlign w:val="bottom"/>
          </w:tcPr>
          <w:p>
            <w:pPr>
              <w:pStyle w:val="TableContents"/>
              <w:spacing w:before="0" w:after="283"/>
              <w:jc w:val="left"/>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167"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1,680</w:t>
            </w:r>
          </w:p>
        </w:tc>
        <w:tc>
          <w:tcPr>
            <w:tcW w:w="123" w:type="dxa"/>
            <w:tcBorders/>
            <w:shd w:fill="FFFFFF" w:val="clear"/>
            <w:tcMar>
              <w:bottom w:w="0" w:type="dxa"/>
            </w:tcMar>
            <w:vAlign w:val="bottom"/>
          </w:tcPr>
          <w:p>
            <w:pPr>
              <w:pStyle w:val="TableContents"/>
              <w:spacing w:before="0" w:after="283"/>
              <w:jc w:val="left"/>
              <w:rPr/>
            </w:pPr>
            <w:r>
              <w:rPr/>
              <w:t> </w:t>
            </w:r>
          </w:p>
        </w:tc>
      </w:tr>
      <w:tr>
        <w:trPr/>
        <w:tc>
          <w:tcPr>
            <w:tcW w:w="5537" w:type="dxa"/>
            <w:tcBorders>
              <w:bottom w:val="single" w:sz="2" w:space="0" w:color="000000"/>
            </w:tcBorders>
            <w:shd w:fill="CCEEFF" w:val="clear"/>
            <w:vAlign w:val="bottom"/>
          </w:tcPr>
          <w:p>
            <w:pPr>
              <w:pStyle w:val="TableContents"/>
              <w:spacing w:lineRule="auto" w:line="300" w:before="0" w:after="0"/>
              <w:ind w:left="180" w:right="0" w:hanging="0"/>
              <w:jc w:val="left"/>
              <w:rPr>
                <w:rFonts w:ascii="Times New Roman" w:hAnsi="Times New Roman"/>
                <w:sz w:val="20"/>
              </w:rPr>
            </w:pPr>
            <w:bookmarkStart w:id="3948" w:name="TAB11856"/>
            <w:bookmarkEnd w:id="3948"/>
            <w:r>
              <w:rPr>
                <w:rFonts w:ascii="Times New Roman" w:hAnsi="Times New Roman"/>
                <w:sz w:val="20"/>
              </w:rPr>
              <w:t>Gain on sale of unconsolidated joint venture</w:t>
            </w:r>
          </w:p>
        </w:tc>
        <w:tc>
          <w:tcPr>
            <w:tcW w:w="198" w:type="dxa"/>
            <w:tcBorders>
              <w:bottom w:val="single" w:sz="2" w:space="0" w:color="CCEEFF"/>
            </w:tcBorders>
            <w:shd w:fill="CCEEFF" w:val="clear"/>
            <w:vAlign w:val="center"/>
          </w:tcPr>
          <w:p>
            <w:pPr>
              <w:pStyle w:val="TableContents"/>
              <w:spacing w:before="0" w:after="283"/>
              <w:rPr/>
            </w:pPr>
            <w:r>
              <w:rPr/>
              <w:t> </w:t>
            </w:r>
          </w:p>
        </w:tc>
        <w:tc>
          <w:tcPr>
            <w:tcW w:w="126" w:type="dxa"/>
            <w:tcBorders>
              <w:bottom w:val="single" w:sz="2" w:space="0" w:color="000000"/>
            </w:tcBorders>
            <w:shd w:fill="CCEEFF" w:val="clear"/>
            <w:vAlign w:val="bottom"/>
          </w:tcPr>
          <w:p>
            <w:pPr>
              <w:pStyle w:val="TableContents"/>
              <w:spacing w:before="0" w:after="283"/>
              <w:jc w:val="left"/>
              <w:rPr/>
            </w:pPr>
            <w:r>
              <w:rPr/>
              <w:t> </w:t>
            </w:r>
          </w:p>
        </w:tc>
        <w:tc>
          <w:tcPr>
            <w:tcW w:w="1198"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3,442</w:t>
            </w:r>
          </w:p>
        </w:tc>
        <w:tc>
          <w:tcPr>
            <w:tcW w:w="203" w:type="dxa"/>
            <w:tcBorders>
              <w:bottom w:val="single" w:sz="2" w:space="0" w:color="CCEEFF"/>
            </w:tcBorders>
            <w:shd w:fill="CCEEFF" w:val="clear"/>
            <w:vAlign w:val="bottom"/>
          </w:tcPr>
          <w:p>
            <w:pPr>
              <w:pStyle w:val="TableContents"/>
              <w:spacing w:before="0" w:after="283"/>
              <w:jc w:val="left"/>
              <w:rPr/>
            </w:pPr>
            <w:r>
              <w:rPr/>
              <w:t> </w:t>
            </w:r>
          </w:p>
        </w:tc>
        <w:tc>
          <w:tcPr>
            <w:tcW w:w="126" w:type="dxa"/>
            <w:tcBorders>
              <w:bottom w:val="single" w:sz="2" w:space="0" w:color="000000"/>
            </w:tcBorders>
            <w:shd w:fill="CCEEFF" w:val="clear"/>
            <w:vAlign w:val="bottom"/>
          </w:tcPr>
          <w:p>
            <w:pPr>
              <w:pStyle w:val="TableContents"/>
              <w:spacing w:before="0" w:after="283"/>
              <w:jc w:val="left"/>
              <w:rPr/>
            </w:pPr>
            <w:r>
              <w:rPr/>
              <w:t> </w:t>
            </w:r>
          </w:p>
        </w:tc>
        <w:tc>
          <w:tcPr>
            <w:tcW w:w="1198"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203" w:type="dxa"/>
            <w:tcBorders>
              <w:bottom w:val="single" w:sz="2" w:space="0" w:color="CCEEFF"/>
            </w:tcBorders>
            <w:shd w:fill="CCEEFF" w:val="clear"/>
            <w:vAlign w:val="bottom"/>
          </w:tcPr>
          <w:p>
            <w:pPr>
              <w:pStyle w:val="TableContents"/>
              <w:spacing w:before="0" w:after="283"/>
              <w:jc w:val="left"/>
              <w:rPr/>
            </w:pPr>
            <w:r>
              <w:rPr/>
              <w:t> </w:t>
            </w:r>
          </w:p>
        </w:tc>
        <w:tc>
          <w:tcPr>
            <w:tcW w:w="126" w:type="dxa"/>
            <w:tcBorders>
              <w:bottom w:val="single" w:sz="2" w:space="0" w:color="000000"/>
            </w:tcBorders>
            <w:shd w:fill="CCEEFF" w:val="clear"/>
            <w:vAlign w:val="bottom"/>
          </w:tcPr>
          <w:p>
            <w:pPr>
              <w:pStyle w:val="TableContents"/>
              <w:spacing w:before="0" w:after="283"/>
              <w:jc w:val="left"/>
              <w:rPr/>
            </w:pPr>
            <w:r>
              <w:rPr/>
              <w:t> </w:t>
            </w:r>
          </w:p>
        </w:tc>
        <w:tc>
          <w:tcPr>
            <w:tcW w:w="1167"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123" w:type="dxa"/>
            <w:tcBorders>
              <w:bottom w:val="single" w:sz="2" w:space="0" w:color="CCEEFF"/>
            </w:tcBorders>
            <w:shd w:fill="CCEEFF" w:val="clear"/>
            <w:vAlign w:val="bottom"/>
          </w:tcPr>
          <w:p>
            <w:pPr>
              <w:pStyle w:val="TableContents"/>
              <w:spacing w:before="0" w:after="283"/>
              <w:jc w:val="left"/>
              <w:rPr/>
            </w:pPr>
            <w:r>
              <w:rPr/>
              <w:t> </w:t>
            </w:r>
          </w:p>
        </w:tc>
      </w:tr>
      <w:tr>
        <w:trPr/>
        <w:tc>
          <w:tcPr>
            <w:tcW w:w="5537" w:type="dxa"/>
            <w:tcBorders>
              <w:bottom w:val="sing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Net income (loss)</w:t>
            </w:r>
          </w:p>
        </w:tc>
        <w:tc>
          <w:tcPr>
            <w:tcW w:w="198" w:type="dxa"/>
            <w:tcBorders>
              <w:bottom w:val="single" w:sz="2" w:space="0" w:color="FFFFFF"/>
            </w:tcBorders>
            <w:shd w:fill="FFFFFF" w:val="clear"/>
            <w:vAlign w:val="center"/>
          </w:tcPr>
          <w:p>
            <w:pPr>
              <w:pStyle w:val="TableContents"/>
              <w:spacing w:before="0" w:after="283"/>
              <w:rPr/>
            </w:pPr>
            <w:r>
              <w:rPr/>
              <w:t> </w:t>
            </w:r>
          </w:p>
        </w:tc>
        <w:tc>
          <w:tcPr>
            <w:tcW w:w="126" w:type="dxa"/>
            <w:tcBorders>
              <w:bottom w:val="sing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bookmarkStart w:id="3949" w:name="TAB2252"/>
            <w:bookmarkEnd w:id="3949"/>
          </w:p>
        </w:tc>
        <w:tc>
          <w:tcPr>
            <w:tcW w:w="1198"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3950" w:name="TAB2253"/>
            <w:bookmarkEnd w:id="3950"/>
            <w:r>
              <w:rPr>
                <w:rFonts w:ascii="Times New Roman" w:hAnsi="Times New Roman"/>
                <w:sz w:val="20"/>
              </w:rPr>
              <w:t>3,856</w:t>
            </w:r>
          </w:p>
        </w:tc>
        <w:tc>
          <w:tcPr>
            <w:tcW w:w="203" w:type="dxa"/>
            <w:tcBorders>
              <w:bottom w:val="single" w:sz="2" w:space="0" w:color="FFFFFF"/>
            </w:tcBorders>
            <w:shd w:fill="FFFFFF" w:val="clear"/>
            <w:vAlign w:val="bottom"/>
          </w:tcPr>
          <w:p>
            <w:pPr>
              <w:pStyle w:val="TableContents"/>
              <w:spacing w:before="0" w:after="283"/>
              <w:jc w:val="left"/>
              <w:rPr/>
            </w:pPr>
            <w:r>
              <w:rPr/>
              <w:t> </w:t>
            </w:r>
          </w:p>
        </w:tc>
        <w:tc>
          <w:tcPr>
            <w:tcW w:w="126" w:type="dxa"/>
            <w:tcBorders>
              <w:bottom w:val="sing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bookmarkStart w:id="3951" w:name="TAB2254"/>
            <w:bookmarkEnd w:id="3951"/>
          </w:p>
        </w:tc>
        <w:tc>
          <w:tcPr>
            <w:tcW w:w="1198"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3952" w:name="TAB2255"/>
            <w:bookmarkEnd w:id="3952"/>
            <w:r>
              <w:rPr>
                <w:rFonts w:ascii="Times New Roman" w:hAnsi="Times New Roman"/>
                <w:sz w:val="20"/>
              </w:rPr>
              <w:t>989</w:t>
            </w:r>
          </w:p>
        </w:tc>
        <w:tc>
          <w:tcPr>
            <w:tcW w:w="203" w:type="dxa"/>
            <w:tcBorders>
              <w:bottom w:val="single" w:sz="2" w:space="0" w:color="FFFFFF"/>
            </w:tcBorders>
            <w:shd w:fill="FFFFFF" w:val="clear"/>
            <w:vAlign w:val="bottom"/>
          </w:tcPr>
          <w:p>
            <w:pPr>
              <w:pStyle w:val="TableContents"/>
              <w:spacing w:before="0" w:after="283"/>
              <w:jc w:val="left"/>
              <w:rPr/>
            </w:pPr>
            <w:r>
              <w:rPr/>
              <w:t> </w:t>
            </w:r>
          </w:p>
        </w:tc>
        <w:tc>
          <w:tcPr>
            <w:tcW w:w="126" w:type="dxa"/>
            <w:tcBorders>
              <w:bottom w:val="sing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bookmarkStart w:id="3953" w:name="TAB2256"/>
            <w:bookmarkEnd w:id="3953"/>
          </w:p>
        </w:tc>
        <w:tc>
          <w:tcPr>
            <w:tcW w:w="1167"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3954" w:name="TAB2257"/>
            <w:bookmarkEnd w:id="3954"/>
            <w:r>
              <w:rPr>
                <w:rFonts w:ascii="Times New Roman" w:hAnsi="Times New Roman"/>
                <w:sz w:val="20"/>
              </w:rPr>
              <w:t>(8,463</w:t>
            </w:r>
          </w:p>
        </w:tc>
        <w:tc>
          <w:tcPr>
            <w:tcW w:w="123" w:type="dxa"/>
            <w:tcBorders>
              <w:bottom w:val="single" w:sz="2" w:space="0" w:color="FFFFFF"/>
            </w:tcBorders>
            <w:shd w:fill="FFFFFF" w:val="clear"/>
            <w:vAlign w:val="bottom"/>
          </w:tcPr>
          <w:p>
            <w:pPr>
              <w:pStyle w:val="TableContents"/>
              <w:spacing w:lineRule="auto" w:line="300" w:before="0" w:after="0"/>
              <w:ind w:left="0" w:right="0" w:hanging="0"/>
              <w:jc w:val="left"/>
              <w:rPr>
                <w:rFonts w:ascii="Times New Roman" w:hAnsi="Times New Roman"/>
                <w:sz w:val="20"/>
              </w:rPr>
            </w:pPr>
            <w:bookmarkStart w:id="3955" w:name="TAB2258"/>
            <w:bookmarkEnd w:id="3955"/>
            <w:r>
              <w:rPr>
                <w:rFonts w:ascii="Times New Roman" w:hAnsi="Times New Roman"/>
                <w:sz w:val="20"/>
              </w:rPr>
              <w:t>)</w:t>
            </w:r>
          </w:p>
        </w:tc>
      </w:tr>
      <w:tr>
        <w:trPr/>
        <w:tc>
          <w:tcPr>
            <w:tcW w:w="5537" w:type="dxa"/>
            <w:tcBorders>
              <w:bottom w:val="double" w:sz="2" w:space="0" w:color="000000"/>
            </w:tcBorders>
            <w:shd w:fill="CCEEFF" w:val="clear"/>
            <w:vAlign w:val="bottom"/>
          </w:tcPr>
          <w:p>
            <w:pPr>
              <w:pStyle w:val="TableContents"/>
              <w:spacing w:before="0" w:after="283"/>
              <w:jc w:val="left"/>
              <w:rPr/>
            </w:pPr>
            <w:r>
              <w:rPr/>
              <w:t> </w:t>
            </w:r>
          </w:p>
        </w:tc>
        <w:tc>
          <w:tcPr>
            <w:tcW w:w="198" w:type="dxa"/>
            <w:tcBorders>
              <w:bottom w:val="single" w:sz="4" w:space="0" w:color="CCEEFF"/>
            </w:tcBorders>
            <w:shd w:fill="CCEEFF" w:val="clear"/>
            <w:vAlign w:val="center"/>
          </w:tcPr>
          <w:p>
            <w:pPr>
              <w:pStyle w:val="TableContents"/>
              <w:spacing w:before="0" w:after="283"/>
              <w:rPr/>
            </w:pPr>
            <w:r>
              <w:rPr/>
              <w:t> </w:t>
            </w:r>
          </w:p>
        </w:tc>
        <w:tc>
          <w:tcPr>
            <w:tcW w:w="126" w:type="dxa"/>
            <w:tcBorders>
              <w:bottom w:val="double" w:sz="2" w:space="0" w:color="000000"/>
            </w:tcBorders>
            <w:shd w:fill="CCEEFF" w:val="clear"/>
            <w:vAlign w:val="bottom"/>
          </w:tcPr>
          <w:p>
            <w:pPr>
              <w:pStyle w:val="TableContents"/>
              <w:spacing w:before="0" w:after="283"/>
              <w:jc w:val="left"/>
              <w:rPr/>
            </w:pPr>
            <w:r>
              <w:rPr/>
              <w:t> </w:t>
            </w:r>
          </w:p>
        </w:tc>
        <w:tc>
          <w:tcPr>
            <w:tcW w:w="1198" w:type="dxa"/>
            <w:tcBorders>
              <w:bottom w:val="double" w:sz="2" w:space="0" w:color="000000"/>
            </w:tcBorders>
            <w:shd w:fill="CCEEFF" w:val="clear"/>
            <w:vAlign w:val="bottom"/>
          </w:tcPr>
          <w:p>
            <w:pPr>
              <w:pStyle w:val="TableContents"/>
              <w:spacing w:before="0" w:after="283"/>
              <w:jc w:val="right"/>
              <w:rPr/>
            </w:pPr>
            <w:r>
              <w:rPr/>
              <w:t> </w:t>
            </w:r>
          </w:p>
        </w:tc>
        <w:tc>
          <w:tcPr>
            <w:tcW w:w="203" w:type="dxa"/>
            <w:tcBorders>
              <w:bottom w:val="single" w:sz="4" w:space="0" w:color="CCEEFF"/>
            </w:tcBorders>
            <w:shd w:fill="CCEEFF" w:val="clear"/>
            <w:vAlign w:val="bottom"/>
          </w:tcPr>
          <w:p>
            <w:pPr>
              <w:pStyle w:val="TableContents"/>
              <w:spacing w:before="0" w:after="283"/>
              <w:jc w:val="left"/>
              <w:rPr/>
            </w:pPr>
            <w:r>
              <w:rPr/>
              <w:t> </w:t>
            </w:r>
          </w:p>
        </w:tc>
        <w:tc>
          <w:tcPr>
            <w:tcW w:w="126" w:type="dxa"/>
            <w:tcBorders>
              <w:bottom w:val="double" w:sz="2" w:space="0" w:color="000000"/>
            </w:tcBorders>
            <w:shd w:fill="CCEEFF" w:val="clear"/>
            <w:vAlign w:val="bottom"/>
          </w:tcPr>
          <w:p>
            <w:pPr>
              <w:pStyle w:val="TableContents"/>
              <w:spacing w:before="0" w:after="283"/>
              <w:jc w:val="left"/>
              <w:rPr/>
            </w:pPr>
            <w:r>
              <w:rPr/>
              <w:t> </w:t>
            </w:r>
          </w:p>
        </w:tc>
        <w:tc>
          <w:tcPr>
            <w:tcW w:w="1198" w:type="dxa"/>
            <w:tcBorders>
              <w:bottom w:val="double" w:sz="2" w:space="0" w:color="000000"/>
            </w:tcBorders>
            <w:shd w:fill="CCEEFF" w:val="clear"/>
            <w:vAlign w:val="bottom"/>
          </w:tcPr>
          <w:p>
            <w:pPr>
              <w:pStyle w:val="TableContents"/>
              <w:spacing w:before="0" w:after="283"/>
              <w:jc w:val="right"/>
              <w:rPr/>
            </w:pPr>
            <w:r>
              <w:rPr/>
              <w:t> </w:t>
            </w:r>
          </w:p>
        </w:tc>
        <w:tc>
          <w:tcPr>
            <w:tcW w:w="203" w:type="dxa"/>
            <w:tcBorders>
              <w:bottom w:val="single" w:sz="4" w:space="0" w:color="CCEEFF"/>
            </w:tcBorders>
            <w:shd w:fill="CCEEFF" w:val="clear"/>
            <w:vAlign w:val="bottom"/>
          </w:tcPr>
          <w:p>
            <w:pPr>
              <w:pStyle w:val="TableContents"/>
              <w:spacing w:before="0" w:after="283"/>
              <w:jc w:val="left"/>
              <w:rPr/>
            </w:pPr>
            <w:r>
              <w:rPr/>
              <w:t> </w:t>
            </w:r>
          </w:p>
        </w:tc>
        <w:tc>
          <w:tcPr>
            <w:tcW w:w="126" w:type="dxa"/>
            <w:tcBorders>
              <w:bottom w:val="double" w:sz="2" w:space="0" w:color="000000"/>
            </w:tcBorders>
            <w:shd w:fill="CCEEFF" w:val="clear"/>
            <w:vAlign w:val="bottom"/>
          </w:tcPr>
          <w:p>
            <w:pPr>
              <w:pStyle w:val="TableContents"/>
              <w:spacing w:before="0" w:after="283"/>
              <w:jc w:val="left"/>
              <w:rPr/>
            </w:pPr>
            <w:r>
              <w:rPr/>
              <w:t> </w:t>
            </w:r>
          </w:p>
        </w:tc>
        <w:tc>
          <w:tcPr>
            <w:tcW w:w="1167" w:type="dxa"/>
            <w:tcBorders>
              <w:bottom w:val="double" w:sz="2" w:space="0" w:color="000000"/>
            </w:tcBorders>
            <w:shd w:fill="CCEEFF" w:val="clear"/>
            <w:vAlign w:val="bottom"/>
          </w:tcPr>
          <w:p>
            <w:pPr>
              <w:pStyle w:val="TableContents"/>
              <w:spacing w:before="0" w:after="283"/>
              <w:jc w:val="right"/>
              <w:rPr/>
            </w:pPr>
            <w:r>
              <w:rPr/>
              <w:t> </w:t>
            </w:r>
          </w:p>
        </w:tc>
        <w:tc>
          <w:tcPr>
            <w:tcW w:w="123" w:type="dxa"/>
            <w:tcBorders>
              <w:bottom w:val="single" w:sz="4" w:space="0" w:color="CCEEFF"/>
            </w:tcBorders>
            <w:shd w:fill="CCEEFF" w:val="clear"/>
            <w:vAlign w:val="bottom"/>
          </w:tcPr>
          <w:p>
            <w:pPr>
              <w:pStyle w:val="TableContents"/>
              <w:spacing w:before="0" w:after="283"/>
              <w:jc w:val="left"/>
              <w:rPr/>
            </w:pPr>
            <w:r>
              <w:rPr/>
              <w:t> </w:t>
            </w:r>
          </w:p>
        </w:tc>
      </w:tr>
      <w:tr>
        <w:trPr/>
        <w:tc>
          <w:tcPr>
            <w:tcW w:w="5537"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Segment assets</w:t>
            </w:r>
          </w:p>
        </w:tc>
        <w:tc>
          <w:tcPr>
            <w:tcW w:w="198" w:type="dxa"/>
            <w:tcBorders/>
            <w:shd w:fill="FFFFFF" w:val="clear"/>
            <w:tcMar>
              <w:bottom w:w="0" w:type="dxa"/>
            </w:tcMar>
            <w:vAlign w:val="center"/>
          </w:tcPr>
          <w:p>
            <w:pPr>
              <w:pStyle w:val="TableContents"/>
              <w:spacing w:before="0" w:after="283"/>
              <w:rPr/>
            </w:pPr>
            <w:r>
              <w:rPr/>
              <w:t> </w:t>
            </w:r>
          </w:p>
        </w:tc>
        <w:tc>
          <w:tcPr>
            <w:tcW w:w="126"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198"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264,963</w:t>
            </w:r>
          </w:p>
        </w:tc>
        <w:tc>
          <w:tcPr>
            <w:tcW w:w="203" w:type="dxa"/>
            <w:tcBorders/>
            <w:shd w:fill="FFFFFF" w:val="clear"/>
            <w:tcMar>
              <w:bottom w:w="0" w:type="dxa"/>
            </w:tcMar>
            <w:vAlign w:val="bottom"/>
          </w:tcPr>
          <w:p>
            <w:pPr>
              <w:pStyle w:val="TableContents"/>
              <w:spacing w:before="0" w:after="283"/>
              <w:jc w:val="left"/>
              <w:rPr/>
            </w:pPr>
            <w:r>
              <w:rPr/>
              <w:t> </w:t>
            </w:r>
          </w:p>
        </w:tc>
        <w:tc>
          <w:tcPr>
            <w:tcW w:w="126"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bookmarkStart w:id="3956" w:name="TAB2259"/>
            <w:bookmarkEnd w:id="3956"/>
          </w:p>
        </w:tc>
        <w:tc>
          <w:tcPr>
            <w:tcW w:w="1198"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3957" w:name="TAB2260"/>
            <w:bookmarkEnd w:id="3957"/>
            <w:r>
              <w:rPr>
                <w:rFonts w:ascii="Times New Roman" w:hAnsi="Times New Roman"/>
                <w:sz w:val="20"/>
              </w:rPr>
              <w:t>236,669</w:t>
            </w:r>
          </w:p>
        </w:tc>
        <w:tc>
          <w:tcPr>
            <w:tcW w:w="203" w:type="dxa"/>
            <w:tcBorders/>
            <w:shd w:fill="FFFFFF" w:val="clear"/>
            <w:tcMar>
              <w:bottom w:w="0" w:type="dxa"/>
            </w:tcMar>
            <w:vAlign w:val="bottom"/>
          </w:tcPr>
          <w:p>
            <w:pPr>
              <w:pStyle w:val="TableContents"/>
              <w:spacing w:before="0" w:after="283"/>
              <w:jc w:val="left"/>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167" w:type="dxa"/>
            <w:tcBorders/>
            <w:shd w:fill="FFFFFF" w:val="clear"/>
            <w:tcMar>
              <w:bottom w:w="0" w:type="dxa"/>
            </w:tcMar>
            <w:vAlign w:val="bottom"/>
          </w:tcPr>
          <w:p>
            <w:pPr>
              <w:pStyle w:val="TableContents"/>
              <w:spacing w:before="0" w:after="283"/>
              <w:jc w:val="right"/>
              <w:rPr/>
            </w:pPr>
            <w:r>
              <w:rPr/>
              <w:t> </w:t>
            </w:r>
          </w:p>
        </w:tc>
        <w:tc>
          <w:tcPr>
            <w:tcW w:w="123" w:type="dxa"/>
            <w:tcBorders/>
            <w:shd w:fill="FFFFFF" w:val="clear"/>
            <w:tcMar>
              <w:bottom w:w="0" w:type="dxa"/>
            </w:tcMar>
            <w:vAlign w:val="bottom"/>
          </w:tcPr>
          <w:p>
            <w:pPr>
              <w:pStyle w:val="TableContents"/>
              <w:spacing w:before="0" w:after="283"/>
              <w:jc w:val="left"/>
              <w:rPr/>
            </w:pPr>
            <w:r>
              <w:rPr/>
              <w:t> </w:t>
            </w:r>
          </w:p>
        </w:tc>
      </w:tr>
      <w:tr>
        <w:trPr/>
        <w:tc>
          <w:tcPr>
            <w:tcW w:w="5537" w:type="dxa"/>
            <w:tcBorders>
              <w:bottom w:val="sing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Corporate assets</w:t>
            </w:r>
          </w:p>
        </w:tc>
        <w:tc>
          <w:tcPr>
            <w:tcW w:w="198" w:type="dxa"/>
            <w:tcBorders>
              <w:bottom w:val="single" w:sz="2" w:space="0" w:color="CCEEFF"/>
            </w:tcBorders>
            <w:shd w:fill="CCEEFF" w:val="clear"/>
            <w:vAlign w:val="center"/>
          </w:tcPr>
          <w:p>
            <w:pPr>
              <w:pStyle w:val="TableContents"/>
              <w:spacing w:before="0" w:after="283"/>
              <w:rPr/>
            </w:pPr>
            <w:r>
              <w:rPr/>
              <w:t> </w:t>
            </w:r>
          </w:p>
        </w:tc>
        <w:tc>
          <w:tcPr>
            <w:tcW w:w="126" w:type="dxa"/>
            <w:tcBorders>
              <w:bottom w:val="single" w:sz="2" w:space="0" w:color="000000"/>
            </w:tcBorders>
            <w:shd w:fill="CCEEFF" w:val="clear"/>
            <w:vAlign w:val="bottom"/>
          </w:tcPr>
          <w:p>
            <w:pPr>
              <w:pStyle w:val="TableContents"/>
              <w:spacing w:before="0" w:after="283"/>
              <w:jc w:val="left"/>
              <w:rPr/>
            </w:pPr>
            <w:r>
              <w:rPr/>
              <w:t> </w:t>
            </w:r>
          </w:p>
        </w:tc>
        <w:tc>
          <w:tcPr>
            <w:tcW w:w="1198"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24,268</w:t>
            </w:r>
          </w:p>
        </w:tc>
        <w:tc>
          <w:tcPr>
            <w:tcW w:w="203" w:type="dxa"/>
            <w:tcBorders>
              <w:bottom w:val="single" w:sz="2" w:space="0" w:color="CCEEFF"/>
            </w:tcBorders>
            <w:shd w:fill="CCEEFF" w:val="clear"/>
            <w:vAlign w:val="bottom"/>
          </w:tcPr>
          <w:p>
            <w:pPr>
              <w:pStyle w:val="TableContents"/>
              <w:spacing w:before="0" w:after="283"/>
              <w:jc w:val="left"/>
              <w:rPr/>
            </w:pPr>
            <w:r>
              <w:rPr/>
              <w:t> </w:t>
            </w:r>
          </w:p>
        </w:tc>
        <w:tc>
          <w:tcPr>
            <w:tcW w:w="126" w:type="dxa"/>
            <w:tcBorders>
              <w:bottom w:val="single" w:sz="2" w:space="0" w:color="000000"/>
            </w:tcBorders>
            <w:shd w:fill="CCEEFF" w:val="clear"/>
            <w:vAlign w:val="bottom"/>
          </w:tcPr>
          <w:p>
            <w:pPr>
              <w:pStyle w:val="TableContents"/>
              <w:spacing w:before="0" w:after="283"/>
              <w:jc w:val="left"/>
              <w:rPr/>
            </w:pPr>
            <w:r>
              <w:rPr/>
              <w:t> </w:t>
            </w:r>
          </w:p>
        </w:tc>
        <w:tc>
          <w:tcPr>
            <w:tcW w:w="1198"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16,388</w:t>
            </w:r>
          </w:p>
        </w:tc>
        <w:tc>
          <w:tcPr>
            <w:tcW w:w="203" w:type="dxa"/>
            <w:tcBorders>
              <w:bottom w:val="single" w:sz="2" w:space="0" w:color="CCEEFF"/>
            </w:tcBorders>
            <w:shd w:fill="CCEEFF" w:val="clear"/>
            <w:vAlign w:val="bottom"/>
          </w:tcPr>
          <w:p>
            <w:pPr>
              <w:pStyle w:val="TableContents"/>
              <w:spacing w:before="0" w:after="283"/>
              <w:jc w:val="left"/>
              <w:rPr/>
            </w:pPr>
            <w:r>
              <w:rPr/>
              <w:t> </w:t>
            </w:r>
          </w:p>
        </w:tc>
        <w:tc>
          <w:tcPr>
            <w:tcW w:w="126" w:type="dxa"/>
            <w:tcBorders>
              <w:bottom w:val="single" w:sz="2" w:space="0" w:color="000000"/>
            </w:tcBorders>
            <w:shd w:fill="CCEEFF" w:val="clear"/>
            <w:vAlign w:val="bottom"/>
          </w:tcPr>
          <w:p>
            <w:pPr>
              <w:pStyle w:val="TableContents"/>
              <w:spacing w:before="0" w:after="283"/>
              <w:jc w:val="left"/>
              <w:rPr/>
            </w:pPr>
            <w:r>
              <w:rPr/>
              <w:t> </w:t>
            </w:r>
          </w:p>
        </w:tc>
        <w:tc>
          <w:tcPr>
            <w:tcW w:w="1167" w:type="dxa"/>
            <w:tcBorders>
              <w:bottom w:val="single" w:sz="2" w:space="0" w:color="000000"/>
            </w:tcBorders>
            <w:shd w:fill="CCEEFF" w:val="clear"/>
            <w:vAlign w:val="bottom"/>
          </w:tcPr>
          <w:p>
            <w:pPr>
              <w:pStyle w:val="TableContents"/>
              <w:spacing w:before="0" w:after="283"/>
              <w:jc w:val="right"/>
              <w:rPr/>
            </w:pPr>
            <w:r>
              <w:rPr/>
              <w:t> </w:t>
            </w:r>
          </w:p>
        </w:tc>
        <w:tc>
          <w:tcPr>
            <w:tcW w:w="123" w:type="dxa"/>
            <w:tcBorders>
              <w:bottom w:val="single" w:sz="2" w:space="0" w:color="CCEEFF"/>
            </w:tcBorders>
            <w:shd w:fill="CCEEFF" w:val="clear"/>
            <w:vAlign w:val="bottom"/>
          </w:tcPr>
          <w:p>
            <w:pPr>
              <w:pStyle w:val="TableContents"/>
              <w:spacing w:before="0" w:after="283"/>
              <w:jc w:val="left"/>
              <w:rPr/>
            </w:pPr>
            <w:r>
              <w:rPr/>
              <w:t> </w:t>
            </w:r>
          </w:p>
        </w:tc>
      </w:tr>
      <w:tr>
        <w:trPr/>
        <w:tc>
          <w:tcPr>
            <w:tcW w:w="5537" w:type="dxa"/>
            <w:tcBorders>
              <w:bottom w:val="doub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Total Assets</w:t>
            </w:r>
          </w:p>
        </w:tc>
        <w:tc>
          <w:tcPr>
            <w:tcW w:w="198" w:type="dxa"/>
            <w:tcBorders>
              <w:bottom w:val="single" w:sz="4" w:space="0" w:color="FFFFFF"/>
            </w:tcBorders>
            <w:shd w:fill="FFFFFF" w:val="clear"/>
            <w:vAlign w:val="center"/>
          </w:tcPr>
          <w:p>
            <w:pPr>
              <w:pStyle w:val="TableContents"/>
              <w:spacing w:before="0" w:after="283"/>
              <w:rPr/>
            </w:pPr>
            <w:r>
              <w:rPr/>
              <w:t> </w:t>
            </w:r>
          </w:p>
        </w:tc>
        <w:tc>
          <w:tcPr>
            <w:tcW w:w="126" w:type="dxa"/>
            <w:tcBorders>
              <w:bottom w:val="doub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bookmarkStart w:id="3958" w:name="TAB2261"/>
            <w:bookmarkEnd w:id="3958"/>
          </w:p>
        </w:tc>
        <w:tc>
          <w:tcPr>
            <w:tcW w:w="1198"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3959" w:name="TAB2262"/>
            <w:bookmarkEnd w:id="3959"/>
            <w:r>
              <w:rPr>
                <w:rFonts w:ascii="Times New Roman" w:hAnsi="Times New Roman"/>
                <w:sz w:val="20"/>
              </w:rPr>
              <w:t>289,231</w:t>
            </w:r>
          </w:p>
        </w:tc>
        <w:tc>
          <w:tcPr>
            <w:tcW w:w="203" w:type="dxa"/>
            <w:tcBorders>
              <w:bottom w:val="single" w:sz="4" w:space="0" w:color="FFFFFF"/>
            </w:tcBorders>
            <w:shd w:fill="FFFFFF" w:val="clear"/>
            <w:vAlign w:val="bottom"/>
          </w:tcPr>
          <w:p>
            <w:pPr>
              <w:pStyle w:val="TableContents"/>
              <w:spacing w:before="0" w:after="283"/>
              <w:jc w:val="left"/>
              <w:rPr/>
            </w:pPr>
            <w:r>
              <w:rPr/>
              <w:t> </w:t>
            </w:r>
          </w:p>
        </w:tc>
        <w:tc>
          <w:tcPr>
            <w:tcW w:w="126" w:type="dxa"/>
            <w:tcBorders>
              <w:bottom w:val="doub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bookmarkStart w:id="3960" w:name="TAB2263"/>
            <w:bookmarkEnd w:id="3960"/>
          </w:p>
        </w:tc>
        <w:tc>
          <w:tcPr>
            <w:tcW w:w="1198"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3961" w:name="TAB2264"/>
            <w:bookmarkEnd w:id="3961"/>
            <w:r>
              <w:rPr>
                <w:rFonts w:ascii="Times New Roman" w:hAnsi="Times New Roman"/>
                <w:sz w:val="20"/>
              </w:rPr>
              <w:t>253,057</w:t>
            </w:r>
          </w:p>
        </w:tc>
        <w:tc>
          <w:tcPr>
            <w:tcW w:w="203" w:type="dxa"/>
            <w:tcBorders>
              <w:bottom w:val="single" w:sz="4" w:space="0" w:color="FFFFFF"/>
            </w:tcBorders>
            <w:shd w:fill="FFFFFF" w:val="clear"/>
            <w:vAlign w:val="bottom"/>
          </w:tcPr>
          <w:p>
            <w:pPr>
              <w:pStyle w:val="TableContents"/>
              <w:spacing w:before="0" w:after="283"/>
              <w:jc w:val="left"/>
              <w:rPr/>
            </w:pPr>
            <w:r>
              <w:rPr/>
              <w:t> </w:t>
            </w:r>
          </w:p>
        </w:tc>
        <w:tc>
          <w:tcPr>
            <w:tcW w:w="126" w:type="dxa"/>
            <w:tcBorders>
              <w:bottom w:val="double" w:sz="2" w:space="0" w:color="000000"/>
            </w:tcBorders>
            <w:shd w:fill="FFFFFF" w:val="clear"/>
            <w:vAlign w:val="bottom"/>
          </w:tcPr>
          <w:p>
            <w:pPr>
              <w:pStyle w:val="TableContents"/>
              <w:spacing w:before="0" w:after="283"/>
              <w:jc w:val="left"/>
              <w:rPr/>
            </w:pPr>
            <w:r>
              <w:rPr/>
              <w:t> </w:t>
            </w:r>
          </w:p>
        </w:tc>
        <w:tc>
          <w:tcPr>
            <w:tcW w:w="1167" w:type="dxa"/>
            <w:tcBorders>
              <w:bottom w:val="double" w:sz="2" w:space="0" w:color="000000"/>
            </w:tcBorders>
            <w:shd w:fill="FFFFFF" w:val="clear"/>
            <w:vAlign w:val="bottom"/>
          </w:tcPr>
          <w:p>
            <w:pPr>
              <w:pStyle w:val="TableContents"/>
              <w:spacing w:before="0" w:after="283"/>
              <w:jc w:val="right"/>
              <w:rPr/>
            </w:pPr>
            <w:r>
              <w:rPr/>
              <w:t> </w:t>
            </w:r>
          </w:p>
        </w:tc>
        <w:tc>
          <w:tcPr>
            <w:tcW w:w="123" w:type="dxa"/>
            <w:tcBorders>
              <w:bottom w:val="single" w:sz="4" w:space="0" w:color="FFFFFF"/>
            </w:tcBorders>
            <w:shd w:fill="FFFFFF" w:val="clear"/>
            <w:vAlign w:val="bottom"/>
          </w:tcPr>
          <w:p>
            <w:pPr>
              <w:pStyle w:val="TableContents"/>
              <w:spacing w:before="0" w:after="283"/>
              <w:jc w:val="left"/>
              <w:rPr/>
            </w:pPr>
            <w:r>
              <w:rPr/>
              <w:t> </w:t>
            </w:r>
          </w:p>
        </w:tc>
      </w:tr>
      <w:tr>
        <w:trPr/>
        <w:tc>
          <w:tcPr>
            <w:tcW w:w="5537" w:type="dxa"/>
            <w:tcBorders/>
            <w:shd w:fill="CCEEFF" w:val="clear"/>
            <w:tcMar>
              <w:bottom w:w="0" w:type="dxa"/>
            </w:tcMar>
            <w:vAlign w:val="bottom"/>
          </w:tcPr>
          <w:p>
            <w:pPr>
              <w:pStyle w:val="TableContents"/>
              <w:spacing w:before="0" w:after="283"/>
              <w:jc w:val="left"/>
              <w:rPr/>
            </w:pPr>
            <w:r>
              <w:rPr/>
              <w:t> </w:t>
            </w:r>
          </w:p>
        </w:tc>
        <w:tc>
          <w:tcPr>
            <w:tcW w:w="198" w:type="dxa"/>
            <w:tcBorders/>
            <w:shd w:fill="CCEEFF" w:val="clear"/>
            <w:tcMar>
              <w:bottom w:w="0" w:type="dxa"/>
            </w:tcMar>
            <w:vAlign w:val="center"/>
          </w:tcPr>
          <w:p>
            <w:pPr>
              <w:pStyle w:val="TableContents"/>
              <w:spacing w:before="0" w:after="283"/>
              <w:rPr/>
            </w:pPr>
            <w:r>
              <w:rPr/>
              <w:t> </w:t>
            </w:r>
          </w:p>
        </w:tc>
        <w:tc>
          <w:tcPr>
            <w:tcW w:w="126" w:type="dxa"/>
            <w:tcBorders/>
            <w:shd w:fill="CCEEFF" w:val="clear"/>
            <w:tcMar>
              <w:bottom w:w="0" w:type="dxa"/>
            </w:tcMar>
            <w:vAlign w:val="bottom"/>
          </w:tcPr>
          <w:p>
            <w:pPr>
              <w:pStyle w:val="TableContents"/>
              <w:spacing w:before="0" w:after="283"/>
              <w:jc w:val="left"/>
              <w:rPr/>
            </w:pPr>
            <w:r>
              <w:rPr/>
              <w:t> </w:t>
            </w:r>
          </w:p>
        </w:tc>
        <w:tc>
          <w:tcPr>
            <w:tcW w:w="1198" w:type="dxa"/>
            <w:tcBorders/>
            <w:shd w:fill="CCEEFF" w:val="clear"/>
            <w:tcMar>
              <w:bottom w:w="0" w:type="dxa"/>
            </w:tcMar>
            <w:vAlign w:val="bottom"/>
          </w:tcPr>
          <w:p>
            <w:pPr>
              <w:pStyle w:val="TableContents"/>
              <w:spacing w:before="0" w:after="283"/>
              <w:jc w:val="right"/>
              <w:rPr/>
            </w:pPr>
            <w:r>
              <w:rPr/>
              <w:t> </w:t>
            </w:r>
          </w:p>
        </w:tc>
        <w:tc>
          <w:tcPr>
            <w:tcW w:w="203" w:type="dxa"/>
            <w:tcBorders/>
            <w:shd w:fill="CCEEFF" w:val="clear"/>
            <w:tcMar>
              <w:bottom w:w="0" w:type="dxa"/>
            </w:tcMar>
            <w:vAlign w:val="bottom"/>
          </w:tcPr>
          <w:p>
            <w:pPr>
              <w:pStyle w:val="TableContents"/>
              <w:spacing w:before="0" w:after="283"/>
              <w:jc w:val="left"/>
              <w:rPr/>
            </w:pPr>
            <w:r>
              <w:rPr/>
              <w:t> </w:t>
            </w:r>
          </w:p>
        </w:tc>
        <w:tc>
          <w:tcPr>
            <w:tcW w:w="126" w:type="dxa"/>
            <w:tcBorders/>
            <w:shd w:fill="CCEEFF" w:val="clear"/>
            <w:tcMar>
              <w:bottom w:w="0" w:type="dxa"/>
            </w:tcMar>
            <w:vAlign w:val="bottom"/>
          </w:tcPr>
          <w:p>
            <w:pPr>
              <w:pStyle w:val="TableContents"/>
              <w:spacing w:before="0" w:after="283"/>
              <w:jc w:val="left"/>
              <w:rPr/>
            </w:pPr>
            <w:r>
              <w:rPr/>
              <w:t> </w:t>
            </w:r>
          </w:p>
        </w:tc>
        <w:tc>
          <w:tcPr>
            <w:tcW w:w="1198" w:type="dxa"/>
            <w:tcBorders/>
            <w:shd w:fill="CCEEFF" w:val="clear"/>
            <w:tcMar>
              <w:bottom w:w="0" w:type="dxa"/>
            </w:tcMar>
            <w:vAlign w:val="bottom"/>
          </w:tcPr>
          <w:p>
            <w:pPr>
              <w:pStyle w:val="TableContents"/>
              <w:spacing w:before="0" w:after="283"/>
              <w:jc w:val="right"/>
              <w:rPr/>
            </w:pPr>
            <w:r>
              <w:rPr/>
              <w:t> </w:t>
            </w:r>
          </w:p>
        </w:tc>
        <w:tc>
          <w:tcPr>
            <w:tcW w:w="203" w:type="dxa"/>
            <w:tcBorders/>
            <w:shd w:fill="CCEEFF" w:val="clear"/>
            <w:tcMar>
              <w:bottom w:w="0" w:type="dxa"/>
            </w:tcMar>
            <w:vAlign w:val="bottom"/>
          </w:tcPr>
          <w:p>
            <w:pPr>
              <w:pStyle w:val="TableContents"/>
              <w:spacing w:before="0" w:after="283"/>
              <w:jc w:val="left"/>
              <w:rPr/>
            </w:pPr>
            <w:r>
              <w:rPr/>
              <w:t> </w:t>
            </w:r>
          </w:p>
        </w:tc>
        <w:tc>
          <w:tcPr>
            <w:tcW w:w="126" w:type="dxa"/>
            <w:tcBorders/>
            <w:shd w:fill="CCEEFF" w:val="clear"/>
            <w:tcMar>
              <w:bottom w:w="0" w:type="dxa"/>
            </w:tcMar>
            <w:vAlign w:val="bottom"/>
          </w:tcPr>
          <w:p>
            <w:pPr>
              <w:pStyle w:val="TableContents"/>
              <w:spacing w:before="0" w:after="283"/>
              <w:jc w:val="left"/>
              <w:rPr/>
            </w:pPr>
            <w:r>
              <w:rPr/>
              <w:t> </w:t>
            </w:r>
          </w:p>
        </w:tc>
        <w:tc>
          <w:tcPr>
            <w:tcW w:w="1167" w:type="dxa"/>
            <w:tcBorders/>
            <w:shd w:fill="CCEEFF" w:val="clear"/>
            <w:tcMar>
              <w:bottom w:w="0" w:type="dxa"/>
            </w:tcMar>
            <w:vAlign w:val="bottom"/>
          </w:tcPr>
          <w:p>
            <w:pPr>
              <w:pStyle w:val="TableContents"/>
              <w:spacing w:before="0" w:after="283"/>
              <w:jc w:val="right"/>
              <w:rPr/>
            </w:pPr>
            <w:r>
              <w:rPr/>
              <w:t> </w:t>
            </w:r>
          </w:p>
        </w:tc>
        <w:tc>
          <w:tcPr>
            <w:tcW w:w="123" w:type="dxa"/>
            <w:tcBorders/>
            <w:shd w:fill="CCEEFF" w:val="clear"/>
            <w:tcMar>
              <w:bottom w:w="0" w:type="dxa"/>
            </w:tcMar>
            <w:vAlign w:val="bottom"/>
          </w:tcPr>
          <w:p>
            <w:pPr>
              <w:pStyle w:val="TableContents"/>
              <w:spacing w:before="0" w:after="283"/>
              <w:jc w:val="left"/>
              <w:rPr/>
            </w:pPr>
            <w:r>
              <w:rPr/>
              <w:t> </w:t>
            </w:r>
          </w:p>
        </w:tc>
      </w:tr>
      <w:tr>
        <w:trPr/>
        <w:tc>
          <w:tcPr>
            <w:tcW w:w="5537"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Segment capital expenditures</w:t>
            </w:r>
          </w:p>
        </w:tc>
        <w:tc>
          <w:tcPr>
            <w:tcW w:w="198" w:type="dxa"/>
            <w:tcBorders/>
            <w:shd w:fill="FFFFFF" w:val="clear"/>
            <w:tcMar>
              <w:bottom w:w="0" w:type="dxa"/>
            </w:tcMar>
            <w:vAlign w:val="center"/>
          </w:tcPr>
          <w:p>
            <w:pPr>
              <w:pStyle w:val="TableContents"/>
              <w:spacing w:before="0" w:after="283"/>
              <w:rPr/>
            </w:pPr>
            <w:r>
              <w:rPr/>
              <w:t> </w:t>
            </w:r>
          </w:p>
        </w:tc>
        <w:tc>
          <w:tcPr>
            <w:tcW w:w="126"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bookmarkStart w:id="3962" w:name="TAB2265"/>
            <w:bookmarkEnd w:id="3962"/>
          </w:p>
        </w:tc>
        <w:tc>
          <w:tcPr>
            <w:tcW w:w="1198"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3963" w:name="TAB2266"/>
            <w:bookmarkEnd w:id="3963"/>
            <w:r>
              <w:rPr>
                <w:rFonts w:ascii="Times New Roman" w:hAnsi="Times New Roman"/>
                <w:sz w:val="20"/>
              </w:rPr>
              <w:t>16,168</w:t>
            </w:r>
          </w:p>
        </w:tc>
        <w:tc>
          <w:tcPr>
            <w:tcW w:w="203" w:type="dxa"/>
            <w:tcBorders/>
            <w:shd w:fill="FFFFFF" w:val="clear"/>
            <w:tcMar>
              <w:bottom w:w="0" w:type="dxa"/>
            </w:tcMar>
            <w:vAlign w:val="bottom"/>
          </w:tcPr>
          <w:p>
            <w:pPr>
              <w:pStyle w:val="TableContents"/>
              <w:spacing w:before="0" w:after="283"/>
              <w:jc w:val="left"/>
              <w:rPr/>
            </w:pPr>
            <w:r>
              <w:rPr/>
              <w:t> </w:t>
            </w:r>
          </w:p>
        </w:tc>
        <w:tc>
          <w:tcPr>
            <w:tcW w:w="126"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bookmarkStart w:id="3964" w:name="TAB2267"/>
            <w:bookmarkEnd w:id="3964"/>
          </w:p>
        </w:tc>
        <w:tc>
          <w:tcPr>
            <w:tcW w:w="1198"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3965" w:name="TAB2268"/>
            <w:bookmarkEnd w:id="3965"/>
            <w:r>
              <w:rPr>
                <w:rFonts w:ascii="Times New Roman" w:hAnsi="Times New Roman"/>
                <w:sz w:val="20"/>
              </w:rPr>
              <w:t>51,649</w:t>
            </w:r>
          </w:p>
        </w:tc>
        <w:tc>
          <w:tcPr>
            <w:tcW w:w="203" w:type="dxa"/>
            <w:tcBorders/>
            <w:shd w:fill="FFFFFF" w:val="clear"/>
            <w:tcMar>
              <w:bottom w:w="0" w:type="dxa"/>
            </w:tcMar>
            <w:vAlign w:val="bottom"/>
          </w:tcPr>
          <w:p>
            <w:pPr>
              <w:pStyle w:val="TableContents"/>
              <w:spacing w:before="0" w:after="283"/>
              <w:jc w:val="left"/>
              <w:rPr/>
            </w:pPr>
            <w:r>
              <w:rPr/>
              <w:t> </w:t>
            </w:r>
          </w:p>
        </w:tc>
        <w:tc>
          <w:tcPr>
            <w:tcW w:w="126"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bookmarkStart w:id="3966" w:name="TAB2269"/>
            <w:bookmarkEnd w:id="3966"/>
          </w:p>
        </w:tc>
        <w:tc>
          <w:tcPr>
            <w:tcW w:w="1167"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3967" w:name="TAB2270"/>
            <w:bookmarkEnd w:id="3967"/>
            <w:r>
              <w:rPr>
                <w:rFonts w:ascii="Times New Roman" w:hAnsi="Times New Roman"/>
                <w:sz w:val="20"/>
              </w:rPr>
              <w:t>32,987</w:t>
            </w:r>
          </w:p>
        </w:tc>
        <w:tc>
          <w:tcPr>
            <w:tcW w:w="123" w:type="dxa"/>
            <w:tcBorders/>
            <w:shd w:fill="FFFFFF" w:val="clear"/>
            <w:tcMar>
              <w:bottom w:w="0" w:type="dxa"/>
            </w:tcMar>
            <w:vAlign w:val="bottom"/>
          </w:tcPr>
          <w:p>
            <w:pPr>
              <w:pStyle w:val="TableContents"/>
              <w:spacing w:before="0" w:after="283"/>
              <w:jc w:val="left"/>
              <w:rPr/>
            </w:pPr>
            <w:r>
              <w:rPr/>
              <w:t> </w:t>
            </w:r>
          </w:p>
        </w:tc>
      </w:tr>
      <w:tr>
        <w:trPr/>
        <w:tc>
          <w:tcPr>
            <w:tcW w:w="5537" w:type="dxa"/>
            <w:tcBorders>
              <w:bottom w:val="sing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Corporate capital expenditures</w:t>
            </w:r>
          </w:p>
        </w:tc>
        <w:tc>
          <w:tcPr>
            <w:tcW w:w="198" w:type="dxa"/>
            <w:tcBorders>
              <w:bottom w:val="single" w:sz="2" w:space="0" w:color="CCEEFF"/>
            </w:tcBorders>
            <w:shd w:fill="CCEEFF" w:val="clear"/>
            <w:vAlign w:val="center"/>
          </w:tcPr>
          <w:p>
            <w:pPr>
              <w:pStyle w:val="TableContents"/>
              <w:spacing w:before="0" w:after="283"/>
              <w:rPr/>
            </w:pPr>
            <w:r>
              <w:rPr/>
              <w:t> </w:t>
            </w:r>
          </w:p>
        </w:tc>
        <w:tc>
          <w:tcPr>
            <w:tcW w:w="126" w:type="dxa"/>
            <w:tcBorders>
              <w:bottom w:val="single" w:sz="2" w:space="0" w:color="000000"/>
            </w:tcBorders>
            <w:shd w:fill="CCEEFF" w:val="clear"/>
            <w:vAlign w:val="bottom"/>
          </w:tcPr>
          <w:p>
            <w:pPr>
              <w:pStyle w:val="TableContents"/>
              <w:spacing w:before="0" w:after="283"/>
              <w:jc w:val="left"/>
              <w:rPr/>
            </w:pPr>
            <w:r>
              <w:rPr/>
              <w:t> </w:t>
            </w:r>
          </w:p>
        </w:tc>
        <w:tc>
          <w:tcPr>
            <w:tcW w:w="1198"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221</w:t>
            </w:r>
          </w:p>
        </w:tc>
        <w:tc>
          <w:tcPr>
            <w:tcW w:w="203" w:type="dxa"/>
            <w:tcBorders>
              <w:bottom w:val="single" w:sz="2" w:space="0" w:color="CCEEFF"/>
            </w:tcBorders>
            <w:shd w:fill="CCEEFF" w:val="clear"/>
            <w:vAlign w:val="bottom"/>
          </w:tcPr>
          <w:p>
            <w:pPr>
              <w:pStyle w:val="TableContents"/>
              <w:spacing w:before="0" w:after="283"/>
              <w:jc w:val="left"/>
              <w:rPr/>
            </w:pPr>
            <w:r>
              <w:rPr/>
              <w:t> </w:t>
            </w:r>
          </w:p>
        </w:tc>
        <w:tc>
          <w:tcPr>
            <w:tcW w:w="126" w:type="dxa"/>
            <w:tcBorders>
              <w:bottom w:val="single" w:sz="2" w:space="0" w:color="000000"/>
            </w:tcBorders>
            <w:shd w:fill="CCEEFF" w:val="clear"/>
            <w:vAlign w:val="bottom"/>
          </w:tcPr>
          <w:p>
            <w:pPr>
              <w:pStyle w:val="TableContents"/>
              <w:spacing w:before="0" w:after="283"/>
              <w:jc w:val="left"/>
              <w:rPr/>
            </w:pPr>
            <w:r>
              <w:rPr/>
              <w:t> </w:t>
            </w:r>
          </w:p>
        </w:tc>
        <w:tc>
          <w:tcPr>
            <w:tcW w:w="1198"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2,305</w:t>
            </w:r>
          </w:p>
        </w:tc>
        <w:tc>
          <w:tcPr>
            <w:tcW w:w="203" w:type="dxa"/>
            <w:tcBorders>
              <w:bottom w:val="single" w:sz="2" w:space="0" w:color="CCEEFF"/>
            </w:tcBorders>
            <w:shd w:fill="CCEEFF" w:val="clear"/>
            <w:vAlign w:val="bottom"/>
          </w:tcPr>
          <w:p>
            <w:pPr>
              <w:pStyle w:val="TableContents"/>
              <w:spacing w:before="0" w:after="283"/>
              <w:jc w:val="left"/>
              <w:rPr/>
            </w:pPr>
            <w:r>
              <w:rPr/>
              <w:t> </w:t>
            </w:r>
          </w:p>
        </w:tc>
        <w:tc>
          <w:tcPr>
            <w:tcW w:w="126" w:type="dxa"/>
            <w:tcBorders>
              <w:bottom w:val="single" w:sz="2" w:space="0" w:color="000000"/>
            </w:tcBorders>
            <w:shd w:fill="CCEEFF" w:val="clear"/>
            <w:vAlign w:val="bottom"/>
          </w:tcPr>
          <w:p>
            <w:pPr>
              <w:pStyle w:val="TableContents"/>
              <w:spacing w:before="0" w:after="283"/>
              <w:jc w:val="left"/>
              <w:rPr/>
            </w:pPr>
            <w:r>
              <w:rPr/>
              <w:t> </w:t>
            </w:r>
          </w:p>
        </w:tc>
        <w:tc>
          <w:tcPr>
            <w:tcW w:w="1167"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193</w:t>
            </w:r>
          </w:p>
        </w:tc>
        <w:tc>
          <w:tcPr>
            <w:tcW w:w="123" w:type="dxa"/>
            <w:tcBorders>
              <w:bottom w:val="single" w:sz="2" w:space="0" w:color="CCEEFF"/>
            </w:tcBorders>
            <w:shd w:fill="CCEEFF" w:val="clear"/>
            <w:vAlign w:val="bottom"/>
          </w:tcPr>
          <w:p>
            <w:pPr>
              <w:pStyle w:val="TableContents"/>
              <w:spacing w:before="0" w:after="283"/>
              <w:jc w:val="left"/>
              <w:rPr/>
            </w:pPr>
            <w:r>
              <w:rPr/>
              <w:t> </w:t>
            </w:r>
          </w:p>
        </w:tc>
      </w:tr>
      <w:tr>
        <w:trPr/>
        <w:tc>
          <w:tcPr>
            <w:tcW w:w="5537" w:type="dxa"/>
            <w:tcBorders>
              <w:bottom w:val="doub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Total capital expenditures</w:t>
            </w:r>
          </w:p>
        </w:tc>
        <w:tc>
          <w:tcPr>
            <w:tcW w:w="198" w:type="dxa"/>
            <w:tcBorders>
              <w:bottom w:val="single" w:sz="4" w:space="0" w:color="FFFFFF"/>
            </w:tcBorders>
            <w:shd w:fill="FFFFFF" w:val="clear"/>
            <w:vAlign w:val="center"/>
          </w:tcPr>
          <w:p>
            <w:pPr>
              <w:pStyle w:val="TableContents"/>
              <w:spacing w:before="0" w:after="283"/>
              <w:rPr/>
            </w:pPr>
            <w:r>
              <w:rPr/>
              <w:t> </w:t>
            </w:r>
          </w:p>
        </w:tc>
        <w:tc>
          <w:tcPr>
            <w:tcW w:w="126" w:type="dxa"/>
            <w:tcBorders>
              <w:bottom w:val="doub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bookmarkStart w:id="3968" w:name="TAB2271"/>
            <w:bookmarkEnd w:id="3968"/>
          </w:p>
        </w:tc>
        <w:tc>
          <w:tcPr>
            <w:tcW w:w="1198"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3969" w:name="TAB2272"/>
            <w:bookmarkEnd w:id="3969"/>
            <w:r>
              <w:rPr>
                <w:rFonts w:ascii="Times New Roman" w:hAnsi="Times New Roman"/>
                <w:sz w:val="20"/>
              </w:rPr>
              <w:t>16,389</w:t>
            </w:r>
          </w:p>
        </w:tc>
        <w:tc>
          <w:tcPr>
            <w:tcW w:w="203" w:type="dxa"/>
            <w:tcBorders>
              <w:bottom w:val="single" w:sz="4" w:space="0" w:color="FFFFFF"/>
            </w:tcBorders>
            <w:shd w:fill="FFFFFF" w:val="clear"/>
            <w:vAlign w:val="bottom"/>
          </w:tcPr>
          <w:p>
            <w:pPr>
              <w:pStyle w:val="TableContents"/>
              <w:spacing w:before="0" w:after="283"/>
              <w:jc w:val="left"/>
              <w:rPr/>
            </w:pPr>
            <w:r>
              <w:rPr/>
              <w:t> </w:t>
            </w:r>
          </w:p>
        </w:tc>
        <w:tc>
          <w:tcPr>
            <w:tcW w:w="126" w:type="dxa"/>
            <w:tcBorders>
              <w:bottom w:val="doub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bookmarkStart w:id="3970" w:name="TAB2273"/>
            <w:bookmarkEnd w:id="3970"/>
          </w:p>
        </w:tc>
        <w:tc>
          <w:tcPr>
            <w:tcW w:w="1198"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3971" w:name="TAB2274"/>
            <w:bookmarkEnd w:id="3971"/>
            <w:r>
              <w:rPr>
                <w:rFonts w:ascii="Times New Roman" w:hAnsi="Times New Roman"/>
                <w:sz w:val="20"/>
              </w:rPr>
              <w:t>53,954</w:t>
            </w:r>
          </w:p>
        </w:tc>
        <w:tc>
          <w:tcPr>
            <w:tcW w:w="203" w:type="dxa"/>
            <w:tcBorders>
              <w:bottom w:val="single" w:sz="4" w:space="0" w:color="FFFFFF"/>
            </w:tcBorders>
            <w:shd w:fill="FFFFFF" w:val="clear"/>
            <w:vAlign w:val="bottom"/>
          </w:tcPr>
          <w:p>
            <w:pPr>
              <w:pStyle w:val="TableContents"/>
              <w:spacing w:before="0" w:after="283"/>
              <w:jc w:val="left"/>
              <w:rPr/>
            </w:pPr>
            <w:r>
              <w:rPr/>
              <w:t> </w:t>
            </w:r>
          </w:p>
        </w:tc>
        <w:tc>
          <w:tcPr>
            <w:tcW w:w="126" w:type="dxa"/>
            <w:tcBorders>
              <w:bottom w:val="doub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bookmarkStart w:id="3972" w:name="TAB2275"/>
            <w:bookmarkEnd w:id="3972"/>
          </w:p>
        </w:tc>
        <w:tc>
          <w:tcPr>
            <w:tcW w:w="1167"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3973" w:name="TAB2276"/>
            <w:bookmarkEnd w:id="3973"/>
            <w:r>
              <w:rPr>
                <w:rFonts w:ascii="Times New Roman" w:hAnsi="Times New Roman"/>
                <w:sz w:val="20"/>
              </w:rPr>
              <w:t>33,180</w:t>
            </w:r>
          </w:p>
        </w:tc>
        <w:tc>
          <w:tcPr>
            <w:tcW w:w="123" w:type="dxa"/>
            <w:tcBorders>
              <w:bottom w:val="single" w:sz="4" w:space="0" w:color="FFFFFF"/>
            </w:tcBorders>
            <w:shd w:fill="FFFFFF" w:val="clear"/>
            <w:vAlign w:val="bottom"/>
          </w:tcPr>
          <w:p>
            <w:pPr>
              <w:pStyle w:val="TableContents"/>
              <w:spacing w:before="0" w:after="283"/>
              <w:jc w:val="left"/>
              <w:rPr/>
            </w:pPr>
            <w:r>
              <w:rPr/>
              <w:t> </w:t>
            </w:r>
          </w:p>
        </w:tc>
      </w:tr>
    </w:tbl>
    <w:p>
      <w:pPr>
        <w:pStyle w:val="TextBody"/>
        <w:spacing w:lineRule="auto" w:line="300" w:before="0" w:after="0"/>
        <w:jc w:val="left"/>
        <w:rPr/>
      </w:pPr>
      <w:r>
        <w:rPr/>
        <w:t> </w:t>
      </w:r>
    </w:p>
    <w:p>
      <w:pPr>
        <w:pStyle w:val="TextBody"/>
        <w:spacing w:lineRule="auto" w:line="300" w:before="0" w:after="0"/>
        <w:ind w:left="0" w:right="0" w:hanging="0"/>
        <w:jc w:val="left"/>
        <w:rPr/>
      </w:pPr>
      <w:r>
        <w:rPr>
          <w:rFonts w:ascii="Times New Roman" w:hAnsi="Times New Roman"/>
          <w:position w:val="7"/>
          <w:sz w:val="16"/>
          <w:sz w:val="20"/>
        </w:rPr>
        <w:t>20</w:t>
      </w:r>
      <w:r>
        <w:rPr/>
        <w:t xml:space="preserve"> </w:t>
      </w:r>
      <w:r>
        <w:rPr>
          <w:rFonts w:ascii="Times New Roman" w:hAnsi="Times New Roman"/>
          <w:sz w:val="20"/>
        </w:rPr>
        <w:t>Comprised of $12.0 million from the sale of our Glendale office building and $1.6 million from the sale of our Puerto Rico cinema operations.</w:t>
      </w:r>
    </w:p>
    <w:p>
      <w:pPr>
        <w:pStyle w:val="TextBody"/>
        <w:spacing w:lineRule="auto" w:line="300" w:before="0" w:after="0"/>
        <w:ind w:left="0" w:right="0" w:hanging="0"/>
        <w:jc w:val="left"/>
        <w:rPr/>
      </w:pPr>
      <w:r>
        <w:rPr/>
        <w:t> </w:t>
      </w:r>
    </w:p>
    <w:p>
      <w:pPr>
        <w:pStyle w:val="TextBody"/>
        <w:spacing w:lineRule="auto" w:line="300" w:before="0" w:after="0"/>
        <w:ind w:left="720" w:right="0" w:hanging="0"/>
        <w:jc w:val="both"/>
        <w:rPr>
          <w:rFonts w:ascii="Times New Roman" w:hAnsi="Times New Roman"/>
          <w:sz w:val="20"/>
        </w:rPr>
      </w:pPr>
      <w:bookmarkStart w:id="3974" w:name="TAB11857"/>
      <w:bookmarkEnd w:id="3974"/>
      <w:r>
        <w:rPr>
          <w:rFonts w:ascii="Times New Roman" w:hAnsi="Times New Roman"/>
          <w:sz w:val="20"/>
        </w:rPr>
        <w:t xml:space="preserve">The cinema results shown above include revenue and operating expense directly linked to our cinema assets. The real estate results include rental income from our properties and live theaters and operating expense directly linked to our property assets.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975" w:name="PGBRK110"/>
      <w:bookmarkStart w:id="3976" w:name="PGBRK110"/>
      <w:bookmarkEnd w:id="397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977" w:name="FTR110"/>
      <w:bookmarkStart w:id="3978" w:name="FTR110"/>
      <w:bookmarkEnd w:id="397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979" w:name="GLFTR110"/>
      <w:bookmarkStart w:id="3980" w:name="GLFTR110"/>
      <w:bookmarkEnd w:id="398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3981" w:name="PN110"/>
      <w:bookmarkEnd w:id="3981"/>
      <w:r>
        <w:rPr>
          <w:rFonts w:ascii="Times New Roman" w:hAnsi="Times New Roman"/>
          <w:sz w:val="16"/>
        </w:rPr>
        <w:t>-110-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982" w:name="HDR110"/>
      <w:bookmarkStart w:id="3983" w:name="HDR110"/>
      <w:bookmarkEnd w:id="398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3984" w:name="GLHDR110"/>
        <w:bookmarkEnd w:id="3984"/>
        <w:r>
          <w:rPr>
            <w:rStyle w:val="Emphasis"/>
            <w:rFonts w:ascii="Times New Roman" w:hAnsi="Times New Roman"/>
            <w:color w:val="000000"/>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pStyle w:val="TextBody"/>
        <w:spacing w:lineRule="auto" w:line="300" w:before="0" w:after="0"/>
        <w:ind w:left="720" w:right="0" w:hanging="0"/>
        <w:jc w:val="both"/>
        <w:rPr>
          <w:rFonts w:ascii="Times New Roman" w:hAnsi="Times New Roman"/>
          <w:sz w:val="20"/>
        </w:rPr>
      </w:pPr>
      <w:bookmarkStart w:id="3985" w:name="TAB11858"/>
      <w:bookmarkEnd w:id="3985"/>
      <w:r>
        <w:rPr>
          <w:rFonts w:ascii="Times New Roman" w:hAnsi="Times New Roman"/>
          <w:sz w:val="20"/>
        </w:rPr>
        <w:t>The following table sets forth the book value of our property and equipment by geographical area (dollars in thousands):</w:t>
      </w:r>
    </w:p>
    <w:p>
      <w:pPr>
        <w:pStyle w:val="TextBody"/>
        <w:spacing w:lineRule="auto" w:line="300" w:before="0" w:after="0"/>
        <w:ind w:left="0" w:right="0" w:hanging="0"/>
        <w:jc w:val="both"/>
        <w:rPr/>
      </w:pPr>
      <w:r>
        <w:rPr/>
      </w:r>
    </w:p>
    <w:p>
      <w:pPr>
        <w:pStyle w:val="Normal"/>
        <w:spacing w:before="0" w:after="0"/>
        <w:rPr>
          <w:sz w:val="4"/>
          <w:szCs w:val="4"/>
        </w:rPr>
      </w:pPr>
      <w:r>
        <w:rPr>
          <w:sz w:val="4"/>
          <w:szCs w:val="4"/>
        </w:rPr>
      </w:r>
      <w:bookmarkStart w:id="3986" w:name="ftable57"/>
      <w:bookmarkStart w:id="3987" w:name="ftable57"/>
      <w:bookmarkEnd w:id="3987"/>
    </w:p>
    <w:tbl>
      <w:tblPr>
        <w:tblW w:w="5000" w:type="pct"/>
        <w:jc w:val="left"/>
        <w:tblInd w:w="0" w:type="dxa"/>
        <w:tblCellMar>
          <w:top w:w="0" w:type="dxa"/>
          <w:left w:w="0" w:type="dxa"/>
          <w:bottom w:w="28" w:type="dxa"/>
          <w:right w:w="0" w:type="dxa"/>
        </w:tblCellMar>
      </w:tblPr>
      <w:tblGrid>
        <w:gridCol w:w="6959"/>
        <w:gridCol w:w="204"/>
        <w:gridCol w:w="128"/>
        <w:gridCol w:w="1231"/>
        <w:gridCol w:w="204"/>
        <w:gridCol w:w="128"/>
        <w:gridCol w:w="1231"/>
        <w:gridCol w:w="120"/>
      </w:tblGrid>
      <w:tr>
        <w:trPr/>
        <w:tc>
          <w:tcPr>
            <w:tcW w:w="6959" w:type="dxa"/>
            <w:tcBorders>
              <w:bottom w:val="single" w:sz="4" w:space="0" w:color="FFFFFF"/>
            </w:tcBorders>
            <w:shd w:fill="auto" w:val="clear"/>
            <w:vAlign w:val="bottom"/>
          </w:tcPr>
          <w:p>
            <w:pPr>
              <w:pStyle w:val="TableContents"/>
              <w:spacing w:before="0" w:after="283"/>
              <w:jc w:val="left"/>
              <w:rPr/>
            </w:pPr>
            <w:r>
              <w:rPr/>
              <w:t> </w:t>
            </w:r>
          </w:p>
        </w:tc>
        <w:tc>
          <w:tcPr>
            <w:tcW w:w="204" w:type="dxa"/>
            <w:tcBorders>
              <w:bottom w:val="single" w:sz="2" w:space="0" w:color="FFFFFF"/>
            </w:tcBorders>
            <w:shd w:fill="auto" w:val="clear"/>
            <w:vAlign w:val="center"/>
          </w:tcPr>
          <w:p>
            <w:pPr>
              <w:pStyle w:val="TableContents"/>
              <w:spacing w:before="0" w:after="283"/>
              <w:rPr/>
            </w:pPr>
            <w:r>
              <w:rPr/>
              <w:t> </w:t>
            </w:r>
          </w:p>
        </w:tc>
        <w:tc>
          <w:tcPr>
            <w:tcW w:w="2922" w:type="dxa"/>
            <w:gridSpan w:val="5"/>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December 31,</w:t>
            </w:r>
          </w:p>
        </w:tc>
        <w:tc>
          <w:tcPr>
            <w:tcW w:w="120" w:type="dxa"/>
            <w:tcBorders>
              <w:bottom w:val="single" w:sz="2" w:space="0" w:color="FFFFFF"/>
            </w:tcBorders>
            <w:shd w:fill="auto" w:val="clear"/>
            <w:vAlign w:val="bottom"/>
          </w:tcPr>
          <w:p>
            <w:pPr>
              <w:pStyle w:val="TableContents"/>
              <w:spacing w:before="0" w:after="283"/>
              <w:jc w:val="left"/>
              <w:rPr/>
            </w:pPr>
            <w:r>
              <w:rPr/>
              <w:t> </w:t>
            </w:r>
          </w:p>
        </w:tc>
      </w:tr>
      <w:tr>
        <w:trPr/>
        <w:tc>
          <w:tcPr>
            <w:tcW w:w="6959" w:type="dxa"/>
            <w:tcBorders>
              <w:bottom w:val="double" w:sz="2" w:space="0" w:color="000000"/>
            </w:tcBorders>
            <w:shd w:fill="auto" w:val="clear"/>
            <w:vAlign w:val="bottom"/>
          </w:tcPr>
          <w:p>
            <w:pPr>
              <w:pStyle w:val="TableContents"/>
              <w:spacing w:before="0" w:after="283"/>
              <w:jc w:val="left"/>
              <w:rPr/>
            </w:pPr>
            <w:r>
              <w:rPr/>
              <w:t> </w:t>
            </w:r>
          </w:p>
        </w:tc>
        <w:tc>
          <w:tcPr>
            <w:tcW w:w="204" w:type="dxa"/>
            <w:tcBorders>
              <w:bottom w:val="single" w:sz="4" w:space="0" w:color="FFFFFF"/>
            </w:tcBorders>
            <w:shd w:fill="auto" w:val="clear"/>
            <w:vAlign w:val="center"/>
          </w:tcPr>
          <w:p>
            <w:pPr>
              <w:pStyle w:val="TableContents"/>
              <w:spacing w:before="0" w:after="283"/>
              <w:rPr/>
            </w:pPr>
            <w:r>
              <w:rPr/>
              <w:t> </w:t>
            </w:r>
          </w:p>
        </w:tc>
        <w:tc>
          <w:tcPr>
            <w:tcW w:w="1359"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2006</w:t>
            </w:r>
          </w:p>
        </w:tc>
        <w:tc>
          <w:tcPr>
            <w:tcW w:w="204" w:type="dxa"/>
            <w:tcBorders>
              <w:bottom w:val="single" w:sz="4" w:space="0" w:color="FFFFFF"/>
            </w:tcBorders>
            <w:shd w:fill="auto" w:val="clear"/>
            <w:vAlign w:val="bottom"/>
          </w:tcPr>
          <w:p>
            <w:pPr>
              <w:pStyle w:val="TableContents"/>
              <w:spacing w:before="0" w:after="283"/>
              <w:jc w:val="left"/>
              <w:rPr/>
            </w:pPr>
            <w:r>
              <w:rPr/>
              <w:t> </w:t>
            </w:r>
          </w:p>
        </w:tc>
        <w:tc>
          <w:tcPr>
            <w:tcW w:w="1359"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2005</w:t>
            </w:r>
          </w:p>
        </w:tc>
        <w:tc>
          <w:tcPr>
            <w:tcW w:w="120" w:type="dxa"/>
            <w:tcBorders>
              <w:bottom w:val="single" w:sz="4" w:space="0" w:color="FFFFFF"/>
            </w:tcBorders>
            <w:shd w:fill="auto" w:val="clear"/>
            <w:vAlign w:val="bottom"/>
          </w:tcPr>
          <w:p>
            <w:pPr>
              <w:pStyle w:val="TableContents"/>
              <w:spacing w:before="0" w:after="283"/>
              <w:jc w:val="left"/>
              <w:rPr/>
            </w:pPr>
            <w:r>
              <w:rPr/>
              <w:t> </w:t>
            </w:r>
          </w:p>
        </w:tc>
      </w:tr>
      <w:tr>
        <w:trPr/>
        <w:tc>
          <w:tcPr>
            <w:tcW w:w="6959"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Australia</w:t>
            </w:r>
          </w:p>
        </w:tc>
        <w:tc>
          <w:tcPr>
            <w:tcW w:w="204" w:type="dxa"/>
            <w:tcBorders/>
            <w:shd w:fill="CCEEFF" w:val="clear"/>
            <w:tcMar>
              <w:bottom w:w="0" w:type="dxa"/>
            </w:tcMar>
            <w:vAlign w:val="center"/>
          </w:tcPr>
          <w:p>
            <w:pPr>
              <w:pStyle w:val="TableContents"/>
              <w:spacing w:before="0" w:after="283"/>
              <w:rPr/>
            </w:pPr>
            <w:r>
              <w:rPr/>
              <w:t> </w:t>
            </w:r>
          </w:p>
        </w:tc>
        <w:tc>
          <w:tcPr>
            <w:tcW w:w="128"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3988" w:name="TAB11859"/>
            <w:bookmarkEnd w:id="3988"/>
            <w:r>
              <w:rPr>
                <w:rFonts w:ascii="Times New Roman" w:hAnsi="Times New Roman"/>
                <w:sz w:val="20"/>
              </w:rPr>
              <w:t>$</w:t>
            </w:r>
          </w:p>
        </w:tc>
        <w:tc>
          <w:tcPr>
            <w:tcW w:w="1231"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3989" w:name="TAB11860"/>
            <w:bookmarkEnd w:id="3989"/>
            <w:r>
              <w:rPr>
                <w:rFonts w:ascii="Times New Roman" w:hAnsi="Times New Roman"/>
                <w:sz w:val="20"/>
              </w:rPr>
              <w:t>86,317</w:t>
            </w:r>
          </w:p>
        </w:tc>
        <w:tc>
          <w:tcPr>
            <w:tcW w:w="204" w:type="dxa"/>
            <w:tcBorders/>
            <w:shd w:fill="CCEEFF" w:val="clear"/>
            <w:tcMar>
              <w:bottom w:w="0" w:type="dxa"/>
            </w:tcMar>
            <w:vAlign w:val="bottom"/>
          </w:tcPr>
          <w:p>
            <w:pPr>
              <w:pStyle w:val="TableContents"/>
              <w:spacing w:before="0" w:after="283"/>
              <w:jc w:val="left"/>
              <w:rPr/>
            </w:pPr>
            <w:r>
              <w:rPr/>
              <w:t> </w:t>
            </w:r>
          </w:p>
        </w:tc>
        <w:tc>
          <w:tcPr>
            <w:tcW w:w="128"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3990" w:name="TAB11861"/>
            <w:bookmarkEnd w:id="3990"/>
            <w:r>
              <w:rPr>
                <w:rFonts w:ascii="Times New Roman" w:hAnsi="Times New Roman"/>
                <w:sz w:val="20"/>
              </w:rPr>
              <w:t>$</w:t>
            </w:r>
          </w:p>
        </w:tc>
        <w:tc>
          <w:tcPr>
            <w:tcW w:w="1231"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3991" w:name="TAB11862"/>
            <w:bookmarkEnd w:id="3991"/>
            <w:r>
              <w:rPr>
                <w:rFonts w:ascii="Times New Roman" w:hAnsi="Times New Roman"/>
                <w:sz w:val="20"/>
              </w:rPr>
              <w:t>84,615</w:t>
            </w:r>
          </w:p>
        </w:tc>
        <w:tc>
          <w:tcPr>
            <w:tcW w:w="120" w:type="dxa"/>
            <w:tcBorders/>
            <w:shd w:fill="CCEEFF" w:val="clear"/>
            <w:tcMar>
              <w:bottom w:w="0" w:type="dxa"/>
            </w:tcMar>
            <w:vAlign w:val="bottom"/>
          </w:tcPr>
          <w:p>
            <w:pPr>
              <w:pStyle w:val="TableContents"/>
              <w:spacing w:before="0" w:after="283"/>
              <w:jc w:val="left"/>
              <w:rPr/>
            </w:pPr>
            <w:r>
              <w:rPr/>
              <w:t> </w:t>
            </w:r>
          </w:p>
        </w:tc>
      </w:tr>
      <w:tr>
        <w:trPr/>
        <w:tc>
          <w:tcPr>
            <w:tcW w:w="6959"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New Zealand</w:t>
            </w:r>
          </w:p>
        </w:tc>
        <w:tc>
          <w:tcPr>
            <w:tcW w:w="204" w:type="dxa"/>
            <w:tcBorders/>
            <w:shd w:fill="FFFFFF" w:val="clear"/>
            <w:tcMar>
              <w:bottom w:w="0" w:type="dxa"/>
            </w:tcMar>
            <w:vAlign w:val="center"/>
          </w:tcPr>
          <w:p>
            <w:pPr>
              <w:pStyle w:val="TableContents"/>
              <w:spacing w:before="0" w:after="283"/>
              <w:rPr/>
            </w:pPr>
            <w:r>
              <w:rPr/>
              <w:t> </w:t>
            </w:r>
          </w:p>
        </w:tc>
        <w:tc>
          <w:tcPr>
            <w:tcW w:w="128" w:type="dxa"/>
            <w:tcBorders/>
            <w:shd w:fill="FFFFFF" w:val="clear"/>
            <w:tcMar>
              <w:bottom w:w="0" w:type="dxa"/>
            </w:tcMar>
            <w:vAlign w:val="bottom"/>
          </w:tcPr>
          <w:p>
            <w:pPr>
              <w:pStyle w:val="TableContents"/>
              <w:spacing w:before="0" w:after="283"/>
              <w:jc w:val="left"/>
              <w:rPr/>
            </w:pPr>
            <w:r>
              <w:rPr/>
              <w:t> </w:t>
            </w:r>
          </w:p>
        </w:tc>
        <w:tc>
          <w:tcPr>
            <w:tcW w:w="1231"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38,772</w:t>
            </w:r>
          </w:p>
        </w:tc>
        <w:tc>
          <w:tcPr>
            <w:tcW w:w="204" w:type="dxa"/>
            <w:tcBorders/>
            <w:shd w:fill="FFFFFF" w:val="clear"/>
            <w:tcMar>
              <w:bottom w:w="0" w:type="dxa"/>
            </w:tcMar>
            <w:vAlign w:val="bottom"/>
          </w:tcPr>
          <w:p>
            <w:pPr>
              <w:pStyle w:val="TableContents"/>
              <w:spacing w:before="0" w:after="283"/>
              <w:jc w:val="left"/>
              <w:rPr/>
            </w:pPr>
            <w:r>
              <w:rPr/>
              <w:t> </w:t>
            </w:r>
          </w:p>
        </w:tc>
        <w:tc>
          <w:tcPr>
            <w:tcW w:w="128" w:type="dxa"/>
            <w:tcBorders/>
            <w:shd w:fill="FFFFFF" w:val="clear"/>
            <w:tcMar>
              <w:bottom w:w="0" w:type="dxa"/>
            </w:tcMar>
            <w:vAlign w:val="bottom"/>
          </w:tcPr>
          <w:p>
            <w:pPr>
              <w:pStyle w:val="TableContents"/>
              <w:spacing w:before="0" w:after="283"/>
              <w:jc w:val="left"/>
              <w:rPr/>
            </w:pPr>
            <w:r>
              <w:rPr/>
              <w:t> </w:t>
            </w:r>
          </w:p>
        </w:tc>
        <w:tc>
          <w:tcPr>
            <w:tcW w:w="1231"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37,025</w:t>
            </w:r>
          </w:p>
        </w:tc>
        <w:tc>
          <w:tcPr>
            <w:tcW w:w="120" w:type="dxa"/>
            <w:tcBorders/>
            <w:shd w:fill="FFFFFF" w:val="clear"/>
            <w:tcMar>
              <w:bottom w:w="0" w:type="dxa"/>
            </w:tcMar>
            <w:vAlign w:val="bottom"/>
          </w:tcPr>
          <w:p>
            <w:pPr>
              <w:pStyle w:val="TableContents"/>
              <w:spacing w:before="0" w:after="283"/>
              <w:jc w:val="left"/>
              <w:rPr/>
            </w:pPr>
            <w:r>
              <w:rPr/>
              <w:t> </w:t>
            </w:r>
          </w:p>
        </w:tc>
      </w:tr>
      <w:tr>
        <w:trPr/>
        <w:tc>
          <w:tcPr>
            <w:tcW w:w="6959" w:type="dxa"/>
            <w:tcBorders>
              <w:bottom w:val="sing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United States</w:t>
            </w:r>
          </w:p>
        </w:tc>
        <w:tc>
          <w:tcPr>
            <w:tcW w:w="204" w:type="dxa"/>
            <w:tcBorders>
              <w:bottom w:val="single" w:sz="2" w:space="0" w:color="CCEEFF"/>
            </w:tcBorders>
            <w:shd w:fill="CCEEFF" w:val="clear"/>
            <w:vAlign w:val="center"/>
          </w:tcPr>
          <w:p>
            <w:pPr>
              <w:pStyle w:val="TableContents"/>
              <w:spacing w:before="0" w:after="283"/>
              <w:rPr/>
            </w:pPr>
            <w:r>
              <w:rPr/>
              <w:t> </w:t>
            </w:r>
          </w:p>
        </w:tc>
        <w:tc>
          <w:tcPr>
            <w:tcW w:w="128" w:type="dxa"/>
            <w:tcBorders>
              <w:bottom w:val="single" w:sz="2" w:space="0" w:color="000000"/>
            </w:tcBorders>
            <w:shd w:fill="CCEEFF" w:val="clear"/>
            <w:vAlign w:val="bottom"/>
          </w:tcPr>
          <w:p>
            <w:pPr>
              <w:pStyle w:val="TableContents"/>
              <w:spacing w:before="0" w:after="283"/>
              <w:jc w:val="left"/>
              <w:rPr/>
            </w:pPr>
            <w:r>
              <w:rPr/>
              <w:t> </w:t>
            </w:r>
          </w:p>
        </w:tc>
        <w:tc>
          <w:tcPr>
            <w:tcW w:w="1231"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45,578</w:t>
            </w:r>
          </w:p>
        </w:tc>
        <w:tc>
          <w:tcPr>
            <w:tcW w:w="204" w:type="dxa"/>
            <w:tcBorders>
              <w:bottom w:val="single" w:sz="2" w:space="0" w:color="CCEEFF"/>
            </w:tcBorders>
            <w:shd w:fill="CCEEFF" w:val="clear"/>
            <w:vAlign w:val="bottom"/>
          </w:tcPr>
          <w:p>
            <w:pPr>
              <w:pStyle w:val="TableContents"/>
              <w:spacing w:before="0" w:after="283"/>
              <w:jc w:val="left"/>
              <w:rPr/>
            </w:pPr>
            <w:r>
              <w:rPr/>
              <w:t> </w:t>
            </w:r>
          </w:p>
        </w:tc>
        <w:tc>
          <w:tcPr>
            <w:tcW w:w="128" w:type="dxa"/>
            <w:tcBorders>
              <w:bottom w:val="single" w:sz="2" w:space="0" w:color="000000"/>
            </w:tcBorders>
            <w:shd w:fill="CCEEFF" w:val="clear"/>
            <w:vAlign w:val="bottom"/>
          </w:tcPr>
          <w:p>
            <w:pPr>
              <w:pStyle w:val="TableContents"/>
              <w:spacing w:before="0" w:after="283"/>
              <w:jc w:val="left"/>
              <w:rPr/>
            </w:pPr>
            <w:r>
              <w:rPr/>
              <w:t> </w:t>
            </w:r>
          </w:p>
        </w:tc>
        <w:tc>
          <w:tcPr>
            <w:tcW w:w="1231"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45,749</w:t>
            </w:r>
          </w:p>
        </w:tc>
        <w:tc>
          <w:tcPr>
            <w:tcW w:w="120" w:type="dxa"/>
            <w:tcBorders>
              <w:bottom w:val="single" w:sz="2" w:space="0" w:color="CCEEFF"/>
            </w:tcBorders>
            <w:shd w:fill="CCEEFF" w:val="clear"/>
            <w:vAlign w:val="bottom"/>
          </w:tcPr>
          <w:p>
            <w:pPr>
              <w:pStyle w:val="TableContents"/>
              <w:spacing w:before="0" w:after="283"/>
              <w:jc w:val="left"/>
              <w:rPr/>
            </w:pPr>
            <w:r>
              <w:rPr/>
              <w:t> </w:t>
            </w:r>
          </w:p>
        </w:tc>
      </w:tr>
      <w:tr>
        <w:trPr/>
        <w:tc>
          <w:tcPr>
            <w:tcW w:w="6959" w:type="dxa"/>
            <w:tcBorders>
              <w:bottom w:val="doub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Total property and equipment</w:t>
            </w:r>
          </w:p>
        </w:tc>
        <w:tc>
          <w:tcPr>
            <w:tcW w:w="204" w:type="dxa"/>
            <w:tcBorders>
              <w:bottom w:val="single" w:sz="4" w:space="0" w:color="FFFFFF"/>
            </w:tcBorders>
            <w:shd w:fill="FFFFFF" w:val="clear"/>
            <w:vAlign w:val="center"/>
          </w:tcPr>
          <w:p>
            <w:pPr>
              <w:pStyle w:val="TableContents"/>
              <w:spacing w:before="0" w:after="283"/>
              <w:rPr/>
            </w:pPr>
            <w:r>
              <w:rPr/>
              <w:t> </w:t>
            </w:r>
          </w:p>
        </w:tc>
        <w:tc>
          <w:tcPr>
            <w:tcW w:w="128" w:type="dxa"/>
            <w:tcBorders>
              <w:bottom w:val="doub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bookmarkStart w:id="3992" w:name="TAB11863"/>
            <w:bookmarkEnd w:id="3992"/>
            <w:r>
              <w:rPr>
                <w:rFonts w:ascii="Times New Roman" w:hAnsi="Times New Roman"/>
                <w:sz w:val="20"/>
              </w:rPr>
              <w:t>$</w:t>
            </w:r>
          </w:p>
        </w:tc>
        <w:tc>
          <w:tcPr>
            <w:tcW w:w="1231"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3993" w:name="TAB11864"/>
            <w:bookmarkEnd w:id="3993"/>
            <w:r>
              <w:rPr>
                <w:rFonts w:ascii="Times New Roman" w:hAnsi="Times New Roman"/>
                <w:sz w:val="20"/>
              </w:rPr>
              <w:t>170,667</w:t>
            </w:r>
          </w:p>
        </w:tc>
        <w:tc>
          <w:tcPr>
            <w:tcW w:w="204" w:type="dxa"/>
            <w:tcBorders>
              <w:bottom w:val="single" w:sz="4" w:space="0" w:color="FFFFFF"/>
            </w:tcBorders>
            <w:shd w:fill="FFFFFF" w:val="clear"/>
            <w:vAlign w:val="bottom"/>
          </w:tcPr>
          <w:p>
            <w:pPr>
              <w:pStyle w:val="TableContents"/>
              <w:spacing w:before="0" w:after="283"/>
              <w:jc w:val="left"/>
              <w:rPr/>
            </w:pPr>
            <w:r>
              <w:rPr/>
              <w:t> </w:t>
            </w:r>
          </w:p>
        </w:tc>
        <w:tc>
          <w:tcPr>
            <w:tcW w:w="128" w:type="dxa"/>
            <w:tcBorders>
              <w:bottom w:val="doub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bookmarkStart w:id="3994" w:name="TAB11865"/>
            <w:bookmarkEnd w:id="3994"/>
            <w:r>
              <w:rPr>
                <w:rFonts w:ascii="Times New Roman" w:hAnsi="Times New Roman"/>
                <w:sz w:val="20"/>
              </w:rPr>
              <w:t>$</w:t>
            </w:r>
          </w:p>
        </w:tc>
        <w:tc>
          <w:tcPr>
            <w:tcW w:w="1231"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3995" w:name="TAB11866"/>
            <w:bookmarkEnd w:id="3995"/>
            <w:r>
              <w:rPr>
                <w:rFonts w:ascii="Times New Roman" w:hAnsi="Times New Roman"/>
                <w:sz w:val="20"/>
              </w:rPr>
              <w:t>167,389</w:t>
            </w:r>
          </w:p>
        </w:tc>
        <w:tc>
          <w:tcPr>
            <w:tcW w:w="120" w:type="dxa"/>
            <w:tcBorders>
              <w:bottom w:val="single" w:sz="4" w:space="0" w:color="FFFFFF"/>
            </w:tcBorders>
            <w:shd w:fill="FFFFFF" w:val="clear"/>
            <w:vAlign w:val="bottom"/>
          </w:tcPr>
          <w:p>
            <w:pPr>
              <w:pStyle w:val="TableContents"/>
              <w:spacing w:before="0" w:after="283"/>
              <w:jc w:val="left"/>
              <w:rPr/>
            </w:pPr>
            <w:r>
              <w:rPr/>
              <w:t> </w:t>
            </w:r>
          </w:p>
        </w:tc>
      </w:tr>
    </w:tbl>
    <w:p>
      <w:pPr>
        <w:pStyle w:val="TextBody"/>
        <w:spacing w:before="0" w:after="0"/>
        <w:rPr/>
      </w:pPr>
      <w:r>
        <w:rPr/>
        <w:t> </w:t>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The following table sets forth our revenues by geographical area (dollars in thousands):</w:t>
      </w:r>
    </w:p>
    <w:p>
      <w:pPr>
        <w:pStyle w:val="TextBody"/>
        <w:spacing w:lineRule="auto" w:line="300" w:before="0" w:after="0"/>
        <w:ind w:left="0" w:right="0" w:hanging="0"/>
        <w:jc w:val="both"/>
        <w:rPr/>
      </w:pPr>
      <w:r>
        <w:rPr/>
      </w:r>
    </w:p>
    <w:p>
      <w:pPr>
        <w:pStyle w:val="Normal"/>
        <w:spacing w:before="0" w:after="0"/>
        <w:rPr>
          <w:sz w:val="4"/>
          <w:szCs w:val="4"/>
        </w:rPr>
      </w:pPr>
      <w:r>
        <w:rPr>
          <w:sz w:val="4"/>
          <w:szCs w:val="4"/>
        </w:rPr>
      </w:r>
      <w:bookmarkStart w:id="3996" w:name="ftable58"/>
      <w:bookmarkStart w:id="3997" w:name="ftable58"/>
      <w:bookmarkEnd w:id="3997"/>
    </w:p>
    <w:tbl>
      <w:tblPr>
        <w:tblW w:w="5000" w:type="pct"/>
        <w:jc w:val="left"/>
        <w:tblInd w:w="0" w:type="dxa"/>
        <w:tblCellMar>
          <w:top w:w="0" w:type="dxa"/>
          <w:left w:w="0" w:type="dxa"/>
          <w:bottom w:w="28" w:type="dxa"/>
          <w:right w:w="0" w:type="dxa"/>
        </w:tblCellMar>
      </w:tblPr>
      <w:tblGrid>
        <w:gridCol w:w="5522"/>
        <w:gridCol w:w="201"/>
        <w:gridCol w:w="127"/>
        <w:gridCol w:w="1212"/>
        <w:gridCol w:w="201"/>
        <w:gridCol w:w="127"/>
        <w:gridCol w:w="1183"/>
        <w:gridCol w:w="201"/>
        <w:gridCol w:w="127"/>
        <w:gridCol w:w="1183"/>
        <w:gridCol w:w="121"/>
      </w:tblGrid>
      <w:tr>
        <w:trPr/>
        <w:tc>
          <w:tcPr>
            <w:tcW w:w="5522" w:type="dxa"/>
            <w:tcBorders>
              <w:bottom w:val="single" w:sz="4" w:space="0" w:color="FFFFFF"/>
            </w:tcBorders>
            <w:shd w:fill="auto" w:val="clear"/>
            <w:vAlign w:val="bottom"/>
          </w:tcPr>
          <w:p>
            <w:pPr>
              <w:pStyle w:val="TableContents"/>
              <w:spacing w:before="0" w:after="283"/>
              <w:jc w:val="left"/>
              <w:rPr/>
            </w:pPr>
            <w:r>
              <w:rPr/>
              <w:t> </w:t>
            </w:r>
          </w:p>
        </w:tc>
        <w:tc>
          <w:tcPr>
            <w:tcW w:w="201" w:type="dxa"/>
            <w:tcBorders>
              <w:bottom w:val="single" w:sz="2" w:space="0" w:color="FFFFFF"/>
            </w:tcBorders>
            <w:shd w:fill="auto" w:val="clear"/>
            <w:vAlign w:val="center"/>
          </w:tcPr>
          <w:p>
            <w:pPr>
              <w:pStyle w:val="TableContents"/>
              <w:spacing w:before="0" w:after="283"/>
              <w:rPr/>
            </w:pPr>
            <w:r>
              <w:rPr/>
              <w:t> </w:t>
            </w:r>
          </w:p>
        </w:tc>
        <w:tc>
          <w:tcPr>
            <w:tcW w:w="4361" w:type="dxa"/>
            <w:gridSpan w:val="8"/>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December 31,</w:t>
            </w:r>
          </w:p>
        </w:tc>
        <w:tc>
          <w:tcPr>
            <w:tcW w:w="121" w:type="dxa"/>
            <w:tcBorders>
              <w:bottom w:val="single" w:sz="2" w:space="0" w:color="FFFFFF"/>
            </w:tcBorders>
            <w:shd w:fill="auto" w:val="clear"/>
            <w:vAlign w:val="bottom"/>
          </w:tcPr>
          <w:p>
            <w:pPr>
              <w:pStyle w:val="TableContents"/>
              <w:spacing w:before="0" w:after="283"/>
              <w:jc w:val="left"/>
              <w:rPr/>
            </w:pPr>
            <w:r>
              <w:rPr/>
              <w:t> </w:t>
            </w:r>
          </w:p>
        </w:tc>
      </w:tr>
      <w:tr>
        <w:trPr/>
        <w:tc>
          <w:tcPr>
            <w:tcW w:w="5522" w:type="dxa"/>
            <w:tcBorders>
              <w:bottom w:val="double" w:sz="2" w:space="0" w:color="000000"/>
            </w:tcBorders>
            <w:shd w:fill="auto" w:val="clear"/>
            <w:vAlign w:val="bottom"/>
          </w:tcPr>
          <w:p>
            <w:pPr>
              <w:pStyle w:val="TableContents"/>
              <w:spacing w:before="0" w:after="283"/>
              <w:jc w:val="left"/>
              <w:rPr/>
            </w:pPr>
            <w:r>
              <w:rPr/>
              <w:t> </w:t>
            </w:r>
          </w:p>
        </w:tc>
        <w:tc>
          <w:tcPr>
            <w:tcW w:w="201" w:type="dxa"/>
            <w:tcBorders>
              <w:bottom w:val="single" w:sz="4" w:space="0" w:color="FFFFFF"/>
            </w:tcBorders>
            <w:shd w:fill="auto" w:val="clear"/>
            <w:vAlign w:val="center"/>
          </w:tcPr>
          <w:p>
            <w:pPr>
              <w:pStyle w:val="TableContents"/>
              <w:spacing w:before="0" w:after="283"/>
              <w:rPr/>
            </w:pPr>
            <w:r>
              <w:rPr/>
              <w:t> </w:t>
            </w:r>
          </w:p>
        </w:tc>
        <w:tc>
          <w:tcPr>
            <w:tcW w:w="1339"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2006</w:t>
            </w:r>
          </w:p>
        </w:tc>
        <w:tc>
          <w:tcPr>
            <w:tcW w:w="201" w:type="dxa"/>
            <w:tcBorders>
              <w:bottom w:val="single" w:sz="4" w:space="0" w:color="FFFFFF"/>
            </w:tcBorders>
            <w:shd w:fill="auto" w:val="clear"/>
            <w:vAlign w:val="bottom"/>
          </w:tcPr>
          <w:p>
            <w:pPr>
              <w:pStyle w:val="TableContents"/>
              <w:spacing w:before="0" w:after="283"/>
              <w:jc w:val="left"/>
              <w:rPr/>
            </w:pPr>
            <w:r>
              <w:rPr/>
              <w:t> </w:t>
            </w:r>
          </w:p>
        </w:tc>
        <w:tc>
          <w:tcPr>
            <w:tcW w:w="1310"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2005</w:t>
            </w:r>
          </w:p>
        </w:tc>
        <w:tc>
          <w:tcPr>
            <w:tcW w:w="201" w:type="dxa"/>
            <w:tcBorders>
              <w:bottom w:val="single" w:sz="4" w:space="0" w:color="FFFFFF"/>
            </w:tcBorders>
            <w:shd w:fill="auto" w:val="clear"/>
            <w:vAlign w:val="bottom"/>
          </w:tcPr>
          <w:p>
            <w:pPr>
              <w:pStyle w:val="TableContents"/>
              <w:spacing w:before="0" w:after="283"/>
              <w:jc w:val="left"/>
              <w:rPr/>
            </w:pPr>
            <w:r>
              <w:rPr/>
              <w:t> </w:t>
            </w:r>
          </w:p>
        </w:tc>
        <w:tc>
          <w:tcPr>
            <w:tcW w:w="1310"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2004</w:t>
            </w:r>
          </w:p>
        </w:tc>
        <w:tc>
          <w:tcPr>
            <w:tcW w:w="121" w:type="dxa"/>
            <w:tcBorders>
              <w:bottom w:val="single" w:sz="4" w:space="0" w:color="FFFFFF"/>
            </w:tcBorders>
            <w:shd w:fill="auto" w:val="clear"/>
            <w:vAlign w:val="bottom"/>
          </w:tcPr>
          <w:p>
            <w:pPr>
              <w:pStyle w:val="TableContents"/>
              <w:spacing w:before="0" w:after="283"/>
              <w:jc w:val="left"/>
              <w:rPr/>
            </w:pPr>
            <w:r>
              <w:rPr/>
              <w:t> </w:t>
            </w:r>
          </w:p>
        </w:tc>
      </w:tr>
      <w:tr>
        <w:trPr/>
        <w:tc>
          <w:tcPr>
            <w:tcW w:w="5522"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Australia</w:t>
            </w:r>
          </w:p>
        </w:tc>
        <w:tc>
          <w:tcPr>
            <w:tcW w:w="201" w:type="dxa"/>
            <w:tcBorders/>
            <w:shd w:fill="CCEEFF" w:val="clear"/>
            <w:tcMar>
              <w:bottom w:w="0" w:type="dxa"/>
            </w:tcMar>
            <w:vAlign w:val="center"/>
          </w:tcPr>
          <w:p>
            <w:pPr>
              <w:pStyle w:val="TableContents"/>
              <w:spacing w:before="0" w:after="283"/>
              <w:rPr/>
            </w:pPr>
            <w:r>
              <w:rPr/>
              <w:t> </w:t>
            </w:r>
          </w:p>
        </w:tc>
        <w:tc>
          <w:tcPr>
            <w:tcW w:w="127"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3998" w:name="TAB11867"/>
            <w:bookmarkEnd w:id="3998"/>
            <w:r>
              <w:rPr>
                <w:rFonts w:ascii="Times New Roman" w:hAnsi="Times New Roman"/>
                <w:sz w:val="20"/>
              </w:rPr>
              <w:t>$</w:t>
            </w:r>
          </w:p>
        </w:tc>
        <w:tc>
          <w:tcPr>
            <w:tcW w:w="1212"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3999" w:name="TAB11868"/>
            <w:bookmarkEnd w:id="3999"/>
            <w:r>
              <w:rPr>
                <w:rFonts w:ascii="Times New Roman" w:hAnsi="Times New Roman"/>
                <w:sz w:val="20"/>
              </w:rPr>
              <w:t>53,434</w:t>
            </w:r>
          </w:p>
        </w:tc>
        <w:tc>
          <w:tcPr>
            <w:tcW w:w="201" w:type="dxa"/>
            <w:tcBorders/>
            <w:shd w:fill="CCEEFF" w:val="clear"/>
            <w:tcMar>
              <w:bottom w:w="0" w:type="dxa"/>
            </w:tcMar>
            <w:vAlign w:val="bottom"/>
          </w:tcPr>
          <w:p>
            <w:pPr>
              <w:pStyle w:val="TableContents"/>
              <w:spacing w:before="0" w:after="283"/>
              <w:jc w:val="left"/>
              <w:rPr/>
            </w:pPr>
            <w:r>
              <w:rPr/>
              <w:t> </w:t>
            </w:r>
          </w:p>
        </w:tc>
        <w:tc>
          <w:tcPr>
            <w:tcW w:w="127"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4000" w:name="TAB11869"/>
            <w:bookmarkEnd w:id="4000"/>
            <w:r>
              <w:rPr>
                <w:rFonts w:ascii="Times New Roman" w:hAnsi="Times New Roman"/>
                <w:sz w:val="20"/>
              </w:rPr>
              <w:t>$</w:t>
            </w:r>
          </w:p>
        </w:tc>
        <w:tc>
          <w:tcPr>
            <w:tcW w:w="1183"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4001" w:name="TAB11870"/>
            <w:bookmarkEnd w:id="4001"/>
            <w:r>
              <w:rPr>
                <w:rFonts w:ascii="Times New Roman" w:hAnsi="Times New Roman"/>
                <w:sz w:val="20"/>
              </w:rPr>
              <w:t>47,181</w:t>
            </w:r>
          </w:p>
        </w:tc>
        <w:tc>
          <w:tcPr>
            <w:tcW w:w="201" w:type="dxa"/>
            <w:tcBorders/>
            <w:shd w:fill="CCEEFF" w:val="clear"/>
            <w:tcMar>
              <w:bottom w:w="0" w:type="dxa"/>
            </w:tcMar>
            <w:vAlign w:val="bottom"/>
          </w:tcPr>
          <w:p>
            <w:pPr>
              <w:pStyle w:val="TableContents"/>
              <w:spacing w:before="0" w:after="283"/>
              <w:jc w:val="left"/>
              <w:rPr/>
            </w:pPr>
            <w:r>
              <w:rPr/>
              <w:t> </w:t>
            </w:r>
          </w:p>
        </w:tc>
        <w:tc>
          <w:tcPr>
            <w:tcW w:w="127"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4002" w:name="TAB11871"/>
            <w:bookmarkEnd w:id="4002"/>
            <w:r>
              <w:rPr>
                <w:rFonts w:ascii="Times New Roman" w:hAnsi="Times New Roman"/>
                <w:sz w:val="20"/>
              </w:rPr>
              <w:t>$</w:t>
            </w:r>
          </w:p>
        </w:tc>
        <w:tc>
          <w:tcPr>
            <w:tcW w:w="1183"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4003" w:name="TAB11872"/>
            <w:bookmarkEnd w:id="4003"/>
            <w:r>
              <w:rPr>
                <w:rFonts w:ascii="Times New Roman" w:hAnsi="Times New Roman"/>
                <w:sz w:val="20"/>
              </w:rPr>
              <w:t>43,666</w:t>
            </w:r>
          </w:p>
        </w:tc>
        <w:tc>
          <w:tcPr>
            <w:tcW w:w="121" w:type="dxa"/>
            <w:tcBorders/>
            <w:shd w:fill="CCEEFF" w:val="clear"/>
            <w:tcMar>
              <w:bottom w:w="0" w:type="dxa"/>
            </w:tcMar>
            <w:vAlign w:val="bottom"/>
          </w:tcPr>
          <w:p>
            <w:pPr>
              <w:pStyle w:val="TableContents"/>
              <w:spacing w:before="0" w:after="283"/>
              <w:jc w:val="left"/>
              <w:rPr/>
            </w:pPr>
            <w:r>
              <w:rPr/>
              <w:t> </w:t>
            </w:r>
          </w:p>
        </w:tc>
      </w:tr>
      <w:tr>
        <w:trPr/>
        <w:tc>
          <w:tcPr>
            <w:tcW w:w="5522"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New Zealand</w:t>
            </w:r>
          </w:p>
        </w:tc>
        <w:tc>
          <w:tcPr>
            <w:tcW w:w="201" w:type="dxa"/>
            <w:tcBorders/>
            <w:shd w:fill="FFFFFF" w:val="clear"/>
            <w:tcMar>
              <w:bottom w:w="0" w:type="dxa"/>
            </w:tcMar>
            <w:vAlign w:val="center"/>
          </w:tcPr>
          <w:p>
            <w:pPr>
              <w:pStyle w:val="TableContents"/>
              <w:spacing w:before="0" w:after="283"/>
              <w:rPr/>
            </w:pPr>
            <w:r>
              <w:rPr/>
              <w:t> </w:t>
            </w:r>
          </w:p>
        </w:tc>
        <w:tc>
          <w:tcPr>
            <w:tcW w:w="127" w:type="dxa"/>
            <w:tcBorders/>
            <w:shd w:fill="FFFFFF" w:val="clear"/>
            <w:tcMar>
              <w:bottom w:w="0" w:type="dxa"/>
            </w:tcMar>
            <w:vAlign w:val="bottom"/>
          </w:tcPr>
          <w:p>
            <w:pPr>
              <w:pStyle w:val="TableContents"/>
              <w:spacing w:before="0" w:after="283"/>
              <w:jc w:val="left"/>
              <w:rPr/>
            </w:pPr>
            <w:r>
              <w:rPr/>
              <w:t> </w:t>
            </w:r>
          </w:p>
        </w:tc>
        <w:tc>
          <w:tcPr>
            <w:tcW w:w="1212"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21,230</w:t>
            </w:r>
          </w:p>
        </w:tc>
        <w:tc>
          <w:tcPr>
            <w:tcW w:w="201" w:type="dxa"/>
            <w:tcBorders/>
            <w:shd w:fill="FFFFFF" w:val="clear"/>
            <w:tcMar>
              <w:bottom w:w="0" w:type="dxa"/>
            </w:tcMar>
            <w:vAlign w:val="bottom"/>
          </w:tcPr>
          <w:p>
            <w:pPr>
              <w:pStyle w:val="TableContents"/>
              <w:spacing w:before="0" w:after="283"/>
              <w:jc w:val="left"/>
              <w:rPr/>
            </w:pPr>
            <w:r>
              <w:rPr/>
              <w:t> </w:t>
            </w:r>
          </w:p>
        </w:tc>
        <w:tc>
          <w:tcPr>
            <w:tcW w:w="127" w:type="dxa"/>
            <w:tcBorders/>
            <w:shd w:fill="FFFFFF" w:val="clear"/>
            <w:tcMar>
              <w:bottom w:w="0" w:type="dxa"/>
            </w:tcMar>
            <w:vAlign w:val="bottom"/>
          </w:tcPr>
          <w:p>
            <w:pPr>
              <w:pStyle w:val="TableContents"/>
              <w:spacing w:before="0" w:after="283"/>
              <w:jc w:val="left"/>
              <w:rPr/>
            </w:pPr>
            <w:r>
              <w:rPr/>
              <w:t> </w:t>
            </w:r>
          </w:p>
        </w:tc>
        <w:tc>
          <w:tcPr>
            <w:tcW w:w="1183"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20,179</w:t>
            </w:r>
          </w:p>
        </w:tc>
        <w:tc>
          <w:tcPr>
            <w:tcW w:w="201" w:type="dxa"/>
            <w:tcBorders/>
            <w:shd w:fill="FFFFFF" w:val="clear"/>
            <w:tcMar>
              <w:bottom w:w="0" w:type="dxa"/>
            </w:tcMar>
            <w:vAlign w:val="bottom"/>
          </w:tcPr>
          <w:p>
            <w:pPr>
              <w:pStyle w:val="TableContents"/>
              <w:spacing w:before="0" w:after="283"/>
              <w:jc w:val="left"/>
              <w:rPr/>
            </w:pPr>
            <w:r>
              <w:rPr/>
              <w:t> </w:t>
            </w:r>
          </w:p>
        </w:tc>
        <w:tc>
          <w:tcPr>
            <w:tcW w:w="127" w:type="dxa"/>
            <w:tcBorders/>
            <w:shd w:fill="FFFFFF" w:val="clear"/>
            <w:tcMar>
              <w:bottom w:w="0" w:type="dxa"/>
            </w:tcMar>
            <w:vAlign w:val="bottom"/>
          </w:tcPr>
          <w:p>
            <w:pPr>
              <w:pStyle w:val="TableContents"/>
              <w:spacing w:before="0" w:after="283"/>
              <w:jc w:val="left"/>
              <w:rPr/>
            </w:pPr>
            <w:r>
              <w:rPr/>
              <w:t> </w:t>
            </w:r>
          </w:p>
        </w:tc>
        <w:tc>
          <w:tcPr>
            <w:tcW w:w="1183"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13,531</w:t>
            </w:r>
          </w:p>
        </w:tc>
        <w:tc>
          <w:tcPr>
            <w:tcW w:w="121" w:type="dxa"/>
            <w:tcBorders/>
            <w:shd w:fill="FFFFFF" w:val="clear"/>
            <w:tcMar>
              <w:bottom w:w="0" w:type="dxa"/>
            </w:tcMar>
            <w:vAlign w:val="bottom"/>
          </w:tcPr>
          <w:p>
            <w:pPr>
              <w:pStyle w:val="TableContents"/>
              <w:spacing w:before="0" w:after="283"/>
              <w:jc w:val="left"/>
              <w:rPr/>
            </w:pPr>
            <w:r>
              <w:rPr/>
              <w:t> </w:t>
            </w:r>
          </w:p>
        </w:tc>
      </w:tr>
      <w:tr>
        <w:trPr/>
        <w:tc>
          <w:tcPr>
            <w:tcW w:w="5522" w:type="dxa"/>
            <w:tcBorders>
              <w:bottom w:val="sing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United States</w:t>
            </w:r>
          </w:p>
        </w:tc>
        <w:tc>
          <w:tcPr>
            <w:tcW w:w="201" w:type="dxa"/>
            <w:tcBorders>
              <w:bottom w:val="single" w:sz="2" w:space="0" w:color="CCEEFF"/>
            </w:tcBorders>
            <w:shd w:fill="CCEEFF" w:val="clear"/>
            <w:vAlign w:val="center"/>
          </w:tcPr>
          <w:p>
            <w:pPr>
              <w:pStyle w:val="TableContents"/>
              <w:spacing w:before="0" w:after="283"/>
              <w:rPr/>
            </w:pPr>
            <w:r>
              <w:rPr/>
              <w:t> </w:t>
            </w:r>
          </w:p>
        </w:tc>
        <w:tc>
          <w:tcPr>
            <w:tcW w:w="127" w:type="dxa"/>
            <w:tcBorders>
              <w:bottom w:val="single" w:sz="2" w:space="0" w:color="000000"/>
            </w:tcBorders>
            <w:shd w:fill="CCEEFF" w:val="clear"/>
            <w:vAlign w:val="bottom"/>
          </w:tcPr>
          <w:p>
            <w:pPr>
              <w:pStyle w:val="TableContents"/>
              <w:spacing w:before="0" w:after="283"/>
              <w:jc w:val="left"/>
              <w:rPr/>
            </w:pPr>
            <w:r>
              <w:rPr/>
              <w:t> </w:t>
            </w:r>
          </w:p>
        </w:tc>
        <w:tc>
          <w:tcPr>
            <w:tcW w:w="1212"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31,461</w:t>
            </w:r>
          </w:p>
        </w:tc>
        <w:tc>
          <w:tcPr>
            <w:tcW w:w="201" w:type="dxa"/>
            <w:tcBorders>
              <w:bottom w:val="single" w:sz="2" w:space="0" w:color="CCEEFF"/>
            </w:tcBorders>
            <w:shd w:fill="CCEEFF" w:val="clear"/>
            <w:vAlign w:val="bottom"/>
          </w:tcPr>
          <w:p>
            <w:pPr>
              <w:pStyle w:val="TableContents"/>
              <w:spacing w:before="0" w:after="283"/>
              <w:jc w:val="left"/>
              <w:rPr/>
            </w:pPr>
            <w:r>
              <w:rPr/>
              <w:t> </w:t>
            </w:r>
          </w:p>
        </w:tc>
        <w:tc>
          <w:tcPr>
            <w:tcW w:w="127" w:type="dxa"/>
            <w:tcBorders>
              <w:bottom w:val="single" w:sz="2" w:space="0" w:color="000000"/>
            </w:tcBorders>
            <w:shd w:fill="CCEEFF" w:val="clear"/>
            <w:vAlign w:val="bottom"/>
          </w:tcPr>
          <w:p>
            <w:pPr>
              <w:pStyle w:val="TableContents"/>
              <w:spacing w:before="0" w:after="283"/>
              <w:jc w:val="left"/>
              <w:rPr/>
            </w:pPr>
            <w:r>
              <w:rPr/>
              <w:t> </w:t>
            </w:r>
          </w:p>
        </w:tc>
        <w:tc>
          <w:tcPr>
            <w:tcW w:w="1183"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30,745</w:t>
            </w:r>
          </w:p>
        </w:tc>
        <w:tc>
          <w:tcPr>
            <w:tcW w:w="201" w:type="dxa"/>
            <w:tcBorders>
              <w:bottom w:val="single" w:sz="2" w:space="0" w:color="CCEEFF"/>
            </w:tcBorders>
            <w:shd w:fill="CCEEFF" w:val="clear"/>
            <w:vAlign w:val="bottom"/>
          </w:tcPr>
          <w:p>
            <w:pPr>
              <w:pStyle w:val="TableContents"/>
              <w:spacing w:before="0" w:after="283"/>
              <w:jc w:val="left"/>
              <w:rPr/>
            </w:pPr>
            <w:r>
              <w:rPr/>
              <w:t> </w:t>
            </w:r>
          </w:p>
        </w:tc>
        <w:tc>
          <w:tcPr>
            <w:tcW w:w="127" w:type="dxa"/>
            <w:tcBorders>
              <w:bottom w:val="single" w:sz="2" w:space="0" w:color="000000"/>
            </w:tcBorders>
            <w:shd w:fill="CCEEFF" w:val="clear"/>
            <w:vAlign w:val="bottom"/>
          </w:tcPr>
          <w:p>
            <w:pPr>
              <w:pStyle w:val="TableContents"/>
              <w:spacing w:before="0" w:after="283"/>
              <w:jc w:val="left"/>
              <w:rPr/>
            </w:pPr>
            <w:r>
              <w:rPr/>
              <w:t> </w:t>
            </w:r>
          </w:p>
        </w:tc>
        <w:tc>
          <w:tcPr>
            <w:tcW w:w="1183"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26,892</w:t>
            </w:r>
          </w:p>
        </w:tc>
        <w:tc>
          <w:tcPr>
            <w:tcW w:w="121" w:type="dxa"/>
            <w:tcBorders>
              <w:bottom w:val="single" w:sz="2" w:space="0" w:color="CCEEFF"/>
            </w:tcBorders>
            <w:shd w:fill="CCEEFF" w:val="clear"/>
            <w:vAlign w:val="bottom"/>
          </w:tcPr>
          <w:p>
            <w:pPr>
              <w:pStyle w:val="TableContents"/>
              <w:spacing w:before="0" w:after="283"/>
              <w:jc w:val="left"/>
              <w:rPr/>
            </w:pPr>
            <w:r>
              <w:rPr/>
              <w:t> </w:t>
            </w:r>
          </w:p>
        </w:tc>
      </w:tr>
      <w:tr>
        <w:trPr/>
        <w:tc>
          <w:tcPr>
            <w:tcW w:w="5522" w:type="dxa"/>
            <w:tcBorders>
              <w:bottom w:val="doub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Total Revenues</w:t>
            </w:r>
          </w:p>
        </w:tc>
        <w:tc>
          <w:tcPr>
            <w:tcW w:w="201" w:type="dxa"/>
            <w:tcBorders>
              <w:bottom w:val="single" w:sz="4" w:space="0" w:color="FFFFFF"/>
            </w:tcBorders>
            <w:shd w:fill="FFFFFF" w:val="clear"/>
            <w:vAlign w:val="center"/>
          </w:tcPr>
          <w:p>
            <w:pPr>
              <w:pStyle w:val="TableContents"/>
              <w:spacing w:before="0" w:after="283"/>
              <w:rPr/>
            </w:pPr>
            <w:r>
              <w:rPr/>
              <w:t> </w:t>
            </w:r>
          </w:p>
        </w:tc>
        <w:tc>
          <w:tcPr>
            <w:tcW w:w="127" w:type="dxa"/>
            <w:tcBorders>
              <w:bottom w:val="doub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bookmarkStart w:id="4004" w:name="TAB11873"/>
            <w:bookmarkEnd w:id="4004"/>
            <w:r>
              <w:rPr>
                <w:rFonts w:ascii="Times New Roman" w:hAnsi="Times New Roman"/>
                <w:sz w:val="20"/>
              </w:rPr>
              <w:t>$</w:t>
            </w:r>
          </w:p>
        </w:tc>
        <w:tc>
          <w:tcPr>
            <w:tcW w:w="1212"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4005" w:name="TAB11874"/>
            <w:bookmarkEnd w:id="4005"/>
            <w:r>
              <w:rPr>
                <w:rFonts w:ascii="Times New Roman" w:hAnsi="Times New Roman"/>
                <w:sz w:val="20"/>
              </w:rPr>
              <w:t>106,125</w:t>
            </w:r>
          </w:p>
        </w:tc>
        <w:tc>
          <w:tcPr>
            <w:tcW w:w="201" w:type="dxa"/>
            <w:tcBorders>
              <w:bottom w:val="single" w:sz="4" w:space="0" w:color="FFFFFF"/>
            </w:tcBorders>
            <w:shd w:fill="FFFFFF" w:val="clear"/>
            <w:vAlign w:val="bottom"/>
          </w:tcPr>
          <w:p>
            <w:pPr>
              <w:pStyle w:val="TableContents"/>
              <w:spacing w:before="0" w:after="283"/>
              <w:jc w:val="left"/>
              <w:rPr/>
            </w:pPr>
            <w:r>
              <w:rPr/>
              <w:t> </w:t>
            </w:r>
          </w:p>
        </w:tc>
        <w:tc>
          <w:tcPr>
            <w:tcW w:w="127" w:type="dxa"/>
            <w:tcBorders>
              <w:bottom w:val="doub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bookmarkStart w:id="4006" w:name="TAB11875"/>
            <w:bookmarkEnd w:id="4006"/>
            <w:r>
              <w:rPr>
                <w:rFonts w:ascii="Times New Roman" w:hAnsi="Times New Roman"/>
                <w:sz w:val="20"/>
              </w:rPr>
              <w:t>$</w:t>
            </w:r>
          </w:p>
        </w:tc>
        <w:tc>
          <w:tcPr>
            <w:tcW w:w="1183"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4007" w:name="TAB11876"/>
            <w:bookmarkEnd w:id="4007"/>
            <w:r>
              <w:rPr>
                <w:rFonts w:ascii="Times New Roman" w:hAnsi="Times New Roman"/>
                <w:sz w:val="20"/>
              </w:rPr>
              <w:t>98,105</w:t>
            </w:r>
          </w:p>
        </w:tc>
        <w:tc>
          <w:tcPr>
            <w:tcW w:w="201" w:type="dxa"/>
            <w:tcBorders>
              <w:bottom w:val="single" w:sz="4" w:space="0" w:color="FFFFFF"/>
            </w:tcBorders>
            <w:shd w:fill="FFFFFF" w:val="clear"/>
            <w:vAlign w:val="bottom"/>
          </w:tcPr>
          <w:p>
            <w:pPr>
              <w:pStyle w:val="TableContents"/>
              <w:spacing w:before="0" w:after="283"/>
              <w:jc w:val="left"/>
              <w:rPr/>
            </w:pPr>
            <w:r>
              <w:rPr/>
              <w:t> </w:t>
            </w:r>
          </w:p>
        </w:tc>
        <w:tc>
          <w:tcPr>
            <w:tcW w:w="127" w:type="dxa"/>
            <w:tcBorders>
              <w:bottom w:val="doub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bookmarkStart w:id="4008" w:name="TAB11877"/>
            <w:bookmarkEnd w:id="4008"/>
            <w:r>
              <w:rPr>
                <w:rFonts w:ascii="Times New Roman" w:hAnsi="Times New Roman"/>
                <w:sz w:val="20"/>
              </w:rPr>
              <w:t>$</w:t>
            </w:r>
          </w:p>
        </w:tc>
        <w:tc>
          <w:tcPr>
            <w:tcW w:w="1183"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4009" w:name="TAB11878"/>
            <w:bookmarkEnd w:id="4009"/>
            <w:r>
              <w:rPr>
                <w:rFonts w:ascii="Times New Roman" w:hAnsi="Times New Roman"/>
                <w:sz w:val="20"/>
              </w:rPr>
              <w:t>84,089</w:t>
            </w:r>
          </w:p>
        </w:tc>
        <w:tc>
          <w:tcPr>
            <w:tcW w:w="121" w:type="dxa"/>
            <w:tcBorders>
              <w:bottom w:val="single" w:sz="4" w:space="0" w:color="FFFFFF"/>
            </w:tcBorders>
            <w:shd w:fill="FFFFFF" w:val="clear"/>
            <w:vAlign w:val="bottom"/>
          </w:tcPr>
          <w:p>
            <w:pPr>
              <w:pStyle w:val="TableContents"/>
              <w:spacing w:before="0" w:after="283"/>
              <w:jc w:val="left"/>
              <w:rPr/>
            </w:pPr>
            <w:r>
              <w:rPr/>
              <w:t> </w:t>
            </w:r>
          </w:p>
        </w:tc>
      </w:tr>
    </w:tbl>
    <w:p>
      <w:pPr>
        <w:pStyle w:val="TextBody"/>
        <w:spacing w:lineRule="auto" w:line="300" w:before="0" w:after="0"/>
        <w:ind w:left="0" w:right="0" w:hanging="0"/>
        <w:jc w:val="both"/>
        <w:rPr/>
      </w:pPr>
      <w:r>
        <w:rPr/>
      </w:r>
    </w:p>
    <w:p>
      <w:pPr>
        <w:pStyle w:val="TextBody"/>
        <w:spacing w:lineRule="auto" w:line="300" w:before="0" w:after="0"/>
        <w:ind w:left="0" w:right="0" w:hanging="0"/>
        <w:jc w:val="both"/>
        <w:rPr/>
      </w:pPr>
      <w:r>
        <w:rPr/>
      </w:r>
    </w:p>
    <w:p>
      <w:pPr>
        <w:pStyle w:val="TextBody"/>
        <w:spacing w:lineRule="auto" w:line="300" w:before="0" w:after="0"/>
        <w:ind w:left="0" w:right="0" w:hanging="0"/>
        <w:jc w:val="left"/>
        <w:rPr/>
      </w:pPr>
      <w:r>
        <w:rPr>
          <w:rStyle w:val="StrongEmphasis"/>
          <w:rFonts w:ascii="Times New Roman" w:hAnsi="Times New Roman"/>
          <w:sz w:val="20"/>
          <w:u w:val="single"/>
        </w:rPr>
        <w:t>Note 22 - Unaudited Quarterly Financial Information (dollars in thousands, except per share amounts)</w:t>
      </w:r>
    </w:p>
    <w:p>
      <w:pPr>
        <w:pStyle w:val="TextBody"/>
        <w:spacing w:lineRule="auto" w:line="300" w:before="0" w:after="0"/>
        <w:ind w:left="0" w:right="0" w:hanging="0"/>
        <w:jc w:val="left"/>
        <w:rPr/>
      </w:pPr>
      <w:r>
        <w:rPr/>
      </w:r>
    </w:p>
    <w:p>
      <w:pPr>
        <w:pStyle w:val="Normal"/>
        <w:spacing w:before="0" w:after="0"/>
        <w:rPr>
          <w:sz w:val="4"/>
          <w:szCs w:val="4"/>
        </w:rPr>
      </w:pPr>
      <w:r>
        <w:rPr>
          <w:sz w:val="4"/>
          <w:szCs w:val="4"/>
        </w:rPr>
      </w:r>
      <w:bookmarkStart w:id="4010" w:name="ftable59"/>
      <w:bookmarkStart w:id="4011" w:name="ftable59"/>
      <w:bookmarkEnd w:id="4011"/>
    </w:p>
    <w:tbl>
      <w:tblPr>
        <w:tblW w:w="5000" w:type="pct"/>
        <w:jc w:val="left"/>
        <w:tblInd w:w="0" w:type="dxa"/>
        <w:tblCellMar>
          <w:top w:w="0" w:type="dxa"/>
          <w:left w:w="0" w:type="dxa"/>
          <w:bottom w:w="0" w:type="dxa"/>
          <w:right w:w="0" w:type="dxa"/>
        </w:tblCellMar>
      </w:tblPr>
      <w:tblGrid>
        <w:gridCol w:w="4095"/>
        <w:gridCol w:w="197"/>
        <w:gridCol w:w="127"/>
        <w:gridCol w:w="1168"/>
        <w:gridCol w:w="203"/>
        <w:gridCol w:w="127"/>
        <w:gridCol w:w="1168"/>
        <w:gridCol w:w="203"/>
        <w:gridCol w:w="127"/>
        <w:gridCol w:w="1168"/>
        <w:gridCol w:w="202"/>
        <w:gridCol w:w="127"/>
        <w:gridCol w:w="1168"/>
        <w:gridCol w:w="125"/>
      </w:tblGrid>
      <w:tr>
        <w:trPr/>
        <w:tc>
          <w:tcPr>
            <w:tcW w:w="4095" w:type="dxa"/>
            <w:tcBorders/>
            <w:shd w:fill="auto" w:val="clear"/>
            <w:vAlign w:val="bottom"/>
          </w:tcPr>
          <w:p>
            <w:pPr>
              <w:pStyle w:val="TableContents"/>
              <w:spacing w:before="0" w:after="283"/>
              <w:jc w:val="left"/>
              <w:rPr/>
            </w:pPr>
            <w:r>
              <w:rPr/>
              <w:t> </w:t>
            </w:r>
          </w:p>
        </w:tc>
        <w:tc>
          <w:tcPr>
            <w:tcW w:w="197" w:type="dxa"/>
            <w:tcBorders/>
            <w:shd w:fill="auto" w:val="clear"/>
            <w:vAlign w:val="center"/>
          </w:tcPr>
          <w:p>
            <w:pPr>
              <w:pStyle w:val="TableContents"/>
              <w:spacing w:before="0" w:after="283"/>
              <w:rPr/>
            </w:pPr>
            <w:r>
              <w:rPr/>
              <w:t> </w:t>
            </w:r>
          </w:p>
        </w:tc>
        <w:tc>
          <w:tcPr>
            <w:tcW w:w="1295" w:type="dxa"/>
            <w:gridSpan w:val="2"/>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First</w:t>
            </w:r>
          </w:p>
        </w:tc>
        <w:tc>
          <w:tcPr>
            <w:tcW w:w="203" w:type="dxa"/>
            <w:tcBorders/>
            <w:shd w:fill="auto" w:val="clear"/>
            <w:vAlign w:val="bottom"/>
          </w:tcPr>
          <w:p>
            <w:pPr>
              <w:pStyle w:val="TableContents"/>
              <w:spacing w:before="0" w:after="283"/>
              <w:jc w:val="left"/>
              <w:rPr/>
            </w:pPr>
            <w:r>
              <w:rPr/>
              <w:t> </w:t>
            </w:r>
          </w:p>
        </w:tc>
        <w:tc>
          <w:tcPr>
            <w:tcW w:w="1295" w:type="dxa"/>
            <w:gridSpan w:val="2"/>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Second</w:t>
            </w:r>
          </w:p>
        </w:tc>
        <w:tc>
          <w:tcPr>
            <w:tcW w:w="203" w:type="dxa"/>
            <w:tcBorders/>
            <w:shd w:fill="auto" w:val="clear"/>
            <w:vAlign w:val="bottom"/>
          </w:tcPr>
          <w:p>
            <w:pPr>
              <w:pStyle w:val="TableContents"/>
              <w:spacing w:before="0" w:after="283"/>
              <w:jc w:val="left"/>
              <w:rPr/>
            </w:pPr>
            <w:r>
              <w:rPr/>
              <w:t> </w:t>
            </w:r>
          </w:p>
        </w:tc>
        <w:tc>
          <w:tcPr>
            <w:tcW w:w="1295" w:type="dxa"/>
            <w:gridSpan w:val="2"/>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Third</w:t>
            </w:r>
          </w:p>
        </w:tc>
        <w:tc>
          <w:tcPr>
            <w:tcW w:w="202" w:type="dxa"/>
            <w:tcBorders/>
            <w:shd w:fill="auto" w:val="clear"/>
            <w:vAlign w:val="bottom"/>
          </w:tcPr>
          <w:p>
            <w:pPr>
              <w:pStyle w:val="TableContents"/>
              <w:spacing w:before="0" w:after="283"/>
              <w:jc w:val="left"/>
              <w:rPr/>
            </w:pPr>
            <w:r>
              <w:rPr/>
              <w:t> </w:t>
            </w:r>
          </w:p>
        </w:tc>
        <w:tc>
          <w:tcPr>
            <w:tcW w:w="1295" w:type="dxa"/>
            <w:gridSpan w:val="2"/>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Fourth</w:t>
            </w:r>
          </w:p>
        </w:tc>
        <w:tc>
          <w:tcPr>
            <w:tcW w:w="125" w:type="dxa"/>
            <w:tcBorders/>
            <w:shd w:fill="auto" w:val="clear"/>
            <w:vAlign w:val="bottom"/>
          </w:tcPr>
          <w:p>
            <w:pPr>
              <w:pStyle w:val="TableContents"/>
              <w:spacing w:before="0" w:after="283"/>
              <w:jc w:val="left"/>
              <w:rPr/>
            </w:pPr>
            <w:r>
              <w:rPr/>
              <w:t> </w:t>
            </w:r>
          </w:p>
        </w:tc>
      </w:tr>
      <w:tr>
        <w:trPr/>
        <w:tc>
          <w:tcPr>
            <w:tcW w:w="4095" w:type="dxa"/>
            <w:tcBorders>
              <w:bottom w:val="double" w:sz="2" w:space="0" w:color="000000"/>
            </w:tcBorders>
            <w:shd w:fill="auto" w:val="clear"/>
            <w:tcMar>
              <w:bottom w:w="28" w:type="dxa"/>
            </w:tcMar>
            <w:vAlign w:val="bottom"/>
          </w:tcPr>
          <w:p>
            <w:pPr>
              <w:pStyle w:val="TableContents"/>
              <w:spacing w:lineRule="auto" w:line="300" w:before="0" w:after="0"/>
              <w:ind w:left="360" w:right="0" w:hanging="360"/>
              <w:jc w:val="left"/>
              <w:rPr/>
            </w:pPr>
            <w:r>
              <w:rPr>
                <w:rStyle w:val="StrongEmphasis"/>
                <w:rFonts w:ascii="Times New Roman" w:hAnsi="Times New Roman"/>
                <w:sz w:val="20"/>
              </w:rPr>
              <w:t>2006</w:t>
            </w:r>
          </w:p>
        </w:tc>
        <w:tc>
          <w:tcPr>
            <w:tcW w:w="197" w:type="dxa"/>
            <w:tcBorders>
              <w:bottom w:val="single" w:sz="4" w:space="0" w:color="FFFFFF"/>
            </w:tcBorders>
            <w:shd w:fill="auto" w:val="clear"/>
            <w:tcMar>
              <w:bottom w:w="28" w:type="dxa"/>
            </w:tcMar>
            <w:vAlign w:val="center"/>
          </w:tcPr>
          <w:p>
            <w:pPr>
              <w:pStyle w:val="TableContents"/>
              <w:spacing w:before="0" w:after="283"/>
              <w:rPr/>
            </w:pPr>
            <w:r>
              <w:rPr/>
              <w:t> </w:t>
            </w:r>
          </w:p>
        </w:tc>
        <w:tc>
          <w:tcPr>
            <w:tcW w:w="1295" w:type="dxa"/>
            <w:gridSpan w:val="2"/>
            <w:tcBorders>
              <w:bottom w:val="double" w:sz="2" w:space="0" w:color="000000"/>
            </w:tcBorders>
            <w:shd w:fill="auto" w:val="clear"/>
            <w:tcMar>
              <w:bottom w:w="28" w:type="dxa"/>
            </w:tcMar>
            <w:vAlign w:val="bottom"/>
          </w:tcPr>
          <w:p>
            <w:pPr>
              <w:pStyle w:val="TableContents"/>
              <w:spacing w:lineRule="auto" w:line="300" w:before="0" w:after="0"/>
              <w:ind w:left="0" w:right="0" w:hanging="0"/>
              <w:jc w:val="center"/>
              <w:rPr/>
            </w:pPr>
            <w:r>
              <w:rPr>
                <w:rStyle w:val="StrongEmphasis"/>
                <w:rFonts w:ascii="Times New Roman" w:hAnsi="Times New Roman"/>
                <w:sz w:val="20"/>
              </w:rPr>
              <w:t>Quarter</w:t>
            </w:r>
          </w:p>
        </w:tc>
        <w:tc>
          <w:tcPr>
            <w:tcW w:w="203" w:type="dxa"/>
            <w:tcBorders>
              <w:bottom w:val="single" w:sz="4" w:space="0" w:color="FFFFFF"/>
            </w:tcBorders>
            <w:shd w:fill="auto" w:val="clear"/>
            <w:tcMar>
              <w:bottom w:w="28" w:type="dxa"/>
            </w:tcMar>
            <w:vAlign w:val="bottom"/>
          </w:tcPr>
          <w:p>
            <w:pPr>
              <w:pStyle w:val="TableContents"/>
              <w:spacing w:before="0" w:after="283"/>
              <w:jc w:val="left"/>
              <w:rPr/>
            </w:pPr>
            <w:r>
              <w:rPr/>
              <w:t> </w:t>
            </w:r>
          </w:p>
        </w:tc>
        <w:tc>
          <w:tcPr>
            <w:tcW w:w="1295" w:type="dxa"/>
            <w:gridSpan w:val="2"/>
            <w:tcBorders>
              <w:bottom w:val="double" w:sz="2" w:space="0" w:color="000000"/>
            </w:tcBorders>
            <w:shd w:fill="auto" w:val="clear"/>
            <w:tcMar>
              <w:bottom w:w="28" w:type="dxa"/>
            </w:tcMar>
            <w:vAlign w:val="bottom"/>
          </w:tcPr>
          <w:p>
            <w:pPr>
              <w:pStyle w:val="TableContents"/>
              <w:spacing w:lineRule="auto" w:line="300" w:before="0" w:after="0"/>
              <w:ind w:left="0" w:right="0" w:hanging="0"/>
              <w:jc w:val="center"/>
              <w:rPr/>
            </w:pPr>
            <w:r>
              <w:rPr>
                <w:rStyle w:val="StrongEmphasis"/>
                <w:rFonts w:ascii="Times New Roman" w:hAnsi="Times New Roman"/>
                <w:sz w:val="20"/>
              </w:rPr>
              <w:t>Quarter</w:t>
            </w:r>
          </w:p>
        </w:tc>
        <w:tc>
          <w:tcPr>
            <w:tcW w:w="203" w:type="dxa"/>
            <w:tcBorders>
              <w:bottom w:val="single" w:sz="4" w:space="0" w:color="FFFFFF"/>
            </w:tcBorders>
            <w:shd w:fill="auto" w:val="clear"/>
            <w:tcMar>
              <w:bottom w:w="28" w:type="dxa"/>
            </w:tcMar>
            <w:vAlign w:val="bottom"/>
          </w:tcPr>
          <w:p>
            <w:pPr>
              <w:pStyle w:val="TableContents"/>
              <w:spacing w:before="0" w:after="283"/>
              <w:jc w:val="left"/>
              <w:rPr/>
            </w:pPr>
            <w:r>
              <w:rPr/>
              <w:t> </w:t>
            </w:r>
          </w:p>
        </w:tc>
        <w:tc>
          <w:tcPr>
            <w:tcW w:w="1295" w:type="dxa"/>
            <w:gridSpan w:val="2"/>
            <w:tcBorders>
              <w:bottom w:val="double" w:sz="2" w:space="0" w:color="000000"/>
            </w:tcBorders>
            <w:shd w:fill="auto" w:val="clear"/>
            <w:tcMar>
              <w:bottom w:w="28" w:type="dxa"/>
            </w:tcMar>
            <w:vAlign w:val="bottom"/>
          </w:tcPr>
          <w:p>
            <w:pPr>
              <w:pStyle w:val="TableContents"/>
              <w:spacing w:lineRule="auto" w:line="300" w:before="0" w:after="0"/>
              <w:ind w:left="0" w:right="0" w:hanging="0"/>
              <w:jc w:val="center"/>
              <w:rPr/>
            </w:pPr>
            <w:r>
              <w:rPr>
                <w:rStyle w:val="StrongEmphasis"/>
                <w:rFonts w:ascii="Times New Roman" w:hAnsi="Times New Roman"/>
                <w:sz w:val="20"/>
              </w:rPr>
              <w:t>Quarter</w:t>
            </w:r>
          </w:p>
        </w:tc>
        <w:tc>
          <w:tcPr>
            <w:tcW w:w="202" w:type="dxa"/>
            <w:tcBorders>
              <w:bottom w:val="single" w:sz="4" w:space="0" w:color="FFFFFF"/>
            </w:tcBorders>
            <w:shd w:fill="auto" w:val="clear"/>
            <w:tcMar>
              <w:bottom w:w="28" w:type="dxa"/>
            </w:tcMar>
            <w:vAlign w:val="bottom"/>
          </w:tcPr>
          <w:p>
            <w:pPr>
              <w:pStyle w:val="TableContents"/>
              <w:spacing w:before="0" w:after="283"/>
              <w:jc w:val="left"/>
              <w:rPr/>
            </w:pPr>
            <w:r>
              <w:rPr/>
              <w:t> </w:t>
            </w:r>
          </w:p>
        </w:tc>
        <w:tc>
          <w:tcPr>
            <w:tcW w:w="1295" w:type="dxa"/>
            <w:gridSpan w:val="2"/>
            <w:tcBorders>
              <w:bottom w:val="double" w:sz="2" w:space="0" w:color="000000"/>
            </w:tcBorders>
            <w:shd w:fill="auto" w:val="clear"/>
            <w:tcMar>
              <w:bottom w:w="28" w:type="dxa"/>
            </w:tcMar>
            <w:vAlign w:val="bottom"/>
          </w:tcPr>
          <w:p>
            <w:pPr>
              <w:pStyle w:val="TableContents"/>
              <w:spacing w:lineRule="auto" w:line="300" w:before="0" w:after="0"/>
              <w:ind w:left="0" w:right="0" w:hanging="0"/>
              <w:jc w:val="center"/>
              <w:rPr/>
            </w:pPr>
            <w:r>
              <w:rPr>
                <w:rStyle w:val="StrongEmphasis"/>
                <w:rFonts w:ascii="Times New Roman" w:hAnsi="Times New Roman"/>
                <w:sz w:val="20"/>
              </w:rPr>
              <w:t>Quarter</w:t>
            </w:r>
          </w:p>
        </w:tc>
        <w:tc>
          <w:tcPr>
            <w:tcW w:w="125" w:type="dxa"/>
            <w:tcBorders>
              <w:bottom w:val="single" w:sz="4" w:space="0" w:color="FFFFFF"/>
            </w:tcBorders>
            <w:shd w:fill="auto" w:val="clear"/>
            <w:tcMar>
              <w:bottom w:w="28" w:type="dxa"/>
            </w:tcMar>
            <w:vAlign w:val="bottom"/>
          </w:tcPr>
          <w:p>
            <w:pPr>
              <w:pStyle w:val="TableContents"/>
              <w:spacing w:before="0" w:after="283"/>
              <w:jc w:val="left"/>
              <w:rPr/>
            </w:pPr>
            <w:r>
              <w:rPr/>
              <w:t> </w:t>
            </w:r>
          </w:p>
        </w:tc>
      </w:tr>
      <w:tr>
        <w:trPr/>
        <w:tc>
          <w:tcPr>
            <w:tcW w:w="4095" w:type="dxa"/>
            <w:tcBorders/>
            <w:shd w:fill="CCEEFF" w:val="clear"/>
            <w:vAlign w:val="bottom"/>
          </w:tcPr>
          <w:p>
            <w:pPr>
              <w:pStyle w:val="TableContents"/>
              <w:spacing w:lineRule="auto" w:line="300" w:before="0" w:after="0"/>
              <w:ind w:left="360" w:right="0" w:hanging="360"/>
              <w:jc w:val="left"/>
              <w:rPr>
                <w:rFonts w:ascii="Times New Roman" w:hAnsi="Times New Roman"/>
                <w:sz w:val="20"/>
              </w:rPr>
            </w:pPr>
            <w:r>
              <w:rPr>
                <w:rFonts w:ascii="Times New Roman" w:hAnsi="Times New Roman"/>
                <w:sz w:val="20"/>
              </w:rPr>
              <w:t>Revenue</w:t>
            </w:r>
          </w:p>
        </w:tc>
        <w:tc>
          <w:tcPr>
            <w:tcW w:w="197" w:type="dxa"/>
            <w:tcBorders/>
            <w:shd w:fill="CCEEFF" w:val="clear"/>
            <w:vAlign w:val="center"/>
          </w:tcPr>
          <w:p>
            <w:pPr>
              <w:pStyle w:val="TableContents"/>
              <w:spacing w:before="0" w:after="283"/>
              <w:rPr/>
            </w:pPr>
            <w:r>
              <w:rPr/>
              <w:t> </w:t>
            </w:r>
          </w:p>
        </w:tc>
        <w:tc>
          <w:tcPr>
            <w:tcW w:w="127" w:type="dxa"/>
            <w:tcBorders/>
            <w:shd w:fill="CCEEFF" w:val="clear"/>
            <w:vAlign w:val="bottom"/>
          </w:tcPr>
          <w:p>
            <w:pPr>
              <w:pStyle w:val="TableContents"/>
              <w:spacing w:lineRule="auto" w:line="300" w:before="0" w:after="0"/>
              <w:ind w:left="0" w:right="0" w:hanging="0"/>
              <w:jc w:val="left"/>
              <w:rPr>
                <w:rFonts w:ascii="Times New Roman" w:hAnsi="Times New Roman"/>
                <w:sz w:val="20"/>
              </w:rPr>
            </w:pPr>
            <w:bookmarkStart w:id="4012" w:name="TAB11879"/>
            <w:bookmarkEnd w:id="4012"/>
            <w:r>
              <w:rPr>
                <w:rFonts w:ascii="Times New Roman" w:hAnsi="Times New Roman"/>
                <w:sz w:val="20"/>
              </w:rPr>
              <w:t>$</w:t>
            </w:r>
          </w:p>
        </w:tc>
        <w:tc>
          <w:tcPr>
            <w:tcW w:w="1168" w:type="dxa"/>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4013" w:name="TAB11880"/>
            <w:bookmarkEnd w:id="4013"/>
            <w:r>
              <w:rPr>
                <w:rFonts w:ascii="Times New Roman" w:hAnsi="Times New Roman"/>
                <w:sz w:val="20"/>
              </w:rPr>
              <w:t>25,230</w:t>
            </w:r>
          </w:p>
        </w:tc>
        <w:tc>
          <w:tcPr>
            <w:tcW w:w="203" w:type="dxa"/>
            <w:tcBorders/>
            <w:shd w:fill="CCEEFF" w:val="clear"/>
            <w:vAlign w:val="bottom"/>
          </w:tcPr>
          <w:p>
            <w:pPr>
              <w:pStyle w:val="TableContents"/>
              <w:spacing w:before="0" w:after="283"/>
              <w:jc w:val="left"/>
              <w:rPr/>
            </w:pPr>
            <w:r>
              <w:rPr/>
              <w:t> </w:t>
            </w:r>
          </w:p>
        </w:tc>
        <w:tc>
          <w:tcPr>
            <w:tcW w:w="127" w:type="dxa"/>
            <w:tcBorders/>
            <w:shd w:fill="CCEEFF" w:val="clear"/>
            <w:vAlign w:val="bottom"/>
          </w:tcPr>
          <w:p>
            <w:pPr>
              <w:pStyle w:val="TableContents"/>
              <w:spacing w:lineRule="auto" w:line="300" w:before="0" w:after="0"/>
              <w:ind w:left="0" w:right="0" w:hanging="0"/>
              <w:jc w:val="left"/>
              <w:rPr>
                <w:rFonts w:ascii="Times New Roman" w:hAnsi="Times New Roman"/>
                <w:sz w:val="20"/>
              </w:rPr>
            </w:pPr>
            <w:bookmarkStart w:id="4014" w:name="TAB11881"/>
            <w:bookmarkEnd w:id="4014"/>
            <w:r>
              <w:rPr>
                <w:rFonts w:ascii="Times New Roman" w:hAnsi="Times New Roman"/>
                <w:sz w:val="20"/>
              </w:rPr>
              <w:t>$</w:t>
            </w:r>
          </w:p>
        </w:tc>
        <w:tc>
          <w:tcPr>
            <w:tcW w:w="1168" w:type="dxa"/>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4015" w:name="TAB11882"/>
            <w:bookmarkEnd w:id="4015"/>
            <w:r>
              <w:rPr>
                <w:rFonts w:ascii="Times New Roman" w:hAnsi="Times New Roman"/>
                <w:sz w:val="20"/>
              </w:rPr>
              <w:t>27,247</w:t>
            </w:r>
          </w:p>
        </w:tc>
        <w:tc>
          <w:tcPr>
            <w:tcW w:w="203" w:type="dxa"/>
            <w:tcBorders/>
            <w:shd w:fill="CCEEFF" w:val="clear"/>
            <w:vAlign w:val="bottom"/>
          </w:tcPr>
          <w:p>
            <w:pPr>
              <w:pStyle w:val="TableContents"/>
              <w:spacing w:before="0" w:after="283"/>
              <w:jc w:val="left"/>
              <w:rPr/>
            </w:pPr>
            <w:r>
              <w:rPr/>
              <w:t> </w:t>
            </w:r>
          </w:p>
        </w:tc>
        <w:tc>
          <w:tcPr>
            <w:tcW w:w="127" w:type="dxa"/>
            <w:tcBorders/>
            <w:shd w:fill="CCEEFF" w:val="clear"/>
            <w:vAlign w:val="bottom"/>
          </w:tcPr>
          <w:p>
            <w:pPr>
              <w:pStyle w:val="TableContents"/>
              <w:spacing w:lineRule="auto" w:line="300" w:before="0" w:after="0"/>
              <w:ind w:left="0" w:right="0" w:hanging="0"/>
              <w:jc w:val="left"/>
              <w:rPr>
                <w:rFonts w:ascii="Times New Roman" w:hAnsi="Times New Roman"/>
                <w:sz w:val="20"/>
              </w:rPr>
            </w:pPr>
            <w:bookmarkStart w:id="4016" w:name="TAB11883"/>
            <w:bookmarkEnd w:id="4016"/>
            <w:r>
              <w:rPr>
                <w:rFonts w:ascii="Times New Roman" w:hAnsi="Times New Roman"/>
                <w:sz w:val="20"/>
              </w:rPr>
              <w:t>$</w:t>
            </w:r>
          </w:p>
        </w:tc>
        <w:tc>
          <w:tcPr>
            <w:tcW w:w="1168" w:type="dxa"/>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4017" w:name="TAB11884"/>
            <w:bookmarkEnd w:id="4017"/>
            <w:r>
              <w:rPr>
                <w:rFonts w:ascii="Times New Roman" w:hAnsi="Times New Roman"/>
                <w:sz w:val="20"/>
              </w:rPr>
              <w:t>24,319</w:t>
            </w:r>
          </w:p>
        </w:tc>
        <w:tc>
          <w:tcPr>
            <w:tcW w:w="202" w:type="dxa"/>
            <w:tcBorders/>
            <w:shd w:fill="CCEEFF" w:val="clear"/>
            <w:vAlign w:val="bottom"/>
          </w:tcPr>
          <w:p>
            <w:pPr>
              <w:pStyle w:val="TableContents"/>
              <w:spacing w:before="0" w:after="283"/>
              <w:jc w:val="left"/>
              <w:rPr/>
            </w:pPr>
            <w:r>
              <w:rPr/>
              <w:t> </w:t>
            </w:r>
          </w:p>
        </w:tc>
        <w:tc>
          <w:tcPr>
            <w:tcW w:w="127" w:type="dxa"/>
            <w:tcBorders/>
            <w:shd w:fill="CCEEFF" w:val="clear"/>
            <w:vAlign w:val="bottom"/>
          </w:tcPr>
          <w:p>
            <w:pPr>
              <w:pStyle w:val="TableContents"/>
              <w:spacing w:lineRule="auto" w:line="300" w:before="0" w:after="0"/>
              <w:ind w:left="0" w:right="0" w:hanging="0"/>
              <w:jc w:val="left"/>
              <w:rPr>
                <w:rFonts w:ascii="Times New Roman" w:hAnsi="Times New Roman"/>
                <w:sz w:val="20"/>
              </w:rPr>
            </w:pPr>
            <w:bookmarkStart w:id="4018" w:name="TAB11885"/>
            <w:bookmarkEnd w:id="4018"/>
            <w:r>
              <w:rPr>
                <w:rFonts w:ascii="Times New Roman" w:hAnsi="Times New Roman"/>
                <w:sz w:val="20"/>
              </w:rPr>
              <w:t>$</w:t>
            </w:r>
          </w:p>
        </w:tc>
        <w:tc>
          <w:tcPr>
            <w:tcW w:w="1168" w:type="dxa"/>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4019" w:name="TAB11886"/>
            <w:bookmarkEnd w:id="4019"/>
            <w:r>
              <w:rPr>
                <w:rFonts w:ascii="Times New Roman" w:hAnsi="Times New Roman"/>
                <w:sz w:val="20"/>
              </w:rPr>
              <w:t>29,329</w:t>
            </w:r>
          </w:p>
        </w:tc>
        <w:tc>
          <w:tcPr>
            <w:tcW w:w="125" w:type="dxa"/>
            <w:tcBorders/>
            <w:shd w:fill="CCEEFF" w:val="clear"/>
            <w:vAlign w:val="bottom"/>
          </w:tcPr>
          <w:p>
            <w:pPr>
              <w:pStyle w:val="TableContents"/>
              <w:spacing w:before="0" w:after="283"/>
              <w:jc w:val="left"/>
              <w:rPr/>
            </w:pPr>
            <w:r>
              <w:rPr/>
              <w:t> </w:t>
            </w:r>
          </w:p>
        </w:tc>
      </w:tr>
      <w:tr>
        <w:trPr/>
        <w:tc>
          <w:tcPr>
            <w:tcW w:w="4095" w:type="dxa"/>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Net earnings (loss)</w:t>
            </w:r>
          </w:p>
        </w:tc>
        <w:tc>
          <w:tcPr>
            <w:tcW w:w="197" w:type="dxa"/>
            <w:tcBorders/>
            <w:shd w:fill="FFFFFF" w:val="clear"/>
            <w:vAlign w:val="center"/>
          </w:tcPr>
          <w:p>
            <w:pPr>
              <w:pStyle w:val="TableContents"/>
              <w:spacing w:before="0" w:after="283"/>
              <w:rPr/>
            </w:pPr>
            <w:r>
              <w:rPr/>
              <w:t> </w:t>
            </w:r>
          </w:p>
        </w:tc>
        <w:tc>
          <w:tcPr>
            <w:tcW w:w="127" w:type="dxa"/>
            <w:tcBorders/>
            <w:shd w:fill="FFFFFF" w:val="clear"/>
            <w:vAlign w:val="bottom"/>
          </w:tcPr>
          <w:p>
            <w:pPr>
              <w:pStyle w:val="TableContents"/>
              <w:spacing w:lineRule="auto" w:line="300" w:before="0" w:after="0"/>
              <w:ind w:left="0" w:right="0" w:hanging="0"/>
              <w:jc w:val="left"/>
              <w:rPr>
                <w:rFonts w:ascii="Times New Roman" w:hAnsi="Times New Roman"/>
                <w:sz w:val="20"/>
              </w:rPr>
            </w:pPr>
            <w:bookmarkStart w:id="4020" w:name="TAB11887"/>
            <w:bookmarkEnd w:id="4020"/>
            <w:r>
              <w:rPr>
                <w:rFonts w:ascii="Times New Roman" w:hAnsi="Times New Roman"/>
                <w:sz w:val="20"/>
              </w:rPr>
              <w:t>$</w:t>
            </w:r>
          </w:p>
        </w:tc>
        <w:tc>
          <w:tcPr>
            <w:tcW w:w="1168" w:type="dxa"/>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4021" w:name="TAB11888"/>
            <w:bookmarkEnd w:id="4021"/>
            <w:r>
              <w:rPr>
                <w:rFonts w:ascii="Times New Roman" w:hAnsi="Times New Roman"/>
                <w:sz w:val="20"/>
              </w:rPr>
              <w:t>(3,147</w:t>
            </w:r>
          </w:p>
        </w:tc>
        <w:tc>
          <w:tcPr>
            <w:tcW w:w="203" w:type="dxa"/>
            <w:tcBorders/>
            <w:shd w:fill="FFFFFF" w:val="clear"/>
            <w:vAlign w:val="bottom"/>
          </w:tcPr>
          <w:p>
            <w:pPr>
              <w:pStyle w:val="TableContents"/>
              <w:spacing w:lineRule="auto" w:line="300" w:before="0" w:after="0"/>
              <w:ind w:left="0" w:right="0" w:hanging="0"/>
              <w:jc w:val="left"/>
              <w:rPr>
                <w:rFonts w:ascii="Times New Roman" w:hAnsi="Times New Roman"/>
                <w:sz w:val="20"/>
              </w:rPr>
            </w:pPr>
            <w:bookmarkStart w:id="4022" w:name="TAB11889"/>
            <w:bookmarkEnd w:id="4022"/>
            <w:r>
              <w:rPr>
                <w:rFonts w:ascii="Times New Roman" w:hAnsi="Times New Roman"/>
                <w:sz w:val="20"/>
              </w:rPr>
              <w:t>)</w:t>
            </w:r>
          </w:p>
        </w:tc>
        <w:tc>
          <w:tcPr>
            <w:tcW w:w="127" w:type="dxa"/>
            <w:tcBorders/>
            <w:shd w:fill="FFFFFF" w:val="clear"/>
            <w:vAlign w:val="bottom"/>
          </w:tcPr>
          <w:p>
            <w:pPr>
              <w:pStyle w:val="TableContents"/>
              <w:spacing w:lineRule="auto" w:line="300" w:before="0" w:after="0"/>
              <w:ind w:left="0" w:right="0" w:hanging="0"/>
              <w:jc w:val="left"/>
              <w:rPr>
                <w:rFonts w:ascii="Times New Roman" w:hAnsi="Times New Roman"/>
                <w:sz w:val="20"/>
              </w:rPr>
            </w:pPr>
            <w:bookmarkStart w:id="4023" w:name="TAB11890"/>
            <w:bookmarkEnd w:id="4023"/>
            <w:r>
              <w:rPr>
                <w:rFonts w:ascii="Times New Roman" w:hAnsi="Times New Roman"/>
                <w:sz w:val="20"/>
              </w:rPr>
              <w:t>$</w:t>
            </w:r>
          </w:p>
        </w:tc>
        <w:tc>
          <w:tcPr>
            <w:tcW w:w="1168" w:type="dxa"/>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4024" w:name="TAB11891"/>
            <w:bookmarkEnd w:id="4024"/>
            <w:r>
              <w:rPr>
                <w:rFonts w:ascii="Times New Roman" w:hAnsi="Times New Roman"/>
                <w:sz w:val="20"/>
              </w:rPr>
              <w:t>(234</w:t>
            </w:r>
          </w:p>
        </w:tc>
        <w:tc>
          <w:tcPr>
            <w:tcW w:w="203" w:type="dxa"/>
            <w:tcBorders/>
            <w:shd w:fill="FFFFFF" w:val="clear"/>
            <w:vAlign w:val="bottom"/>
          </w:tcPr>
          <w:p>
            <w:pPr>
              <w:pStyle w:val="TableContents"/>
              <w:spacing w:lineRule="auto" w:line="300" w:before="0" w:after="0"/>
              <w:ind w:left="0" w:right="0" w:hanging="0"/>
              <w:jc w:val="left"/>
              <w:rPr>
                <w:rFonts w:ascii="Times New Roman" w:hAnsi="Times New Roman"/>
                <w:sz w:val="20"/>
              </w:rPr>
            </w:pPr>
            <w:bookmarkStart w:id="4025" w:name="TAB11892"/>
            <w:bookmarkEnd w:id="4025"/>
            <w:r>
              <w:rPr>
                <w:rFonts w:ascii="Times New Roman" w:hAnsi="Times New Roman"/>
                <w:sz w:val="20"/>
              </w:rPr>
              <w:t>)</w:t>
            </w:r>
          </w:p>
        </w:tc>
        <w:tc>
          <w:tcPr>
            <w:tcW w:w="127" w:type="dxa"/>
            <w:tcBorders/>
            <w:shd w:fill="FFFFFF" w:val="clear"/>
            <w:vAlign w:val="bottom"/>
          </w:tcPr>
          <w:p>
            <w:pPr>
              <w:pStyle w:val="TableContents"/>
              <w:spacing w:lineRule="auto" w:line="300" w:before="0" w:after="0"/>
              <w:ind w:left="0" w:right="0" w:hanging="0"/>
              <w:jc w:val="left"/>
              <w:rPr>
                <w:rFonts w:ascii="Times New Roman" w:hAnsi="Times New Roman"/>
                <w:sz w:val="20"/>
              </w:rPr>
            </w:pPr>
            <w:bookmarkStart w:id="4026" w:name="TAB11893"/>
            <w:bookmarkEnd w:id="4026"/>
            <w:r>
              <w:rPr>
                <w:rFonts w:ascii="Times New Roman" w:hAnsi="Times New Roman"/>
                <w:sz w:val="20"/>
              </w:rPr>
              <w:t>$</w:t>
            </w:r>
          </w:p>
        </w:tc>
        <w:tc>
          <w:tcPr>
            <w:tcW w:w="1168" w:type="dxa"/>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4027" w:name="TAB11894"/>
            <w:bookmarkEnd w:id="4027"/>
            <w:r>
              <w:rPr>
                <w:rFonts w:ascii="Times New Roman" w:hAnsi="Times New Roman"/>
                <w:sz w:val="20"/>
              </w:rPr>
              <w:t>6,093</w:t>
            </w:r>
          </w:p>
        </w:tc>
        <w:tc>
          <w:tcPr>
            <w:tcW w:w="202" w:type="dxa"/>
            <w:tcBorders/>
            <w:shd w:fill="FFFFFF" w:val="clear"/>
            <w:vAlign w:val="bottom"/>
          </w:tcPr>
          <w:p>
            <w:pPr>
              <w:pStyle w:val="TableContents"/>
              <w:spacing w:before="0" w:after="283"/>
              <w:jc w:val="left"/>
              <w:rPr/>
            </w:pPr>
            <w:r>
              <w:rPr/>
              <w:t> </w:t>
            </w:r>
          </w:p>
        </w:tc>
        <w:tc>
          <w:tcPr>
            <w:tcW w:w="127" w:type="dxa"/>
            <w:tcBorders/>
            <w:shd w:fill="FFFFFF" w:val="clear"/>
            <w:vAlign w:val="bottom"/>
          </w:tcPr>
          <w:p>
            <w:pPr>
              <w:pStyle w:val="TableContents"/>
              <w:spacing w:lineRule="auto" w:line="300" w:before="0" w:after="0"/>
              <w:ind w:left="0" w:right="0" w:hanging="0"/>
              <w:jc w:val="left"/>
              <w:rPr>
                <w:rFonts w:ascii="Times New Roman" w:hAnsi="Times New Roman"/>
                <w:sz w:val="20"/>
              </w:rPr>
            </w:pPr>
            <w:bookmarkStart w:id="4028" w:name="TAB11895"/>
            <w:bookmarkEnd w:id="4028"/>
            <w:r>
              <w:rPr>
                <w:rFonts w:ascii="Times New Roman" w:hAnsi="Times New Roman"/>
                <w:sz w:val="20"/>
              </w:rPr>
              <w:t>$</w:t>
            </w:r>
          </w:p>
        </w:tc>
        <w:tc>
          <w:tcPr>
            <w:tcW w:w="1168" w:type="dxa"/>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4029" w:name="TAB11896"/>
            <w:bookmarkEnd w:id="4029"/>
            <w:r>
              <w:rPr>
                <w:rFonts w:ascii="Times New Roman" w:hAnsi="Times New Roman"/>
                <w:sz w:val="20"/>
              </w:rPr>
              <w:t>1,144</w:t>
            </w:r>
          </w:p>
        </w:tc>
        <w:tc>
          <w:tcPr>
            <w:tcW w:w="125" w:type="dxa"/>
            <w:tcBorders/>
            <w:shd w:fill="FFFFFF" w:val="clear"/>
            <w:vAlign w:val="bottom"/>
          </w:tcPr>
          <w:p>
            <w:pPr>
              <w:pStyle w:val="TableContents"/>
              <w:spacing w:before="0" w:after="283"/>
              <w:jc w:val="left"/>
              <w:rPr/>
            </w:pPr>
            <w:r>
              <w:rPr/>
              <w:t> </w:t>
            </w:r>
          </w:p>
        </w:tc>
      </w:tr>
      <w:tr>
        <w:trPr/>
        <w:tc>
          <w:tcPr>
            <w:tcW w:w="4095" w:type="dxa"/>
            <w:tcBorders/>
            <w:shd w:fill="CCEEFF" w:val="clear"/>
            <w:vAlign w:val="bottom"/>
          </w:tcPr>
          <w:p>
            <w:pPr>
              <w:pStyle w:val="TableContents"/>
              <w:spacing w:lineRule="auto" w:line="300" w:before="0" w:after="0"/>
              <w:ind w:left="360" w:right="0" w:hanging="360"/>
              <w:jc w:val="left"/>
              <w:rPr>
                <w:rFonts w:ascii="Times New Roman" w:hAnsi="Times New Roman"/>
                <w:sz w:val="20"/>
              </w:rPr>
            </w:pPr>
            <w:r>
              <w:rPr>
                <w:rFonts w:ascii="Times New Roman" w:hAnsi="Times New Roman"/>
                <w:sz w:val="20"/>
              </w:rPr>
              <w:t>Basic earnings (loss)</w:t>
            </w:r>
          </w:p>
        </w:tc>
        <w:tc>
          <w:tcPr>
            <w:tcW w:w="197" w:type="dxa"/>
            <w:tcBorders/>
            <w:shd w:fill="CCEEFF" w:val="clear"/>
            <w:vAlign w:val="center"/>
          </w:tcPr>
          <w:p>
            <w:pPr>
              <w:pStyle w:val="TableContents"/>
              <w:spacing w:before="0" w:after="283"/>
              <w:rPr/>
            </w:pPr>
            <w:r>
              <w:rPr/>
              <w:t> </w:t>
            </w:r>
          </w:p>
        </w:tc>
        <w:tc>
          <w:tcPr>
            <w:tcW w:w="127" w:type="dxa"/>
            <w:tcBorders/>
            <w:shd w:fill="CCEEFF" w:val="clear"/>
            <w:vAlign w:val="bottom"/>
          </w:tcPr>
          <w:p>
            <w:pPr>
              <w:pStyle w:val="TableContents"/>
              <w:spacing w:lineRule="auto" w:line="300" w:before="0" w:after="0"/>
              <w:ind w:left="0" w:right="0" w:hanging="0"/>
              <w:jc w:val="left"/>
              <w:rPr>
                <w:rFonts w:ascii="Times New Roman" w:hAnsi="Times New Roman"/>
                <w:sz w:val="20"/>
              </w:rPr>
            </w:pPr>
            <w:bookmarkStart w:id="4030" w:name="TAB11897"/>
            <w:bookmarkEnd w:id="4030"/>
            <w:r>
              <w:rPr>
                <w:rFonts w:ascii="Times New Roman" w:hAnsi="Times New Roman"/>
                <w:sz w:val="20"/>
              </w:rPr>
              <w:t>$</w:t>
            </w:r>
          </w:p>
        </w:tc>
        <w:tc>
          <w:tcPr>
            <w:tcW w:w="1168" w:type="dxa"/>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4031" w:name="TAB11898"/>
            <w:bookmarkEnd w:id="4031"/>
            <w:r>
              <w:rPr>
                <w:rFonts w:ascii="Times New Roman" w:hAnsi="Times New Roman"/>
                <w:sz w:val="20"/>
              </w:rPr>
              <w:t>(0.14</w:t>
            </w:r>
          </w:p>
        </w:tc>
        <w:tc>
          <w:tcPr>
            <w:tcW w:w="203" w:type="dxa"/>
            <w:tcBorders/>
            <w:shd w:fill="CCEEFF" w:val="clear"/>
            <w:vAlign w:val="bottom"/>
          </w:tcPr>
          <w:p>
            <w:pPr>
              <w:pStyle w:val="TableContents"/>
              <w:spacing w:lineRule="auto" w:line="300" w:before="0" w:after="0"/>
              <w:ind w:left="0" w:right="0" w:hanging="0"/>
              <w:jc w:val="left"/>
              <w:rPr>
                <w:rFonts w:ascii="Times New Roman" w:hAnsi="Times New Roman"/>
                <w:sz w:val="20"/>
              </w:rPr>
            </w:pPr>
            <w:bookmarkStart w:id="4032" w:name="TAB11899"/>
            <w:bookmarkEnd w:id="4032"/>
            <w:r>
              <w:rPr>
                <w:rFonts w:ascii="Times New Roman" w:hAnsi="Times New Roman"/>
                <w:sz w:val="20"/>
              </w:rPr>
              <w:t>)</w:t>
            </w:r>
          </w:p>
        </w:tc>
        <w:tc>
          <w:tcPr>
            <w:tcW w:w="127" w:type="dxa"/>
            <w:tcBorders/>
            <w:shd w:fill="CCEEFF" w:val="clear"/>
            <w:vAlign w:val="bottom"/>
          </w:tcPr>
          <w:p>
            <w:pPr>
              <w:pStyle w:val="TableContents"/>
              <w:spacing w:lineRule="auto" w:line="300" w:before="0" w:after="0"/>
              <w:ind w:left="0" w:right="0" w:hanging="0"/>
              <w:jc w:val="left"/>
              <w:rPr>
                <w:rFonts w:ascii="Times New Roman" w:hAnsi="Times New Roman"/>
                <w:sz w:val="20"/>
              </w:rPr>
            </w:pPr>
            <w:bookmarkStart w:id="4033" w:name="TAB11900"/>
            <w:bookmarkEnd w:id="4033"/>
            <w:r>
              <w:rPr>
                <w:rFonts w:ascii="Times New Roman" w:hAnsi="Times New Roman"/>
                <w:sz w:val="20"/>
              </w:rPr>
              <w:t>$</w:t>
            </w:r>
          </w:p>
        </w:tc>
        <w:tc>
          <w:tcPr>
            <w:tcW w:w="1168" w:type="dxa"/>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4034" w:name="TAB11901"/>
            <w:bookmarkEnd w:id="4034"/>
            <w:r>
              <w:rPr>
                <w:rFonts w:ascii="Times New Roman" w:hAnsi="Times New Roman"/>
                <w:sz w:val="20"/>
              </w:rPr>
              <w:t>(0.01</w:t>
            </w:r>
          </w:p>
        </w:tc>
        <w:tc>
          <w:tcPr>
            <w:tcW w:w="203" w:type="dxa"/>
            <w:tcBorders/>
            <w:shd w:fill="CCEEFF" w:val="clear"/>
            <w:vAlign w:val="bottom"/>
          </w:tcPr>
          <w:p>
            <w:pPr>
              <w:pStyle w:val="TableContents"/>
              <w:spacing w:lineRule="auto" w:line="300" w:before="0" w:after="0"/>
              <w:ind w:left="0" w:right="0" w:hanging="0"/>
              <w:jc w:val="left"/>
              <w:rPr>
                <w:rFonts w:ascii="Times New Roman" w:hAnsi="Times New Roman"/>
                <w:sz w:val="20"/>
              </w:rPr>
            </w:pPr>
            <w:bookmarkStart w:id="4035" w:name="TAB11902"/>
            <w:bookmarkEnd w:id="4035"/>
            <w:r>
              <w:rPr>
                <w:rFonts w:ascii="Times New Roman" w:hAnsi="Times New Roman"/>
                <w:sz w:val="20"/>
              </w:rPr>
              <w:t>)</w:t>
            </w:r>
          </w:p>
        </w:tc>
        <w:tc>
          <w:tcPr>
            <w:tcW w:w="127" w:type="dxa"/>
            <w:tcBorders/>
            <w:shd w:fill="CCEEFF" w:val="clear"/>
            <w:vAlign w:val="bottom"/>
          </w:tcPr>
          <w:p>
            <w:pPr>
              <w:pStyle w:val="TableContents"/>
              <w:spacing w:lineRule="auto" w:line="300" w:before="0" w:after="0"/>
              <w:ind w:left="0" w:right="0" w:hanging="0"/>
              <w:jc w:val="left"/>
              <w:rPr>
                <w:rFonts w:ascii="Times New Roman" w:hAnsi="Times New Roman"/>
                <w:sz w:val="20"/>
              </w:rPr>
            </w:pPr>
            <w:bookmarkStart w:id="4036" w:name="TAB11903"/>
            <w:bookmarkEnd w:id="4036"/>
            <w:r>
              <w:rPr>
                <w:rFonts w:ascii="Times New Roman" w:hAnsi="Times New Roman"/>
                <w:sz w:val="20"/>
              </w:rPr>
              <w:t>$</w:t>
            </w:r>
          </w:p>
        </w:tc>
        <w:tc>
          <w:tcPr>
            <w:tcW w:w="1168" w:type="dxa"/>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4037" w:name="TAB11904"/>
            <w:bookmarkEnd w:id="4037"/>
            <w:r>
              <w:rPr>
                <w:rFonts w:ascii="Times New Roman" w:hAnsi="Times New Roman"/>
                <w:sz w:val="20"/>
              </w:rPr>
              <w:t>0.27</w:t>
            </w:r>
          </w:p>
        </w:tc>
        <w:tc>
          <w:tcPr>
            <w:tcW w:w="202" w:type="dxa"/>
            <w:tcBorders/>
            <w:shd w:fill="CCEEFF" w:val="clear"/>
            <w:vAlign w:val="bottom"/>
          </w:tcPr>
          <w:p>
            <w:pPr>
              <w:pStyle w:val="TableContents"/>
              <w:spacing w:before="0" w:after="283"/>
              <w:jc w:val="left"/>
              <w:rPr/>
            </w:pPr>
            <w:r>
              <w:rPr/>
              <w:t> </w:t>
            </w:r>
          </w:p>
        </w:tc>
        <w:tc>
          <w:tcPr>
            <w:tcW w:w="127" w:type="dxa"/>
            <w:tcBorders/>
            <w:shd w:fill="CCEEFF" w:val="clear"/>
            <w:vAlign w:val="bottom"/>
          </w:tcPr>
          <w:p>
            <w:pPr>
              <w:pStyle w:val="TableContents"/>
              <w:spacing w:lineRule="auto" w:line="300" w:before="0" w:after="0"/>
              <w:ind w:left="0" w:right="0" w:hanging="0"/>
              <w:jc w:val="left"/>
              <w:rPr>
                <w:rFonts w:ascii="Times New Roman" w:hAnsi="Times New Roman"/>
                <w:sz w:val="20"/>
              </w:rPr>
            </w:pPr>
            <w:bookmarkStart w:id="4038" w:name="TAB11905"/>
            <w:bookmarkEnd w:id="4038"/>
            <w:r>
              <w:rPr>
                <w:rFonts w:ascii="Times New Roman" w:hAnsi="Times New Roman"/>
                <w:sz w:val="20"/>
              </w:rPr>
              <w:t>$</w:t>
            </w:r>
          </w:p>
        </w:tc>
        <w:tc>
          <w:tcPr>
            <w:tcW w:w="1168" w:type="dxa"/>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4039" w:name="TAB11906"/>
            <w:bookmarkEnd w:id="4039"/>
            <w:r>
              <w:rPr>
                <w:rFonts w:ascii="Times New Roman" w:hAnsi="Times New Roman"/>
                <w:sz w:val="20"/>
              </w:rPr>
              <w:t>0.05</w:t>
            </w:r>
          </w:p>
        </w:tc>
        <w:tc>
          <w:tcPr>
            <w:tcW w:w="125" w:type="dxa"/>
            <w:tcBorders/>
            <w:shd w:fill="CCEEFF" w:val="clear"/>
            <w:vAlign w:val="bottom"/>
          </w:tcPr>
          <w:p>
            <w:pPr>
              <w:pStyle w:val="TableContents"/>
              <w:spacing w:before="0" w:after="283"/>
              <w:jc w:val="left"/>
              <w:rPr/>
            </w:pPr>
            <w:r>
              <w:rPr/>
              <w:t> </w:t>
            </w:r>
          </w:p>
        </w:tc>
      </w:tr>
      <w:tr>
        <w:trPr/>
        <w:tc>
          <w:tcPr>
            <w:tcW w:w="4095" w:type="dxa"/>
            <w:tcBorders/>
            <w:shd w:fill="FFFFFF" w:val="clear"/>
            <w:vAlign w:val="bottom"/>
          </w:tcPr>
          <w:p>
            <w:pPr>
              <w:pStyle w:val="TableContents"/>
              <w:spacing w:lineRule="auto" w:line="300" w:before="0" w:after="0"/>
              <w:ind w:left="360" w:right="0" w:hanging="360"/>
              <w:jc w:val="left"/>
              <w:rPr>
                <w:rFonts w:ascii="Times New Roman" w:hAnsi="Times New Roman"/>
                <w:sz w:val="20"/>
              </w:rPr>
            </w:pPr>
            <w:r>
              <w:rPr>
                <w:rFonts w:ascii="Times New Roman" w:hAnsi="Times New Roman"/>
                <w:sz w:val="20"/>
              </w:rPr>
              <w:t>Diluted earnings (loss) per share</w:t>
            </w:r>
          </w:p>
        </w:tc>
        <w:tc>
          <w:tcPr>
            <w:tcW w:w="197" w:type="dxa"/>
            <w:tcBorders/>
            <w:shd w:fill="FFFFFF" w:val="clear"/>
            <w:vAlign w:val="center"/>
          </w:tcPr>
          <w:p>
            <w:pPr>
              <w:pStyle w:val="TableContents"/>
              <w:spacing w:before="0" w:after="283"/>
              <w:rPr/>
            </w:pPr>
            <w:r>
              <w:rPr/>
              <w:t> </w:t>
            </w:r>
          </w:p>
        </w:tc>
        <w:tc>
          <w:tcPr>
            <w:tcW w:w="127" w:type="dxa"/>
            <w:tcBorders/>
            <w:shd w:fill="FFFFFF" w:val="clear"/>
            <w:vAlign w:val="bottom"/>
          </w:tcPr>
          <w:p>
            <w:pPr>
              <w:pStyle w:val="TableContents"/>
              <w:spacing w:lineRule="auto" w:line="300" w:before="0" w:after="0"/>
              <w:ind w:left="0" w:right="0" w:hanging="0"/>
              <w:jc w:val="left"/>
              <w:rPr>
                <w:rFonts w:ascii="Times New Roman" w:hAnsi="Times New Roman"/>
                <w:sz w:val="20"/>
              </w:rPr>
            </w:pPr>
            <w:bookmarkStart w:id="4040" w:name="TAB11907"/>
            <w:bookmarkEnd w:id="4040"/>
            <w:r>
              <w:rPr>
                <w:rFonts w:ascii="Times New Roman" w:hAnsi="Times New Roman"/>
                <w:sz w:val="20"/>
              </w:rPr>
              <w:t>$</w:t>
            </w:r>
          </w:p>
        </w:tc>
        <w:tc>
          <w:tcPr>
            <w:tcW w:w="1168" w:type="dxa"/>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4041" w:name="TAB11908"/>
            <w:bookmarkEnd w:id="4041"/>
            <w:r>
              <w:rPr>
                <w:rFonts w:ascii="Times New Roman" w:hAnsi="Times New Roman"/>
                <w:sz w:val="20"/>
              </w:rPr>
              <w:t>(0.14</w:t>
            </w:r>
          </w:p>
        </w:tc>
        <w:tc>
          <w:tcPr>
            <w:tcW w:w="203" w:type="dxa"/>
            <w:tcBorders/>
            <w:shd w:fill="FFFFFF" w:val="clear"/>
            <w:vAlign w:val="bottom"/>
          </w:tcPr>
          <w:p>
            <w:pPr>
              <w:pStyle w:val="TableContents"/>
              <w:spacing w:lineRule="auto" w:line="300" w:before="0" w:after="0"/>
              <w:ind w:left="0" w:right="0" w:hanging="0"/>
              <w:jc w:val="left"/>
              <w:rPr>
                <w:rFonts w:ascii="Times New Roman" w:hAnsi="Times New Roman"/>
                <w:sz w:val="20"/>
              </w:rPr>
            </w:pPr>
            <w:bookmarkStart w:id="4042" w:name="TAB11909"/>
            <w:bookmarkEnd w:id="4042"/>
            <w:r>
              <w:rPr>
                <w:rFonts w:ascii="Times New Roman" w:hAnsi="Times New Roman"/>
                <w:sz w:val="20"/>
              </w:rPr>
              <w:t>)</w:t>
            </w:r>
          </w:p>
        </w:tc>
        <w:tc>
          <w:tcPr>
            <w:tcW w:w="127" w:type="dxa"/>
            <w:tcBorders/>
            <w:shd w:fill="FFFFFF" w:val="clear"/>
            <w:vAlign w:val="bottom"/>
          </w:tcPr>
          <w:p>
            <w:pPr>
              <w:pStyle w:val="TableContents"/>
              <w:spacing w:lineRule="auto" w:line="300" w:before="0" w:after="0"/>
              <w:ind w:left="0" w:right="0" w:hanging="0"/>
              <w:jc w:val="left"/>
              <w:rPr>
                <w:rFonts w:ascii="Times New Roman" w:hAnsi="Times New Roman"/>
                <w:sz w:val="20"/>
              </w:rPr>
            </w:pPr>
            <w:bookmarkStart w:id="4043" w:name="TAB11910"/>
            <w:bookmarkEnd w:id="4043"/>
            <w:r>
              <w:rPr>
                <w:rFonts w:ascii="Times New Roman" w:hAnsi="Times New Roman"/>
                <w:sz w:val="20"/>
              </w:rPr>
              <w:t>$</w:t>
            </w:r>
          </w:p>
        </w:tc>
        <w:tc>
          <w:tcPr>
            <w:tcW w:w="1168" w:type="dxa"/>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4044" w:name="TAB11911"/>
            <w:bookmarkEnd w:id="4044"/>
            <w:r>
              <w:rPr>
                <w:rFonts w:ascii="Times New Roman" w:hAnsi="Times New Roman"/>
                <w:sz w:val="20"/>
              </w:rPr>
              <w:t>(0.01</w:t>
            </w:r>
          </w:p>
        </w:tc>
        <w:tc>
          <w:tcPr>
            <w:tcW w:w="203" w:type="dxa"/>
            <w:tcBorders/>
            <w:shd w:fill="FFFFFF" w:val="clear"/>
            <w:vAlign w:val="bottom"/>
          </w:tcPr>
          <w:p>
            <w:pPr>
              <w:pStyle w:val="TableContents"/>
              <w:spacing w:lineRule="auto" w:line="300" w:before="0" w:after="0"/>
              <w:ind w:left="0" w:right="0" w:hanging="0"/>
              <w:jc w:val="left"/>
              <w:rPr>
                <w:rFonts w:ascii="Times New Roman" w:hAnsi="Times New Roman"/>
                <w:sz w:val="20"/>
              </w:rPr>
            </w:pPr>
            <w:bookmarkStart w:id="4045" w:name="TAB11912"/>
            <w:bookmarkEnd w:id="4045"/>
            <w:r>
              <w:rPr>
                <w:rFonts w:ascii="Times New Roman" w:hAnsi="Times New Roman"/>
                <w:sz w:val="20"/>
              </w:rPr>
              <w:t>)</w:t>
            </w:r>
          </w:p>
        </w:tc>
        <w:tc>
          <w:tcPr>
            <w:tcW w:w="127" w:type="dxa"/>
            <w:tcBorders/>
            <w:shd w:fill="FFFFFF" w:val="clear"/>
            <w:vAlign w:val="bottom"/>
          </w:tcPr>
          <w:p>
            <w:pPr>
              <w:pStyle w:val="TableContents"/>
              <w:spacing w:lineRule="auto" w:line="300" w:before="0" w:after="0"/>
              <w:ind w:left="0" w:right="0" w:hanging="0"/>
              <w:jc w:val="left"/>
              <w:rPr>
                <w:rFonts w:ascii="Times New Roman" w:hAnsi="Times New Roman"/>
                <w:sz w:val="20"/>
              </w:rPr>
            </w:pPr>
            <w:bookmarkStart w:id="4046" w:name="TAB11913"/>
            <w:bookmarkEnd w:id="4046"/>
            <w:r>
              <w:rPr>
                <w:rFonts w:ascii="Times New Roman" w:hAnsi="Times New Roman"/>
                <w:sz w:val="20"/>
              </w:rPr>
              <w:t>$</w:t>
            </w:r>
          </w:p>
        </w:tc>
        <w:tc>
          <w:tcPr>
            <w:tcW w:w="1168" w:type="dxa"/>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4047" w:name="TAB11914"/>
            <w:bookmarkEnd w:id="4047"/>
            <w:r>
              <w:rPr>
                <w:rFonts w:ascii="Times New Roman" w:hAnsi="Times New Roman"/>
                <w:sz w:val="20"/>
              </w:rPr>
              <w:t>0.27</w:t>
            </w:r>
          </w:p>
        </w:tc>
        <w:tc>
          <w:tcPr>
            <w:tcW w:w="202" w:type="dxa"/>
            <w:tcBorders/>
            <w:shd w:fill="FFFFFF" w:val="clear"/>
            <w:vAlign w:val="bottom"/>
          </w:tcPr>
          <w:p>
            <w:pPr>
              <w:pStyle w:val="TableContents"/>
              <w:spacing w:before="0" w:after="283"/>
              <w:jc w:val="left"/>
              <w:rPr/>
            </w:pPr>
            <w:r>
              <w:rPr/>
              <w:t> </w:t>
            </w:r>
          </w:p>
        </w:tc>
        <w:tc>
          <w:tcPr>
            <w:tcW w:w="127" w:type="dxa"/>
            <w:tcBorders/>
            <w:shd w:fill="FFFFFF" w:val="clear"/>
            <w:vAlign w:val="bottom"/>
          </w:tcPr>
          <w:p>
            <w:pPr>
              <w:pStyle w:val="TableContents"/>
              <w:spacing w:lineRule="auto" w:line="300" w:before="0" w:after="0"/>
              <w:ind w:left="0" w:right="0" w:hanging="0"/>
              <w:jc w:val="left"/>
              <w:rPr>
                <w:rFonts w:ascii="Times New Roman" w:hAnsi="Times New Roman"/>
                <w:sz w:val="20"/>
              </w:rPr>
            </w:pPr>
            <w:bookmarkStart w:id="4048" w:name="TAB11915"/>
            <w:bookmarkEnd w:id="4048"/>
            <w:r>
              <w:rPr>
                <w:rFonts w:ascii="Times New Roman" w:hAnsi="Times New Roman"/>
                <w:sz w:val="20"/>
              </w:rPr>
              <w:t>$</w:t>
            </w:r>
          </w:p>
        </w:tc>
        <w:tc>
          <w:tcPr>
            <w:tcW w:w="1168" w:type="dxa"/>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4049" w:name="TAB11916"/>
            <w:bookmarkEnd w:id="4049"/>
            <w:r>
              <w:rPr>
                <w:rFonts w:ascii="Times New Roman" w:hAnsi="Times New Roman"/>
                <w:sz w:val="20"/>
              </w:rPr>
              <w:t>0.05</w:t>
            </w:r>
          </w:p>
        </w:tc>
        <w:tc>
          <w:tcPr>
            <w:tcW w:w="125" w:type="dxa"/>
            <w:tcBorders/>
            <w:shd w:fill="FFFFFF" w:val="clear"/>
            <w:vAlign w:val="bottom"/>
          </w:tcPr>
          <w:p>
            <w:pPr>
              <w:pStyle w:val="TableContents"/>
              <w:spacing w:before="0" w:after="283"/>
              <w:jc w:val="left"/>
              <w:rPr/>
            </w:pPr>
            <w:r>
              <w:rPr/>
              <w:t> </w:t>
            </w:r>
          </w:p>
        </w:tc>
      </w:tr>
      <w:tr>
        <w:trPr/>
        <w:tc>
          <w:tcPr>
            <w:tcW w:w="4095" w:type="dxa"/>
            <w:tcBorders/>
            <w:shd w:fill="FFFFFF" w:val="clear"/>
            <w:vAlign w:val="bottom"/>
          </w:tcPr>
          <w:p>
            <w:pPr>
              <w:pStyle w:val="TableContents"/>
              <w:spacing w:before="0" w:after="283"/>
              <w:jc w:val="left"/>
              <w:rPr/>
            </w:pPr>
            <w:r>
              <w:rPr/>
              <w:t> </w:t>
            </w:r>
          </w:p>
        </w:tc>
        <w:tc>
          <w:tcPr>
            <w:tcW w:w="197" w:type="dxa"/>
            <w:tcBorders/>
            <w:shd w:fill="FFFFFF" w:val="clear"/>
            <w:vAlign w:val="center"/>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168" w:type="dxa"/>
            <w:tcBorders/>
            <w:shd w:fill="FFFFFF" w:val="clear"/>
            <w:vAlign w:val="bottom"/>
          </w:tcPr>
          <w:p>
            <w:pPr>
              <w:pStyle w:val="TableContents"/>
              <w:spacing w:before="0" w:after="283"/>
              <w:jc w:val="right"/>
              <w:rPr/>
            </w:pPr>
            <w:r>
              <w:rPr/>
              <w:t> </w:t>
            </w:r>
          </w:p>
        </w:tc>
        <w:tc>
          <w:tcPr>
            <w:tcW w:w="203" w:type="dxa"/>
            <w:tcBorders/>
            <w:shd w:fill="FFFFFF" w:val="clear"/>
            <w:vAlign w:val="bottom"/>
          </w:tcPr>
          <w:p>
            <w:pPr>
              <w:pStyle w:val="TableContents"/>
              <w:spacing w:before="0" w:after="283"/>
              <w:jc w:val="left"/>
              <w:rPr/>
            </w:pPr>
            <w:r>
              <w:rPr/>
              <w:t> </w:t>
            </w:r>
          </w:p>
        </w:tc>
        <w:tc>
          <w:tcPr>
            <w:tcW w:w="127" w:type="dxa"/>
            <w:tcBorders/>
            <w:shd w:fill="FFFFFF" w:val="clear"/>
            <w:vAlign w:val="bottom"/>
          </w:tcPr>
          <w:p>
            <w:pPr>
              <w:pStyle w:val="TableContents"/>
              <w:spacing w:before="0" w:after="283"/>
              <w:jc w:val="left"/>
              <w:rPr/>
            </w:pPr>
            <w:r>
              <w:rPr/>
              <w:t> </w:t>
            </w:r>
          </w:p>
        </w:tc>
        <w:tc>
          <w:tcPr>
            <w:tcW w:w="1168" w:type="dxa"/>
            <w:tcBorders/>
            <w:shd w:fill="FFFFFF" w:val="clear"/>
            <w:vAlign w:val="bottom"/>
          </w:tcPr>
          <w:p>
            <w:pPr>
              <w:pStyle w:val="TableContents"/>
              <w:spacing w:before="0" w:after="283"/>
              <w:jc w:val="right"/>
              <w:rPr/>
            </w:pPr>
            <w:r>
              <w:rPr/>
              <w:t> </w:t>
            </w:r>
          </w:p>
        </w:tc>
        <w:tc>
          <w:tcPr>
            <w:tcW w:w="203" w:type="dxa"/>
            <w:tcBorders/>
            <w:shd w:fill="FFFFFF" w:val="clear"/>
            <w:vAlign w:val="bottom"/>
          </w:tcPr>
          <w:p>
            <w:pPr>
              <w:pStyle w:val="TableContents"/>
              <w:spacing w:before="0" w:after="283"/>
              <w:jc w:val="left"/>
              <w:rPr/>
            </w:pPr>
            <w:r>
              <w:rPr/>
              <w:t> </w:t>
            </w:r>
          </w:p>
        </w:tc>
        <w:tc>
          <w:tcPr>
            <w:tcW w:w="127" w:type="dxa"/>
            <w:tcBorders/>
            <w:shd w:fill="FFFFFF" w:val="clear"/>
            <w:vAlign w:val="bottom"/>
          </w:tcPr>
          <w:p>
            <w:pPr>
              <w:pStyle w:val="TableContents"/>
              <w:spacing w:before="0" w:after="283"/>
              <w:jc w:val="left"/>
              <w:rPr/>
            </w:pPr>
            <w:r>
              <w:rPr/>
              <w:t> </w:t>
            </w:r>
          </w:p>
        </w:tc>
        <w:tc>
          <w:tcPr>
            <w:tcW w:w="1168" w:type="dxa"/>
            <w:tcBorders/>
            <w:shd w:fill="FFFFFF" w:val="clear"/>
            <w:vAlign w:val="bottom"/>
          </w:tcPr>
          <w:p>
            <w:pPr>
              <w:pStyle w:val="TableContents"/>
              <w:spacing w:before="0" w:after="283"/>
              <w:jc w:val="right"/>
              <w:rPr/>
            </w:pPr>
            <w:r>
              <w:rPr/>
              <w:t> </w:t>
            </w:r>
          </w:p>
        </w:tc>
        <w:tc>
          <w:tcPr>
            <w:tcW w:w="202" w:type="dxa"/>
            <w:tcBorders/>
            <w:shd w:fill="FFFFFF" w:val="clear"/>
            <w:vAlign w:val="bottom"/>
          </w:tcPr>
          <w:p>
            <w:pPr>
              <w:pStyle w:val="TableContents"/>
              <w:spacing w:before="0" w:after="283"/>
              <w:jc w:val="left"/>
              <w:rPr/>
            </w:pPr>
            <w:r>
              <w:rPr/>
              <w:t> </w:t>
            </w:r>
          </w:p>
        </w:tc>
        <w:tc>
          <w:tcPr>
            <w:tcW w:w="127" w:type="dxa"/>
            <w:tcBorders/>
            <w:shd w:fill="FFFFFF" w:val="clear"/>
            <w:vAlign w:val="bottom"/>
          </w:tcPr>
          <w:p>
            <w:pPr>
              <w:pStyle w:val="TableContents"/>
              <w:spacing w:before="0" w:after="283"/>
              <w:jc w:val="left"/>
              <w:rPr/>
            </w:pPr>
            <w:r>
              <w:rPr/>
              <w:t> </w:t>
            </w:r>
          </w:p>
        </w:tc>
        <w:tc>
          <w:tcPr>
            <w:tcW w:w="1168"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r>
      <w:tr>
        <w:trPr/>
        <w:tc>
          <w:tcPr>
            <w:tcW w:w="4095" w:type="dxa"/>
            <w:tcBorders>
              <w:bottom w:val="double" w:sz="2" w:space="0" w:color="000000"/>
            </w:tcBorders>
            <w:shd w:fill="FFFFFF" w:val="clear"/>
            <w:tcMar>
              <w:bottom w:w="28" w:type="dxa"/>
            </w:tcMar>
            <w:vAlign w:val="bottom"/>
          </w:tcPr>
          <w:p>
            <w:pPr>
              <w:pStyle w:val="TableContents"/>
              <w:spacing w:lineRule="auto" w:line="300" w:before="0" w:after="0"/>
              <w:ind w:left="360" w:right="0" w:hanging="360"/>
              <w:jc w:val="left"/>
              <w:rPr/>
            </w:pPr>
            <w:r>
              <w:rPr>
                <w:rStyle w:val="StrongEmphasis"/>
                <w:rFonts w:ascii="Times New Roman" w:hAnsi="Times New Roman"/>
                <w:sz w:val="20"/>
              </w:rPr>
              <w:t>2005</w:t>
            </w:r>
          </w:p>
        </w:tc>
        <w:tc>
          <w:tcPr>
            <w:tcW w:w="197" w:type="dxa"/>
            <w:tcBorders>
              <w:bottom w:val="single" w:sz="4" w:space="0" w:color="FFFFFF"/>
            </w:tcBorders>
            <w:shd w:fill="FFFFFF" w:val="clear"/>
            <w:tcMar>
              <w:bottom w:w="28" w:type="dxa"/>
            </w:tcMar>
            <w:vAlign w:val="center"/>
          </w:tcPr>
          <w:p>
            <w:pPr>
              <w:pStyle w:val="TableContents"/>
              <w:spacing w:before="0" w:after="283"/>
              <w:rPr/>
            </w:pPr>
            <w:r>
              <w:rPr/>
              <w:t> </w:t>
            </w:r>
          </w:p>
        </w:tc>
        <w:tc>
          <w:tcPr>
            <w:tcW w:w="127" w:type="dxa"/>
            <w:tcBorders>
              <w:bottom w:val="double" w:sz="2" w:space="0" w:color="000000"/>
            </w:tcBorders>
            <w:shd w:fill="FFFFFF" w:val="clear"/>
            <w:tcMar>
              <w:bottom w:w="28" w:type="dxa"/>
            </w:tcMar>
            <w:vAlign w:val="bottom"/>
          </w:tcPr>
          <w:p>
            <w:pPr>
              <w:pStyle w:val="TableContents"/>
              <w:spacing w:before="0" w:after="283"/>
              <w:jc w:val="left"/>
              <w:rPr/>
            </w:pPr>
            <w:r>
              <w:rPr/>
              <w:t> </w:t>
            </w:r>
          </w:p>
        </w:tc>
        <w:tc>
          <w:tcPr>
            <w:tcW w:w="1168" w:type="dxa"/>
            <w:tcBorders>
              <w:bottom w:val="double" w:sz="2" w:space="0" w:color="000000"/>
            </w:tcBorders>
            <w:shd w:fill="FFFFFF" w:val="clear"/>
            <w:tcMar>
              <w:bottom w:w="28" w:type="dxa"/>
            </w:tcMar>
            <w:vAlign w:val="bottom"/>
          </w:tcPr>
          <w:p>
            <w:pPr>
              <w:pStyle w:val="TableContents"/>
              <w:spacing w:before="0" w:after="283"/>
              <w:jc w:val="right"/>
              <w:rPr/>
            </w:pPr>
            <w:r>
              <w:rPr/>
              <w:t> </w:t>
            </w:r>
          </w:p>
        </w:tc>
        <w:tc>
          <w:tcPr>
            <w:tcW w:w="203" w:type="dxa"/>
            <w:tcBorders>
              <w:bottom w:val="single" w:sz="4" w:space="0" w:color="FFFFFF"/>
            </w:tcBorders>
            <w:shd w:fill="FFFFFF" w:val="clear"/>
            <w:tcMar>
              <w:bottom w:w="28" w:type="dxa"/>
            </w:tcMar>
            <w:vAlign w:val="bottom"/>
          </w:tcPr>
          <w:p>
            <w:pPr>
              <w:pStyle w:val="TableContents"/>
              <w:spacing w:before="0" w:after="283"/>
              <w:jc w:val="left"/>
              <w:rPr/>
            </w:pPr>
            <w:r>
              <w:rPr/>
              <w:t> </w:t>
            </w:r>
          </w:p>
        </w:tc>
        <w:tc>
          <w:tcPr>
            <w:tcW w:w="127" w:type="dxa"/>
            <w:tcBorders>
              <w:bottom w:val="double" w:sz="2" w:space="0" w:color="000000"/>
            </w:tcBorders>
            <w:shd w:fill="FFFFFF" w:val="clear"/>
            <w:tcMar>
              <w:bottom w:w="28" w:type="dxa"/>
            </w:tcMar>
            <w:vAlign w:val="bottom"/>
          </w:tcPr>
          <w:p>
            <w:pPr>
              <w:pStyle w:val="TableContents"/>
              <w:spacing w:before="0" w:after="283"/>
              <w:jc w:val="left"/>
              <w:rPr/>
            </w:pPr>
            <w:r>
              <w:rPr/>
              <w:t> </w:t>
            </w:r>
          </w:p>
        </w:tc>
        <w:tc>
          <w:tcPr>
            <w:tcW w:w="1168" w:type="dxa"/>
            <w:tcBorders>
              <w:bottom w:val="double" w:sz="2" w:space="0" w:color="000000"/>
            </w:tcBorders>
            <w:shd w:fill="FFFFFF" w:val="clear"/>
            <w:tcMar>
              <w:bottom w:w="28" w:type="dxa"/>
            </w:tcMar>
            <w:vAlign w:val="bottom"/>
          </w:tcPr>
          <w:p>
            <w:pPr>
              <w:pStyle w:val="TableContents"/>
              <w:spacing w:before="0" w:after="283"/>
              <w:jc w:val="right"/>
              <w:rPr/>
            </w:pPr>
            <w:r>
              <w:rPr/>
              <w:t> </w:t>
            </w:r>
          </w:p>
        </w:tc>
        <w:tc>
          <w:tcPr>
            <w:tcW w:w="203" w:type="dxa"/>
            <w:tcBorders>
              <w:bottom w:val="single" w:sz="4" w:space="0" w:color="FFFFFF"/>
            </w:tcBorders>
            <w:shd w:fill="FFFFFF" w:val="clear"/>
            <w:tcMar>
              <w:bottom w:w="28" w:type="dxa"/>
            </w:tcMar>
            <w:vAlign w:val="bottom"/>
          </w:tcPr>
          <w:p>
            <w:pPr>
              <w:pStyle w:val="TableContents"/>
              <w:spacing w:before="0" w:after="283"/>
              <w:jc w:val="left"/>
              <w:rPr/>
            </w:pPr>
            <w:r>
              <w:rPr/>
              <w:t> </w:t>
            </w:r>
          </w:p>
        </w:tc>
        <w:tc>
          <w:tcPr>
            <w:tcW w:w="127" w:type="dxa"/>
            <w:tcBorders>
              <w:bottom w:val="double" w:sz="2" w:space="0" w:color="000000"/>
            </w:tcBorders>
            <w:shd w:fill="FFFFFF" w:val="clear"/>
            <w:tcMar>
              <w:bottom w:w="28" w:type="dxa"/>
            </w:tcMar>
            <w:vAlign w:val="bottom"/>
          </w:tcPr>
          <w:p>
            <w:pPr>
              <w:pStyle w:val="TableContents"/>
              <w:spacing w:before="0" w:after="283"/>
              <w:jc w:val="left"/>
              <w:rPr/>
            </w:pPr>
            <w:r>
              <w:rPr/>
              <w:t> </w:t>
            </w:r>
          </w:p>
        </w:tc>
        <w:tc>
          <w:tcPr>
            <w:tcW w:w="1168" w:type="dxa"/>
            <w:tcBorders>
              <w:bottom w:val="double" w:sz="2" w:space="0" w:color="000000"/>
            </w:tcBorders>
            <w:shd w:fill="FFFFFF" w:val="clear"/>
            <w:tcMar>
              <w:bottom w:w="28" w:type="dxa"/>
            </w:tcMar>
            <w:vAlign w:val="bottom"/>
          </w:tcPr>
          <w:p>
            <w:pPr>
              <w:pStyle w:val="TableContents"/>
              <w:spacing w:before="0" w:after="283"/>
              <w:jc w:val="right"/>
              <w:rPr/>
            </w:pPr>
            <w:r>
              <w:rPr/>
              <w:t> </w:t>
            </w:r>
          </w:p>
        </w:tc>
        <w:tc>
          <w:tcPr>
            <w:tcW w:w="202" w:type="dxa"/>
            <w:tcBorders>
              <w:bottom w:val="single" w:sz="4" w:space="0" w:color="FFFFFF"/>
            </w:tcBorders>
            <w:shd w:fill="FFFFFF" w:val="clear"/>
            <w:tcMar>
              <w:bottom w:w="28" w:type="dxa"/>
            </w:tcMar>
            <w:vAlign w:val="bottom"/>
          </w:tcPr>
          <w:p>
            <w:pPr>
              <w:pStyle w:val="TableContents"/>
              <w:spacing w:before="0" w:after="283"/>
              <w:jc w:val="left"/>
              <w:rPr/>
            </w:pPr>
            <w:r>
              <w:rPr/>
              <w:t> </w:t>
            </w:r>
          </w:p>
        </w:tc>
        <w:tc>
          <w:tcPr>
            <w:tcW w:w="127" w:type="dxa"/>
            <w:tcBorders>
              <w:bottom w:val="double" w:sz="2" w:space="0" w:color="000000"/>
            </w:tcBorders>
            <w:shd w:fill="FFFFFF" w:val="clear"/>
            <w:tcMar>
              <w:bottom w:w="28" w:type="dxa"/>
            </w:tcMar>
            <w:vAlign w:val="bottom"/>
          </w:tcPr>
          <w:p>
            <w:pPr>
              <w:pStyle w:val="TableContents"/>
              <w:spacing w:before="0" w:after="283"/>
              <w:jc w:val="left"/>
              <w:rPr/>
            </w:pPr>
            <w:r>
              <w:rPr/>
              <w:t> </w:t>
            </w:r>
          </w:p>
        </w:tc>
        <w:tc>
          <w:tcPr>
            <w:tcW w:w="1168" w:type="dxa"/>
            <w:tcBorders>
              <w:bottom w:val="double" w:sz="2" w:space="0" w:color="000000"/>
            </w:tcBorders>
            <w:shd w:fill="FFFFFF" w:val="clear"/>
            <w:tcMar>
              <w:bottom w:w="28" w:type="dxa"/>
            </w:tcMar>
            <w:vAlign w:val="bottom"/>
          </w:tcPr>
          <w:p>
            <w:pPr>
              <w:pStyle w:val="TableContents"/>
              <w:spacing w:before="0" w:after="283"/>
              <w:jc w:val="right"/>
              <w:rPr/>
            </w:pPr>
            <w:r>
              <w:rPr/>
              <w:t> </w:t>
            </w:r>
          </w:p>
        </w:tc>
        <w:tc>
          <w:tcPr>
            <w:tcW w:w="125" w:type="dxa"/>
            <w:tcBorders>
              <w:bottom w:val="single" w:sz="4" w:space="0" w:color="FFFFFF"/>
            </w:tcBorders>
            <w:shd w:fill="FFFFFF" w:val="clear"/>
            <w:tcMar>
              <w:bottom w:w="28" w:type="dxa"/>
            </w:tcMar>
            <w:vAlign w:val="bottom"/>
          </w:tcPr>
          <w:p>
            <w:pPr>
              <w:pStyle w:val="TableContents"/>
              <w:spacing w:before="0" w:after="283"/>
              <w:jc w:val="left"/>
              <w:rPr/>
            </w:pPr>
            <w:r>
              <w:rPr/>
              <w:t> </w:t>
            </w:r>
          </w:p>
        </w:tc>
      </w:tr>
      <w:tr>
        <w:trPr/>
        <w:tc>
          <w:tcPr>
            <w:tcW w:w="4095" w:type="dxa"/>
            <w:tcBorders/>
            <w:shd w:fill="CCEEFF" w:val="clear"/>
            <w:vAlign w:val="bottom"/>
          </w:tcPr>
          <w:p>
            <w:pPr>
              <w:pStyle w:val="TableContents"/>
              <w:spacing w:lineRule="auto" w:line="300" w:before="0" w:after="0"/>
              <w:ind w:left="360" w:right="0" w:hanging="360"/>
              <w:jc w:val="left"/>
              <w:rPr>
                <w:rFonts w:ascii="Times New Roman" w:hAnsi="Times New Roman"/>
                <w:sz w:val="20"/>
              </w:rPr>
            </w:pPr>
            <w:r>
              <w:rPr>
                <w:rFonts w:ascii="Times New Roman" w:hAnsi="Times New Roman"/>
                <w:sz w:val="20"/>
              </w:rPr>
              <w:t>Revenue</w:t>
            </w:r>
          </w:p>
        </w:tc>
        <w:tc>
          <w:tcPr>
            <w:tcW w:w="197" w:type="dxa"/>
            <w:tcBorders/>
            <w:shd w:fill="CCEEFF" w:val="clear"/>
            <w:vAlign w:val="center"/>
          </w:tcPr>
          <w:p>
            <w:pPr>
              <w:pStyle w:val="TableContents"/>
              <w:spacing w:before="0" w:after="283"/>
              <w:rPr/>
            </w:pPr>
            <w:r>
              <w:rPr/>
              <w:t> </w:t>
            </w:r>
          </w:p>
        </w:tc>
        <w:tc>
          <w:tcPr>
            <w:tcW w:w="127" w:type="dxa"/>
            <w:tcBorders/>
            <w:shd w:fill="CCEEFF" w:val="clear"/>
            <w:vAlign w:val="bottom"/>
          </w:tcPr>
          <w:p>
            <w:pPr>
              <w:pStyle w:val="TableContents"/>
              <w:spacing w:lineRule="auto" w:line="300" w:before="0" w:after="0"/>
              <w:ind w:left="0" w:right="0" w:hanging="0"/>
              <w:jc w:val="left"/>
              <w:rPr>
                <w:rFonts w:ascii="Times New Roman" w:hAnsi="Times New Roman"/>
                <w:sz w:val="20"/>
              </w:rPr>
            </w:pPr>
            <w:bookmarkStart w:id="4050" w:name="TAB11917"/>
            <w:bookmarkEnd w:id="4050"/>
            <w:r>
              <w:rPr>
                <w:rFonts w:ascii="Times New Roman" w:hAnsi="Times New Roman"/>
                <w:sz w:val="20"/>
              </w:rPr>
              <w:t>$</w:t>
            </w:r>
          </w:p>
        </w:tc>
        <w:tc>
          <w:tcPr>
            <w:tcW w:w="1168" w:type="dxa"/>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4051" w:name="TAB11918"/>
            <w:bookmarkEnd w:id="4051"/>
            <w:r>
              <w:rPr>
                <w:rFonts w:ascii="Times New Roman" w:hAnsi="Times New Roman"/>
                <w:sz w:val="20"/>
              </w:rPr>
              <w:t>24,733</w:t>
            </w:r>
          </w:p>
        </w:tc>
        <w:tc>
          <w:tcPr>
            <w:tcW w:w="203" w:type="dxa"/>
            <w:tcBorders/>
            <w:shd w:fill="CCEEFF" w:val="clear"/>
            <w:vAlign w:val="bottom"/>
          </w:tcPr>
          <w:p>
            <w:pPr>
              <w:pStyle w:val="TableContents"/>
              <w:spacing w:before="0" w:after="283"/>
              <w:jc w:val="left"/>
              <w:rPr/>
            </w:pPr>
            <w:r>
              <w:rPr/>
              <w:t> </w:t>
            </w:r>
          </w:p>
        </w:tc>
        <w:tc>
          <w:tcPr>
            <w:tcW w:w="127" w:type="dxa"/>
            <w:tcBorders/>
            <w:shd w:fill="CCEEFF" w:val="clear"/>
            <w:vAlign w:val="bottom"/>
          </w:tcPr>
          <w:p>
            <w:pPr>
              <w:pStyle w:val="TableContents"/>
              <w:spacing w:lineRule="auto" w:line="300" w:before="0" w:after="0"/>
              <w:ind w:left="0" w:right="0" w:hanging="0"/>
              <w:jc w:val="left"/>
              <w:rPr>
                <w:rFonts w:ascii="Times New Roman" w:hAnsi="Times New Roman"/>
                <w:sz w:val="20"/>
              </w:rPr>
            </w:pPr>
            <w:bookmarkStart w:id="4052" w:name="TAB11919"/>
            <w:bookmarkEnd w:id="4052"/>
            <w:r>
              <w:rPr>
                <w:rFonts w:ascii="Times New Roman" w:hAnsi="Times New Roman"/>
                <w:sz w:val="20"/>
              </w:rPr>
              <w:t>$</w:t>
            </w:r>
          </w:p>
        </w:tc>
        <w:tc>
          <w:tcPr>
            <w:tcW w:w="1168" w:type="dxa"/>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4053" w:name="TAB11920"/>
            <w:bookmarkEnd w:id="4053"/>
            <w:r>
              <w:rPr>
                <w:rFonts w:ascii="Times New Roman" w:hAnsi="Times New Roman"/>
                <w:sz w:val="20"/>
              </w:rPr>
              <w:t>24,081</w:t>
            </w:r>
          </w:p>
        </w:tc>
        <w:tc>
          <w:tcPr>
            <w:tcW w:w="203" w:type="dxa"/>
            <w:tcBorders/>
            <w:shd w:fill="CCEEFF" w:val="clear"/>
            <w:vAlign w:val="bottom"/>
          </w:tcPr>
          <w:p>
            <w:pPr>
              <w:pStyle w:val="TableContents"/>
              <w:spacing w:before="0" w:after="283"/>
              <w:jc w:val="left"/>
              <w:rPr/>
            </w:pPr>
            <w:r>
              <w:rPr/>
              <w:t> </w:t>
            </w:r>
          </w:p>
        </w:tc>
        <w:tc>
          <w:tcPr>
            <w:tcW w:w="127" w:type="dxa"/>
            <w:tcBorders/>
            <w:shd w:fill="CCEEFF" w:val="clear"/>
            <w:vAlign w:val="bottom"/>
          </w:tcPr>
          <w:p>
            <w:pPr>
              <w:pStyle w:val="TableContents"/>
              <w:spacing w:lineRule="auto" w:line="300" w:before="0" w:after="0"/>
              <w:ind w:left="0" w:right="0" w:hanging="0"/>
              <w:jc w:val="left"/>
              <w:rPr>
                <w:rFonts w:ascii="Times New Roman" w:hAnsi="Times New Roman"/>
                <w:sz w:val="20"/>
              </w:rPr>
            </w:pPr>
            <w:bookmarkStart w:id="4054" w:name="TAB11921"/>
            <w:bookmarkEnd w:id="4054"/>
            <w:r>
              <w:rPr>
                <w:rFonts w:ascii="Times New Roman" w:hAnsi="Times New Roman"/>
                <w:sz w:val="20"/>
              </w:rPr>
              <w:t>$</w:t>
            </w:r>
          </w:p>
        </w:tc>
        <w:tc>
          <w:tcPr>
            <w:tcW w:w="1168" w:type="dxa"/>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4055" w:name="TAB11922"/>
            <w:bookmarkEnd w:id="4055"/>
            <w:r>
              <w:rPr>
                <w:rFonts w:ascii="Times New Roman" w:hAnsi="Times New Roman"/>
                <w:sz w:val="20"/>
              </w:rPr>
              <w:t>24,080</w:t>
            </w:r>
          </w:p>
        </w:tc>
        <w:tc>
          <w:tcPr>
            <w:tcW w:w="202" w:type="dxa"/>
            <w:tcBorders/>
            <w:shd w:fill="CCEEFF" w:val="clear"/>
            <w:vAlign w:val="bottom"/>
          </w:tcPr>
          <w:p>
            <w:pPr>
              <w:pStyle w:val="TableContents"/>
              <w:spacing w:before="0" w:after="283"/>
              <w:jc w:val="left"/>
              <w:rPr/>
            </w:pPr>
            <w:r>
              <w:rPr/>
              <w:t> </w:t>
            </w:r>
          </w:p>
        </w:tc>
        <w:tc>
          <w:tcPr>
            <w:tcW w:w="127" w:type="dxa"/>
            <w:tcBorders/>
            <w:shd w:fill="CCEEFF" w:val="clear"/>
            <w:vAlign w:val="bottom"/>
          </w:tcPr>
          <w:p>
            <w:pPr>
              <w:pStyle w:val="TableContents"/>
              <w:spacing w:lineRule="auto" w:line="300" w:before="0" w:after="0"/>
              <w:ind w:left="0" w:right="0" w:hanging="0"/>
              <w:jc w:val="left"/>
              <w:rPr>
                <w:rFonts w:ascii="Times New Roman" w:hAnsi="Times New Roman"/>
                <w:sz w:val="20"/>
              </w:rPr>
            </w:pPr>
            <w:bookmarkStart w:id="4056" w:name="TAB11923"/>
            <w:bookmarkEnd w:id="4056"/>
            <w:r>
              <w:rPr>
                <w:rFonts w:ascii="Times New Roman" w:hAnsi="Times New Roman"/>
                <w:sz w:val="20"/>
              </w:rPr>
              <w:t>$</w:t>
            </w:r>
          </w:p>
        </w:tc>
        <w:tc>
          <w:tcPr>
            <w:tcW w:w="1168" w:type="dxa"/>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4057" w:name="TAB11924"/>
            <w:bookmarkEnd w:id="4057"/>
            <w:r>
              <w:rPr>
                <w:rFonts w:ascii="Times New Roman" w:hAnsi="Times New Roman"/>
                <w:sz w:val="20"/>
              </w:rPr>
              <w:t>25,211</w:t>
            </w:r>
          </w:p>
        </w:tc>
        <w:tc>
          <w:tcPr>
            <w:tcW w:w="125" w:type="dxa"/>
            <w:tcBorders/>
            <w:shd w:fill="CCEEFF" w:val="clear"/>
            <w:vAlign w:val="bottom"/>
          </w:tcPr>
          <w:p>
            <w:pPr>
              <w:pStyle w:val="TableContents"/>
              <w:spacing w:before="0" w:after="283"/>
              <w:jc w:val="left"/>
              <w:rPr/>
            </w:pPr>
            <w:r>
              <w:rPr/>
              <w:t> </w:t>
            </w:r>
          </w:p>
        </w:tc>
      </w:tr>
      <w:tr>
        <w:trPr/>
        <w:tc>
          <w:tcPr>
            <w:tcW w:w="4095" w:type="dxa"/>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Net loss</w:t>
            </w:r>
          </w:p>
        </w:tc>
        <w:tc>
          <w:tcPr>
            <w:tcW w:w="197" w:type="dxa"/>
            <w:tcBorders/>
            <w:shd w:fill="FFFFFF" w:val="clear"/>
            <w:vAlign w:val="center"/>
          </w:tcPr>
          <w:p>
            <w:pPr>
              <w:pStyle w:val="TableContents"/>
              <w:spacing w:before="0" w:after="283"/>
              <w:rPr/>
            </w:pPr>
            <w:r>
              <w:rPr/>
              <w:t> </w:t>
            </w:r>
          </w:p>
        </w:tc>
        <w:tc>
          <w:tcPr>
            <w:tcW w:w="127" w:type="dxa"/>
            <w:tcBorders/>
            <w:shd w:fill="FFFFFF" w:val="clear"/>
            <w:vAlign w:val="bottom"/>
          </w:tcPr>
          <w:p>
            <w:pPr>
              <w:pStyle w:val="TableContents"/>
              <w:spacing w:lineRule="auto" w:line="300" w:before="0" w:after="0"/>
              <w:ind w:left="0" w:right="0" w:hanging="0"/>
              <w:jc w:val="left"/>
              <w:rPr>
                <w:rFonts w:ascii="Times New Roman" w:hAnsi="Times New Roman"/>
                <w:sz w:val="20"/>
              </w:rPr>
            </w:pPr>
            <w:bookmarkStart w:id="4058" w:name="TAB11925"/>
            <w:bookmarkEnd w:id="4058"/>
            <w:r>
              <w:rPr>
                <w:rFonts w:ascii="Times New Roman" w:hAnsi="Times New Roman"/>
                <w:sz w:val="20"/>
              </w:rPr>
              <w:t>$</w:t>
            </w:r>
          </w:p>
        </w:tc>
        <w:tc>
          <w:tcPr>
            <w:tcW w:w="1168" w:type="dxa"/>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4059" w:name="TAB11926"/>
            <w:bookmarkEnd w:id="4059"/>
            <w:r>
              <w:rPr>
                <w:rFonts w:ascii="Times New Roman" w:hAnsi="Times New Roman"/>
                <w:sz w:val="20"/>
              </w:rPr>
              <w:t>(2,403</w:t>
            </w:r>
          </w:p>
        </w:tc>
        <w:tc>
          <w:tcPr>
            <w:tcW w:w="203" w:type="dxa"/>
            <w:tcBorders/>
            <w:shd w:fill="FFFFFF" w:val="clear"/>
            <w:vAlign w:val="bottom"/>
          </w:tcPr>
          <w:p>
            <w:pPr>
              <w:pStyle w:val="TableContents"/>
              <w:spacing w:lineRule="auto" w:line="300" w:before="0" w:after="0"/>
              <w:ind w:left="0" w:right="0" w:hanging="0"/>
              <w:jc w:val="left"/>
              <w:rPr>
                <w:rFonts w:ascii="Times New Roman" w:hAnsi="Times New Roman"/>
                <w:sz w:val="20"/>
              </w:rPr>
            </w:pPr>
            <w:bookmarkStart w:id="4060" w:name="TAB11927"/>
            <w:bookmarkEnd w:id="4060"/>
            <w:r>
              <w:rPr>
                <w:rFonts w:ascii="Times New Roman" w:hAnsi="Times New Roman"/>
                <w:sz w:val="20"/>
              </w:rPr>
              <w:t>)</w:t>
            </w:r>
          </w:p>
        </w:tc>
        <w:tc>
          <w:tcPr>
            <w:tcW w:w="127" w:type="dxa"/>
            <w:tcBorders/>
            <w:shd w:fill="FFFFFF" w:val="clear"/>
            <w:vAlign w:val="bottom"/>
          </w:tcPr>
          <w:p>
            <w:pPr>
              <w:pStyle w:val="TableContents"/>
              <w:spacing w:lineRule="auto" w:line="300" w:before="0" w:after="0"/>
              <w:ind w:left="0" w:right="0" w:hanging="0"/>
              <w:jc w:val="left"/>
              <w:rPr>
                <w:rFonts w:ascii="Times New Roman" w:hAnsi="Times New Roman"/>
                <w:sz w:val="20"/>
              </w:rPr>
            </w:pPr>
            <w:bookmarkStart w:id="4061" w:name="TAB11928"/>
            <w:bookmarkEnd w:id="4061"/>
            <w:r>
              <w:rPr>
                <w:rFonts w:ascii="Times New Roman" w:hAnsi="Times New Roman"/>
                <w:sz w:val="20"/>
              </w:rPr>
              <w:t>$</w:t>
            </w:r>
          </w:p>
        </w:tc>
        <w:tc>
          <w:tcPr>
            <w:tcW w:w="1168" w:type="dxa"/>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4062" w:name="TAB11929"/>
            <w:bookmarkEnd w:id="4062"/>
            <w:r>
              <w:rPr>
                <w:rFonts w:ascii="Times New Roman" w:hAnsi="Times New Roman"/>
                <w:sz w:val="20"/>
              </w:rPr>
              <w:t>10,500</w:t>
            </w:r>
          </w:p>
        </w:tc>
        <w:tc>
          <w:tcPr>
            <w:tcW w:w="203" w:type="dxa"/>
            <w:tcBorders/>
            <w:shd w:fill="FFFFFF" w:val="clear"/>
            <w:vAlign w:val="bottom"/>
          </w:tcPr>
          <w:p>
            <w:pPr>
              <w:pStyle w:val="TableContents"/>
              <w:spacing w:before="0" w:after="283"/>
              <w:jc w:val="left"/>
              <w:rPr/>
            </w:pPr>
            <w:r>
              <w:rPr/>
              <w:t> </w:t>
            </w:r>
          </w:p>
        </w:tc>
        <w:tc>
          <w:tcPr>
            <w:tcW w:w="127" w:type="dxa"/>
            <w:tcBorders/>
            <w:shd w:fill="FFFFFF" w:val="clear"/>
            <w:vAlign w:val="bottom"/>
          </w:tcPr>
          <w:p>
            <w:pPr>
              <w:pStyle w:val="TableContents"/>
              <w:spacing w:lineRule="auto" w:line="300" w:before="0" w:after="0"/>
              <w:ind w:left="0" w:right="0" w:hanging="0"/>
              <w:jc w:val="left"/>
              <w:rPr>
                <w:rFonts w:ascii="Times New Roman" w:hAnsi="Times New Roman"/>
                <w:sz w:val="20"/>
              </w:rPr>
            </w:pPr>
            <w:bookmarkStart w:id="4063" w:name="TAB11930"/>
            <w:bookmarkEnd w:id="4063"/>
            <w:r>
              <w:rPr>
                <w:rFonts w:ascii="Times New Roman" w:hAnsi="Times New Roman"/>
                <w:sz w:val="20"/>
              </w:rPr>
              <w:t>$</w:t>
            </w:r>
          </w:p>
        </w:tc>
        <w:tc>
          <w:tcPr>
            <w:tcW w:w="1168" w:type="dxa"/>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4064" w:name="TAB11931"/>
            <w:bookmarkEnd w:id="4064"/>
            <w:r>
              <w:rPr>
                <w:rFonts w:ascii="Times New Roman" w:hAnsi="Times New Roman"/>
                <w:sz w:val="20"/>
              </w:rPr>
              <w:t>(4,572</w:t>
            </w:r>
          </w:p>
        </w:tc>
        <w:tc>
          <w:tcPr>
            <w:tcW w:w="202" w:type="dxa"/>
            <w:tcBorders/>
            <w:shd w:fill="FFFFFF" w:val="clear"/>
            <w:vAlign w:val="bottom"/>
          </w:tcPr>
          <w:p>
            <w:pPr>
              <w:pStyle w:val="TableContents"/>
              <w:spacing w:lineRule="auto" w:line="300" w:before="0" w:after="0"/>
              <w:ind w:left="0" w:right="0" w:hanging="0"/>
              <w:jc w:val="left"/>
              <w:rPr>
                <w:rFonts w:ascii="Times New Roman" w:hAnsi="Times New Roman"/>
                <w:sz w:val="20"/>
              </w:rPr>
            </w:pPr>
            <w:bookmarkStart w:id="4065" w:name="TAB11932"/>
            <w:bookmarkEnd w:id="4065"/>
            <w:r>
              <w:rPr>
                <w:rFonts w:ascii="Times New Roman" w:hAnsi="Times New Roman"/>
                <w:sz w:val="20"/>
              </w:rPr>
              <w:t>)</w:t>
            </w:r>
          </w:p>
        </w:tc>
        <w:tc>
          <w:tcPr>
            <w:tcW w:w="127" w:type="dxa"/>
            <w:tcBorders/>
            <w:shd w:fill="FFFFFF" w:val="clear"/>
            <w:vAlign w:val="bottom"/>
          </w:tcPr>
          <w:p>
            <w:pPr>
              <w:pStyle w:val="TableContents"/>
              <w:spacing w:lineRule="auto" w:line="300" w:before="0" w:after="0"/>
              <w:ind w:left="0" w:right="0" w:hanging="0"/>
              <w:jc w:val="left"/>
              <w:rPr>
                <w:rFonts w:ascii="Times New Roman" w:hAnsi="Times New Roman"/>
                <w:sz w:val="20"/>
              </w:rPr>
            </w:pPr>
            <w:bookmarkStart w:id="4066" w:name="TAB11933"/>
            <w:bookmarkEnd w:id="4066"/>
            <w:r>
              <w:rPr>
                <w:rFonts w:ascii="Times New Roman" w:hAnsi="Times New Roman"/>
                <w:sz w:val="20"/>
              </w:rPr>
              <w:t>$</w:t>
            </w:r>
          </w:p>
        </w:tc>
        <w:tc>
          <w:tcPr>
            <w:tcW w:w="1168" w:type="dxa"/>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4067" w:name="TAB11934"/>
            <w:bookmarkEnd w:id="4067"/>
            <w:r>
              <w:rPr>
                <w:rFonts w:ascii="Times New Roman" w:hAnsi="Times New Roman"/>
                <w:sz w:val="20"/>
              </w:rPr>
              <w:t>(2,536</w:t>
            </w:r>
          </w:p>
        </w:tc>
        <w:tc>
          <w:tcPr>
            <w:tcW w:w="125" w:type="dxa"/>
            <w:tcBorders/>
            <w:shd w:fill="FFFFFF" w:val="clear"/>
            <w:vAlign w:val="bottom"/>
          </w:tcPr>
          <w:p>
            <w:pPr>
              <w:pStyle w:val="TableContents"/>
              <w:spacing w:lineRule="auto" w:line="300" w:before="0" w:after="0"/>
              <w:ind w:left="0" w:right="0" w:hanging="0"/>
              <w:jc w:val="left"/>
              <w:rPr>
                <w:rFonts w:ascii="Times New Roman" w:hAnsi="Times New Roman"/>
                <w:sz w:val="20"/>
              </w:rPr>
            </w:pPr>
            <w:bookmarkStart w:id="4068" w:name="TAB11935"/>
            <w:bookmarkEnd w:id="4068"/>
            <w:r>
              <w:rPr>
                <w:rFonts w:ascii="Times New Roman" w:hAnsi="Times New Roman"/>
                <w:sz w:val="20"/>
              </w:rPr>
              <w:t>)</w:t>
            </w:r>
          </w:p>
        </w:tc>
      </w:tr>
      <w:tr>
        <w:trPr/>
        <w:tc>
          <w:tcPr>
            <w:tcW w:w="4095" w:type="dxa"/>
            <w:tcBorders/>
            <w:shd w:fill="CCEEFF" w:val="clear"/>
            <w:vAlign w:val="bottom"/>
          </w:tcPr>
          <w:p>
            <w:pPr>
              <w:pStyle w:val="TableContents"/>
              <w:spacing w:lineRule="auto" w:line="300" w:before="0" w:after="0"/>
              <w:ind w:left="360" w:right="0" w:hanging="360"/>
              <w:jc w:val="left"/>
              <w:rPr>
                <w:rFonts w:ascii="Times New Roman" w:hAnsi="Times New Roman"/>
                <w:sz w:val="20"/>
              </w:rPr>
            </w:pPr>
            <w:r>
              <w:rPr>
                <w:rFonts w:ascii="Times New Roman" w:hAnsi="Times New Roman"/>
                <w:sz w:val="20"/>
              </w:rPr>
              <w:t>Basic loss per share</w:t>
            </w:r>
          </w:p>
        </w:tc>
        <w:tc>
          <w:tcPr>
            <w:tcW w:w="197" w:type="dxa"/>
            <w:tcBorders/>
            <w:shd w:fill="CCEEFF" w:val="clear"/>
            <w:vAlign w:val="center"/>
          </w:tcPr>
          <w:p>
            <w:pPr>
              <w:pStyle w:val="TableContents"/>
              <w:spacing w:before="0" w:after="283"/>
              <w:rPr/>
            </w:pPr>
            <w:r>
              <w:rPr/>
              <w:t> </w:t>
            </w:r>
          </w:p>
        </w:tc>
        <w:tc>
          <w:tcPr>
            <w:tcW w:w="127" w:type="dxa"/>
            <w:tcBorders/>
            <w:shd w:fill="CCEEFF" w:val="clear"/>
            <w:vAlign w:val="bottom"/>
          </w:tcPr>
          <w:p>
            <w:pPr>
              <w:pStyle w:val="TableContents"/>
              <w:spacing w:lineRule="auto" w:line="300" w:before="0" w:after="0"/>
              <w:ind w:left="0" w:right="0" w:hanging="0"/>
              <w:jc w:val="left"/>
              <w:rPr>
                <w:rFonts w:ascii="Times New Roman" w:hAnsi="Times New Roman"/>
                <w:sz w:val="20"/>
              </w:rPr>
            </w:pPr>
            <w:bookmarkStart w:id="4069" w:name="TAB11936"/>
            <w:bookmarkEnd w:id="4069"/>
            <w:r>
              <w:rPr>
                <w:rFonts w:ascii="Times New Roman" w:hAnsi="Times New Roman"/>
                <w:sz w:val="20"/>
              </w:rPr>
              <w:t>$</w:t>
            </w:r>
          </w:p>
        </w:tc>
        <w:tc>
          <w:tcPr>
            <w:tcW w:w="1168" w:type="dxa"/>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4070" w:name="TAB11937"/>
            <w:bookmarkEnd w:id="4070"/>
            <w:r>
              <w:rPr>
                <w:rFonts w:ascii="Times New Roman" w:hAnsi="Times New Roman"/>
                <w:sz w:val="20"/>
              </w:rPr>
              <w:t>(0.11</w:t>
            </w:r>
          </w:p>
        </w:tc>
        <w:tc>
          <w:tcPr>
            <w:tcW w:w="203" w:type="dxa"/>
            <w:tcBorders/>
            <w:shd w:fill="CCEEFF" w:val="clear"/>
            <w:vAlign w:val="bottom"/>
          </w:tcPr>
          <w:p>
            <w:pPr>
              <w:pStyle w:val="TableContents"/>
              <w:spacing w:lineRule="auto" w:line="300" w:before="0" w:after="0"/>
              <w:ind w:left="0" w:right="0" w:hanging="0"/>
              <w:jc w:val="left"/>
              <w:rPr>
                <w:rFonts w:ascii="Times New Roman" w:hAnsi="Times New Roman"/>
                <w:sz w:val="20"/>
              </w:rPr>
            </w:pPr>
            <w:bookmarkStart w:id="4071" w:name="TAB11938"/>
            <w:bookmarkEnd w:id="4071"/>
            <w:r>
              <w:rPr>
                <w:rFonts w:ascii="Times New Roman" w:hAnsi="Times New Roman"/>
                <w:sz w:val="20"/>
              </w:rPr>
              <w:t>)</w:t>
            </w:r>
          </w:p>
        </w:tc>
        <w:tc>
          <w:tcPr>
            <w:tcW w:w="127" w:type="dxa"/>
            <w:tcBorders/>
            <w:shd w:fill="CCEEFF" w:val="clear"/>
            <w:vAlign w:val="bottom"/>
          </w:tcPr>
          <w:p>
            <w:pPr>
              <w:pStyle w:val="TableContents"/>
              <w:spacing w:lineRule="auto" w:line="300" w:before="0" w:after="0"/>
              <w:ind w:left="0" w:right="0" w:hanging="0"/>
              <w:jc w:val="left"/>
              <w:rPr>
                <w:rFonts w:ascii="Times New Roman" w:hAnsi="Times New Roman"/>
                <w:sz w:val="20"/>
              </w:rPr>
            </w:pPr>
            <w:bookmarkStart w:id="4072" w:name="TAB11939"/>
            <w:bookmarkEnd w:id="4072"/>
            <w:r>
              <w:rPr>
                <w:rFonts w:ascii="Times New Roman" w:hAnsi="Times New Roman"/>
                <w:sz w:val="20"/>
              </w:rPr>
              <w:t>$</w:t>
            </w:r>
          </w:p>
        </w:tc>
        <w:tc>
          <w:tcPr>
            <w:tcW w:w="1168" w:type="dxa"/>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4073" w:name="TAB11940"/>
            <w:bookmarkEnd w:id="4073"/>
            <w:r>
              <w:rPr>
                <w:rFonts w:ascii="Times New Roman" w:hAnsi="Times New Roman"/>
                <w:sz w:val="20"/>
              </w:rPr>
              <w:t>0.48</w:t>
            </w:r>
          </w:p>
        </w:tc>
        <w:tc>
          <w:tcPr>
            <w:tcW w:w="203" w:type="dxa"/>
            <w:tcBorders/>
            <w:shd w:fill="CCEEFF" w:val="clear"/>
            <w:vAlign w:val="bottom"/>
          </w:tcPr>
          <w:p>
            <w:pPr>
              <w:pStyle w:val="TableContents"/>
              <w:spacing w:before="0" w:after="283"/>
              <w:jc w:val="left"/>
              <w:rPr/>
            </w:pPr>
            <w:r>
              <w:rPr/>
              <w:t> </w:t>
            </w:r>
          </w:p>
        </w:tc>
        <w:tc>
          <w:tcPr>
            <w:tcW w:w="127" w:type="dxa"/>
            <w:tcBorders/>
            <w:shd w:fill="CCEEFF" w:val="clear"/>
            <w:vAlign w:val="bottom"/>
          </w:tcPr>
          <w:p>
            <w:pPr>
              <w:pStyle w:val="TableContents"/>
              <w:spacing w:lineRule="auto" w:line="300" w:before="0" w:after="0"/>
              <w:ind w:left="0" w:right="0" w:hanging="0"/>
              <w:jc w:val="left"/>
              <w:rPr>
                <w:rFonts w:ascii="Times New Roman" w:hAnsi="Times New Roman"/>
                <w:sz w:val="20"/>
              </w:rPr>
            </w:pPr>
            <w:bookmarkStart w:id="4074" w:name="TAB11941"/>
            <w:bookmarkEnd w:id="4074"/>
            <w:r>
              <w:rPr>
                <w:rFonts w:ascii="Times New Roman" w:hAnsi="Times New Roman"/>
                <w:sz w:val="20"/>
              </w:rPr>
              <w:t>$</w:t>
            </w:r>
          </w:p>
        </w:tc>
        <w:tc>
          <w:tcPr>
            <w:tcW w:w="1168" w:type="dxa"/>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4075" w:name="TAB11942"/>
            <w:bookmarkEnd w:id="4075"/>
            <w:r>
              <w:rPr>
                <w:rFonts w:ascii="Times New Roman" w:hAnsi="Times New Roman"/>
                <w:sz w:val="20"/>
              </w:rPr>
              <w:t>(0.20</w:t>
            </w:r>
          </w:p>
        </w:tc>
        <w:tc>
          <w:tcPr>
            <w:tcW w:w="202" w:type="dxa"/>
            <w:tcBorders/>
            <w:shd w:fill="CCEEFF" w:val="clear"/>
            <w:vAlign w:val="bottom"/>
          </w:tcPr>
          <w:p>
            <w:pPr>
              <w:pStyle w:val="TableContents"/>
              <w:spacing w:lineRule="auto" w:line="300" w:before="0" w:after="0"/>
              <w:ind w:left="0" w:right="0" w:hanging="0"/>
              <w:jc w:val="left"/>
              <w:rPr>
                <w:rFonts w:ascii="Times New Roman" w:hAnsi="Times New Roman"/>
                <w:sz w:val="20"/>
              </w:rPr>
            </w:pPr>
            <w:bookmarkStart w:id="4076" w:name="TAB11943"/>
            <w:bookmarkEnd w:id="4076"/>
            <w:r>
              <w:rPr>
                <w:rFonts w:ascii="Times New Roman" w:hAnsi="Times New Roman"/>
                <w:sz w:val="20"/>
              </w:rPr>
              <w:t>)</w:t>
            </w:r>
          </w:p>
        </w:tc>
        <w:tc>
          <w:tcPr>
            <w:tcW w:w="127" w:type="dxa"/>
            <w:tcBorders/>
            <w:shd w:fill="CCEEFF" w:val="clear"/>
            <w:vAlign w:val="bottom"/>
          </w:tcPr>
          <w:p>
            <w:pPr>
              <w:pStyle w:val="TableContents"/>
              <w:spacing w:lineRule="auto" w:line="300" w:before="0" w:after="0"/>
              <w:ind w:left="0" w:right="0" w:hanging="0"/>
              <w:jc w:val="left"/>
              <w:rPr>
                <w:rFonts w:ascii="Times New Roman" w:hAnsi="Times New Roman"/>
                <w:sz w:val="20"/>
              </w:rPr>
            </w:pPr>
            <w:bookmarkStart w:id="4077" w:name="TAB11944"/>
            <w:bookmarkEnd w:id="4077"/>
            <w:r>
              <w:rPr>
                <w:rFonts w:ascii="Times New Roman" w:hAnsi="Times New Roman"/>
                <w:sz w:val="20"/>
              </w:rPr>
              <w:t>$</w:t>
            </w:r>
          </w:p>
        </w:tc>
        <w:tc>
          <w:tcPr>
            <w:tcW w:w="1168" w:type="dxa"/>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4078" w:name="TAB11945"/>
            <w:bookmarkEnd w:id="4078"/>
            <w:r>
              <w:rPr>
                <w:rFonts w:ascii="Times New Roman" w:hAnsi="Times New Roman"/>
                <w:sz w:val="20"/>
              </w:rPr>
              <w:t>(0.13</w:t>
            </w:r>
          </w:p>
        </w:tc>
        <w:tc>
          <w:tcPr>
            <w:tcW w:w="125" w:type="dxa"/>
            <w:tcBorders/>
            <w:shd w:fill="CCEEFF" w:val="clear"/>
            <w:vAlign w:val="bottom"/>
          </w:tcPr>
          <w:p>
            <w:pPr>
              <w:pStyle w:val="TableContents"/>
              <w:spacing w:lineRule="auto" w:line="300" w:before="0" w:after="0"/>
              <w:ind w:left="0" w:right="0" w:hanging="0"/>
              <w:jc w:val="left"/>
              <w:rPr>
                <w:rFonts w:ascii="Times New Roman" w:hAnsi="Times New Roman"/>
                <w:sz w:val="20"/>
              </w:rPr>
            </w:pPr>
            <w:bookmarkStart w:id="4079" w:name="TAB11946"/>
            <w:bookmarkEnd w:id="4079"/>
            <w:r>
              <w:rPr>
                <w:rFonts w:ascii="Times New Roman" w:hAnsi="Times New Roman"/>
                <w:sz w:val="20"/>
              </w:rPr>
              <w:t>)</w:t>
            </w:r>
          </w:p>
        </w:tc>
      </w:tr>
      <w:tr>
        <w:trPr/>
        <w:tc>
          <w:tcPr>
            <w:tcW w:w="4095" w:type="dxa"/>
            <w:tcBorders/>
            <w:shd w:fill="FFFFFF" w:val="clear"/>
            <w:vAlign w:val="bottom"/>
          </w:tcPr>
          <w:p>
            <w:pPr>
              <w:pStyle w:val="TableContents"/>
              <w:spacing w:lineRule="auto" w:line="300" w:before="0" w:after="0"/>
              <w:ind w:left="360" w:right="0" w:hanging="360"/>
              <w:jc w:val="left"/>
              <w:rPr>
                <w:rFonts w:ascii="Times New Roman" w:hAnsi="Times New Roman"/>
                <w:sz w:val="20"/>
              </w:rPr>
            </w:pPr>
            <w:r>
              <w:rPr>
                <w:rFonts w:ascii="Times New Roman" w:hAnsi="Times New Roman"/>
                <w:sz w:val="20"/>
              </w:rPr>
              <w:t>Diluted loss per share</w:t>
            </w:r>
          </w:p>
        </w:tc>
        <w:tc>
          <w:tcPr>
            <w:tcW w:w="197" w:type="dxa"/>
            <w:tcBorders/>
            <w:shd w:fill="FFFFFF" w:val="clear"/>
            <w:vAlign w:val="center"/>
          </w:tcPr>
          <w:p>
            <w:pPr>
              <w:pStyle w:val="TableContents"/>
              <w:spacing w:before="0" w:after="283"/>
              <w:rPr/>
            </w:pPr>
            <w:r>
              <w:rPr/>
              <w:t> </w:t>
            </w:r>
          </w:p>
        </w:tc>
        <w:tc>
          <w:tcPr>
            <w:tcW w:w="127" w:type="dxa"/>
            <w:tcBorders/>
            <w:shd w:fill="FFFFFF" w:val="clear"/>
            <w:vAlign w:val="bottom"/>
          </w:tcPr>
          <w:p>
            <w:pPr>
              <w:pStyle w:val="TableContents"/>
              <w:spacing w:lineRule="auto" w:line="300" w:before="0" w:after="0"/>
              <w:ind w:left="0" w:right="0" w:hanging="0"/>
              <w:jc w:val="left"/>
              <w:rPr>
                <w:rFonts w:ascii="Times New Roman" w:hAnsi="Times New Roman"/>
                <w:sz w:val="20"/>
              </w:rPr>
            </w:pPr>
            <w:bookmarkStart w:id="4080" w:name="TAB11947"/>
            <w:bookmarkEnd w:id="4080"/>
            <w:r>
              <w:rPr>
                <w:rFonts w:ascii="Times New Roman" w:hAnsi="Times New Roman"/>
                <w:sz w:val="20"/>
              </w:rPr>
              <w:t>$</w:t>
            </w:r>
          </w:p>
        </w:tc>
        <w:tc>
          <w:tcPr>
            <w:tcW w:w="1168" w:type="dxa"/>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4081" w:name="TAB11948"/>
            <w:bookmarkEnd w:id="4081"/>
            <w:r>
              <w:rPr>
                <w:rFonts w:ascii="Times New Roman" w:hAnsi="Times New Roman"/>
                <w:sz w:val="20"/>
              </w:rPr>
              <w:t>(0.11</w:t>
            </w:r>
          </w:p>
        </w:tc>
        <w:tc>
          <w:tcPr>
            <w:tcW w:w="203" w:type="dxa"/>
            <w:tcBorders/>
            <w:shd w:fill="FFFFFF" w:val="clear"/>
            <w:vAlign w:val="bottom"/>
          </w:tcPr>
          <w:p>
            <w:pPr>
              <w:pStyle w:val="TableContents"/>
              <w:spacing w:lineRule="auto" w:line="300" w:before="0" w:after="0"/>
              <w:ind w:left="0" w:right="0" w:hanging="0"/>
              <w:jc w:val="left"/>
              <w:rPr>
                <w:rFonts w:ascii="Times New Roman" w:hAnsi="Times New Roman"/>
                <w:sz w:val="20"/>
              </w:rPr>
            </w:pPr>
            <w:bookmarkStart w:id="4082" w:name="TAB11949"/>
            <w:bookmarkEnd w:id="4082"/>
            <w:r>
              <w:rPr>
                <w:rFonts w:ascii="Times New Roman" w:hAnsi="Times New Roman"/>
                <w:sz w:val="20"/>
              </w:rPr>
              <w:t>)</w:t>
            </w:r>
          </w:p>
        </w:tc>
        <w:tc>
          <w:tcPr>
            <w:tcW w:w="127" w:type="dxa"/>
            <w:tcBorders/>
            <w:shd w:fill="FFFFFF" w:val="clear"/>
            <w:vAlign w:val="bottom"/>
          </w:tcPr>
          <w:p>
            <w:pPr>
              <w:pStyle w:val="TableContents"/>
              <w:spacing w:lineRule="auto" w:line="300" w:before="0" w:after="0"/>
              <w:ind w:left="0" w:right="0" w:hanging="0"/>
              <w:jc w:val="left"/>
              <w:rPr>
                <w:rFonts w:ascii="Times New Roman" w:hAnsi="Times New Roman"/>
                <w:sz w:val="20"/>
              </w:rPr>
            </w:pPr>
            <w:bookmarkStart w:id="4083" w:name="TAB11950"/>
            <w:bookmarkEnd w:id="4083"/>
            <w:r>
              <w:rPr>
                <w:rFonts w:ascii="Times New Roman" w:hAnsi="Times New Roman"/>
                <w:sz w:val="20"/>
              </w:rPr>
              <w:t>$</w:t>
            </w:r>
          </w:p>
        </w:tc>
        <w:tc>
          <w:tcPr>
            <w:tcW w:w="1168" w:type="dxa"/>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4084" w:name="TAB11951"/>
            <w:bookmarkEnd w:id="4084"/>
            <w:r>
              <w:rPr>
                <w:rFonts w:ascii="Times New Roman" w:hAnsi="Times New Roman"/>
                <w:sz w:val="20"/>
              </w:rPr>
              <w:t>0.48</w:t>
            </w:r>
          </w:p>
        </w:tc>
        <w:tc>
          <w:tcPr>
            <w:tcW w:w="203" w:type="dxa"/>
            <w:tcBorders/>
            <w:shd w:fill="FFFFFF" w:val="clear"/>
            <w:vAlign w:val="bottom"/>
          </w:tcPr>
          <w:p>
            <w:pPr>
              <w:pStyle w:val="TableContents"/>
              <w:spacing w:before="0" w:after="283"/>
              <w:jc w:val="left"/>
              <w:rPr/>
            </w:pPr>
            <w:r>
              <w:rPr/>
              <w:t> </w:t>
            </w:r>
          </w:p>
        </w:tc>
        <w:tc>
          <w:tcPr>
            <w:tcW w:w="127" w:type="dxa"/>
            <w:tcBorders/>
            <w:shd w:fill="FFFFFF" w:val="clear"/>
            <w:vAlign w:val="bottom"/>
          </w:tcPr>
          <w:p>
            <w:pPr>
              <w:pStyle w:val="TableContents"/>
              <w:spacing w:lineRule="auto" w:line="300" w:before="0" w:after="0"/>
              <w:ind w:left="0" w:right="0" w:hanging="0"/>
              <w:jc w:val="left"/>
              <w:rPr>
                <w:rFonts w:ascii="Times New Roman" w:hAnsi="Times New Roman"/>
                <w:sz w:val="20"/>
              </w:rPr>
            </w:pPr>
            <w:bookmarkStart w:id="4085" w:name="TAB11952"/>
            <w:bookmarkEnd w:id="4085"/>
            <w:r>
              <w:rPr>
                <w:rFonts w:ascii="Times New Roman" w:hAnsi="Times New Roman"/>
                <w:sz w:val="20"/>
              </w:rPr>
              <w:t>$</w:t>
            </w:r>
          </w:p>
        </w:tc>
        <w:tc>
          <w:tcPr>
            <w:tcW w:w="1168" w:type="dxa"/>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4086" w:name="TAB11953"/>
            <w:bookmarkEnd w:id="4086"/>
            <w:r>
              <w:rPr>
                <w:rFonts w:ascii="Times New Roman" w:hAnsi="Times New Roman"/>
                <w:sz w:val="20"/>
              </w:rPr>
              <w:t>(0.20</w:t>
            </w:r>
          </w:p>
        </w:tc>
        <w:tc>
          <w:tcPr>
            <w:tcW w:w="202" w:type="dxa"/>
            <w:tcBorders/>
            <w:shd w:fill="FFFFFF" w:val="clear"/>
            <w:vAlign w:val="bottom"/>
          </w:tcPr>
          <w:p>
            <w:pPr>
              <w:pStyle w:val="TableContents"/>
              <w:spacing w:lineRule="auto" w:line="300" w:before="0" w:after="0"/>
              <w:ind w:left="0" w:right="0" w:hanging="0"/>
              <w:jc w:val="left"/>
              <w:rPr>
                <w:rFonts w:ascii="Times New Roman" w:hAnsi="Times New Roman"/>
                <w:sz w:val="20"/>
              </w:rPr>
            </w:pPr>
            <w:bookmarkStart w:id="4087" w:name="TAB11954"/>
            <w:bookmarkEnd w:id="4087"/>
            <w:r>
              <w:rPr>
                <w:rFonts w:ascii="Times New Roman" w:hAnsi="Times New Roman"/>
                <w:sz w:val="20"/>
              </w:rPr>
              <w:t>)</w:t>
            </w:r>
          </w:p>
        </w:tc>
        <w:tc>
          <w:tcPr>
            <w:tcW w:w="127" w:type="dxa"/>
            <w:tcBorders/>
            <w:shd w:fill="FFFFFF" w:val="clear"/>
            <w:vAlign w:val="bottom"/>
          </w:tcPr>
          <w:p>
            <w:pPr>
              <w:pStyle w:val="TableContents"/>
              <w:spacing w:lineRule="auto" w:line="300" w:before="0" w:after="0"/>
              <w:ind w:left="0" w:right="0" w:hanging="0"/>
              <w:jc w:val="left"/>
              <w:rPr>
                <w:rFonts w:ascii="Times New Roman" w:hAnsi="Times New Roman"/>
                <w:sz w:val="20"/>
              </w:rPr>
            </w:pPr>
            <w:bookmarkStart w:id="4088" w:name="TAB11955"/>
            <w:bookmarkEnd w:id="4088"/>
            <w:r>
              <w:rPr>
                <w:rFonts w:ascii="Times New Roman" w:hAnsi="Times New Roman"/>
                <w:sz w:val="20"/>
              </w:rPr>
              <w:t>$</w:t>
            </w:r>
          </w:p>
        </w:tc>
        <w:tc>
          <w:tcPr>
            <w:tcW w:w="1168" w:type="dxa"/>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4089" w:name="TAB11956"/>
            <w:bookmarkEnd w:id="4089"/>
            <w:r>
              <w:rPr>
                <w:rFonts w:ascii="Times New Roman" w:hAnsi="Times New Roman"/>
                <w:sz w:val="20"/>
              </w:rPr>
              <w:t>(0.13</w:t>
            </w:r>
          </w:p>
        </w:tc>
        <w:tc>
          <w:tcPr>
            <w:tcW w:w="125" w:type="dxa"/>
            <w:tcBorders/>
            <w:shd w:fill="FFFFFF" w:val="clear"/>
            <w:vAlign w:val="bottom"/>
          </w:tcPr>
          <w:p>
            <w:pPr>
              <w:pStyle w:val="TableContents"/>
              <w:spacing w:lineRule="auto" w:line="300" w:before="0" w:after="0"/>
              <w:ind w:left="0" w:right="0" w:hanging="0"/>
              <w:jc w:val="left"/>
              <w:rPr>
                <w:rFonts w:ascii="Times New Roman" w:hAnsi="Times New Roman"/>
                <w:sz w:val="20"/>
              </w:rPr>
            </w:pPr>
            <w:bookmarkStart w:id="4090" w:name="TAB11957"/>
            <w:bookmarkEnd w:id="4090"/>
            <w:r>
              <w:rPr>
                <w:rFonts w:ascii="Times New Roman" w:hAnsi="Times New Roman"/>
                <w:sz w:val="20"/>
              </w:rPr>
              <w:t>)</w:t>
            </w:r>
          </w:p>
        </w:tc>
      </w:tr>
    </w:tbl>
    <w:p>
      <w:pPr>
        <w:pStyle w:val="TextBody"/>
        <w:spacing w:lineRule="auto" w:line="300" w:before="0" w:after="0"/>
        <w:ind w:left="0" w:right="0" w:hanging="0"/>
        <w:jc w:val="both"/>
        <w:rPr/>
      </w:pPr>
      <w:r>
        <w:rPr/>
      </w:r>
    </w:p>
    <w:p>
      <w:pPr>
        <w:pStyle w:val="TextBody"/>
        <w:spacing w:lineRule="auto" w:line="300" w:before="0" w:after="0"/>
        <w:ind w:left="720" w:right="0" w:hanging="0"/>
        <w:jc w:val="both"/>
        <w:rPr>
          <w:rFonts w:ascii="Times New Roman" w:hAnsi="Times New Roman"/>
          <w:sz w:val="20"/>
        </w:rPr>
      </w:pPr>
      <w:bookmarkStart w:id="4091" w:name="TAB11958"/>
      <w:bookmarkEnd w:id="4091"/>
      <w:r>
        <w:rPr>
          <w:rFonts w:ascii="Times New Roman" w:hAnsi="Times New Roman"/>
          <w:sz w:val="20"/>
        </w:rPr>
        <w:t>In our opinion, the quarterly financial information presented above reflects all adjustments that are necessary for a fair presentation of the results of the quarterly periods presented.</w:t>
      </w:r>
    </w:p>
    <w:p>
      <w:pPr>
        <w:pStyle w:val="TextBody"/>
        <w:spacing w:lineRule="auto" w:line="300" w:before="0" w:after="0"/>
        <w:ind w:left="0" w:right="0" w:hanging="0"/>
        <w:jc w:val="both"/>
        <w:rPr/>
      </w:pPr>
      <w:r>
        <w:rPr/>
      </w:r>
    </w:p>
    <w:p>
      <w:pPr>
        <w:pStyle w:val="TextBody"/>
        <w:spacing w:lineRule="auto" w:line="300" w:before="0" w:after="0"/>
        <w:ind w:left="0" w:right="0" w:hanging="0"/>
        <w:jc w:val="left"/>
        <w:rPr/>
      </w:pPr>
      <w:r>
        <w:rPr/>
      </w:r>
    </w:p>
    <w:p>
      <w:pPr>
        <w:pStyle w:val="TextBody"/>
        <w:spacing w:lineRule="auto" w:line="300" w:before="0" w:after="0"/>
        <w:ind w:left="0" w:right="0" w:hanging="0"/>
        <w:jc w:val="left"/>
        <w:rPr/>
      </w:pPr>
      <w:r>
        <w:rPr>
          <w:rStyle w:val="StrongEmphasis"/>
          <w:rFonts w:ascii="Times New Roman" w:hAnsi="Times New Roman"/>
          <w:sz w:val="20"/>
          <w:u w:val="single"/>
        </w:rPr>
        <w:t>Note 23 - Comprehensive Income (Loss)</w:t>
      </w:r>
    </w:p>
    <w:p>
      <w:pPr>
        <w:pStyle w:val="TextBody"/>
        <w:spacing w:lineRule="auto" w:line="300" w:before="0" w:after="0"/>
        <w:ind w:left="0" w:right="0" w:hanging="0"/>
        <w:jc w:val="left"/>
        <w:rPr/>
      </w:pPr>
      <w:r>
        <w:rPr/>
      </w:r>
    </w:p>
    <w:p>
      <w:pPr>
        <w:pStyle w:val="TextBody"/>
        <w:spacing w:lineRule="auto" w:line="300" w:before="0" w:after="0"/>
        <w:ind w:left="720" w:right="0" w:hanging="0"/>
        <w:jc w:val="both"/>
        <w:rPr>
          <w:rFonts w:ascii="Times New Roman" w:hAnsi="Times New Roman"/>
          <w:sz w:val="20"/>
        </w:rPr>
      </w:pPr>
      <w:bookmarkStart w:id="4092" w:name="TAB11959"/>
      <w:bookmarkEnd w:id="4092"/>
      <w:r>
        <w:rPr>
          <w:rFonts w:ascii="Times New Roman" w:hAnsi="Times New Roman"/>
          <w:sz w:val="20"/>
        </w:rPr>
        <w:t>US GAAP requires us to classify unrealized gains and losses on equity securities as well as our foreign currency adjustments as comprehensive income. The following table sets forth our comprehensive income for the periods indicated (in thousands):</w:t>
      </w:r>
    </w:p>
    <w:p>
      <w:pPr>
        <w:pStyle w:val="TextBody"/>
        <w:spacing w:lineRule="auto" w:line="300" w:before="0" w:after="0"/>
        <w:ind w:left="0" w:right="0" w:hanging="0"/>
        <w:jc w:val="left"/>
        <w:rPr/>
      </w:pPr>
      <w:r>
        <w:rPr/>
      </w:r>
    </w:p>
    <w:p>
      <w:pPr>
        <w:pStyle w:val="Normal"/>
        <w:spacing w:before="0" w:after="0"/>
        <w:rPr>
          <w:sz w:val="4"/>
          <w:szCs w:val="4"/>
        </w:rPr>
      </w:pPr>
      <w:r>
        <w:rPr>
          <w:sz w:val="4"/>
          <w:szCs w:val="4"/>
        </w:rPr>
      </w:r>
      <w:bookmarkStart w:id="4093" w:name="ftable60"/>
      <w:bookmarkStart w:id="4094" w:name="ftable60"/>
      <w:bookmarkEnd w:id="4094"/>
    </w:p>
    <w:tbl>
      <w:tblPr>
        <w:tblW w:w="5000" w:type="pct"/>
        <w:jc w:val="left"/>
        <w:tblInd w:w="0" w:type="dxa"/>
        <w:tblCellMar>
          <w:top w:w="0" w:type="dxa"/>
          <w:left w:w="0" w:type="dxa"/>
          <w:bottom w:w="28" w:type="dxa"/>
          <w:right w:w="0" w:type="dxa"/>
        </w:tblCellMar>
      </w:tblPr>
      <w:tblGrid>
        <w:gridCol w:w="5615"/>
        <w:gridCol w:w="200"/>
        <w:gridCol w:w="126"/>
        <w:gridCol w:w="1148"/>
        <w:gridCol w:w="206"/>
        <w:gridCol w:w="126"/>
        <w:gridCol w:w="1164"/>
        <w:gridCol w:w="206"/>
        <w:gridCol w:w="126"/>
        <w:gridCol w:w="1164"/>
        <w:gridCol w:w="124"/>
      </w:tblGrid>
      <w:tr>
        <w:trPr/>
        <w:tc>
          <w:tcPr>
            <w:tcW w:w="5615" w:type="dxa"/>
            <w:tcBorders>
              <w:bottom w:val="single" w:sz="4" w:space="0" w:color="FFFFFF"/>
            </w:tcBorders>
            <w:shd w:fill="auto" w:val="clear"/>
            <w:vAlign w:val="bottom"/>
          </w:tcPr>
          <w:p>
            <w:pPr>
              <w:pStyle w:val="TableContents"/>
              <w:spacing w:before="0" w:after="283"/>
              <w:jc w:val="left"/>
              <w:rPr/>
            </w:pPr>
            <w:r>
              <w:rPr/>
              <w:t> </w:t>
            </w:r>
          </w:p>
        </w:tc>
        <w:tc>
          <w:tcPr>
            <w:tcW w:w="200" w:type="dxa"/>
            <w:tcBorders>
              <w:bottom w:val="single" w:sz="2" w:space="0" w:color="FFFFFF"/>
            </w:tcBorders>
            <w:shd w:fill="auto" w:val="clear"/>
            <w:vAlign w:val="center"/>
          </w:tcPr>
          <w:p>
            <w:pPr>
              <w:pStyle w:val="TableContents"/>
              <w:spacing w:before="0" w:after="283"/>
              <w:rPr/>
            </w:pPr>
            <w:r>
              <w:rPr/>
              <w:t> </w:t>
            </w:r>
          </w:p>
        </w:tc>
        <w:tc>
          <w:tcPr>
            <w:tcW w:w="4266" w:type="dxa"/>
            <w:gridSpan w:val="8"/>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Years Ended December 31,</w:t>
            </w:r>
          </w:p>
        </w:tc>
        <w:tc>
          <w:tcPr>
            <w:tcW w:w="124" w:type="dxa"/>
            <w:tcBorders>
              <w:bottom w:val="single" w:sz="2" w:space="0" w:color="FFFFFF"/>
            </w:tcBorders>
            <w:shd w:fill="auto" w:val="clear"/>
            <w:vAlign w:val="bottom"/>
          </w:tcPr>
          <w:p>
            <w:pPr>
              <w:pStyle w:val="TableContents"/>
              <w:spacing w:before="0" w:after="283"/>
              <w:jc w:val="left"/>
              <w:rPr/>
            </w:pPr>
            <w:r>
              <w:rPr/>
              <w:t> </w:t>
            </w:r>
          </w:p>
        </w:tc>
      </w:tr>
      <w:tr>
        <w:trPr/>
        <w:tc>
          <w:tcPr>
            <w:tcW w:w="5615" w:type="dxa"/>
            <w:tcBorders>
              <w:bottom w:val="double" w:sz="2" w:space="0" w:color="000000"/>
            </w:tcBorders>
            <w:shd w:fill="auto" w:val="clear"/>
            <w:vAlign w:val="bottom"/>
          </w:tcPr>
          <w:p>
            <w:pPr>
              <w:pStyle w:val="TableContents"/>
              <w:spacing w:before="0" w:after="283"/>
              <w:jc w:val="left"/>
              <w:rPr/>
            </w:pPr>
            <w:r>
              <w:rPr/>
              <w:t> </w:t>
            </w:r>
          </w:p>
        </w:tc>
        <w:tc>
          <w:tcPr>
            <w:tcW w:w="200" w:type="dxa"/>
            <w:tcBorders>
              <w:bottom w:val="single" w:sz="4" w:space="0" w:color="FFFFFF"/>
            </w:tcBorders>
            <w:shd w:fill="auto" w:val="clear"/>
            <w:vAlign w:val="center"/>
          </w:tcPr>
          <w:p>
            <w:pPr>
              <w:pStyle w:val="TableContents"/>
              <w:spacing w:before="0" w:after="283"/>
              <w:rPr/>
            </w:pPr>
            <w:r>
              <w:rPr/>
              <w:t> </w:t>
            </w:r>
          </w:p>
        </w:tc>
        <w:tc>
          <w:tcPr>
            <w:tcW w:w="1274"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2006</w:t>
            </w:r>
          </w:p>
        </w:tc>
        <w:tc>
          <w:tcPr>
            <w:tcW w:w="206" w:type="dxa"/>
            <w:tcBorders>
              <w:bottom w:val="single" w:sz="4" w:space="0" w:color="FFFFFF"/>
            </w:tcBorders>
            <w:shd w:fill="auto" w:val="clear"/>
            <w:vAlign w:val="bottom"/>
          </w:tcPr>
          <w:p>
            <w:pPr>
              <w:pStyle w:val="TableContents"/>
              <w:spacing w:before="0" w:after="283"/>
              <w:jc w:val="left"/>
              <w:rPr/>
            </w:pPr>
            <w:r>
              <w:rPr/>
              <w:t> </w:t>
            </w:r>
          </w:p>
        </w:tc>
        <w:tc>
          <w:tcPr>
            <w:tcW w:w="1290"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2005</w:t>
            </w:r>
          </w:p>
        </w:tc>
        <w:tc>
          <w:tcPr>
            <w:tcW w:w="206" w:type="dxa"/>
            <w:tcBorders>
              <w:bottom w:val="single" w:sz="4" w:space="0" w:color="FFFFFF"/>
            </w:tcBorders>
            <w:shd w:fill="auto" w:val="clear"/>
            <w:vAlign w:val="bottom"/>
          </w:tcPr>
          <w:p>
            <w:pPr>
              <w:pStyle w:val="TableContents"/>
              <w:spacing w:before="0" w:after="283"/>
              <w:jc w:val="left"/>
              <w:rPr/>
            </w:pPr>
            <w:r>
              <w:rPr/>
              <w:t> </w:t>
            </w:r>
          </w:p>
        </w:tc>
        <w:tc>
          <w:tcPr>
            <w:tcW w:w="1290"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2004</w:t>
            </w:r>
          </w:p>
        </w:tc>
        <w:tc>
          <w:tcPr>
            <w:tcW w:w="124" w:type="dxa"/>
            <w:tcBorders>
              <w:bottom w:val="single" w:sz="4" w:space="0" w:color="FFFFFF"/>
            </w:tcBorders>
            <w:shd w:fill="auto" w:val="clear"/>
            <w:vAlign w:val="bottom"/>
          </w:tcPr>
          <w:p>
            <w:pPr>
              <w:pStyle w:val="TableContents"/>
              <w:spacing w:before="0" w:after="283"/>
              <w:jc w:val="left"/>
              <w:rPr/>
            </w:pPr>
            <w:r>
              <w:rPr/>
              <w:t> </w:t>
            </w:r>
          </w:p>
        </w:tc>
      </w:tr>
      <w:tr>
        <w:trPr/>
        <w:tc>
          <w:tcPr>
            <w:tcW w:w="5615"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Net income (loss)</w:t>
            </w:r>
          </w:p>
        </w:tc>
        <w:tc>
          <w:tcPr>
            <w:tcW w:w="200" w:type="dxa"/>
            <w:tcBorders/>
            <w:shd w:fill="CCEEFF" w:val="clear"/>
            <w:tcMar>
              <w:bottom w:w="0" w:type="dxa"/>
            </w:tcMar>
            <w:vAlign w:val="center"/>
          </w:tcPr>
          <w:p>
            <w:pPr>
              <w:pStyle w:val="TableContents"/>
              <w:spacing w:before="0" w:after="283"/>
              <w:rPr/>
            </w:pPr>
            <w:r>
              <w:rPr/>
              <w:t> </w:t>
            </w:r>
          </w:p>
        </w:tc>
        <w:tc>
          <w:tcPr>
            <w:tcW w:w="126"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4095" w:name="TAB11960"/>
            <w:bookmarkEnd w:id="4095"/>
            <w:r>
              <w:rPr>
                <w:rFonts w:ascii="Times New Roman" w:hAnsi="Times New Roman"/>
                <w:sz w:val="20"/>
              </w:rPr>
              <w:t>$</w:t>
            </w:r>
          </w:p>
        </w:tc>
        <w:tc>
          <w:tcPr>
            <w:tcW w:w="1148"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4096" w:name="TAB11961"/>
            <w:bookmarkEnd w:id="4096"/>
            <w:r>
              <w:rPr>
                <w:rFonts w:ascii="Times New Roman" w:hAnsi="Times New Roman"/>
                <w:sz w:val="20"/>
              </w:rPr>
              <w:t>3,856</w:t>
            </w:r>
          </w:p>
        </w:tc>
        <w:tc>
          <w:tcPr>
            <w:tcW w:w="206" w:type="dxa"/>
            <w:tcBorders/>
            <w:shd w:fill="CCEEFF" w:val="clear"/>
            <w:tcMar>
              <w:bottom w:w="0" w:type="dxa"/>
            </w:tcMar>
            <w:vAlign w:val="bottom"/>
          </w:tcPr>
          <w:p>
            <w:pPr>
              <w:pStyle w:val="TableContents"/>
              <w:spacing w:before="0" w:after="283"/>
              <w:jc w:val="left"/>
              <w:rPr/>
            </w:pPr>
            <w:r>
              <w:rPr/>
              <w:t> </w:t>
            </w:r>
          </w:p>
        </w:tc>
        <w:tc>
          <w:tcPr>
            <w:tcW w:w="126"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4097" w:name="TAB11962"/>
            <w:bookmarkEnd w:id="4097"/>
            <w:r>
              <w:rPr>
                <w:rFonts w:ascii="Times New Roman" w:hAnsi="Times New Roman"/>
                <w:sz w:val="20"/>
              </w:rPr>
              <w:t>$</w:t>
            </w:r>
          </w:p>
        </w:tc>
        <w:tc>
          <w:tcPr>
            <w:tcW w:w="1164"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4098" w:name="TAB11963"/>
            <w:bookmarkEnd w:id="4098"/>
            <w:r>
              <w:rPr>
                <w:rFonts w:ascii="Times New Roman" w:hAnsi="Times New Roman"/>
                <w:sz w:val="20"/>
              </w:rPr>
              <w:t>989</w:t>
            </w:r>
          </w:p>
        </w:tc>
        <w:tc>
          <w:tcPr>
            <w:tcW w:w="206" w:type="dxa"/>
            <w:tcBorders/>
            <w:shd w:fill="CCEEFF" w:val="clear"/>
            <w:tcMar>
              <w:bottom w:w="0" w:type="dxa"/>
            </w:tcMar>
            <w:vAlign w:val="bottom"/>
          </w:tcPr>
          <w:p>
            <w:pPr>
              <w:pStyle w:val="TableContents"/>
              <w:spacing w:before="0" w:after="283"/>
              <w:jc w:val="left"/>
              <w:rPr/>
            </w:pPr>
            <w:r>
              <w:rPr/>
              <w:t> </w:t>
            </w:r>
          </w:p>
        </w:tc>
        <w:tc>
          <w:tcPr>
            <w:tcW w:w="126"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4099" w:name="TAB11964"/>
            <w:bookmarkEnd w:id="4099"/>
            <w:r>
              <w:rPr>
                <w:rFonts w:ascii="Times New Roman" w:hAnsi="Times New Roman"/>
                <w:sz w:val="20"/>
              </w:rPr>
              <w:t>$</w:t>
            </w:r>
          </w:p>
        </w:tc>
        <w:tc>
          <w:tcPr>
            <w:tcW w:w="1164"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4100" w:name="TAB11965"/>
            <w:bookmarkEnd w:id="4100"/>
            <w:r>
              <w:rPr>
                <w:rFonts w:ascii="Times New Roman" w:hAnsi="Times New Roman"/>
                <w:sz w:val="20"/>
              </w:rPr>
              <w:t>(8,463</w:t>
            </w:r>
          </w:p>
        </w:tc>
        <w:tc>
          <w:tcPr>
            <w:tcW w:w="124"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4101" w:name="TAB11966"/>
            <w:bookmarkEnd w:id="4101"/>
            <w:r>
              <w:rPr>
                <w:rFonts w:ascii="Times New Roman" w:hAnsi="Times New Roman"/>
                <w:sz w:val="20"/>
              </w:rPr>
              <w:t>)</w:t>
            </w:r>
          </w:p>
        </w:tc>
      </w:tr>
      <w:tr>
        <w:trPr/>
        <w:tc>
          <w:tcPr>
            <w:tcW w:w="5615"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Cumulative foreign currency adjustment</w:t>
            </w:r>
          </w:p>
        </w:tc>
        <w:tc>
          <w:tcPr>
            <w:tcW w:w="200" w:type="dxa"/>
            <w:tcBorders/>
            <w:shd w:fill="FFFFFF" w:val="clear"/>
            <w:tcMar>
              <w:bottom w:w="0" w:type="dxa"/>
            </w:tcMar>
            <w:vAlign w:val="center"/>
          </w:tcPr>
          <w:p>
            <w:pPr>
              <w:pStyle w:val="TableContents"/>
              <w:spacing w:before="0" w:after="283"/>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148"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4,928</w:t>
            </w:r>
          </w:p>
        </w:tc>
        <w:tc>
          <w:tcPr>
            <w:tcW w:w="206" w:type="dxa"/>
            <w:tcBorders/>
            <w:shd w:fill="FFFFFF" w:val="clear"/>
            <w:tcMar>
              <w:bottom w:w="0" w:type="dxa"/>
            </w:tcMar>
            <w:vAlign w:val="bottom"/>
          </w:tcPr>
          <w:p>
            <w:pPr>
              <w:pStyle w:val="TableContents"/>
              <w:spacing w:before="0" w:after="283"/>
              <w:jc w:val="left"/>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164"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(3,822</w:t>
            </w:r>
          </w:p>
        </w:tc>
        <w:tc>
          <w:tcPr>
            <w:tcW w:w="206"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26" w:type="dxa"/>
            <w:tcBorders/>
            <w:shd w:fill="FFFFFF" w:val="clear"/>
            <w:tcMar>
              <w:bottom w:w="0" w:type="dxa"/>
            </w:tcMar>
            <w:vAlign w:val="bottom"/>
          </w:tcPr>
          <w:p>
            <w:pPr>
              <w:pStyle w:val="TableContents"/>
              <w:spacing w:before="0" w:after="283"/>
              <w:jc w:val="left"/>
              <w:rPr/>
            </w:pPr>
            <w:r>
              <w:rPr/>
              <w:t> </w:t>
            </w:r>
          </w:p>
        </w:tc>
        <w:tc>
          <w:tcPr>
            <w:tcW w:w="1164"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1,190</w:t>
            </w:r>
          </w:p>
        </w:tc>
        <w:tc>
          <w:tcPr>
            <w:tcW w:w="124" w:type="dxa"/>
            <w:tcBorders/>
            <w:shd w:fill="FFFFFF" w:val="clear"/>
            <w:tcMar>
              <w:bottom w:w="0" w:type="dxa"/>
            </w:tcMar>
            <w:vAlign w:val="bottom"/>
          </w:tcPr>
          <w:p>
            <w:pPr>
              <w:pStyle w:val="TableContents"/>
              <w:spacing w:before="0" w:after="283"/>
              <w:jc w:val="left"/>
              <w:rPr/>
            </w:pPr>
            <w:r>
              <w:rPr/>
              <w:t> </w:t>
            </w:r>
          </w:p>
        </w:tc>
      </w:tr>
      <w:tr>
        <w:trPr/>
        <w:tc>
          <w:tcPr>
            <w:tcW w:w="5615" w:type="dxa"/>
            <w:tcBorders>
              <w:bottom w:val="sing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Unrealized gain/(loss) on securities</w:t>
            </w:r>
          </w:p>
        </w:tc>
        <w:tc>
          <w:tcPr>
            <w:tcW w:w="200" w:type="dxa"/>
            <w:tcBorders>
              <w:bottom w:val="single" w:sz="2" w:space="0" w:color="CCEEFF"/>
            </w:tcBorders>
            <w:shd w:fill="CCEEFF" w:val="clear"/>
            <w:vAlign w:val="center"/>
          </w:tcPr>
          <w:p>
            <w:pPr>
              <w:pStyle w:val="TableContents"/>
              <w:spacing w:before="0" w:after="283"/>
              <w:rPr/>
            </w:pPr>
            <w:r>
              <w:rPr/>
              <w:t> </w:t>
            </w:r>
          </w:p>
        </w:tc>
        <w:tc>
          <w:tcPr>
            <w:tcW w:w="126" w:type="dxa"/>
            <w:tcBorders>
              <w:bottom w:val="single" w:sz="2" w:space="0" w:color="000000"/>
            </w:tcBorders>
            <w:shd w:fill="CCEEFF" w:val="clear"/>
            <w:vAlign w:val="bottom"/>
          </w:tcPr>
          <w:p>
            <w:pPr>
              <w:pStyle w:val="TableContents"/>
              <w:spacing w:before="0" w:after="283"/>
              <w:jc w:val="left"/>
              <w:rPr/>
            </w:pPr>
            <w:r>
              <w:rPr/>
              <w:t> </w:t>
            </w:r>
          </w:p>
        </w:tc>
        <w:tc>
          <w:tcPr>
            <w:tcW w:w="1148"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(110</w:t>
            </w:r>
          </w:p>
        </w:tc>
        <w:tc>
          <w:tcPr>
            <w:tcW w:w="206" w:type="dxa"/>
            <w:tcBorders>
              <w:bottom w:val="single" w:sz="2" w:space="0" w:color="CCEEFF"/>
            </w:tcBorders>
            <w:shd w:fill="CCEE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26" w:type="dxa"/>
            <w:tcBorders>
              <w:bottom w:val="single" w:sz="2" w:space="0" w:color="000000"/>
            </w:tcBorders>
            <w:shd w:fill="CCEEFF" w:val="clear"/>
            <w:vAlign w:val="bottom"/>
          </w:tcPr>
          <w:p>
            <w:pPr>
              <w:pStyle w:val="TableContents"/>
              <w:spacing w:before="0" w:after="283"/>
              <w:jc w:val="left"/>
              <w:rPr/>
            </w:pPr>
            <w:r>
              <w:rPr/>
              <w:t> </w:t>
            </w:r>
          </w:p>
        </w:tc>
        <w:tc>
          <w:tcPr>
            <w:tcW w:w="1164"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11</w:t>
            </w:r>
          </w:p>
        </w:tc>
        <w:tc>
          <w:tcPr>
            <w:tcW w:w="206" w:type="dxa"/>
            <w:tcBorders>
              <w:bottom w:val="single" w:sz="2" w:space="0" w:color="CCEEFF"/>
            </w:tcBorders>
            <w:shd w:fill="CCEEFF" w:val="clear"/>
            <w:vAlign w:val="bottom"/>
          </w:tcPr>
          <w:p>
            <w:pPr>
              <w:pStyle w:val="TableContents"/>
              <w:spacing w:before="0" w:after="283"/>
              <w:jc w:val="left"/>
              <w:rPr/>
            </w:pPr>
            <w:r>
              <w:rPr/>
              <w:t> </w:t>
            </w:r>
          </w:p>
        </w:tc>
        <w:tc>
          <w:tcPr>
            <w:tcW w:w="126" w:type="dxa"/>
            <w:tcBorders>
              <w:bottom w:val="single" w:sz="2" w:space="0" w:color="000000"/>
            </w:tcBorders>
            <w:shd w:fill="CCEEFF" w:val="clear"/>
            <w:vAlign w:val="bottom"/>
          </w:tcPr>
          <w:p>
            <w:pPr>
              <w:pStyle w:val="TableContents"/>
              <w:spacing w:before="0" w:after="283"/>
              <w:jc w:val="left"/>
              <w:rPr/>
            </w:pPr>
            <w:r>
              <w:rPr/>
              <w:t> </w:t>
            </w:r>
          </w:p>
        </w:tc>
        <w:tc>
          <w:tcPr>
            <w:tcW w:w="1164"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124" w:type="dxa"/>
            <w:tcBorders>
              <w:bottom w:val="single" w:sz="2" w:space="0" w:color="CCEEFF"/>
            </w:tcBorders>
            <w:shd w:fill="CCEEFF" w:val="clear"/>
            <w:vAlign w:val="bottom"/>
          </w:tcPr>
          <w:p>
            <w:pPr>
              <w:pStyle w:val="TableContents"/>
              <w:spacing w:before="0" w:after="283"/>
              <w:jc w:val="left"/>
              <w:rPr/>
            </w:pPr>
            <w:r>
              <w:rPr/>
              <w:t> </w:t>
            </w:r>
          </w:p>
        </w:tc>
      </w:tr>
      <w:tr>
        <w:trPr/>
        <w:tc>
          <w:tcPr>
            <w:tcW w:w="5615" w:type="dxa"/>
            <w:tcBorders>
              <w:bottom w:val="doub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 xml:space="preserve">Comprehensive income (loss) </w:t>
            </w:r>
          </w:p>
        </w:tc>
        <w:tc>
          <w:tcPr>
            <w:tcW w:w="200" w:type="dxa"/>
            <w:tcBorders>
              <w:bottom w:val="single" w:sz="4" w:space="0" w:color="FFFFFF"/>
            </w:tcBorders>
            <w:shd w:fill="FFFFFF" w:val="clear"/>
            <w:vAlign w:val="center"/>
          </w:tcPr>
          <w:p>
            <w:pPr>
              <w:pStyle w:val="TableContents"/>
              <w:spacing w:before="0" w:after="283"/>
              <w:rPr/>
            </w:pPr>
            <w:r>
              <w:rPr/>
              <w:t> </w:t>
            </w:r>
          </w:p>
        </w:tc>
        <w:tc>
          <w:tcPr>
            <w:tcW w:w="126" w:type="dxa"/>
            <w:tcBorders>
              <w:bottom w:val="doub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bookmarkStart w:id="4102" w:name="TAB11967"/>
            <w:bookmarkEnd w:id="4102"/>
            <w:r>
              <w:rPr>
                <w:rFonts w:ascii="Times New Roman" w:hAnsi="Times New Roman"/>
                <w:sz w:val="20"/>
              </w:rPr>
              <w:t>$</w:t>
            </w:r>
          </w:p>
        </w:tc>
        <w:tc>
          <w:tcPr>
            <w:tcW w:w="1148"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4103" w:name="TAB11968"/>
            <w:bookmarkEnd w:id="4103"/>
            <w:r>
              <w:rPr>
                <w:rFonts w:ascii="Times New Roman" w:hAnsi="Times New Roman"/>
                <w:sz w:val="20"/>
              </w:rPr>
              <w:t>8,674</w:t>
            </w:r>
          </w:p>
        </w:tc>
        <w:tc>
          <w:tcPr>
            <w:tcW w:w="206" w:type="dxa"/>
            <w:tcBorders>
              <w:bottom w:val="single" w:sz="4" w:space="0" w:color="FFFFFF"/>
            </w:tcBorders>
            <w:shd w:fill="FFFFFF" w:val="clear"/>
            <w:vAlign w:val="bottom"/>
          </w:tcPr>
          <w:p>
            <w:pPr>
              <w:pStyle w:val="TableContents"/>
              <w:spacing w:before="0" w:after="283"/>
              <w:jc w:val="left"/>
              <w:rPr/>
            </w:pPr>
            <w:r>
              <w:rPr/>
              <w:t> </w:t>
            </w:r>
          </w:p>
        </w:tc>
        <w:tc>
          <w:tcPr>
            <w:tcW w:w="126" w:type="dxa"/>
            <w:tcBorders>
              <w:bottom w:val="doub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bookmarkStart w:id="4104" w:name="TAB11969"/>
            <w:bookmarkEnd w:id="4104"/>
            <w:r>
              <w:rPr>
                <w:rFonts w:ascii="Times New Roman" w:hAnsi="Times New Roman"/>
                <w:sz w:val="20"/>
              </w:rPr>
              <w:t>$</w:t>
            </w:r>
          </w:p>
        </w:tc>
        <w:tc>
          <w:tcPr>
            <w:tcW w:w="1164"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4105" w:name="TAB11970"/>
            <w:bookmarkEnd w:id="4105"/>
            <w:r>
              <w:rPr>
                <w:rFonts w:ascii="Times New Roman" w:hAnsi="Times New Roman"/>
                <w:sz w:val="20"/>
              </w:rPr>
              <w:t>(2,822</w:t>
            </w:r>
          </w:p>
        </w:tc>
        <w:tc>
          <w:tcPr>
            <w:tcW w:w="206" w:type="dxa"/>
            <w:tcBorders>
              <w:bottom w:val="single" w:sz="4" w:space="0" w:color="FFFFFF"/>
            </w:tcBorders>
            <w:shd w:fill="FFFFFF" w:val="clear"/>
            <w:vAlign w:val="bottom"/>
          </w:tcPr>
          <w:p>
            <w:pPr>
              <w:pStyle w:val="TableContents"/>
              <w:spacing w:lineRule="auto" w:line="300" w:before="0" w:after="0"/>
              <w:ind w:left="0" w:right="0" w:hanging="0"/>
              <w:jc w:val="left"/>
              <w:rPr>
                <w:rFonts w:ascii="Times New Roman" w:hAnsi="Times New Roman"/>
                <w:sz w:val="20"/>
              </w:rPr>
            </w:pPr>
            <w:bookmarkStart w:id="4106" w:name="TAB11971"/>
            <w:bookmarkEnd w:id="4106"/>
            <w:r>
              <w:rPr>
                <w:rFonts w:ascii="Times New Roman" w:hAnsi="Times New Roman"/>
                <w:sz w:val="20"/>
              </w:rPr>
              <w:t>)</w:t>
            </w:r>
          </w:p>
        </w:tc>
        <w:tc>
          <w:tcPr>
            <w:tcW w:w="126" w:type="dxa"/>
            <w:tcBorders>
              <w:bottom w:val="doub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bookmarkStart w:id="4107" w:name="TAB11972"/>
            <w:bookmarkEnd w:id="4107"/>
            <w:r>
              <w:rPr>
                <w:rFonts w:ascii="Times New Roman" w:hAnsi="Times New Roman"/>
                <w:sz w:val="20"/>
              </w:rPr>
              <w:t>$</w:t>
            </w:r>
          </w:p>
        </w:tc>
        <w:tc>
          <w:tcPr>
            <w:tcW w:w="1164"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4108" w:name="TAB11973"/>
            <w:bookmarkEnd w:id="4108"/>
            <w:r>
              <w:rPr>
                <w:rFonts w:ascii="Times New Roman" w:hAnsi="Times New Roman"/>
                <w:sz w:val="20"/>
              </w:rPr>
              <w:t>(7,273</w:t>
            </w:r>
          </w:p>
        </w:tc>
        <w:tc>
          <w:tcPr>
            <w:tcW w:w="124" w:type="dxa"/>
            <w:tcBorders>
              <w:bottom w:val="single" w:sz="4" w:space="0" w:color="FFFFFF"/>
            </w:tcBorders>
            <w:shd w:fill="FFFFFF" w:val="clear"/>
            <w:vAlign w:val="bottom"/>
          </w:tcPr>
          <w:p>
            <w:pPr>
              <w:pStyle w:val="TableContents"/>
              <w:spacing w:lineRule="auto" w:line="300" w:before="0" w:after="0"/>
              <w:ind w:left="0" w:right="0" w:hanging="0"/>
              <w:jc w:val="left"/>
              <w:rPr>
                <w:rFonts w:ascii="Times New Roman" w:hAnsi="Times New Roman"/>
                <w:sz w:val="20"/>
              </w:rPr>
            </w:pPr>
            <w:bookmarkStart w:id="4109" w:name="TAB11974"/>
            <w:bookmarkEnd w:id="4109"/>
            <w:r>
              <w:rPr>
                <w:rFonts w:ascii="Times New Roman" w:hAnsi="Times New Roman"/>
                <w:sz w:val="20"/>
              </w:rPr>
              <w:t>)</w:t>
            </w:r>
          </w:p>
        </w:tc>
      </w:tr>
    </w:tbl>
    <w:p>
      <w:pPr>
        <w:pStyle w:val="TextBody"/>
        <w:spacing w:lineRule="auto" w:line="300"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110" w:name="PGBRK111"/>
      <w:bookmarkStart w:id="4111" w:name="PGBRK111"/>
      <w:bookmarkEnd w:id="411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112" w:name="FTR111"/>
      <w:bookmarkStart w:id="4113" w:name="FTR111"/>
      <w:bookmarkEnd w:id="411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114" w:name="GLFTR111"/>
      <w:bookmarkStart w:id="4115" w:name="GLFTR111"/>
      <w:bookmarkEnd w:id="41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4116" w:name="PN111"/>
      <w:bookmarkEnd w:id="4116"/>
      <w:r>
        <w:rPr>
          <w:rFonts w:ascii="Times New Roman" w:hAnsi="Times New Roman"/>
          <w:sz w:val="16"/>
        </w:rPr>
        <w:t>-111-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117" w:name="HDR111"/>
      <w:bookmarkStart w:id="4118" w:name="HDR111"/>
      <w:bookmarkEnd w:id="411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4119" w:name="GLHDR111"/>
        <w:bookmarkEnd w:id="4119"/>
        <w:r>
          <w:rPr>
            <w:rStyle w:val="Emphasis"/>
            <w:rFonts w:ascii="Times New Roman" w:hAnsi="Times New Roman"/>
            <w:color w:val="000000"/>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300" w:before="0" w:after="0"/>
        <w:ind w:left="0" w:right="0" w:hanging="0"/>
        <w:jc w:val="left"/>
        <w:rPr/>
      </w:pPr>
      <w:r>
        <w:rPr>
          <w:rStyle w:val="StrongEmphasis"/>
          <w:rFonts w:ascii="Times New Roman" w:hAnsi="Times New Roman"/>
          <w:sz w:val="20"/>
          <w:u w:val="single"/>
        </w:rPr>
        <w:t>Note 24 - Future Minimum Rental Income</w:t>
      </w:r>
    </w:p>
    <w:p>
      <w:pPr>
        <w:pStyle w:val="TextBody"/>
        <w:spacing w:lineRule="auto" w:line="300" w:before="0" w:after="0"/>
        <w:ind w:left="0" w:right="0" w:hanging="0"/>
        <w:jc w:val="left"/>
        <w:rPr/>
      </w:pPr>
      <w:r>
        <w:rPr/>
      </w:r>
    </w:p>
    <w:p>
      <w:pPr>
        <w:pStyle w:val="TextBody"/>
        <w:spacing w:lineRule="auto" w:line="300" w:before="0" w:after="0"/>
        <w:ind w:left="720" w:right="0" w:hanging="0"/>
        <w:jc w:val="both"/>
        <w:rPr>
          <w:rFonts w:ascii="Times New Roman" w:hAnsi="Times New Roman"/>
          <w:sz w:val="20"/>
        </w:rPr>
      </w:pPr>
      <w:bookmarkStart w:id="4120" w:name="TAB11975"/>
      <w:bookmarkEnd w:id="4120"/>
      <w:r>
        <w:rPr>
          <w:rFonts w:ascii="Times New Roman" w:hAnsi="Times New Roman"/>
          <w:sz w:val="20"/>
        </w:rPr>
        <w:t>Real estate revenue amounted to $12.1 million, $11.3 million, and $9.8 million, for the years ended December 31, 2006, 2005 and 2004, respectively. For the year ended December 31, 2006, rental revenue includes the revenue from Courtenay Central, Invercargill, Rotorua, and Napier in New Zealand; Auburn, Belmont, Bundaberg, Maitland, Newmarket and Waurn Ponds in Australia; the Union Square Theatre, the Village East Cinema in New York; and the Royal George Theatre in Chicago.</w:t>
      </w:r>
    </w:p>
    <w:p>
      <w:pPr>
        <w:pStyle w:val="TextBody"/>
        <w:spacing w:lineRule="auto" w:line="300" w:before="0" w:after="0"/>
        <w:ind w:left="0" w:right="0" w:hanging="0"/>
        <w:jc w:val="both"/>
        <w:rPr/>
      </w:pPr>
      <w:r>
        <w:rPr/>
      </w:r>
    </w:p>
    <w:p>
      <w:pPr>
        <w:pStyle w:val="TextBody"/>
        <w:spacing w:lineRule="auto" w:line="300" w:before="0" w:after="0"/>
        <w:ind w:left="720" w:right="0" w:hanging="0"/>
        <w:jc w:val="both"/>
        <w:rPr/>
      </w:pPr>
      <w:bookmarkStart w:id="4121" w:name="TAB11976"/>
      <w:bookmarkEnd w:id="4121"/>
      <w:r>
        <w:rPr>
          <w:rFonts w:ascii="Times New Roman" w:hAnsi="Times New Roman"/>
          <w:sz w:val="20"/>
        </w:rPr>
        <w:t>Future minimum rental income under all contractual operating leases is summarized as follows (dollars in thousands):</w:t>
      </w:r>
      <w:r>
        <w:rPr/>
        <w:t> </w:t>
      </w:r>
    </w:p>
    <w:p>
      <w:pPr>
        <w:pStyle w:val="TextBody"/>
        <w:spacing w:lineRule="auto" w:line="300" w:before="0" w:after="0"/>
        <w:ind w:left="0" w:right="0" w:hanging="0"/>
        <w:jc w:val="center"/>
        <w:rPr/>
      </w:pPr>
      <w:r>
        <w:rPr/>
      </w:r>
    </w:p>
    <w:p>
      <w:pPr>
        <w:pStyle w:val="Normal"/>
        <w:spacing w:before="0" w:after="0"/>
        <w:rPr>
          <w:sz w:val="4"/>
          <w:szCs w:val="4"/>
        </w:rPr>
      </w:pPr>
      <w:r>
        <w:rPr>
          <w:sz w:val="4"/>
          <w:szCs w:val="4"/>
        </w:rPr>
      </w:r>
      <w:bookmarkStart w:id="4122" w:name="ftable61"/>
      <w:bookmarkStart w:id="4123" w:name="ftable61"/>
      <w:bookmarkEnd w:id="4123"/>
    </w:p>
    <w:tbl>
      <w:tblPr>
        <w:tblW w:w="5000" w:type="pct"/>
        <w:jc w:val="left"/>
        <w:tblInd w:w="0" w:type="dxa"/>
        <w:tblCellMar>
          <w:top w:w="0" w:type="dxa"/>
          <w:left w:w="0" w:type="dxa"/>
          <w:bottom w:w="28" w:type="dxa"/>
          <w:right w:w="0" w:type="dxa"/>
        </w:tblCellMar>
      </w:tblPr>
      <w:tblGrid>
        <w:gridCol w:w="8514"/>
        <w:gridCol w:w="210"/>
        <w:gridCol w:w="130"/>
        <w:gridCol w:w="1231"/>
        <w:gridCol w:w="120"/>
      </w:tblGrid>
      <w:tr>
        <w:trPr/>
        <w:tc>
          <w:tcPr>
            <w:tcW w:w="8514" w:type="dxa"/>
            <w:tcBorders>
              <w:bottom w:val="double" w:sz="2" w:space="0" w:color="000000"/>
            </w:tcBorders>
            <w:shd w:fill="auto" w:val="clear"/>
            <w:vAlign w:val="bottom"/>
          </w:tcPr>
          <w:p>
            <w:pPr>
              <w:pStyle w:val="TableContents"/>
              <w:spacing w:lineRule="auto" w:line="300" w:before="0" w:after="0"/>
              <w:ind w:left="0" w:right="0" w:hanging="0"/>
              <w:jc w:val="left"/>
              <w:rPr/>
            </w:pPr>
            <w:r>
              <w:rPr>
                <w:rStyle w:val="StrongEmphasis"/>
                <w:rFonts w:ascii="Times New Roman" w:hAnsi="Times New Roman"/>
                <w:sz w:val="20"/>
              </w:rPr>
              <w:t>Year Ending December 31,</w:t>
            </w:r>
          </w:p>
        </w:tc>
        <w:tc>
          <w:tcPr>
            <w:tcW w:w="210" w:type="dxa"/>
            <w:tcBorders>
              <w:bottom w:val="single" w:sz="4" w:space="0" w:color="FFFFFF"/>
            </w:tcBorders>
            <w:shd w:fill="auto" w:val="clear"/>
            <w:vAlign w:val="center"/>
          </w:tcPr>
          <w:p>
            <w:pPr>
              <w:pStyle w:val="TableContents"/>
              <w:spacing w:before="0" w:after="283"/>
              <w:rPr/>
            </w:pPr>
            <w:r>
              <w:rPr/>
              <w:t> </w:t>
            </w:r>
          </w:p>
        </w:tc>
        <w:tc>
          <w:tcPr>
            <w:tcW w:w="1361" w:type="dxa"/>
            <w:gridSpan w:val="2"/>
            <w:tcBorders>
              <w:bottom w:val="double" w:sz="2" w:space="0" w:color="000000"/>
            </w:tcBorders>
            <w:shd w:fill="auto" w:val="clear"/>
            <w:vAlign w:val="bottom"/>
          </w:tcPr>
          <w:p>
            <w:pPr>
              <w:pStyle w:val="TableContents"/>
              <w:spacing w:before="0" w:after="283"/>
              <w:jc w:val="both"/>
              <w:rPr/>
            </w:pPr>
            <w:r>
              <w:rPr/>
              <w:t> </w:t>
            </w:r>
          </w:p>
        </w:tc>
        <w:tc>
          <w:tcPr>
            <w:tcW w:w="120" w:type="dxa"/>
            <w:tcBorders>
              <w:bottom w:val="single" w:sz="4" w:space="0" w:color="FFFFFF"/>
            </w:tcBorders>
            <w:shd w:fill="auto" w:val="clear"/>
            <w:vAlign w:val="bottom"/>
          </w:tcPr>
          <w:p>
            <w:pPr>
              <w:pStyle w:val="TableContents"/>
              <w:spacing w:before="0" w:after="283"/>
              <w:jc w:val="left"/>
              <w:rPr/>
            </w:pPr>
            <w:r>
              <w:rPr/>
              <w:t> </w:t>
            </w:r>
          </w:p>
        </w:tc>
      </w:tr>
      <w:tr>
        <w:trPr/>
        <w:tc>
          <w:tcPr>
            <w:tcW w:w="8514" w:type="dxa"/>
            <w:tcBorders/>
            <w:shd w:fill="CCEEFF" w:val="clear"/>
            <w:tcMar>
              <w:bottom w:w="0" w:type="dxa"/>
            </w:tcMar>
            <w:vAlign w:val="bottom"/>
          </w:tcPr>
          <w:p>
            <w:pPr>
              <w:pStyle w:val="TableContents"/>
              <w:spacing w:lineRule="auto" w:line="300" w:before="0" w:after="0"/>
              <w:ind w:left="360" w:right="0" w:hanging="0"/>
              <w:jc w:val="left"/>
              <w:rPr>
                <w:rFonts w:ascii="Times New Roman" w:hAnsi="Times New Roman"/>
                <w:sz w:val="20"/>
              </w:rPr>
            </w:pPr>
            <w:r>
              <w:rPr>
                <w:rFonts w:ascii="Times New Roman" w:hAnsi="Times New Roman"/>
                <w:sz w:val="20"/>
              </w:rPr>
              <w:t>2007</w:t>
            </w:r>
          </w:p>
        </w:tc>
        <w:tc>
          <w:tcPr>
            <w:tcW w:w="210" w:type="dxa"/>
            <w:tcBorders/>
            <w:shd w:fill="CCEEFF" w:val="clear"/>
            <w:tcMar>
              <w:bottom w:w="0" w:type="dxa"/>
            </w:tcMar>
            <w:vAlign w:val="center"/>
          </w:tcPr>
          <w:p>
            <w:pPr>
              <w:pStyle w:val="TableContents"/>
              <w:spacing w:before="0" w:after="283"/>
              <w:rPr/>
            </w:pPr>
            <w:r>
              <w:rPr/>
              <w:t> </w:t>
            </w:r>
          </w:p>
        </w:tc>
        <w:tc>
          <w:tcPr>
            <w:tcW w:w="130"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bookmarkStart w:id="4124" w:name="TAB2277"/>
            <w:bookmarkEnd w:id="4124"/>
          </w:p>
        </w:tc>
        <w:tc>
          <w:tcPr>
            <w:tcW w:w="1231"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4125" w:name="TAB2278"/>
            <w:bookmarkEnd w:id="4125"/>
            <w:r>
              <w:rPr>
                <w:rFonts w:ascii="Times New Roman" w:hAnsi="Times New Roman"/>
                <w:sz w:val="20"/>
              </w:rPr>
              <w:t>6,675</w:t>
            </w:r>
          </w:p>
        </w:tc>
        <w:tc>
          <w:tcPr>
            <w:tcW w:w="120" w:type="dxa"/>
            <w:tcBorders/>
            <w:shd w:fill="CCEEFF" w:val="clear"/>
            <w:tcMar>
              <w:bottom w:w="0" w:type="dxa"/>
            </w:tcMar>
            <w:vAlign w:val="bottom"/>
          </w:tcPr>
          <w:p>
            <w:pPr>
              <w:pStyle w:val="TableContents"/>
              <w:spacing w:before="0" w:after="283"/>
              <w:jc w:val="left"/>
              <w:rPr/>
            </w:pPr>
            <w:r>
              <w:rPr/>
              <w:t> </w:t>
            </w:r>
          </w:p>
        </w:tc>
      </w:tr>
      <w:tr>
        <w:trPr/>
        <w:tc>
          <w:tcPr>
            <w:tcW w:w="8514" w:type="dxa"/>
            <w:tcBorders/>
            <w:shd w:fill="FFFFFF" w:val="clear"/>
            <w:tcMar>
              <w:bottom w:w="0" w:type="dxa"/>
            </w:tcMar>
            <w:vAlign w:val="bottom"/>
          </w:tcPr>
          <w:p>
            <w:pPr>
              <w:pStyle w:val="TableContents"/>
              <w:spacing w:lineRule="auto" w:line="300" w:before="0" w:after="0"/>
              <w:ind w:left="360" w:right="0" w:hanging="0"/>
              <w:jc w:val="left"/>
              <w:rPr>
                <w:rFonts w:ascii="Times New Roman" w:hAnsi="Times New Roman"/>
                <w:sz w:val="20"/>
              </w:rPr>
            </w:pPr>
            <w:r>
              <w:rPr>
                <w:rFonts w:ascii="Times New Roman" w:hAnsi="Times New Roman"/>
                <w:sz w:val="20"/>
              </w:rPr>
              <w:t>2008</w:t>
            </w:r>
          </w:p>
        </w:tc>
        <w:tc>
          <w:tcPr>
            <w:tcW w:w="210" w:type="dxa"/>
            <w:tcBorders/>
            <w:shd w:fill="FFFFFF" w:val="clear"/>
            <w:tcMar>
              <w:bottom w:w="0" w:type="dxa"/>
            </w:tcMar>
            <w:vAlign w:val="center"/>
          </w:tcPr>
          <w:p>
            <w:pPr>
              <w:pStyle w:val="TableContents"/>
              <w:spacing w:before="0" w:after="283"/>
              <w:rPr/>
            </w:pPr>
            <w:r>
              <w:rPr/>
              <w:t> </w:t>
            </w:r>
          </w:p>
        </w:tc>
        <w:tc>
          <w:tcPr>
            <w:tcW w:w="130" w:type="dxa"/>
            <w:tcBorders/>
            <w:shd w:fill="FFFFFF" w:val="clear"/>
            <w:tcMar>
              <w:bottom w:w="0" w:type="dxa"/>
            </w:tcMar>
            <w:vAlign w:val="bottom"/>
          </w:tcPr>
          <w:p>
            <w:pPr>
              <w:pStyle w:val="TableContents"/>
              <w:spacing w:before="0" w:after="283"/>
              <w:jc w:val="left"/>
              <w:rPr/>
            </w:pPr>
            <w:r>
              <w:rPr/>
              <w:t> </w:t>
            </w:r>
          </w:p>
        </w:tc>
        <w:tc>
          <w:tcPr>
            <w:tcW w:w="1231"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5,818</w:t>
            </w:r>
          </w:p>
        </w:tc>
        <w:tc>
          <w:tcPr>
            <w:tcW w:w="120" w:type="dxa"/>
            <w:tcBorders/>
            <w:shd w:fill="FFFFFF" w:val="clear"/>
            <w:tcMar>
              <w:bottom w:w="0" w:type="dxa"/>
            </w:tcMar>
            <w:vAlign w:val="bottom"/>
          </w:tcPr>
          <w:p>
            <w:pPr>
              <w:pStyle w:val="TableContents"/>
              <w:spacing w:before="0" w:after="283"/>
              <w:jc w:val="left"/>
              <w:rPr/>
            </w:pPr>
            <w:r>
              <w:rPr/>
              <w:t> </w:t>
            </w:r>
          </w:p>
        </w:tc>
      </w:tr>
      <w:tr>
        <w:trPr/>
        <w:tc>
          <w:tcPr>
            <w:tcW w:w="8514" w:type="dxa"/>
            <w:tcBorders/>
            <w:shd w:fill="CCEEFF" w:val="clear"/>
            <w:tcMar>
              <w:bottom w:w="0" w:type="dxa"/>
            </w:tcMar>
            <w:vAlign w:val="bottom"/>
          </w:tcPr>
          <w:p>
            <w:pPr>
              <w:pStyle w:val="TableContents"/>
              <w:spacing w:lineRule="auto" w:line="300" w:before="0" w:after="0"/>
              <w:ind w:left="360" w:right="0" w:hanging="0"/>
              <w:jc w:val="left"/>
              <w:rPr>
                <w:rFonts w:ascii="Times New Roman" w:hAnsi="Times New Roman"/>
                <w:sz w:val="20"/>
              </w:rPr>
            </w:pPr>
            <w:r>
              <w:rPr>
                <w:rFonts w:ascii="Times New Roman" w:hAnsi="Times New Roman"/>
                <w:sz w:val="20"/>
              </w:rPr>
              <w:t>2009</w:t>
            </w:r>
          </w:p>
        </w:tc>
        <w:tc>
          <w:tcPr>
            <w:tcW w:w="210" w:type="dxa"/>
            <w:tcBorders/>
            <w:shd w:fill="CCEEFF" w:val="clear"/>
            <w:tcMar>
              <w:bottom w:w="0" w:type="dxa"/>
            </w:tcMar>
            <w:vAlign w:val="center"/>
          </w:tcPr>
          <w:p>
            <w:pPr>
              <w:pStyle w:val="TableContents"/>
              <w:spacing w:before="0" w:after="283"/>
              <w:rPr/>
            </w:pPr>
            <w:r>
              <w:rPr/>
              <w:t> </w:t>
            </w:r>
          </w:p>
        </w:tc>
        <w:tc>
          <w:tcPr>
            <w:tcW w:w="130" w:type="dxa"/>
            <w:tcBorders/>
            <w:shd w:fill="CCEEFF" w:val="clear"/>
            <w:tcMar>
              <w:bottom w:w="0" w:type="dxa"/>
            </w:tcMar>
            <w:vAlign w:val="bottom"/>
          </w:tcPr>
          <w:p>
            <w:pPr>
              <w:pStyle w:val="TableContents"/>
              <w:spacing w:before="0" w:after="283"/>
              <w:jc w:val="left"/>
              <w:rPr/>
            </w:pPr>
            <w:r>
              <w:rPr/>
              <w:t> </w:t>
            </w:r>
          </w:p>
        </w:tc>
        <w:tc>
          <w:tcPr>
            <w:tcW w:w="1231"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4,609</w:t>
            </w:r>
          </w:p>
        </w:tc>
        <w:tc>
          <w:tcPr>
            <w:tcW w:w="120" w:type="dxa"/>
            <w:tcBorders/>
            <w:shd w:fill="CCEEFF" w:val="clear"/>
            <w:tcMar>
              <w:bottom w:w="0" w:type="dxa"/>
            </w:tcMar>
            <w:vAlign w:val="bottom"/>
          </w:tcPr>
          <w:p>
            <w:pPr>
              <w:pStyle w:val="TableContents"/>
              <w:spacing w:before="0" w:after="283"/>
              <w:jc w:val="left"/>
              <w:rPr/>
            </w:pPr>
            <w:r>
              <w:rPr/>
              <w:t> </w:t>
            </w:r>
          </w:p>
        </w:tc>
      </w:tr>
      <w:tr>
        <w:trPr/>
        <w:tc>
          <w:tcPr>
            <w:tcW w:w="8514" w:type="dxa"/>
            <w:tcBorders/>
            <w:shd w:fill="FFFFFF" w:val="clear"/>
            <w:tcMar>
              <w:bottom w:w="0" w:type="dxa"/>
            </w:tcMar>
            <w:vAlign w:val="bottom"/>
          </w:tcPr>
          <w:p>
            <w:pPr>
              <w:pStyle w:val="TableContents"/>
              <w:spacing w:lineRule="auto" w:line="300" w:before="0" w:after="0"/>
              <w:ind w:left="360" w:right="0" w:hanging="0"/>
              <w:jc w:val="left"/>
              <w:rPr>
                <w:rFonts w:ascii="Times New Roman" w:hAnsi="Times New Roman"/>
                <w:sz w:val="20"/>
              </w:rPr>
            </w:pPr>
            <w:r>
              <w:rPr>
                <w:rFonts w:ascii="Times New Roman" w:hAnsi="Times New Roman"/>
                <w:sz w:val="20"/>
              </w:rPr>
              <w:t>2010</w:t>
            </w:r>
          </w:p>
        </w:tc>
        <w:tc>
          <w:tcPr>
            <w:tcW w:w="210" w:type="dxa"/>
            <w:tcBorders/>
            <w:shd w:fill="FFFFFF" w:val="clear"/>
            <w:tcMar>
              <w:bottom w:w="0" w:type="dxa"/>
            </w:tcMar>
            <w:vAlign w:val="center"/>
          </w:tcPr>
          <w:p>
            <w:pPr>
              <w:pStyle w:val="TableContents"/>
              <w:spacing w:before="0" w:after="283"/>
              <w:rPr/>
            </w:pPr>
            <w:r>
              <w:rPr/>
              <w:t> </w:t>
            </w:r>
          </w:p>
        </w:tc>
        <w:tc>
          <w:tcPr>
            <w:tcW w:w="130" w:type="dxa"/>
            <w:tcBorders/>
            <w:shd w:fill="FFFFFF" w:val="clear"/>
            <w:tcMar>
              <w:bottom w:w="0" w:type="dxa"/>
            </w:tcMar>
            <w:vAlign w:val="bottom"/>
          </w:tcPr>
          <w:p>
            <w:pPr>
              <w:pStyle w:val="TableContents"/>
              <w:spacing w:before="0" w:after="283"/>
              <w:jc w:val="left"/>
              <w:rPr/>
            </w:pPr>
            <w:r>
              <w:rPr/>
              <w:t> </w:t>
            </w:r>
          </w:p>
        </w:tc>
        <w:tc>
          <w:tcPr>
            <w:tcW w:w="1231"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4,205</w:t>
            </w:r>
          </w:p>
        </w:tc>
        <w:tc>
          <w:tcPr>
            <w:tcW w:w="120" w:type="dxa"/>
            <w:tcBorders/>
            <w:shd w:fill="FFFFFF" w:val="clear"/>
            <w:tcMar>
              <w:bottom w:w="0" w:type="dxa"/>
            </w:tcMar>
            <w:vAlign w:val="bottom"/>
          </w:tcPr>
          <w:p>
            <w:pPr>
              <w:pStyle w:val="TableContents"/>
              <w:spacing w:before="0" w:after="283"/>
              <w:jc w:val="left"/>
              <w:rPr/>
            </w:pPr>
            <w:r>
              <w:rPr/>
              <w:t> </w:t>
            </w:r>
          </w:p>
        </w:tc>
      </w:tr>
      <w:tr>
        <w:trPr/>
        <w:tc>
          <w:tcPr>
            <w:tcW w:w="8514" w:type="dxa"/>
            <w:tcBorders/>
            <w:shd w:fill="CCEEFF" w:val="clear"/>
            <w:tcMar>
              <w:bottom w:w="0" w:type="dxa"/>
            </w:tcMar>
            <w:vAlign w:val="bottom"/>
          </w:tcPr>
          <w:p>
            <w:pPr>
              <w:pStyle w:val="TableContents"/>
              <w:spacing w:lineRule="auto" w:line="300" w:before="0" w:after="0"/>
              <w:ind w:left="360" w:right="0" w:hanging="0"/>
              <w:jc w:val="left"/>
              <w:rPr>
                <w:rFonts w:ascii="Times New Roman" w:hAnsi="Times New Roman"/>
                <w:sz w:val="20"/>
              </w:rPr>
            </w:pPr>
            <w:r>
              <w:rPr>
                <w:rFonts w:ascii="Times New Roman" w:hAnsi="Times New Roman"/>
                <w:sz w:val="20"/>
              </w:rPr>
              <w:t>2011</w:t>
            </w:r>
          </w:p>
        </w:tc>
        <w:tc>
          <w:tcPr>
            <w:tcW w:w="210" w:type="dxa"/>
            <w:tcBorders/>
            <w:shd w:fill="CCEEFF" w:val="clear"/>
            <w:tcMar>
              <w:bottom w:w="0" w:type="dxa"/>
            </w:tcMar>
            <w:vAlign w:val="center"/>
          </w:tcPr>
          <w:p>
            <w:pPr>
              <w:pStyle w:val="TableContents"/>
              <w:spacing w:before="0" w:after="283"/>
              <w:rPr/>
            </w:pPr>
            <w:r>
              <w:rPr/>
              <w:t> </w:t>
            </w:r>
          </w:p>
        </w:tc>
        <w:tc>
          <w:tcPr>
            <w:tcW w:w="130" w:type="dxa"/>
            <w:tcBorders/>
            <w:shd w:fill="CCEEFF" w:val="clear"/>
            <w:tcMar>
              <w:bottom w:w="0" w:type="dxa"/>
            </w:tcMar>
            <w:vAlign w:val="bottom"/>
          </w:tcPr>
          <w:p>
            <w:pPr>
              <w:pStyle w:val="TableContents"/>
              <w:spacing w:before="0" w:after="283"/>
              <w:jc w:val="left"/>
              <w:rPr/>
            </w:pPr>
            <w:r>
              <w:rPr/>
              <w:t> </w:t>
            </w:r>
          </w:p>
        </w:tc>
        <w:tc>
          <w:tcPr>
            <w:tcW w:w="1231"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3,905</w:t>
            </w:r>
          </w:p>
        </w:tc>
        <w:tc>
          <w:tcPr>
            <w:tcW w:w="120" w:type="dxa"/>
            <w:tcBorders/>
            <w:shd w:fill="CCEEFF" w:val="clear"/>
            <w:tcMar>
              <w:bottom w:w="0" w:type="dxa"/>
            </w:tcMar>
            <w:vAlign w:val="bottom"/>
          </w:tcPr>
          <w:p>
            <w:pPr>
              <w:pStyle w:val="TableContents"/>
              <w:spacing w:before="0" w:after="283"/>
              <w:jc w:val="left"/>
              <w:rPr/>
            </w:pPr>
            <w:r>
              <w:rPr/>
              <w:t> </w:t>
            </w:r>
          </w:p>
        </w:tc>
      </w:tr>
      <w:tr>
        <w:trPr/>
        <w:tc>
          <w:tcPr>
            <w:tcW w:w="8514" w:type="dxa"/>
            <w:tcBorders>
              <w:bottom w:val="single" w:sz="2" w:space="0" w:color="000000"/>
            </w:tcBorders>
            <w:shd w:fill="FFFFFF" w:val="clear"/>
            <w:vAlign w:val="bottom"/>
          </w:tcPr>
          <w:p>
            <w:pPr>
              <w:pStyle w:val="TableContents"/>
              <w:spacing w:lineRule="auto" w:line="300" w:before="0" w:after="0"/>
              <w:ind w:left="360" w:right="0" w:hanging="0"/>
              <w:jc w:val="left"/>
              <w:rPr>
                <w:rFonts w:ascii="Times New Roman" w:hAnsi="Times New Roman"/>
                <w:sz w:val="20"/>
              </w:rPr>
            </w:pPr>
            <w:r>
              <w:rPr>
                <w:rFonts w:ascii="Times New Roman" w:hAnsi="Times New Roman"/>
                <w:sz w:val="20"/>
              </w:rPr>
              <w:t>Thereafter</w:t>
            </w:r>
          </w:p>
        </w:tc>
        <w:tc>
          <w:tcPr>
            <w:tcW w:w="210" w:type="dxa"/>
            <w:tcBorders>
              <w:bottom w:val="single" w:sz="2" w:space="0" w:color="FFFFFF"/>
            </w:tcBorders>
            <w:shd w:fill="FFFFFF" w:val="clear"/>
            <w:vAlign w:val="center"/>
          </w:tcPr>
          <w:p>
            <w:pPr>
              <w:pStyle w:val="TableContents"/>
              <w:spacing w:before="0" w:after="283"/>
              <w:rPr/>
            </w:pPr>
            <w:r>
              <w:rPr/>
              <w:t> </w:t>
            </w:r>
          </w:p>
        </w:tc>
        <w:tc>
          <w:tcPr>
            <w:tcW w:w="130" w:type="dxa"/>
            <w:tcBorders>
              <w:bottom w:val="single" w:sz="2" w:space="0" w:color="000000"/>
            </w:tcBorders>
            <w:shd w:fill="FFFFFF" w:val="clear"/>
            <w:vAlign w:val="bottom"/>
          </w:tcPr>
          <w:p>
            <w:pPr>
              <w:pStyle w:val="TableContents"/>
              <w:spacing w:before="0" w:after="283"/>
              <w:jc w:val="left"/>
              <w:rPr/>
            </w:pPr>
            <w:r>
              <w:rPr/>
              <w:t> </w:t>
            </w:r>
          </w:p>
        </w:tc>
        <w:tc>
          <w:tcPr>
            <w:tcW w:w="1231"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34,846</w:t>
            </w:r>
          </w:p>
        </w:tc>
        <w:tc>
          <w:tcPr>
            <w:tcW w:w="120" w:type="dxa"/>
            <w:tcBorders>
              <w:bottom w:val="single" w:sz="2" w:space="0" w:color="FFFFFF"/>
            </w:tcBorders>
            <w:shd w:fill="FFFFFF" w:val="clear"/>
            <w:vAlign w:val="bottom"/>
          </w:tcPr>
          <w:p>
            <w:pPr>
              <w:pStyle w:val="TableContents"/>
              <w:spacing w:before="0" w:after="283"/>
              <w:jc w:val="left"/>
              <w:rPr/>
            </w:pPr>
            <w:r>
              <w:rPr/>
              <w:t> </w:t>
            </w:r>
          </w:p>
        </w:tc>
      </w:tr>
      <w:tr>
        <w:trPr/>
        <w:tc>
          <w:tcPr>
            <w:tcW w:w="8514" w:type="dxa"/>
            <w:tcBorders>
              <w:bottom w:val="double" w:sz="2" w:space="0" w:color="000000"/>
            </w:tcBorders>
            <w:shd w:fill="CCEEFF" w:val="clear"/>
            <w:vAlign w:val="bottom"/>
          </w:tcPr>
          <w:p>
            <w:pPr>
              <w:pStyle w:val="TableContents"/>
              <w:spacing w:lineRule="auto" w:line="300" w:before="0" w:after="0"/>
              <w:ind w:left="360" w:right="0" w:hanging="0"/>
              <w:jc w:val="left"/>
              <w:rPr>
                <w:rFonts w:ascii="Times New Roman" w:hAnsi="Times New Roman"/>
                <w:sz w:val="20"/>
              </w:rPr>
            </w:pPr>
            <w:bookmarkStart w:id="4126" w:name="TAB11977"/>
            <w:bookmarkEnd w:id="4126"/>
            <w:r>
              <w:rPr>
                <w:rFonts w:ascii="Times New Roman" w:hAnsi="Times New Roman"/>
                <w:sz w:val="20"/>
              </w:rPr>
              <w:t>Total future minimum rental income</w:t>
            </w:r>
          </w:p>
        </w:tc>
        <w:tc>
          <w:tcPr>
            <w:tcW w:w="210" w:type="dxa"/>
            <w:tcBorders>
              <w:bottom w:val="single" w:sz="4" w:space="0" w:color="CCEEFF"/>
            </w:tcBorders>
            <w:shd w:fill="CCEEFF" w:val="clear"/>
            <w:vAlign w:val="center"/>
          </w:tcPr>
          <w:p>
            <w:pPr>
              <w:pStyle w:val="TableContents"/>
              <w:spacing w:before="0" w:after="283"/>
              <w:rPr/>
            </w:pPr>
            <w:r>
              <w:rPr/>
              <w:t> </w:t>
            </w:r>
          </w:p>
        </w:tc>
        <w:tc>
          <w:tcPr>
            <w:tcW w:w="130" w:type="dxa"/>
            <w:tcBorders>
              <w:bottom w:val="doub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bookmarkStart w:id="4127" w:name="TAB2279"/>
            <w:bookmarkEnd w:id="4127"/>
          </w:p>
        </w:tc>
        <w:tc>
          <w:tcPr>
            <w:tcW w:w="1231" w:type="dxa"/>
            <w:tcBorders>
              <w:bottom w:val="doub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4128" w:name="TAB2280"/>
            <w:bookmarkEnd w:id="4128"/>
            <w:r>
              <w:rPr>
                <w:rFonts w:ascii="Times New Roman" w:hAnsi="Times New Roman"/>
                <w:sz w:val="20"/>
              </w:rPr>
              <w:t>60,058</w:t>
            </w:r>
          </w:p>
        </w:tc>
        <w:tc>
          <w:tcPr>
            <w:tcW w:w="120" w:type="dxa"/>
            <w:tcBorders>
              <w:bottom w:val="single" w:sz="4" w:space="0" w:color="CCEEFF"/>
            </w:tcBorders>
            <w:shd w:fill="CCEEFF" w:val="clear"/>
            <w:vAlign w:val="bottom"/>
          </w:tcPr>
          <w:p>
            <w:pPr>
              <w:pStyle w:val="TableContents"/>
              <w:spacing w:before="0" w:after="283"/>
              <w:jc w:val="left"/>
              <w:rPr/>
            </w:pPr>
            <w:r>
              <w:rPr/>
              <w:t> </w:t>
            </w:r>
          </w:p>
        </w:tc>
      </w:tr>
    </w:tbl>
    <w:p>
      <w:pPr>
        <w:pStyle w:val="TextBody"/>
        <w:spacing w:lineRule="auto" w:line="300" w:before="0" w:after="0"/>
        <w:ind w:left="0" w:right="0" w:hanging="0"/>
        <w:jc w:val="left"/>
        <w:rPr/>
      </w:pPr>
      <w:r>
        <w:rPr/>
      </w:r>
    </w:p>
    <w:p>
      <w:pPr>
        <w:pStyle w:val="TextBody"/>
        <w:spacing w:lineRule="auto" w:line="300" w:before="0" w:after="0"/>
        <w:ind w:left="0" w:right="0" w:hanging="0"/>
        <w:jc w:val="both"/>
        <w:rPr/>
      </w:pPr>
      <w:r>
        <w:rPr/>
      </w:r>
    </w:p>
    <w:p>
      <w:pPr>
        <w:pStyle w:val="TextBody"/>
        <w:spacing w:lineRule="auto" w:line="300" w:before="0" w:after="0"/>
        <w:ind w:left="0" w:right="0" w:hanging="0"/>
        <w:jc w:val="both"/>
        <w:rPr/>
      </w:pPr>
      <w:r>
        <w:rPr>
          <w:rStyle w:val="StrongEmphasis"/>
          <w:rFonts w:ascii="Times New Roman" w:hAnsi="Times New Roman"/>
          <w:sz w:val="20"/>
          <w:u w:val="single"/>
        </w:rPr>
        <w:t>Note 25 - Related Parties and Transactions</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u w:val="single"/>
        </w:rPr>
      </w:pPr>
      <w:r>
        <w:rPr>
          <w:rFonts w:ascii="Times New Roman" w:hAnsi="Times New Roman"/>
          <w:sz w:val="20"/>
          <w:u w:val="single"/>
        </w:rPr>
        <w:t>Sutton Hill Transaction</w:t>
      </w:r>
    </w:p>
    <w:p>
      <w:pPr>
        <w:pStyle w:val="TextBody"/>
        <w:spacing w:lineRule="auto" w:line="300" w:before="0" w:after="0"/>
        <w:ind w:left="0" w:right="0" w:hanging="0"/>
        <w:jc w:val="both"/>
        <w:rPr/>
      </w:pPr>
      <w:r>
        <w:rPr/>
        <w:t> </w:t>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 xml:space="preserve">In 2000, we entered into a transaction with Sutton Hill Capital L.L.C. (“SHC”), a related party, designed to give us (i) operating control, through an operating lease, of the 4 cinema “City Cinemas” theater chain in Manhattan, and (ii) the right to enjoy any appreciation in the underlying real estate assets, though a fixed price option to purchase these cinemas on an all or nothing basis in 2010. Two of the cinemas included in that chain - the Murray Hill Cinema and the Sutton Cinema - have now been sold for redevelopment, under terms that we believe preserve this basic structure and which will, if we exercise our purchase option, give us the future benefit of any appreciation realized in those assets during the time they were under our operation and control. In addition, this last year we acquired as a part of a tax-deferred exchange pursuant to Section 1031 of the Internal Revenue Code, (i) from a third party, the fee interest underlying the third of the four cinemas (the Cinemas 1, 2 &amp; 3) and (ii) from SHC its tenant’s interest in the ground lease underlying the Cinemas 1, 2 &amp; 3. Set out below is a more detailed discussion of the City Cinemas Transaction, and the subsequent modifications of that transaction to provide for the release of the Murray Hill Cinema, the Sutton Cinema and the Cinemas 1, 2 &amp; 3 properties. </w:t>
      </w:r>
    </w:p>
    <w:p>
      <w:pPr>
        <w:pStyle w:val="TextBody"/>
        <w:spacing w:lineRule="auto" w:line="300" w:before="0" w:after="0"/>
        <w:ind w:left="720" w:right="0" w:hanging="0"/>
        <w:jc w:val="both"/>
        <w:rPr/>
      </w:pPr>
      <w:r>
        <w:rPr/>
      </w:r>
    </w:p>
    <w:p>
      <w:pPr>
        <w:pStyle w:val="TextBody"/>
        <w:spacing w:lineRule="auto" w:line="300" w:before="0" w:after="0"/>
        <w:ind w:left="720" w:right="720" w:hanging="0"/>
        <w:jc w:val="both"/>
        <w:rPr>
          <w:rFonts w:ascii="Times New Roman" w:hAnsi="Times New Roman"/>
          <w:sz w:val="20"/>
        </w:rPr>
      </w:pPr>
      <w:r>
        <w:rPr>
          <w:rFonts w:ascii="Times New Roman" w:hAnsi="Times New Roman"/>
          <w:sz w:val="20"/>
        </w:rPr>
        <w:t xml:space="preserve">In July 2000, we acquired from SHC the Manhattan based City Cinemas circuit in a transaction structured as a 10 year operating lease (the “City Cinemas Operating Lease”) with options either to extend the lease for an additional 10 year term or, alternatively, to purchase the improvements and certain of the real estate assets underlying that lease (the “City Cinemas Purchase Option”). We paid an option fee of $5.0 million, which will be applied against the purchase price if we elect to exercise the City Cinemas Purchase Option. The aggregate exercise price of the City Cinemas Purchase Option was originally $48.0 million, and rent was calculated to provide an 8.25% yield to SHC (subject to an annual modified cost of living adjustment) on the difference between the exercise price and the $5.0 million option fee. Incident to that transaction, we agreed to lend to SHC (the “City Cinemas Standby Credit Facility”) up to $28.0 million, beginning in July 2007, all due and payable in December 2010 (the principal balance and accrued interest on any such loan was likewise to be applied against the option exercise price, in the event the option was exercised). The interest rate on the City Cinemas Standby Credit Facility was also fixed at 8.25%, subject to the same modified cost of living adjustment used to calculate rent under the City Cinemas Operating Lease. </w:t>
      </w:r>
    </w:p>
    <w:p>
      <w:pPr>
        <w:pStyle w:val="TextBody"/>
        <w:spacing w:lineRule="auto" w:line="300" w:before="0" w:after="0"/>
        <w:ind w:left="720" w:right="720" w:hanging="0"/>
        <w:jc w:val="both"/>
        <w:rPr/>
      </w:pPr>
      <w:r>
        <w:rPr/>
      </w:r>
    </w:p>
    <w:p>
      <w:pPr>
        <w:pStyle w:val="TextBody"/>
        <w:spacing w:lineRule="auto" w:line="300" w:before="0" w:after="0"/>
        <w:ind w:left="720" w:right="720" w:hanging="0"/>
        <w:jc w:val="both"/>
        <w:rPr>
          <w:rFonts w:ascii="Times New Roman" w:hAnsi="Times New Roman"/>
          <w:sz w:val="20"/>
        </w:rPr>
      </w:pPr>
      <w:r>
        <w:rPr>
          <w:rFonts w:ascii="Times New Roman" w:hAnsi="Times New Roman"/>
          <w:sz w:val="20"/>
        </w:rPr>
        <w:t>We have no legal obligation to exercise either the option to extend the City Cinemas Operating Lease or the City Cinemas Purchase Option. However, our recourse against SHC on the City Cinemas Standby Credit Facility is limited to the assets of SHC which consist of, generally speaking, only the assets subject to the City Cinemas Purchase Option. In this annual report, we refer to the transaction memorialized by the City Cinemas Operating Lease, City Cinemas Purchase Option and City Cinemas Standby Credit Agreement as the City Cinemas Transaction. Because the City Cinemas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129" w:name="PGBRK112"/>
      <w:bookmarkStart w:id="4130" w:name="PGBRK112"/>
      <w:bookmarkEnd w:id="413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131" w:name="FTR112"/>
      <w:bookmarkStart w:id="4132" w:name="FTR112"/>
      <w:bookmarkEnd w:id="41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133" w:name="GLFTR112"/>
      <w:bookmarkStart w:id="4134" w:name="GLFTR112"/>
      <w:bookmarkEnd w:id="413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4135" w:name="PN112"/>
      <w:bookmarkEnd w:id="4135"/>
      <w:r>
        <w:rPr>
          <w:rFonts w:ascii="Times New Roman" w:hAnsi="Times New Roman"/>
          <w:sz w:val="16"/>
        </w:rPr>
        <w:t>-112-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136" w:name="HDR112"/>
      <w:bookmarkStart w:id="4137" w:name="HDR112"/>
      <w:bookmarkEnd w:id="413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4138" w:name="GLHDR112"/>
        <w:bookmarkEnd w:id="4138"/>
        <w:r>
          <w:rPr>
            <w:rStyle w:val="Emphasis"/>
            <w:rFonts w:ascii="Times New Roman" w:hAnsi="Times New Roman"/>
            <w:color w:val="000000"/>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300" w:before="0" w:after="0"/>
        <w:ind w:left="720" w:right="720" w:hanging="0"/>
        <w:jc w:val="both"/>
        <w:rPr>
          <w:rFonts w:ascii="Times New Roman" w:hAnsi="Times New Roman"/>
          <w:sz w:val="20"/>
        </w:rPr>
      </w:pPr>
      <w:r>
        <w:rPr>
          <w:rFonts w:ascii="Times New Roman" w:hAnsi="Times New Roman"/>
          <w:sz w:val="20"/>
        </w:rPr>
        <w:t>Operating Lease is an operating lease and since the City Cinemas Standby Credit Facility was, in our view, adequately secured, no asset or liability was established on our balance sheet at the time of the City Cinemas Transaction other than the option fee, which has been deferred and is being amortized over the 10 year period of the lease.</w:t>
      </w:r>
    </w:p>
    <w:p>
      <w:pPr>
        <w:pStyle w:val="TextBody"/>
        <w:spacing w:lineRule="auto" w:line="300" w:before="0" w:after="0"/>
        <w:ind w:left="720" w:right="720" w:hanging="0"/>
        <w:jc w:val="both"/>
        <w:rPr/>
      </w:pPr>
      <w:r>
        <w:rPr/>
      </w:r>
    </w:p>
    <w:p>
      <w:pPr>
        <w:pStyle w:val="TextBody"/>
        <w:spacing w:lineRule="auto" w:line="300" w:before="0" w:after="0"/>
        <w:ind w:left="720" w:right="720" w:hanging="0"/>
        <w:jc w:val="both"/>
        <w:rPr>
          <w:rFonts w:ascii="Times New Roman" w:hAnsi="Times New Roman"/>
          <w:sz w:val="20"/>
        </w:rPr>
      </w:pPr>
      <w:r>
        <w:rPr>
          <w:rFonts w:ascii="Times New Roman" w:hAnsi="Times New Roman"/>
          <w:sz w:val="20"/>
        </w:rPr>
        <w:t xml:space="preserve">SHC is indirectly owned by Messrs. James J. Cotter and Michael Forman. Mr. Cotter is our Chairman, Chief Executive Officer and controlling stockholder. Mr. Forman is a major holder of our Class A Stock. As the transaction was a related party transaction, it was reviewed and approved by a committee of our Board of Directors comprised entirely of independent directors. </w:t>
      </w:r>
    </w:p>
    <w:p>
      <w:pPr>
        <w:pStyle w:val="TextBody"/>
        <w:spacing w:lineRule="auto" w:line="300" w:before="0" w:after="0"/>
        <w:ind w:left="720" w:right="720" w:hanging="0"/>
        <w:jc w:val="both"/>
        <w:rPr/>
      </w:pPr>
      <w:r>
        <w:rPr/>
      </w:r>
    </w:p>
    <w:p>
      <w:pPr>
        <w:pStyle w:val="TextBody"/>
        <w:spacing w:lineRule="auto" w:line="300" w:before="0" w:after="0"/>
        <w:ind w:left="720" w:right="720" w:hanging="0"/>
        <w:jc w:val="both"/>
        <w:rPr>
          <w:rFonts w:ascii="Times New Roman" w:hAnsi="Times New Roman"/>
          <w:sz w:val="20"/>
        </w:rPr>
      </w:pPr>
      <w:r>
        <w:rPr>
          <w:rFonts w:ascii="Times New Roman" w:hAnsi="Times New Roman"/>
          <w:sz w:val="20"/>
        </w:rPr>
        <w:t>Since we entered into the City Cinemas Transaction, two of the cinema properties involved in that transaction have been sold to third parties for redevelopment: the Murray Hill Cinema and the Sutton Cinema. These purchasers paid $10.0 million and $18.0 million respectively for these two properties, which included the cost of acquiring the fee interest in these properties held by Nationwide Theatres (an affiliate of SHC), the leasehold interest held by SHC, and our rights under the City Cinemas Operating Lease and the City Cinemas Purchase Option. Since we believed that a sale of these properties at these prices was more beneficial to us than continuing to operate them as cinemas, and since the original City Cinemas Transaction did not contemplate a piece-meal release of properties or give us the right to exercise our City Cinemas Purchase Option either (i) on a piece-meal basis or (ii) prior to July 2010, we worked with SHC to devise a transaction that would allow us to dispose of our collective interests in these properties while preserving the fundamental benefits of the transaction for ourselves and SHC. Included among the benefits to be preserved by SHC was the deferral of any capital gains tax with respect to the transfer of the remaining properties until 2010 and assurances that the various properties involved in the City Cinemas Transaction would only be acquired by us on an “all or nothing” basis. Included among the benefits to be preserved for us was the right to get the benefit of 100% of any appreciation in the properties underlying the City Cinemas Operating Lease between the date of that lease (July 2000) and the date any such properties were sold, provided that we ultimately exercised our purchase rights under the City Cinemas Purchase Option.</w:t>
      </w:r>
    </w:p>
    <w:p>
      <w:pPr>
        <w:pStyle w:val="TextBody"/>
        <w:spacing w:lineRule="auto" w:line="300" w:before="0" w:after="0"/>
        <w:ind w:left="720" w:right="720" w:hanging="0"/>
        <w:jc w:val="both"/>
        <w:rPr/>
      </w:pPr>
      <w:r>
        <w:rPr/>
      </w:r>
    </w:p>
    <w:p>
      <w:pPr>
        <w:pStyle w:val="TextBody"/>
        <w:spacing w:lineRule="auto" w:line="300" w:before="0" w:after="0"/>
        <w:ind w:left="720" w:right="720" w:hanging="0"/>
        <w:jc w:val="both"/>
        <w:rPr>
          <w:rFonts w:ascii="Times New Roman" w:hAnsi="Times New Roman"/>
          <w:sz w:val="20"/>
        </w:rPr>
      </w:pPr>
      <w:r>
        <w:rPr>
          <w:rFonts w:ascii="Times New Roman" w:hAnsi="Times New Roman"/>
          <w:sz w:val="20"/>
        </w:rPr>
        <w:t>As a result of these negotiations and the sale of these two properties, our rent under the City Cinemas Operating Lease was reduced by approximately $1.9 million per annum, the exercise price of the City Cinemas Purchase Option was reduced from $48.0 million to $33.0 million, and our funding obligation under the City Cinemas Standby Line of Credit was reduced from $28.0 million to $13.0 million. In addition, we received in consideration of the release of our interest in the Murray Hill Cinema a cash payment of $500,000. In consideration of the transfer of our interest in the Sutton Cinema we received (i) a $13.0 million purchase money promissory note (the Sutton Purchase Money Note”) secured by a first mortgage on the Sutton Cinema property (the “Sutton Purchase Money Mortgage”), (ii) a right to acquire up to a 25% interest in the special purpose entity formed to redevelop the Sutton Cinema property for a prorated capital contribution (the “Sutton Reinvestment Option”) or to receive instead an in lieu fee of $650,000, and (iii) the right to operate the Sutton Cinema until such time as the Sutton Purchase Money Note was paid. The Sutton Purchase Money Note was due and payable on October 21, 2005, and carried interest for the first year at 3.85%, increasing in the second year to 8.25%. On September 14, 2004, the Sutton Purchase Money Note was prepaid in full and we exercised our Sutton Reinvestment Option.</w:t>
      </w:r>
    </w:p>
    <w:p>
      <w:pPr>
        <w:pStyle w:val="TextBody"/>
        <w:spacing w:lineRule="auto" w:line="300" w:before="0" w:after="0"/>
        <w:ind w:left="720" w:right="720" w:hanging="0"/>
        <w:jc w:val="both"/>
        <w:rPr/>
      </w:pPr>
      <w:r>
        <w:rPr/>
      </w:r>
    </w:p>
    <w:p>
      <w:pPr>
        <w:pStyle w:val="TextBody"/>
        <w:spacing w:lineRule="auto" w:line="300" w:before="0" w:after="0"/>
        <w:ind w:left="720" w:right="720" w:hanging="0"/>
        <w:jc w:val="both"/>
        <w:rPr>
          <w:rFonts w:ascii="Times New Roman" w:hAnsi="Times New Roman"/>
          <w:sz w:val="20"/>
        </w:rPr>
      </w:pPr>
      <w:r>
        <w:rPr>
          <w:rFonts w:ascii="Times New Roman" w:hAnsi="Times New Roman"/>
          <w:sz w:val="20"/>
        </w:rPr>
        <w:t>In keeping with the “all or nothing” nature of our rights under the City Cinemas Purchase Option, we agreed to use the principal proceeds of the Sutton Purchase Money Promissory Note to fund our remaining $13.0 million obligation under the City Cinemas Standby Credit Facility. We have also agreed that the principal amount of the City Cinemas Standby Credit Facility will be forgiven if we do not exercise our purchase rights under the City Cinemas Purchase Option. Accordingly, if we exercise our rights under the City Cinemas Purchase Option to purchase the remaining City Cinemas assets, we will be acquiring the remaining assets subject to the City Cinemas Operating Lease for an additional cash payment of $15.0 million, (offsetting against the current $33.0 million exercise price, the previously paid $5.0 million deposit and the $13.0 million principal amount of the City Cinemas Standby Credit Facility) and will receive, in essence, the benefit of 100% of the appreciation in all of the properties initially subject to the City Cinemas Operating Lease between July 2000, and the date such properties were either disposed of or acquired by us pursuant to the City Cinemas Purchase Option. If we do not exercise our option to purchase, then the City Cinemas Credit Facility will be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139" w:name="PGBRK113"/>
      <w:bookmarkStart w:id="4140" w:name="PGBRK113"/>
      <w:bookmarkEnd w:id="414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141" w:name="FTR113"/>
      <w:bookmarkStart w:id="4142" w:name="FTR113"/>
      <w:bookmarkEnd w:id="414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143" w:name="GLFTR113"/>
      <w:bookmarkStart w:id="4144" w:name="GLFTR113"/>
      <w:bookmarkEnd w:id="414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4145" w:name="PN113"/>
      <w:bookmarkEnd w:id="4145"/>
      <w:r>
        <w:rPr>
          <w:rFonts w:ascii="Times New Roman" w:hAnsi="Times New Roman"/>
          <w:sz w:val="16"/>
        </w:rPr>
        <w:t>-113-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146" w:name="HDR113"/>
      <w:bookmarkStart w:id="4147" w:name="HDR113"/>
      <w:bookmarkEnd w:id="414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4148" w:name="GLHDR113"/>
        <w:bookmarkEnd w:id="4148"/>
        <w:r>
          <w:rPr>
            <w:rStyle w:val="Emphasis"/>
            <w:rFonts w:ascii="Times New Roman" w:hAnsi="Times New Roman"/>
            <w:color w:val="000000"/>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300" w:before="0" w:after="0"/>
        <w:ind w:left="720" w:right="720" w:hanging="0"/>
        <w:jc w:val="both"/>
        <w:rPr/>
      </w:pPr>
      <w:r>
        <w:rPr>
          <w:rFonts w:ascii="Times New Roman" w:hAnsi="Times New Roman"/>
          <w:sz w:val="20"/>
        </w:rPr>
        <w:t>forgiven, and we will not get the benefit of such appreciation. Immediately following the sale of the Sutton Cinema, the remaining properties consisted of (i) the Village East Cinema, which is located at the corner of 2</w:t>
      </w:r>
      <w:r>
        <w:rPr>
          <w:rFonts w:ascii="Times New Roman" w:hAnsi="Times New Roman"/>
          <w:position w:val="7"/>
          <w:sz w:val="16"/>
          <w:sz w:val="20"/>
        </w:rPr>
        <w:t>nd</w:t>
      </w:r>
      <w:r>
        <w:rPr/>
        <w:t xml:space="preserve"> </w:t>
      </w:r>
      <w:r>
        <w:rPr>
          <w:rFonts w:ascii="Times New Roman" w:hAnsi="Times New Roman"/>
          <w:sz w:val="20"/>
        </w:rPr>
        <w:t>Avenue and 11</w:t>
      </w:r>
      <w:r>
        <w:rPr>
          <w:rFonts w:ascii="Times New Roman" w:hAnsi="Times New Roman"/>
          <w:position w:val="7"/>
          <w:sz w:val="16"/>
          <w:sz w:val="20"/>
        </w:rPr>
        <w:t>th</w:t>
      </w:r>
      <w:r>
        <w:rPr/>
        <w:t xml:space="preserve"> </w:t>
      </w:r>
      <w:r>
        <w:rPr>
          <w:rFonts w:ascii="Times New Roman" w:hAnsi="Times New Roman"/>
          <w:sz w:val="20"/>
        </w:rPr>
        <w:t>Street in Manhattan, on a 27 year land lease, and (ii) the Cinemas 1, 2 &amp; 3, which is located on 3</w:t>
      </w:r>
      <w:r>
        <w:rPr>
          <w:rFonts w:ascii="Times New Roman" w:hAnsi="Times New Roman"/>
          <w:position w:val="7"/>
          <w:sz w:val="16"/>
          <w:sz w:val="20"/>
        </w:rPr>
        <w:t>rd</w:t>
      </w:r>
      <w:r>
        <w:rPr/>
        <w:t xml:space="preserve"> </w:t>
      </w:r>
      <w:r>
        <w:rPr>
          <w:rFonts w:ascii="Times New Roman" w:hAnsi="Times New Roman"/>
          <w:sz w:val="20"/>
        </w:rPr>
        <w:t>Avenue between E. 59</w:t>
      </w:r>
      <w:r>
        <w:rPr>
          <w:rFonts w:ascii="Times New Roman" w:hAnsi="Times New Roman"/>
          <w:position w:val="7"/>
          <w:sz w:val="16"/>
          <w:sz w:val="20"/>
        </w:rPr>
        <w:t>th</w:t>
      </w:r>
      <w:r>
        <w:rPr/>
        <w:t xml:space="preserve"> </w:t>
      </w:r>
      <w:r>
        <w:rPr>
          <w:rFonts w:ascii="Times New Roman" w:hAnsi="Times New Roman"/>
          <w:sz w:val="20"/>
        </w:rPr>
        <w:t>and E. 60</w:t>
      </w:r>
      <w:r>
        <w:rPr>
          <w:rFonts w:ascii="Times New Roman" w:hAnsi="Times New Roman"/>
          <w:position w:val="7"/>
          <w:sz w:val="16"/>
          <w:sz w:val="20"/>
        </w:rPr>
        <w:t>th</w:t>
      </w:r>
      <w:r>
        <w:rPr/>
        <w:t xml:space="preserve"> </w:t>
      </w:r>
      <w:r>
        <w:rPr>
          <w:rFonts w:ascii="Times New Roman" w:hAnsi="Times New Roman"/>
          <w:sz w:val="20"/>
        </w:rPr>
        <w:t xml:space="preserve">Streets in Manhattan and which was likewise at that time on a long term ground lease. </w:t>
      </w:r>
    </w:p>
    <w:p>
      <w:pPr>
        <w:pStyle w:val="TextBody"/>
        <w:spacing w:lineRule="auto" w:line="300" w:before="0" w:after="0"/>
        <w:ind w:left="720" w:right="720" w:hanging="0"/>
        <w:jc w:val="both"/>
        <w:rPr/>
      </w:pPr>
      <w:r>
        <w:rPr/>
      </w:r>
    </w:p>
    <w:p>
      <w:pPr>
        <w:pStyle w:val="TextBody"/>
        <w:spacing w:lineRule="auto" w:line="300" w:before="0" w:after="0"/>
        <w:ind w:left="720" w:right="720" w:hanging="0"/>
        <w:jc w:val="both"/>
        <w:rPr>
          <w:rFonts w:ascii="Times New Roman" w:hAnsi="Times New Roman"/>
          <w:sz w:val="20"/>
        </w:rPr>
      </w:pPr>
      <w:r>
        <w:rPr>
          <w:rFonts w:ascii="Times New Roman" w:hAnsi="Times New Roman"/>
          <w:sz w:val="20"/>
        </w:rPr>
        <w:t>Since the Murray Hill Cinema sale transaction was structured as a release of our leasehold interest in the Murray Hill Cinema, we did not recognize any gain or loss for either book or tax purposes, other than the $500,000 in lieu fee, which was recognized as non-operating income. We likewise did not book any gain or loss on the disposition of the Sutton Cinema for book purposes. However, we did recognize gain in the amount of approximately $13.0 million for state and federal tax purposes, which gain was offset against net operating losses. Notwithstanding this offset, we were still liable for alternative minimum tax on the transaction. That alternative minimum tax will, however, be offset against our future tax liabilities. In the event that we decide not to exercise our City Cinemas Purchase Option, we would at that time recognize a $13.0 million loss for tax purposes.</w:t>
      </w:r>
    </w:p>
    <w:p>
      <w:pPr>
        <w:pStyle w:val="TextBody"/>
        <w:spacing w:lineRule="auto" w:line="300" w:before="0" w:after="0"/>
        <w:ind w:left="720" w:right="720" w:hanging="0"/>
        <w:jc w:val="both"/>
        <w:rPr/>
      </w:pPr>
      <w:r>
        <w:rPr/>
      </w:r>
    </w:p>
    <w:p>
      <w:pPr>
        <w:pStyle w:val="TextBody"/>
        <w:spacing w:lineRule="auto" w:line="300" w:before="0" w:after="0"/>
        <w:ind w:left="720" w:right="720" w:hanging="0"/>
        <w:jc w:val="both"/>
        <w:rPr>
          <w:rFonts w:ascii="Times New Roman" w:hAnsi="Times New Roman"/>
          <w:sz w:val="20"/>
        </w:rPr>
      </w:pPr>
      <w:r>
        <w:rPr>
          <w:rFonts w:ascii="Times New Roman" w:hAnsi="Times New Roman"/>
          <w:sz w:val="20"/>
        </w:rPr>
        <w:t xml:space="preserve">Following the release of our leasehold interest in the Murray Hill Cinema and disposition of the Sutton Cinema in 2003, we decreased the value of the option fee in the City Cinemas Purchase Option agreement by $890,000. In addition, in October 2003 we recorded our loan commitment under the City Cinemas Standby Credit Facility as a payable in our long-term debt on the Consolidated Balance Sheet. </w:t>
      </w:r>
    </w:p>
    <w:p>
      <w:pPr>
        <w:pStyle w:val="TextBody"/>
        <w:spacing w:lineRule="auto" w:line="300" w:before="0" w:after="0"/>
        <w:ind w:left="720" w:right="720" w:hanging="0"/>
        <w:jc w:val="both"/>
        <w:rPr/>
      </w:pPr>
      <w:r>
        <w:rPr/>
      </w:r>
    </w:p>
    <w:p>
      <w:pPr>
        <w:pStyle w:val="TextBody"/>
        <w:spacing w:lineRule="auto" w:line="300" w:before="0" w:after="0"/>
        <w:ind w:left="720" w:right="720" w:hanging="0"/>
        <w:jc w:val="both"/>
        <w:rPr>
          <w:rFonts w:ascii="Times New Roman" w:hAnsi="Times New Roman"/>
          <w:sz w:val="20"/>
        </w:rPr>
      </w:pPr>
      <w:r>
        <w:rPr>
          <w:rFonts w:ascii="Times New Roman" w:hAnsi="Times New Roman"/>
          <w:sz w:val="20"/>
        </w:rPr>
        <w:t>In September 2004, simultaneous with the drawdown by SHC of the remaining $13.0 million under the Standby Credit Facility, SHC lent us $5.0 million. This amount was used principally to fund our purchase of the 25% membership interest in limited liability company that was developing the Sutton Cinema site, and for working capital purposes. The loan bears interest currently at 9.26%, payable monthly, with principal due and payable on September 14, 2007.</w:t>
      </w:r>
    </w:p>
    <w:p>
      <w:pPr>
        <w:pStyle w:val="TextBody"/>
        <w:spacing w:lineRule="auto" w:line="300" w:before="0" w:after="0"/>
        <w:ind w:left="720" w:right="720" w:hanging="0"/>
        <w:jc w:val="both"/>
        <w:rPr/>
      </w:pPr>
      <w:r>
        <w:rPr/>
      </w:r>
    </w:p>
    <w:p>
      <w:pPr>
        <w:pStyle w:val="TextBody"/>
        <w:spacing w:lineRule="auto" w:line="300" w:before="0" w:after="0"/>
        <w:ind w:left="720" w:right="720" w:hanging="0"/>
        <w:jc w:val="both"/>
        <w:rPr>
          <w:rFonts w:ascii="Times New Roman" w:hAnsi="Times New Roman"/>
          <w:sz w:val="20"/>
        </w:rPr>
      </w:pPr>
      <w:r>
        <w:rPr>
          <w:rFonts w:ascii="Times New Roman" w:hAnsi="Times New Roman"/>
          <w:sz w:val="20"/>
        </w:rPr>
        <w:t>On June 1, 2005, we acquired from a third party the fee interest and the landlord’s interest in the ground lease underlying our leasehold estate in the Cinemas 1, 2 &amp; 3. In consideration of the fact that there was some uncertainty as to whether the opportunity to acquire this fee interest was an asset of SHC (as the tenant of the ground lease estate and the owner of the improvements located upon the land) or an asset of our Company, a compromise was reached whereby we agreed to grant to SHC an option to acquire - at cost - up to a 25% membership interest in the special purpose entity that we formed to acquire the fee interest - Sutton Hill Properties, LLC. That agreement has not yet been documented.</w:t>
      </w:r>
    </w:p>
    <w:p>
      <w:pPr>
        <w:pStyle w:val="TextBody"/>
        <w:spacing w:lineRule="auto" w:line="300" w:before="0" w:after="0"/>
        <w:ind w:left="720" w:right="720" w:hanging="0"/>
        <w:jc w:val="both"/>
        <w:rPr/>
      </w:pPr>
      <w:r>
        <w:rPr/>
      </w:r>
    </w:p>
    <w:p>
      <w:pPr>
        <w:pStyle w:val="TextBody"/>
        <w:spacing w:lineRule="auto" w:line="300" w:before="0" w:after="0"/>
        <w:ind w:left="720" w:right="720" w:hanging="0"/>
        <w:jc w:val="both"/>
        <w:rPr>
          <w:rFonts w:ascii="Times New Roman" w:hAnsi="Times New Roman"/>
          <w:sz w:val="20"/>
        </w:rPr>
      </w:pPr>
      <w:r>
        <w:rPr>
          <w:rFonts w:ascii="Times New Roman" w:hAnsi="Times New Roman"/>
          <w:sz w:val="20"/>
        </w:rPr>
        <w:t xml:space="preserve">On September 19, 2005, we acquired from SHC its’ “tenant’s interest” in the ground lease underlying our leasehold estate in the Cinemas 1, 2 &amp; 3. The purchase price of the “tenant’s interest” was $9.0 million, and was paid in the form of a 5-year unsecured purchase money promissory note, bearing interest at 8.25%, interest payable monthly with principal payable on December 31, 2010 (the “Purchase Money Promissory Note”). This interest is also held by Sutton Hill Properties, LLC, the same special purpose entity that acquired the fee interest in the property. Accordingly, SHC’s option to buy into Sutton Hill Properties, LLC, is, in essence, a right to buy-back into both the fee interest acquired from the unrelated third party and the leasehold interest acquired from SHC. Following the purchase of the “tenant’s interest,” we decreased the value of the option fee in the City Cinemas Purchase Option agreement by $1.3 million. We have not yet acquired the building and improvements constituting the Cinemas 1, 2 &amp; 3 from SHC. However, Sutton Hill Properties, LLC, has an option to acquire such improvements exercisable at any time in the event we determine to redevelop the property, for $100,000. </w:t>
      </w:r>
    </w:p>
    <w:p>
      <w:pPr>
        <w:pStyle w:val="TextBody"/>
        <w:spacing w:lineRule="auto" w:line="300" w:before="0" w:after="0"/>
        <w:ind w:left="720" w:right="720" w:hanging="0"/>
        <w:jc w:val="both"/>
        <w:rPr/>
      </w:pPr>
      <w:r>
        <w:rPr/>
      </w:r>
    </w:p>
    <w:p>
      <w:pPr>
        <w:pStyle w:val="TextBody"/>
        <w:spacing w:lineRule="auto" w:line="300" w:before="0" w:after="0"/>
        <w:ind w:left="720" w:right="720" w:hanging="0"/>
        <w:jc w:val="both"/>
        <w:rPr>
          <w:rFonts w:ascii="Times New Roman" w:hAnsi="Times New Roman"/>
          <w:sz w:val="20"/>
        </w:rPr>
      </w:pPr>
      <w:r>
        <w:rPr>
          <w:rFonts w:ascii="Times New Roman" w:hAnsi="Times New Roman"/>
          <w:sz w:val="20"/>
        </w:rPr>
        <w:t>As a result of the acquisition of SHC’s tenant’s interest in the ground lease, the City Cinemas Operating Lease was amended to reduce the rent by an amount equal to the interest payable under the Purchase Money Promissory Note, and the exercise price on the City Cinemas Purchase Option was likewise reduced by $9.0 million. Consequently, an exercise of our option to purchase the Village East Cinema would require a cash payment on our part of $6.0 million.</w:t>
      </w:r>
    </w:p>
    <w:p>
      <w:pPr>
        <w:pStyle w:val="TextBody"/>
        <w:spacing w:lineRule="auto" w:line="300" w:before="0" w:after="0"/>
        <w:ind w:left="720" w:right="72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149" w:name="PGBRK114"/>
      <w:bookmarkStart w:id="4150" w:name="PGBRK114"/>
      <w:bookmarkEnd w:id="415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151" w:name="FTR114"/>
      <w:bookmarkStart w:id="4152" w:name="FTR114"/>
      <w:bookmarkEnd w:id="415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153" w:name="GLFTR114"/>
      <w:bookmarkStart w:id="4154" w:name="GLFTR114"/>
      <w:bookmarkEnd w:id="415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4155" w:name="PN114"/>
      <w:bookmarkEnd w:id="4155"/>
      <w:r>
        <w:rPr>
          <w:rFonts w:ascii="Times New Roman" w:hAnsi="Times New Roman"/>
          <w:sz w:val="16"/>
        </w:rPr>
        <w:t>-114-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156" w:name="HDR114"/>
      <w:bookmarkStart w:id="4157" w:name="HDR114"/>
      <w:bookmarkEnd w:id="415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4158" w:name="GLHDR114"/>
        <w:bookmarkEnd w:id="4158"/>
        <w:r>
          <w:rPr>
            <w:rStyle w:val="Emphasis"/>
            <w:rFonts w:ascii="Times New Roman" w:hAnsi="Times New Roman"/>
            <w:color w:val="000000"/>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300" w:before="0" w:after="0"/>
        <w:ind w:left="720" w:right="720" w:hanging="0"/>
        <w:jc w:val="both"/>
        <w:rPr>
          <w:rFonts w:ascii="Times New Roman" w:hAnsi="Times New Roman"/>
          <w:sz w:val="20"/>
        </w:rPr>
      </w:pPr>
      <w:r>
        <w:rPr>
          <w:rFonts w:ascii="Times New Roman" w:hAnsi="Times New Roman"/>
          <w:sz w:val="20"/>
        </w:rPr>
        <w:t xml:space="preserve">Each of the above modification transactions involved was reviewed by a committee of the independent directors of the Board of Directors. In each case, the independent directors of the applicable committee have found the transaction to be fair and in the best interests of our Company and our public stockholders. </w:t>
      </w:r>
    </w:p>
    <w:p>
      <w:pPr>
        <w:pStyle w:val="TextBody"/>
        <w:spacing w:lineRule="auto" w:line="300" w:before="0" w:after="0"/>
        <w:ind w:left="720" w:right="720" w:hanging="0"/>
        <w:jc w:val="both"/>
        <w:rPr/>
      </w:pPr>
      <w:r>
        <w:rPr/>
      </w:r>
    </w:p>
    <w:p>
      <w:pPr>
        <w:pStyle w:val="TextBody"/>
        <w:spacing w:lineRule="auto" w:line="300" w:before="0" w:after="0"/>
        <w:ind w:left="720" w:right="720" w:hanging="0"/>
        <w:jc w:val="both"/>
        <w:rPr>
          <w:rFonts w:ascii="Times New Roman" w:hAnsi="Times New Roman"/>
          <w:sz w:val="20"/>
        </w:rPr>
      </w:pPr>
      <w:r>
        <w:rPr>
          <w:rFonts w:ascii="Times New Roman" w:hAnsi="Times New Roman"/>
          <w:sz w:val="20"/>
        </w:rPr>
        <w:t xml:space="preserve">Reflecting the disposition of the Murray Hill Cinema and the Sutton Cinema, the acquisition of the fee, the landlord’s interest in the ground lease and the tenant’s interest in the ground lease underlying the Cinemas 1, 2 &amp; 3, and the amendments to date with respect to the City Cinemas Transaction, which has reduced our rent expense for this property to zero, our anticipated rental payments for 2006 under the City Cinemas Operating Lease will be approximately $495,000. For the years ended December 31, 2006, 2005 and 2004, rent expense to SHC under the City Cinemas Operating Lease was $495,000, $1.0 million and $2.4 million, respectively. We have funded our entire $13.0 million obligation under the City Cinemas Standby Credit Facility. We also have the option to purchase in July 2010 the remaining assets under the City Cinemas Operating Agreement (SHC’s long-term leasehold interests in the Village East Cinema and the improvements comprising this cinema) for an additional payment of $6.0 million. As separate matters, we currently owe SHC $5.0 million (due September 14, 2007) with respect to the borrowing used principally to finance the acquisition of our interest in the limited liability company currently developing the Sutton Cinema site and $9.0 million on the Purchase Money Promissory Note (due December 31, 2010), for an aggregate liability of $14.0 million. </w:t>
      </w:r>
    </w:p>
    <w:p>
      <w:pPr>
        <w:pStyle w:val="TextBody"/>
        <w:spacing w:lineRule="auto" w:line="300" w:before="0" w:after="0"/>
        <w:ind w:left="720" w:right="720" w:hanging="0"/>
        <w:jc w:val="both"/>
        <w:rPr/>
      </w:pPr>
      <w:r>
        <w:rPr/>
      </w:r>
    </w:p>
    <w:p>
      <w:pPr>
        <w:pStyle w:val="TextBody"/>
        <w:spacing w:lineRule="auto" w:line="300" w:before="0" w:after="0"/>
        <w:ind w:left="720" w:right="720" w:hanging="0"/>
        <w:jc w:val="both"/>
        <w:rPr>
          <w:rFonts w:ascii="Times New Roman" w:hAnsi="Times New Roman"/>
          <w:sz w:val="20"/>
        </w:rPr>
      </w:pPr>
      <w:r>
        <w:rPr>
          <w:rFonts w:ascii="Times New Roman" w:hAnsi="Times New Roman"/>
          <w:sz w:val="20"/>
        </w:rPr>
        <w:t>Reflecting the release of the Murray Hill Cinema and the sale of our interest in the Sutton Cinema, we expensed from the $5.0 million option fee for book purposes $890,000 related to such sales. In connection with the purchase of SHC’s interest in the Cinemas 1, 2 &amp; 3 property, we allocated $1.3 million of this option amount to the purchase price of that interest. Accordingly, at the present time, we carry only $441,000 of the original $5.0 million option fee as a net asset on our balance sheet.</w:t>
      </w:r>
    </w:p>
    <w:p>
      <w:pPr>
        <w:pStyle w:val="TextBody"/>
        <w:spacing w:lineRule="auto" w:line="300" w:before="0" w:after="0"/>
        <w:ind w:left="720" w:right="720" w:hanging="0"/>
        <w:jc w:val="both"/>
        <w:rPr/>
      </w:pPr>
      <w:r>
        <w:rPr/>
      </w:r>
    </w:p>
    <w:p>
      <w:pPr>
        <w:pStyle w:val="TextBody"/>
        <w:spacing w:lineRule="auto" w:line="300" w:before="0" w:after="0"/>
        <w:ind w:left="720" w:right="720" w:hanging="0"/>
        <w:jc w:val="both"/>
        <w:rPr/>
      </w:pPr>
      <w:r>
        <w:rPr>
          <w:rFonts w:ascii="Times New Roman" w:hAnsi="Times New Roman"/>
          <w:sz w:val="20"/>
        </w:rPr>
        <w:t xml:space="preserve">The option granted to SHC to buy up to a 25% interest in Sutton Hill Properties, LLC had been valued at $3.7 million and $1.0 million at December 31, 2006 and 2005, respectively, and is reflected in our other liabilities on our balance sheet (see Note 15 - </w:t>
      </w:r>
      <w:r>
        <w:rPr>
          <w:rStyle w:val="Emphasis"/>
          <w:rFonts w:ascii="Times New Roman" w:hAnsi="Times New Roman"/>
          <w:sz w:val="20"/>
        </w:rPr>
        <w:t>Other Liabilities</w:t>
      </w:r>
      <w:r>
        <w:rPr>
          <w:rFonts w:ascii="Times New Roman" w:hAnsi="Times New Roman"/>
          <w:sz w:val="20"/>
        </w:rPr>
        <w:t>). In June 2006, we received $3.0 million from Sutton Hill Capital as a deposit on the exercise of this option.</w:t>
      </w:r>
    </w:p>
    <w:p>
      <w:pPr>
        <w:pStyle w:val="TextBody"/>
        <w:spacing w:lineRule="auto" w:line="300" w:before="0" w:after="0"/>
        <w:ind w:left="1080" w:right="0" w:firstLine="360"/>
        <w:jc w:val="both"/>
        <w:rPr/>
      </w:pPr>
      <w:r>
        <w:rPr/>
      </w:r>
    </w:p>
    <w:p>
      <w:pPr>
        <w:pStyle w:val="TextBody"/>
        <w:spacing w:lineRule="auto" w:line="300" w:before="0" w:after="0"/>
        <w:ind w:left="0" w:right="0" w:hanging="0"/>
        <w:jc w:val="left"/>
        <w:rPr>
          <w:rFonts w:ascii="Times New Roman" w:hAnsi="Times New Roman"/>
          <w:sz w:val="20"/>
          <w:u w:val="single"/>
        </w:rPr>
      </w:pPr>
      <w:r>
        <w:rPr>
          <w:rFonts w:ascii="Times New Roman" w:hAnsi="Times New Roman"/>
          <w:sz w:val="20"/>
          <w:u w:val="single"/>
        </w:rPr>
        <w:t>OBI Management Agreement</w:t>
      </w:r>
    </w:p>
    <w:p>
      <w:pPr>
        <w:pStyle w:val="TextBody"/>
        <w:spacing w:lineRule="auto" w:line="300" w:before="0" w:after="0"/>
        <w:ind w:left="0" w:right="0" w:hanging="0"/>
        <w:jc w:val="both"/>
        <w:rPr/>
      </w:pPr>
      <w:r>
        <w:rPr/>
      </w:r>
    </w:p>
    <w:p>
      <w:pPr>
        <w:pStyle w:val="TextBody"/>
        <w:spacing w:lineRule="auto" w:line="300" w:before="0" w:after="0"/>
        <w:ind w:left="720" w:right="0" w:hanging="0"/>
        <w:jc w:val="both"/>
        <w:rPr>
          <w:rFonts w:ascii="Times New Roman" w:hAnsi="Times New Roman"/>
          <w:sz w:val="20"/>
        </w:rPr>
      </w:pPr>
      <w:bookmarkStart w:id="4159" w:name="TAB11978"/>
      <w:bookmarkEnd w:id="4159"/>
      <w:r>
        <w:rPr>
          <w:rFonts w:ascii="Times New Roman" w:hAnsi="Times New Roman"/>
          <w:sz w:val="20"/>
        </w:rPr>
        <w:t>Pursuant to a Theater Management Agreement (the “Management Agreement”), our live theater operations are managed by OBI LLC (“OBI Management”), which is wholly owned by Ms. Margaret Cotter who is the daughter of James J. Cotter and a member of our Board of Directors.</w:t>
      </w:r>
    </w:p>
    <w:p>
      <w:pPr>
        <w:pStyle w:val="TextBody"/>
        <w:spacing w:lineRule="auto" w:line="300" w:before="0" w:after="0"/>
        <w:ind w:left="0" w:right="0" w:hanging="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 xml:space="preserve">The Management Agreement generally provides that we will pay OBI Management a combination of fixed and incentive fees which historically have equated to approximately 19% of the net cash flow received by us from our live theaters in New York. Since the fixed fees are applicable only during such periods as the New York theaters are booked, OBI Management receives no compensation with respect to a theater at any time when it is not generating revenues for us. This arrangement provides an incentive to OBI Management to keep the theaters booked with the best available shows, and mitigates the negative cash flow that would result from having an empty theater. In addition, OBI Management manages our Royal George live theater complex in Chicago on a fee basis based on theater cash flow. In 2006, OBI Management earned $470,000 (including $43,000 for managing the Royal George) which was 23.6% of net live theater cash flows for the year. In 2005, OBI Management earned $533,000 (including $74,000 for managing the Royal George) which was 20.7% of net live theater cash flows for the year. In 2004, OBI Management earned $419,000 (including $35,000 for managing the Royal George) which was 17.2% of net live theater cash flows for the year. In each year, we reimbursed travel related expenses for OBI Management personnel with respect to travel between New York City and Chicago in connection with the management of the Royal George complex. </w:t>
      </w:r>
    </w:p>
    <w:p>
      <w:pPr>
        <w:pStyle w:val="TextBody"/>
        <w:spacing w:lineRule="auto" w:line="300" w:before="0" w:after="0"/>
        <w:ind w:left="0" w:right="0" w:firstLine="720"/>
        <w:jc w:val="both"/>
        <w:rPr/>
      </w:pPr>
      <w:r>
        <w:rPr/>
      </w:r>
    </w:p>
    <w:p>
      <w:pPr>
        <w:pStyle w:val="TextBody"/>
        <w:spacing w:lineRule="auto" w:line="300" w:before="0" w:after="0"/>
        <w:ind w:left="0" w:right="0" w:firstLine="720"/>
        <w:jc w:val="both"/>
        <w:rPr/>
      </w:pPr>
      <w:r>
        <w:rPr>
          <w:rFonts w:ascii="Times New Roman" w:hAnsi="Times New Roman"/>
          <w:sz w:val="20"/>
        </w:rPr>
        <w:t>OBI Management conducts its operations from our office facilities on a rent-free basis, and we share the cost of one administrative employee of OBI Management</w:t>
      </w:r>
      <w:r>
        <w:rPr>
          <w:rStyle w:val="StrongEmphasis"/>
          <w:rFonts w:ascii="Times New Roman" w:hAnsi="Times New Roman"/>
          <w:sz w:val="20"/>
        </w:rPr>
        <w:t xml:space="preserve">. </w:t>
      </w:r>
      <w:r>
        <w:rPr>
          <w:rFonts w:ascii="Times New Roman" w:hAnsi="Times New Roman"/>
          <w:sz w:val="20"/>
        </w:rPr>
        <w:t>Other than these expenses and travel-related expenses for OBI Management</w:t>
      </w:r>
      <w:r>
        <w:rPr>
          <w:rStyle w:val="StrongEmphasis"/>
        </w:rPr>
        <w:t> </w:t>
      </w:r>
      <w:r>
        <w:rPr>
          <w:rFonts w:ascii="Times New Roman" w:hAnsi="Times New Roman"/>
          <w:sz w:val="20"/>
        </w:rPr>
        <w:t>personnel to travel to Chicago as referred to above, OBI Management is responsible for all of its costs and expenses related to the performance of its management functions. The Management Agreement renews automatically each year unless either party gives at least six months’ prior notice of its determination to allow the Management Agreement to expire. In addition, we may terminate the Management Agreement at any time for cause.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160" w:name="PGBRK115"/>
      <w:bookmarkStart w:id="4161" w:name="PGBRK115"/>
      <w:bookmarkEnd w:id="416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162" w:name="FTR115"/>
      <w:bookmarkStart w:id="4163" w:name="FTR115"/>
      <w:bookmarkEnd w:id="416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164" w:name="GLFTR115"/>
      <w:bookmarkStart w:id="4165" w:name="GLFTR115"/>
      <w:bookmarkEnd w:id="416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4166" w:name="PN115"/>
      <w:bookmarkEnd w:id="4166"/>
      <w:r>
        <w:rPr>
          <w:rFonts w:ascii="Times New Roman" w:hAnsi="Times New Roman"/>
          <w:sz w:val="16"/>
        </w:rPr>
        <w:t>-115-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167" w:name="HDR115"/>
      <w:bookmarkStart w:id="4168" w:name="HDR115"/>
      <w:bookmarkEnd w:id="416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4169" w:name="GLHDR115"/>
        <w:bookmarkEnd w:id="4169"/>
        <w:r>
          <w:rPr>
            <w:rStyle w:val="Emphasis"/>
            <w:rFonts w:ascii="Times New Roman" w:hAnsi="Times New Roman"/>
            <w:color w:val="000000"/>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300" w:before="0" w:after="0"/>
        <w:ind w:left="0" w:right="0" w:hanging="0"/>
        <w:jc w:val="both"/>
        <w:rPr>
          <w:rFonts w:ascii="Times New Roman" w:hAnsi="Times New Roman"/>
          <w:sz w:val="20"/>
          <w:u w:val="single"/>
        </w:rPr>
      </w:pPr>
      <w:r>
        <w:rPr>
          <w:rFonts w:ascii="Times New Roman" w:hAnsi="Times New Roman"/>
          <w:sz w:val="20"/>
          <w:u w:val="single"/>
        </w:rPr>
        <w:t>Live Theater Play Investment</w:t>
      </w:r>
    </w:p>
    <w:p>
      <w:pPr>
        <w:pStyle w:val="TextBody"/>
        <w:spacing w:lineRule="auto" w:line="300" w:before="0" w:after="0"/>
        <w:ind w:left="0" w:right="0" w:hanging="0"/>
        <w:jc w:val="both"/>
        <w:rPr/>
      </w:pPr>
      <w:r>
        <w:rPr/>
      </w:r>
    </w:p>
    <w:p>
      <w:pPr>
        <w:pStyle w:val="TextBody"/>
        <w:spacing w:lineRule="auto" w:line="300" w:before="0" w:after="0"/>
        <w:ind w:left="720" w:right="0" w:hanging="0"/>
        <w:jc w:val="both"/>
        <w:rPr/>
      </w:pPr>
      <w:bookmarkStart w:id="4170" w:name="TAB11979"/>
      <w:bookmarkEnd w:id="4170"/>
      <w:r>
        <w:rPr>
          <w:rFonts w:ascii="Times New Roman" w:hAnsi="Times New Roman"/>
          <w:sz w:val="20"/>
        </w:rPr>
        <w:t xml:space="preserve">From time to time, our officers and directors may invest in plays that lease our live theaters. During 2004, an affiliate of Mr. James J. Cotter and Michael Forman have a 25% investment in the play, </w:t>
      </w:r>
      <w:r>
        <w:rPr>
          <w:rStyle w:val="Emphasis"/>
          <w:rFonts w:ascii="Times New Roman" w:hAnsi="Times New Roman"/>
          <w:sz w:val="20"/>
        </w:rPr>
        <w:t>I Love You, You’re Perfect, Now Change</w:t>
      </w:r>
      <w:r>
        <w:rPr>
          <w:rFonts w:ascii="Times New Roman" w:hAnsi="Times New Roman"/>
          <w:sz w:val="20"/>
        </w:rPr>
        <w:t>, playing in one of our auditoriums at our Royal George Theatre. We similarly had a 25% investment in the play. The play has earned for us $27,000, $25,000 and $35,000 during the years ended December 31, 2006, 2005 and 2004, respectively. This investment received board approval from our Conflicts Committee on August 12, 2002.</w:t>
      </w:r>
    </w:p>
    <w:p>
      <w:pPr>
        <w:pStyle w:val="TextBody"/>
        <w:spacing w:lineRule="auto" w:line="300" w:before="0" w:after="0"/>
        <w:ind w:left="0" w:right="0" w:hanging="0"/>
        <w:jc w:val="both"/>
        <w:rPr/>
      </w:pPr>
      <w:r>
        <w:rPr/>
      </w:r>
    </w:p>
    <w:p>
      <w:pPr>
        <w:pStyle w:val="TextBody"/>
        <w:spacing w:lineRule="auto" w:line="300" w:before="0" w:after="0"/>
        <w:ind w:left="0" w:right="0" w:firstLine="720"/>
        <w:jc w:val="left"/>
        <w:rPr>
          <w:rFonts w:ascii="Times New Roman" w:hAnsi="Times New Roman"/>
          <w:sz w:val="20"/>
        </w:rPr>
      </w:pPr>
      <w:r>
        <w:rPr>
          <w:rFonts w:ascii="Times New Roman" w:hAnsi="Times New Roman"/>
          <w:sz w:val="20"/>
        </w:rPr>
        <w:t>The play STOMP has been playing in our Orpheum Theatre since prior to the time we acquired the theater in 2001. Messrs. James J. Cotter and Michael Forman own an approximately 5% interest in that play, an interest that they have held since prior to our acquisition of the theater.</w:t>
      </w:r>
    </w:p>
    <w:p>
      <w:pPr>
        <w:pStyle w:val="TextBody"/>
        <w:spacing w:lineRule="auto" w:line="300" w:before="0" w:after="0"/>
        <w:ind w:left="0" w:right="0" w:hanging="0"/>
        <w:jc w:val="left"/>
        <w:rPr/>
      </w:pPr>
      <w:r>
        <w:rPr/>
      </w:r>
    </w:p>
    <w:p>
      <w:pPr>
        <w:pStyle w:val="TextBody"/>
        <w:spacing w:lineRule="auto" w:line="300" w:before="0" w:after="0"/>
        <w:ind w:left="0" w:right="0" w:hanging="0"/>
        <w:jc w:val="both"/>
        <w:rPr/>
      </w:pPr>
      <w:r>
        <w:rPr/>
      </w:r>
    </w:p>
    <w:p>
      <w:pPr>
        <w:pStyle w:val="TextBody"/>
        <w:spacing w:lineRule="auto" w:line="300" w:before="0" w:after="0"/>
        <w:ind w:left="0" w:right="0" w:hanging="0"/>
        <w:jc w:val="both"/>
        <w:rPr/>
      </w:pPr>
      <w:r>
        <w:rPr>
          <w:rStyle w:val="StrongEmphasis"/>
          <w:rFonts w:ascii="Times New Roman" w:hAnsi="Times New Roman"/>
          <w:sz w:val="20"/>
          <w:u w:val="single"/>
        </w:rPr>
        <w:t>Note 26 - Subsequent Events</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u w:val="single"/>
        </w:rPr>
      </w:pPr>
      <w:r>
        <w:rPr>
          <w:rFonts w:ascii="Times New Roman" w:hAnsi="Times New Roman"/>
          <w:sz w:val="20"/>
          <w:u w:val="single"/>
        </w:rPr>
        <w:t>Trust Preferred</w:t>
      </w:r>
    </w:p>
    <w:p>
      <w:pPr>
        <w:pStyle w:val="TextBody"/>
        <w:spacing w:lineRule="auto" w:line="300" w:before="0" w:after="0"/>
        <w:ind w:left="0" w:right="0" w:hanging="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 xml:space="preserve">On February 5, 2007 we issued $50.0 million in 20-year fully subordinated notes, interest fixed for five years at 9.22%, to a trust which we control, and which in turn issued $50.0 million in trust preferred securities in a private placement. There are no principal payments until maturity in 2027 when the notes are paid in full. The trust is essentially a pass through, and the transaction is accounted for on our books as the issuance of fully subordinated notes. The placement generated $48.4 million in net proceeds, which were used principally to retire all of our bank indebtedness in New Zealand $34.4 million (NZ$50.0 million) and to retire a portion of our bank indebtedness in Australia $5.8 million (AUS$7.4 million). </w:t>
      </w:r>
    </w:p>
    <w:p>
      <w:pPr>
        <w:pStyle w:val="TextBody"/>
        <w:spacing w:lineRule="auto" w:line="300" w:before="0" w:after="0"/>
        <w:ind w:left="0" w:right="0" w:hanging="0"/>
        <w:jc w:val="both"/>
        <w:rPr/>
      </w:pPr>
      <w:r>
        <w:rPr/>
      </w:r>
    </w:p>
    <w:p>
      <w:pPr>
        <w:pStyle w:val="TextBody"/>
        <w:spacing w:lineRule="auto" w:line="300" w:before="0" w:after="0"/>
        <w:ind w:left="0" w:right="0" w:hanging="0"/>
        <w:jc w:val="left"/>
        <w:rPr>
          <w:rFonts w:ascii="Times New Roman" w:hAnsi="Times New Roman"/>
          <w:sz w:val="20"/>
          <w:u w:val="single"/>
        </w:rPr>
      </w:pPr>
      <w:r>
        <w:rPr>
          <w:rFonts w:ascii="Times New Roman" w:hAnsi="Times New Roman"/>
          <w:sz w:val="20"/>
          <w:u w:val="single"/>
        </w:rPr>
        <w:t>Tower Lease</w:t>
      </w:r>
    </w:p>
    <w:p>
      <w:pPr>
        <w:pStyle w:val="TextBody"/>
        <w:spacing w:lineRule="auto" w:line="300" w:before="0" w:after="0"/>
        <w:ind w:left="0" w:right="0" w:hanging="0"/>
        <w:jc w:val="left"/>
        <w:rPr/>
      </w:pPr>
      <w:r>
        <w:rPr/>
      </w:r>
    </w:p>
    <w:p>
      <w:pPr>
        <w:pStyle w:val="TextBody"/>
        <w:spacing w:lineRule="auto" w:line="300" w:before="0" w:after="0"/>
        <w:ind w:left="720" w:right="0" w:hanging="0"/>
        <w:jc w:val="left"/>
        <w:rPr>
          <w:rFonts w:ascii="Times New Roman" w:hAnsi="Times New Roman"/>
          <w:sz w:val="20"/>
        </w:rPr>
      </w:pPr>
      <w:bookmarkStart w:id="4171" w:name="TAB11980"/>
      <w:bookmarkEnd w:id="4171"/>
      <w:r>
        <w:rPr>
          <w:rFonts w:ascii="Times New Roman" w:hAnsi="Times New Roman"/>
          <w:sz w:val="20"/>
        </w:rPr>
        <w:t>At December 31, 2006, we were under contract to purchase the underlying lease of our Tower Cinema in Sacramento, California. The agreement called for a purchase price of $493,000 to be paid in two installments. The first installment of $243,000 was paid on February 8, 2007 and the second installment of $250,000 is due on July 1, 2007.</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u w:val="single"/>
        </w:rPr>
      </w:pPr>
      <w:r>
        <w:rPr>
          <w:rFonts w:ascii="Times New Roman" w:hAnsi="Times New Roman"/>
          <w:sz w:val="20"/>
          <w:u w:val="single"/>
        </w:rPr>
        <w:t>Lake Taupo</w:t>
      </w:r>
    </w:p>
    <w:p>
      <w:pPr>
        <w:pStyle w:val="TextBody"/>
        <w:spacing w:lineRule="auto" w:line="300" w:before="0" w:after="0"/>
        <w:ind w:left="0" w:right="0" w:hanging="0"/>
        <w:jc w:val="both"/>
        <w:rPr/>
      </w:pPr>
      <w:r>
        <w:rPr/>
      </w:r>
    </w:p>
    <w:p>
      <w:pPr>
        <w:pStyle w:val="TextBody"/>
        <w:spacing w:lineRule="auto" w:line="300" w:before="0" w:after="0"/>
        <w:ind w:left="720" w:right="0" w:hanging="0"/>
        <w:jc w:val="both"/>
        <w:rPr>
          <w:rFonts w:ascii="Times New Roman" w:hAnsi="Times New Roman"/>
          <w:sz w:val="20"/>
        </w:rPr>
      </w:pPr>
      <w:bookmarkStart w:id="4172" w:name="TAB11981"/>
      <w:bookmarkEnd w:id="4172"/>
      <w:r>
        <w:rPr>
          <w:rFonts w:ascii="Times New Roman" w:hAnsi="Times New Roman"/>
          <w:sz w:val="20"/>
        </w:rPr>
        <w:t>On February 14, 2007, we acquired through Landplan Property Partners commercial real estate of 1.0 acre in New Zealand. The acquisition of this property constitutes an investment of approximately $4.9 million (NZ$7.1 million).</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u w:val="single"/>
        </w:rPr>
      </w:pPr>
      <w:r>
        <w:rPr>
          <w:rFonts w:ascii="Times New Roman" w:hAnsi="Times New Roman"/>
          <w:sz w:val="20"/>
          <w:u w:val="single"/>
        </w:rPr>
        <w:t>Charlestown Lease Agreement</w:t>
      </w:r>
    </w:p>
    <w:p>
      <w:pPr>
        <w:pStyle w:val="TextBody"/>
        <w:spacing w:lineRule="auto" w:line="300" w:before="0" w:after="0"/>
        <w:ind w:left="0" w:right="0" w:hanging="0"/>
        <w:jc w:val="both"/>
        <w:rPr/>
      </w:pPr>
      <w:r>
        <w:rPr/>
      </w:r>
    </w:p>
    <w:p>
      <w:pPr>
        <w:pStyle w:val="TextBody"/>
        <w:spacing w:lineRule="auto" w:line="300" w:before="0" w:after="0"/>
        <w:ind w:left="0" w:right="0" w:firstLine="720"/>
        <w:jc w:val="left"/>
        <w:rPr>
          <w:rFonts w:ascii="Times New Roman" w:hAnsi="Times New Roman"/>
          <w:sz w:val="20"/>
        </w:rPr>
      </w:pPr>
      <w:r>
        <w:rPr>
          <w:rFonts w:ascii="Times New Roman" w:hAnsi="Times New Roman"/>
          <w:sz w:val="20"/>
        </w:rPr>
        <w:t>On February 23, 2007, we entered into an agreement to lease a site for an initial term of 15 years in which we intend to fit-out an 8-screen cinema in a regional shopping center located in a fast growing residential area in Australia. It is anticipated that this cinema will open in the first quarter of 2010.</w:t>
      </w:r>
    </w:p>
    <w:p>
      <w:pPr>
        <w:pStyle w:val="TextBody"/>
        <w:spacing w:lineRule="auto" w:line="300" w:before="0" w:after="0"/>
        <w:ind w:left="0" w:right="0" w:firstLine="72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173" w:name="PGBRK116"/>
      <w:bookmarkStart w:id="4174" w:name="PGBRK116"/>
      <w:bookmarkEnd w:id="417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175" w:name="FTR116"/>
      <w:bookmarkStart w:id="4176" w:name="FTR116"/>
      <w:bookmarkEnd w:id="417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177" w:name="GLFTR116"/>
      <w:bookmarkStart w:id="4178" w:name="GLFTR116"/>
      <w:bookmarkEnd w:id="417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4179" w:name="PN116"/>
      <w:bookmarkEnd w:id="4179"/>
      <w:r>
        <w:rPr>
          <w:rFonts w:ascii="Times New Roman" w:hAnsi="Times New Roman"/>
          <w:sz w:val="16"/>
        </w:rPr>
        <w:t>-116-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180" w:name="HDR116"/>
      <w:bookmarkStart w:id="4181" w:name="HDR116"/>
      <w:bookmarkEnd w:id="418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4182" w:name="GLHDR116"/>
        <w:bookmarkEnd w:id="4182"/>
        <w:r>
          <w:rPr>
            <w:rStyle w:val="Emphasis"/>
            <w:rFonts w:ascii="Times New Roman" w:hAnsi="Times New Roman"/>
            <w:color w:val="000000"/>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pStyle w:val="TextBody"/>
        <w:spacing w:lineRule="auto" w:line="300" w:before="0" w:after="0"/>
        <w:ind w:left="0" w:right="0" w:hanging="0"/>
        <w:jc w:val="center"/>
        <w:rPr/>
      </w:pPr>
      <w:bookmarkStart w:id="4183" w:name="schedule2"/>
      <w:bookmarkEnd w:id="4183"/>
      <w:r>
        <w:rPr>
          <w:rStyle w:val="StrongEmphasis"/>
          <w:rFonts w:ascii="Times New Roman" w:hAnsi="Times New Roman"/>
          <w:sz w:val="20"/>
          <w:u w:val="single"/>
        </w:rPr>
        <w:t>Schedule II - Valuation and Qualifying Accounts</w:t>
      </w:r>
    </w:p>
    <w:p>
      <w:pPr>
        <w:pStyle w:val="TextBody"/>
        <w:spacing w:lineRule="auto" w:line="300" w:before="0" w:after="0"/>
        <w:ind w:left="0" w:right="0" w:hanging="0"/>
        <w:jc w:val="center"/>
        <w:rPr/>
      </w:pPr>
      <w:r>
        <w:rPr/>
        <w:t> </w:t>
      </w:r>
    </w:p>
    <w:p>
      <w:pPr>
        <w:pStyle w:val="Normal"/>
        <w:spacing w:before="0" w:after="0"/>
        <w:ind w:left="0" w:right="0" w:hanging="0"/>
        <w:rPr>
          <w:sz w:val="4"/>
          <w:szCs w:val="4"/>
        </w:rPr>
      </w:pPr>
      <w:r>
        <w:rPr>
          <w:sz w:val="4"/>
          <w:szCs w:val="4"/>
        </w:rPr>
      </w:r>
      <w:bookmarkStart w:id="4184" w:name="ftable62"/>
      <w:bookmarkStart w:id="4185" w:name="ftable62"/>
      <w:bookmarkEnd w:id="4185"/>
    </w:p>
    <w:tbl>
      <w:tblPr>
        <w:tblW w:w="5000" w:type="pct"/>
        <w:jc w:val="center"/>
        <w:tblInd w:w="0" w:type="dxa"/>
        <w:tblCellMar>
          <w:top w:w="0" w:type="dxa"/>
          <w:left w:w="0" w:type="dxa"/>
          <w:bottom w:w="28" w:type="dxa"/>
          <w:right w:w="0" w:type="dxa"/>
        </w:tblCellMar>
      </w:tblPr>
      <w:tblGrid>
        <w:gridCol w:w="3644"/>
        <w:gridCol w:w="187"/>
        <w:gridCol w:w="167"/>
        <w:gridCol w:w="1267"/>
        <w:gridCol w:w="187"/>
        <w:gridCol w:w="179"/>
        <w:gridCol w:w="1236"/>
        <w:gridCol w:w="187"/>
        <w:gridCol w:w="194"/>
        <w:gridCol w:w="1295"/>
        <w:gridCol w:w="186"/>
        <w:gridCol w:w="152"/>
        <w:gridCol w:w="1193"/>
        <w:gridCol w:w="131"/>
      </w:tblGrid>
      <w:tr>
        <w:trPr/>
        <w:tc>
          <w:tcPr>
            <w:tcW w:w="3644" w:type="dxa"/>
            <w:tcBorders>
              <w:bottom w:val="double" w:sz="2" w:space="0" w:color="000000"/>
            </w:tcBorders>
            <w:shd w:fill="auto" w:val="clear"/>
            <w:vAlign w:val="bottom"/>
          </w:tcPr>
          <w:p>
            <w:pPr>
              <w:pStyle w:val="TableContents"/>
              <w:spacing w:lineRule="auto" w:line="300" w:before="0" w:after="0"/>
              <w:ind w:left="360" w:right="0" w:hanging="360"/>
              <w:jc w:val="left"/>
              <w:rPr/>
            </w:pPr>
            <w:r>
              <w:rPr>
                <w:rStyle w:val="StrongEmphasis"/>
                <w:rFonts w:ascii="Times New Roman" w:hAnsi="Times New Roman"/>
                <w:sz w:val="20"/>
              </w:rPr>
              <w:t>Description</w:t>
            </w:r>
          </w:p>
        </w:tc>
        <w:tc>
          <w:tcPr>
            <w:tcW w:w="187" w:type="dxa"/>
            <w:tcBorders>
              <w:bottom w:val="single" w:sz="4" w:space="0" w:color="FFFFFF"/>
            </w:tcBorders>
            <w:shd w:fill="auto" w:val="clear"/>
            <w:vAlign w:val="center"/>
          </w:tcPr>
          <w:p>
            <w:pPr>
              <w:pStyle w:val="TableContents"/>
              <w:spacing w:before="0" w:after="283"/>
              <w:rPr/>
            </w:pPr>
            <w:r>
              <w:rPr/>
              <w:t> </w:t>
            </w:r>
          </w:p>
        </w:tc>
        <w:tc>
          <w:tcPr>
            <w:tcW w:w="1434"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Balance at beginning of year</w:t>
            </w:r>
          </w:p>
        </w:tc>
        <w:tc>
          <w:tcPr>
            <w:tcW w:w="187" w:type="dxa"/>
            <w:tcBorders>
              <w:bottom w:val="single" w:sz="4" w:space="0" w:color="FFFFFF"/>
            </w:tcBorders>
            <w:shd w:fill="auto" w:val="clear"/>
            <w:vAlign w:val="bottom"/>
          </w:tcPr>
          <w:p>
            <w:pPr>
              <w:pStyle w:val="TableContents"/>
              <w:spacing w:before="0" w:after="283"/>
              <w:jc w:val="left"/>
              <w:rPr/>
            </w:pPr>
            <w:r>
              <w:rPr/>
              <w:t> </w:t>
            </w:r>
          </w:p>
        </w:tc>
        <w:tc>
          <w:tcPr>
            <w:tcW w:w="1415"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Additions charged to costs and expenses</w:t>
            </w:r>
          </w:p>
        </w:tc>
        <w:tc>
          <w:tcPr>
            <w:tcW w:w="187" w:type="dxa"/>
            <w:tcBorders>
              <w:bottom w:val="single" w:sz="4" w:space="0" w:color="FFFFFF"/>
            </w:tcBorders>
            <w:shd w:fill="auto" w:val="clear"/>
            <w:vAlign w:val="bottom"/>
          </w:tcPr>
          <w:p>
            <w:pPr>
              <w:pStyle w:val="TableContents"/>
              <w:spacing w:before="0" w:after="283"/>
              <w:jc w:val="left"/>
              <w:rPr/>
            </w:pPr>
            <w:r>
              <w:rPr/>
              <w:t> </w:t>
            </w:r>
          </w:p>
        </w:tc>
        <w:tc>
          <w:tcPr>
            <w:tcW w:w="1489"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Deductions</w:t>
            </w:r>
          </w:p>
        </w:tc>
        <w:tc>
          <w:tcPr>
            <w:tcW w:w="186" w:type="dxa"/>
            <w:tcBorders>
              <w:bottom w:val="single" w:sz="4" w:space="0" w:color="FFFFFF"/>
            </w:tcBorders>
            <w:shd w:fill="auto" w:val="clear"/>
            <w:vAlign w:val="bottom"/>
          </w:tcPr>
          <w:p>
            <w:pPr>
              <w:pStyle w:val="TableContents"/>
              <w:spacing w:before="0" w:after="283"/>
              <w:jc w:val="left"/>
              <w:rPr/>
            </w:pPr>
            <w:r>
              <w:rPr/>
              <w:t> </w:t>
            </w:r>
          </w:p>
        </w:tc>
        <w:tc>
          <w:tcPr>
            <w:tcW w:w="1345"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Balance at end of year</w:t>
            </w:r>
          </w:p>
        </w:tc>
        <w:tc>
          <w:tcPr>
            <w:tcW w:w="131" w:type="dxa"/>
            <w:tcBorders>
              <w:bottom w:val="single" w:sz="4" w:space="0" w:color="FFFFFF"/>
            </w:tcBorders>
            <w:shd w:fill="auto" w:val="clear"/>
            <w:vAlign w:val="bottom"/>
          </w:tcPr>
          <w:p>
            <w:pPr>
              <w:pStyle w:val="TableContents"/>
              <w:spacing w:before="0" w:after="283"/>
              <w:jc w:val="left"/>
              <w:rPr/>
            </w:pPr>
            <w:r>
              <w:rPr/>
              <w:t> </w:t>
            </w:r>
          </w:p>
        </w:tc>
      </w:tr>
      <w:tr>
        <w:trPr/>
        <w:tc>
          <w:tcPr>
            <w:tcW w:w="3644" w:type="dxa"/>
            <w:tcBorders/>
            <w:shd w:fill="auto" w:val="clear"/>
            <w:tcMar>
              <w:bottom w:w="0" w:type="dxa"/>
            </w:tcMar>
            <w:vAlign w:val="bottom"/>
          </w:tcPr>
          <w:p>
            <w:pPr>
              <w:pStyle w:val="TableContents"/>
              <w:spacing w:lineRule="auto" w:line="300" w:before="0" w:after="0"/>
              <w:ind w:left="360" w:right="0" w:hanging="360"/>
              <w:jc w:val="left"/>
              <w:rPr>
                <w:rFonts w:ascii="Times New Roman" w:hAnsi="Times New Roman"/>
                <w:sz w:val="20"/>
              </w:rPr>
            </w:pPr>
            <w:r>
              <w:rPr>
                <w:rFonts w:ascii="Times New Roman" w:hAnsi="Times New Roman"/>
                <w:sz w:val="20"/>
              </w:rPr>
              <w:t>Allowance for doubtful accounts</w:t>
            </w:r>
          </w:p>
        </w:tc>
        <w:tc>
          <w:tcPr>
            <w:tcW w:w="187" w:type="dxa"/>
            <w:tcBorders/>
            <w:shd w:fill="auto" w:val="clear"/>
            <w:tcMar>
              <w:bottom w:w="0" w:type="dxa"/>
            </w:tcMar>
            <w:vAlign w:val="center"/>
          </w:tcPr>
          <w:p>
            <w:pPr>
              <w:pStyle w:val="TableContents"/>
              <w:spacing w:before="0" w:after="283"/>
              <w:rPr/>
            </w:pPr>
            <w:r>
              <w:rPr/>
              <w:t> </w:t>
            </w:r>
          </w:p>
        </w:tc>
        <w:tc>
          <w:tcPr>
            <w:tcW w:w="1434" w:type="dxa"/>
            <w:gridSpan w:val="2"/>
            <w:tcBorders/>
            <w:shd w:fill="auto" w:val="clear"/>
            <w:tcMar>
              <w:bottom w:w="0" w:type="dxa"/>
            </w:tcMar>
            <w:vAlign w:val="bottom"/>
          </w:tcPr>
          <w:p>
            <w:pPr>
              <w:pStyle w:val="TableContents"/>
              <w:spacing w:before="0" w:after="283"/>
              <w:jc w:val="left"/>
              <w:rPr/>
            </w:pPr>
            <w:r>
              <w:rPr/>
              <w:t> </w:t>
            </w:r>
          </w:p>
        </w:tc>
        <w:tc>
          <w:tcPr>
            <w:tcW w:w="187" w:type="dxa"/>
            <w:tcBorders/>
            <w:shd w:fill="auto" w:val="clear"/>
            <w:tcMar>
              <w:bottom w:w="0" w:type="dxa"/>
            </w:tcMar>
            <w:vAlign w:val="bottom"/>
          </w:tcPr>
          <w:p>
            <w:pPr>
              <w:pStyle w:val="TableContents"/>
              <w:spacing w:before="0" w:after="283"/>
              <w:jc w:val="left"/>
              <w:rPr/>
            </w:pPr>
            <w:r>
              <w:rPr/>
              <w:t> </w:t>
            </w:r>
          </w:p>
        </w:tc>
        <w:tc>
          <w:tcPr>
            <w:tcW w:w="1415" w:type="dxa"/>
            <w:gridSpan w:val="2"/>
            <w:tcBorders/>
            <w:shd w:fill="auto" w:val="clear"/>
            <w:tcMar>
              <w:bottom w:w="0" w:type="dxa"/>
            </w:tcMar>
            <w:vAlign w:val="bottom"/>
          </w:tcPr>
          <w:p>
            <w:pPr>
              <w:pStyle w:val="TableContents"/>
              <w:spacing w:before="0" w:after="283"/>
              <w:jc w:val="left"/>
              <w:rPr/>
            </w:pPr>
            <w:r>
              <w:rPr/>
              <w:t> </w:t>
            </w:r>
          </w:p>
        </w:tc>
        <w:tc>
          <w:tcPr>
            <w:tcW w:w="187" w:type="dxa"/>
            <w:tcBorders/>
            <w:shd w:fill="auto" w:val="clear"/>
            <w:tcMar>
              <w:bottom w:w="0" w:type="dxa"/>
            </w:tcMar>
            <w:vAlign w:val="bottom"/>
          </w:tcPr>
          <w:p>
            <w:pPr>
              <w:pStyle w:val="TableContents"/>
              <w:spacing w:before="0" w:after="283"/>
              <w:jc w:val="left"/>
              <w:rPr/>
            </w:pPr>
            <w:r>
              <w:rPr/>
              <w:t> </w:t>
            </w:r>
          </w:p>
        </w:tc>
        <w:tc>
          <w:tcPr>
            <w:tcW w:w="1489" w:type="dxa"/>
            <w:gridSpan w:val="2"/>
            <w:tcBorders/>
            <w:shd w:fill="auto" w:val="clear"/>
            <w:tcMar>
              <w:bottom w:w="0" w:type="dxa"/>
            </w:tcMar>
            <w:vAlign w:val="bottom"/>
          </w:tcPr>
          <w:p>
            <w:pPr>
              <w:pStyle w:val="TableContents"/>
              <w:spacing w:before="0" w:after="283"/>
              <w:jc w:val="left"/>
              <w:rPr/>
            </w:pPr>
            <w:r>
              <w:rPr/>
              <w:t> </w:t>
            </w:r>
          </w:p>
        </w:tc>
        <w:tc>
          <w:tcPr>
            <w:tcW w:w="186" w:type="dxa"/>
            <w:tcBorders/>
            <w:shd w:fill="auto" w:val="clear"/>
            <w:tcMar>
              <w:bottom w:w="0" w:type="dxa"/>
            </w:tcMar>
            <w:vAlign w:val="bottom"/>
          </w:tcPr>
          <w:p>
            <w:pPr>
              <w:pStyle w:val="TableContents"/>
              <w:spacing w:before="0" w:after="283"/>
              <w:jc w:val="left"/>
              <w:rPr/>
            </w:pPr>
            <w:r>
              <w:rPr/>
              <w:t> </w:t>
            </w:r>
          </w:p>
        </w:tc>
        <w:tc>
          <w:tcPr>
            <w:tcW w:w="1345" w:type="dxa"/>
            <w:gridSpan w:val="2"/>
            <w:tcBorders/>
            <w:shd w:fill="auto" w:val="clear"/>
            <w:tcMar>
              <w:bottom w:w="0" w:type="dxa"/>
            </w:tcMar>
            <w:vAlign w:val="bottom"/>
          </w:tcPr>
          <w:p>
            <w:pPr>
              <w:pStyle w:val="TableContents"/>
              <w:spacing w:before="0" w:after="283"/>
              <w:jc w:val="left"/>
              <w:rPr/>
            </w:pPr>
            <w:r>
              <w:rPr/>
              <w:t> </w:t>
            </w:r>
          </w:p>
        </w:tc>
        <w:tc>
          <w:tcPr>
            <w:tcW w:w="131" w:type="dxa"/>
            <w:tcBorders/>
            <w:shd w:fill="auto" w:val="clear"/>
            <w:tcMar>
              <w:bottom w:w="0" w:type="dxa"/>
            </w:tcMar>
            <w:vAlign w:val="bottom"/>
          </w:tcPr>
          <w:p>
            <w:pPr>
              <w:pStyle w:val="TableContents"/>
              <w:spacing w:before="0" w:after="283"/>
              <w:jc w:val="left"/>
              <w:rPr/>
            </w:pPr>
            <w:r>
              <w:rPr/>
              <w:t> </w:t>
            </w:r>
          </w:p>
        </w:tc>
      </w:tr>
      <w:tr>
        <w:trPr/>
        <w:tc>
          <w:tcPr>
            <w:tcW w:w="3644" w:type="dxa"/>
            <w:tcBorders/>
            <w:shd w:fill="CCEEFF" w:val="clear"/>
            <w:tcMar>
              <w:bottom w:w="0" w:type="dxa"/>
            </w:tcMar>
            <w:vAlign w:val="bottom"/>
          </w:tcPr>
          <w:p>
            <w:pPr>
              <w:pStyle w:val="TableContents"/>
              <w:spacing w:lineRule="auto" w:line="300" w:before="0" w:after="0"/>
              <w:ind w:left="720" w:right="0" w:hanging="540"/>
              <w:jc w:val="left"/>
              <w:rPr>
                <w:rFonts w:ascii="Times New Roman" w:hAnsi="Times New Roman"/>
                <w:sz w:val="20"/>
              </w:rPr>
            </w:pPr>
            <w:bookmarkStart w:id="4186" w:name="TAB11982"/>
            <w:bookmarkEnd w:id="4186"/>
            <w:r>
              <w:rPr>
                <w:rFonts w:ascii="Times New Roman" w:hAnsi="Times New Roman"/>
                <w:sz w:val="20"/>
              </w:rPr>
              <w:t>Year-ended December 31, 2006 - Allowance for doubtful accounts</w:t>
            </w:r>
          </w:p>
        </w:tc>
        <w:tc>
          <w:tcPr>
            <w:tcW w:w="187" w:type="dxa"/>
            <w:tcBorders/>
            <w:shd w:fill="CCEEFF" w:val="clear"/>
            <w:tcMar>
              <w:bottom w:w="0" w:type="dxa"/>
            </w:tcMar>
            <w:vAlign w:val="center"/>
          </w:tcPr>
          <w:p>
            <w:pPr>
              <w:pStyle w:val="TableContents"/>
              <w:spacing w:before="0" w:after="283"/>
              <w:rPr/>
            </w:pPr>
            <w:r>
              <w:rPr/>
              <w:t> </w:t>
            </w:r>
          </w:p>
        </w:tc>
        <w:tc>
          <w:tcPr>
            <w:tcW w:w="167"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4187" w:name="TAB11983"/>
            <w:bookmarkEnd w:id="4187"/>
            <w:r>
              <w:rPr>
                <w:rFonts w:ascii="Times New Roman" w:hAnsi="Times New Roman"/>
                <w:sz w:val="20"/>
              </w:rPr>
              <w:t>$</w:t>
            </w:r>
          </w:p>
        </w:tc>
        <w:tc>
          <w:tcPr>
            <w:tcW w:w="1267"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4188" w:name="TAB11984"/>
            <w:bookmarkEnd w:id="4188"/>
            <w:r>
              <w:rPr>
                <w:rFonts w:ascii="Times New Roman" w:hAnsi="Times New Roman"/>
                <w:sz w:val="20"/>
              </w:rPr>
              <w:t>416</w:t>
            </w:r>
          </w:p>
        </w:tc>
        <w:tc>
          <w:tcPr>
            <w:tcW w:w="187" w:type="dxa"/>
            <w:tcBorders/>
            <w:shd w:fill="CCEEFF" w:val="clear"/>
            <w:tcMar>
              <w:bottom w:w="0" w:type="dxa"/>
            </w:tcMar>
            <w:vAlign w:val="bottom"/>
          </w:tcPr>
          <w:p>
            <w:pPr>
              <w:pStyle w:val="TableContents"/>
              <w:spacing w:before="0" w:after="283"/>
              <w:jc w:val="left"/>
              <w:rPr/>
            </w:pPr>
            <w:r>
              <w:rPr/>
              <w:t> </w:t>
            </w:r>
          </w:p>
        </w:tc>
        <w:tc>
          <w:tcPr>
            <w:tcW w:w="179"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4189" w:name="TAB11985"/>
            <w:bookmarkEnd w:id="4189"/>
            <w:r>
              <w:rPr>
                <w:rFonts w:ascii="Times New Roman" w:hAnsi="Times New Roman"/>
                <w:sz w:val="20"/>
              </w:rPr>
              <w:t>$</w:t>
            </w:r>
          </w:p>
        </w:tc>
        <w:tc>
          <w:tcPr>
            <w:tcW w:w="1236"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4190" w:name="TAB11986"/>
            <w:bookmarkEnd w:id="4190"/>
            <w:r>
              <w:rPr>
                <w:rFonts w:ascii="Times New Roman" w:hAnsi="Times New Roman"/>
                <w:sz w:val="20"/>
              </w:rPr>
              <w:t>247</w:t>
            </w:r>
          </w:p>
        </w:tc>
        <w:tc>
          <w:tcPr>
            <w:tcW w:w="187" w:type="dxa"/>
            <w:tcBorders/>
            <w:shd w:fill="CCEEFF" w:val="clear"/>
            <w:tcMar>
              <w:bottom w:w="0" w:type="dxa"/>
            </w:tcMar>
            <w:vAlign w:val="bottom"/>
          </w:tcPr>
          <w:p>
            <w:pPr>
              <w:pStyle w:val="TableContents"/>
              <w:spacing w:before="0" w:after="283"/>
              <w:jc w:val="left"/>
              <w:rPr/>
            </w:pPr>
            <w:r>
              <w:rPr/>
              <w:t> </w:t>
            </w:r>
          </w:p>
        </w:tc>
        <w:tc>
          <w:tcPr>
            <w:tcW w:w="194"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4191" w:name="TAB11987"/>
            <w:bookmarkEnd w:id="4191"/>
            <w:r>
              <w:rPr>
                <w:rFonts w:ascii="Times New Roman" w:hAnsi="Times New Roman"/>
                <w:sz w:val="20"/>
              </w:rPr>
              <w:t>$</w:t>
            </w:r>
          </w:p>
        </w:tc>
        <w:tc>
          <w:tcPr>
            <w:tcW w:w="1295"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4192" w:name="TAB11988"/>
            <w:bookmarkEnd w:id="4192"/>
            <w:r>
              <w:rPr>
                <w:rFonts w:ascii="Times New Roman" w:hAnsi="Times New Roman"/>
                <w:sz w:val="20"/>
              </w:rPr>
              <w:t>190</w:t>
            </w:r>
          </w:p>
        </w:tc>
        <w:tc>
          <w:tcPr>
            <w:tcW w:w="186" w:type="dxa"/>
            <w:tcBorders/>
            <w:shd w:fill="CCEEFF" w:val="clear"/>
            <w:tcMar>
              <w:bottom w:w="0" w:type="dxa"/>
            </w:tcMar>
            <w:vAlign w:val="bottom"/>
          </w:tcPr>
          <w:p>
            <w:pPr>
              <w:pStyle w:val="TableContents"/>
              <w:spacing w:before="0" w:after="283"/>
              <w:jc w:val="left"/>
              <w:rPr/>
            </w:pPr>
            <w:r>
              <w:rPr/>
              <w:t> </w:t>
            </w:r>
          </w:p>
        </w:tc>
        <w:tc>
          <w:tcPr>
            <w:tcW w:w="152"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4193" w:name="TAB11989"/>
            <w:bookmarkEnd w:id="4193"/>
            <w:r>
              <w:rPr>
                <w:rFonts w:ascii="Times New Roman" w:hAnsi="Times New Roman"/>
                <w:sz w:val="20"/>
              </w:rPr>
              <w:t>$</w:t>
            </w:r>
          </w:p>
        </w:tc>
        <w:tc>
          <w:tcPr>
            <w:tcW w:w="1193"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4194" w:name="TAB11990"/>
            <w:bookmarkEnd w:id="4194"/>
            <w:r>
              <w:rPr>
                <w:rFonts w:ascii="Times New Roman" w:hAnsi="Times New Roman"/>
                <w:sz w:val="20"/>
              </w:rPr>
              <w:t>473</w:t>
            </w:r>
          </w:p>
        </w:tc>
        <w:tc>
          <w:tcPr>
            <w:tcW w:w="131" w:type="dxa"/>
            <w:tcBorders/>
            <w:shd w:fill="CCEEFF" w:val="clear"/>
            <w:tcMar>
              <w:bottom w:w="0" w:type="dxa"/>
            </w:tcMar>
            <w:vAlign w:val="bottom"/>
          </w:tcPr>
          <w:p>
            <w:pPr>
              <w:pStyle w:val="TableContents"/>
              <w:spacing w:before="0" w:after="283"/>
              <w:jc w:val="left"/>
              <w:rPr/>
            </w:pPr>
            <w:r>
              <w:rPr/>
              <w:t> </w:t>
            </w:r>
          </w:p>
        </w:tc>
      </w:tr>
      <w:tr>
        <w:trPr/>
        <w:tc>
          <w:tcPr>
            <w:tcW w:w="3644" w:type="dxa"/>
            <w:tcBorders/>
            <w:shd w:fill="FFFFFF" w:val="clear"/>
            <w:tcMar>
              <w:bottom w:w="0" w:type="dxa"/>
            </w:tcMar>
            <w:vAlign w:val="bottom"/>
          </w:tcPr>
          <w:p>
            <w:pPr>
              <w:pStyle w:val="TableContents"/>
              <w:spacing w:lineRule="auto" w:line="300" w:before="0" w:after="0"/>
              <w:ind w:left="720" w:right="0" w:hanging="540"/>
              <w:jc w:val="left"/>
              <w:rPr>
                <w:rFonts w:ascii="Times New Roman" w:hAnsi="Times New Roman"/>
                <w:sz w:val="20"/>
              </w:rPr>
            </w:pPr>
            <w:bookmarkStart w:id="4195" w:name="TAB11991"/>
            <w:bookmarkEnd w:id="4195"/>
            <w:r>
              <w:rPr>
                <w:rFonts w:ascii="Times New Roman" w:hAnsi="Times New Roman"/>
                <w:sz w:val="20"/>
              </w:rPr>
              <w:t>Year-ended December 31, 2005 - Allowance for doubtful accounts</w:t>
            </w:r>
          </w:p>
        </w:tc>
        <w:tc>
          <w:tcPr>
            <w:tcW w:w="187" w:type="dxa"/>
            <w:tcBorders/>
            <w:shd w:fill="FFFFFF" w:val="clear"/>
            <w:tcMar>
              <w:bottom w:w="0" w:type="dxa"/>
            </w:tcMar>
            <w:vAlign w:val="center"/>
          </w:tcPr>
          <w:p>
            <w:pPr>
              <w:pStyle w:val="TableContents"/>
              <w:spacing w:before="0" w:after="283"/>
              <w:rPr/>
            </w:pPr>
            <w:r>
              <w:rPr/>
              <w:t> </w:t>
            </w:r>
          </w:p>
        </w:tc>
        <w:tc>
          <w:tcPr>
            <w:tcW w:w="167"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4196" w:name="TAB11992"/>
            <w:bookmarkEnd w:id="4196"/>
            <w:r>
              <w:rPr>
                <w:rFonts w:ascii="Times New Roman" w:hAnsi="Times New Roman"/>
                <w:sz w:val="20"/>
              </w:rPr>
              <w:t>$</w:t>
            </w:r>
          </w:p>
        </w:tc>
        <w:tc>
          <w:tcPr>
            <w:tcW w:w="1267"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4197" w:name="TAB11993"/>
            <w:bookmarkEnd w:id="4197"/>
            <w:r>
              <w:rPr>
                <w:rFonts w:ascii="Times New Roman" w:hAnsi="Times New Roman"/>
                <w:sz w:val="20"/>
              </w:rPr>
              <w:t>319</w:t>
            </w:r>
          </w:p>
        </w:tc>
        <w:tc>
          <w:tcPr>
            <w:tcW w:w="187" w:type="dxa"/>
            <w:tcBorders/>
            <w:shd w:fill="FFFFFF" w:val="clear"/>
            <w:tcMar>
              <w:bottom w:w="0" w:type="dxa"/>
            </w:tcMar>
            <w:vAlign w:val="bottom"/>
          </w:tcPr>
          <w:p>
            <w:pPr>
              <w:pStyle w:val="TableContents"/>
              <w:spacing w:before="0" w:after="283"/>
              <w:jc w:val="left"/>
              <w:rPr/>
            </w:pPr>
            <w:r>
              <w:rPr/>
              <w:t> </w:t>
            </w:r>
          </w:p>
        </w:tc>
        <w:tc>
          <w:tcPr>
            <w:tcW w:w="179"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4198" w:name="TAB11994"/>
            <w:bookmarkEnd w:id="4198"/>
            <w:r>
              <w:rPr>
                <w:rFonts w:ascii="Times New Roman" w:hAnsi="Times New Roman"/>
                <w:sz w:val="20"/>
              </w:rPr>
              <w:t>$</w:t>
            </w:r>
          </w:p>
        </w:tc>
        <w:tc>
          <w:tcPr>
            <w:tcW w:w="1236"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4199" w:name="TAB11995"/>
            <w:bookmarkEnd w:id="4199"/>
            <w:r>
              <w:rPr>
                <w:rFonts w:ascii="Times New Roman" w:hAnsi="Times New Roman"/>
                <w:sz w:val="20"/>
              </w:rPr>
              <w:t>183</w:t>
            </w:r>
          </w:p>
        </w:tc>
        <w:tc>
          <w:tcPr>
            <w:tcW w:w="187" w:type="dxa"/>
            <w:tcBorders/>
            <w:shd w:fill="FFFFFF" w:val="clear"/>
            <w:tcMar>
              <w:bottom w:w="0" w:type="dxa"/>
            </w:tcMar>
            <w:vAlign w:val="bottom"/>
          </w:tcPr>
          <w:p>
            <w:pPr>
              <w:pStyle w:val="TableContents"/>
              <w:spacing w:before="0" w:after="283"/>
              <w:jc w:val="left"/>
              <w:rPr/>
            </w:pPr>
            <w:r>
              <w:rPr/>
              <w:t> </w:t>
            </w:r>
          </w:p>
        </w:tc>
        <w:tc>
          <w:tcPr>
            <w:tcW w:w="194"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4200" w:name="TAB11996"/>
            <w:bookmarkEnd w:id="4200"/>
            <w:r>
              <w:rPr>
                <w:rFonts w:ascii="Times New Roman" w:hAnsi="Times New Roman"/>
                <w:sz w:val="20"/>
              </w:rPr>
              <w:t>$</w:t>
            </w:r>
          </w:p>
        </w:tc>
        <w:tc>
          <w:tcPr>
            <w:tcW w:w="1295"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4201" w:name="TAB11997"/>
            <w:bookmarkEnd w:id="4201"/>
            <w:r>
              <w:rPr>
                <w:rFonts w:ascii="Times New Roman" w:hAnsi="Times New Roman"/>
                <w:sz w:val="20"/>
              </w:rPr>
              <w:t>86</w:t>
            </w:r>
          </w:p>
        </w:tc>
        <w:tc>
          <w:tcPr>
            <w:tcW w:w="186" w:type="dxa"/>
            <w:tcBorders/>
            <w:shd w:fill="FFFFFF" w:val="clear"/>
            <w:tcMar>
              <w:bottom w:w="0" w:type="dxa"/>
            </w:tcMar>
            <w:vAlign w:val="bottom"/>
          </w:tcPr>
          <w:p>
            <w:pPr>
              <w:pStyle w:val="TableContents"/>
              <w:spacing w:before="0" w:after="283"/>
              <w:jc w:val="left"/>
              <w:rPr/>
            </w:pPr>
            <w:r>
              <w:rPr/>
              <w:t> </w:t>
            </w:r>
          </w:p>
        </w:tc>
        <w:tc>
          <w:tcPr>
            <w:tcW w:w="152"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4202" w:name="TAB11998"/>
            <w:bookmarkEnd w:id="4202"/>
            <w:r>
              <w:rPr>
                <w:rFonts w:ascii="Times New Roman" w:hAnsi="Times New Roman"/>
                <w:sz w:val="20"/>
              </w:rPr>
              <w:t>$</w:t>
            </w:r>
          </w:p>
        </w:tc>
        <w:tc>
          <w:tcPr>
            <w:tcW w:w="1193"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4203" w:name="TAB11999"/>
            <w:bookmarkEnd w:id="4203"/>
            <w:r>
              <w:rPr>
                <w:rFonts w:ascii="Times New Roman" w:hAnsi="Times New Roman"/>
                <w:sz w:val="20"/>
              </w:rPr>
              <w:t>416</w:t>
            </w:r>
          </w:p>
        </w:tc>
        <w:tc>
          <w:tcPr>
            <w:tcW w:w="131" w:type="dxa"/>
            <w:tcBorders/>
            <w:shd w:fill="FFFFFF" w:val="clear"/>
            <w:tcMar>
              <w:bottom w:w="0" w:type="dxa"/>
            </w:tcMar>
            <w:vAlign w:val="bottom"/>
          </w:tcPr>
          <w:p>
            <w:pPr>
              <w:pStyle w:val="TableContents"/>
              <w:spacing w:before="0" w:after="283"/>
              <w:jc w:val="left"/>
              <w:rPr/>
            </w:pPr>
            <w:r>
              <w:rPr/>
              <w:t> </w:t>
            </w:r>
          </w:p>
        </w:tc>
      </w:tr>
      <w:tr>
        <w:trPr/>
        <w:tc>
          <w:tcPr>
            <w:tcW w:w="3644" w:type="dxa"/>
            <w:tcBorders/>
            <w:shd w:fill="CCEEFF" w:val="clear"/>
            <w:tcMar>
              <w:bottom w:w="0" w:type="dxa"/>
            </w:tcMar>
            <w:vAlign w:val="bottom"/>
          </w:tcPr>
          <w:p>
            <w:pPr>
              <w:pStyle w:val="TableContents"/>
              <w:spacing w:lineRule="auto" w:line="300" w:before="0" w:after="0"/>
              <w:ind w:left="720" w:right="0" w:hanging="540"/>
              <w:jc w:val="left"/>
              <w:rPr>
                <w:rFonts w:ascii="Times New Roman" w:hAnsi="Times New Roman"/>
                <w:sz w:val="20"/>
              </w:rPr>
            </w:pPr>
            <w:bookmarkStart w:id="4204" w:name="TAB12000"/>
            <w:bookmarkEnd w:id="4204"/>
            <w:r>
              <w:rPr>
                <w:rFonts w:ascii="Times New Roman" w:hAnsi="Times New Roman"/>
                <w:sz w:val="20"/>
              </w:rPr>
              <w:t>Year-ended December 31, 2004 - Allowance for doubtful accounts</w:t>
            </w:r>
          </w:p>
        </w:tc>
        <w:tc>
          <w:tcPr>
            <w:tcW w:w="187" w:type="dxa"/>
            <w:tcBorders/>
            <w:shd w:fill="CCEEFF" w:val="clear"/>
            <w:tcMar>
              <w:bottom w:w="0" w:type="dxa"/>
            </w:tcMar>
            <w:vAlign w:val="center"/>
          </w:tcPr>
          <w:p>
            <w:pPr>
              <w:pStyle w:val="TableContents"/>
              <w:spacing w:before="0" w:after="283"/>
              <w:rPr/>
            </w:pPr>
            <w:r>
              <w:rPr/>
              <w:t> </w:t>
            </w:r>
          </w:p>
        </w:tc>
        <w:tc>
          <w:tcPr>
            <w:tcW w:w="167"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4205" w:name="TAB12001"/>
            <w:bookmarkEnd w:id="4205"/>
            <w:r>
              <w:rPr>
                <w:rFonts w:ascii="Times New Roman" w:hAnsi="Times New Roman"/>
                <w:sz w:val="20"/>
              </w:rPr>
              <w:t>$</w:t>
            </w:r>
          </w:p>
        </w:tc>
        <w:tc>
          <w:tcPr>
            <w:tcW w:w="1267"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4206" w:name="TAB12002"/>
            <w:bookmarkEnd w:id="4206"/>
            <w:r>
              <w:rPr>
                <w:rFonts w:ascii="Times New Roman" w:hAnsi="Times New Roman"/>
                <w:sz w:val="20"/>
              </w:rPr>
              <w:t>281</w:t>
            </w:r>
          </w:p>
        </w:tc>
        <w:tc>
          <w:tcPr>
            <w:tcW w:w="187" w:type="dxa"/>
            <w:tcBorders/>
            <w:shd w:fill="CCEEFF" w:val="clear"/>
            <w:tcMar>
              <w:bottom w:w="0" w:type="dxa"/>
            </w:tcMar>
            <w:vAlign w:val="bottom"/>
          </w:tcPr>
          <w:p>
            <w:pPr>
              <w:pStyle w:val="TableContents"/>
              <w:spacing w:before="0" w:after="283"/>
              <w:jc w:val="left"/>
              <w:rPr/>
            </w:pPr>
            <w:r>
              <w:rPr/>
              <w:t> </w:t>
            </w:r>
          </w:p>
        </w:tc>
        <w:tc>
          <w:tcPr>
            <w:tcW w:w="179"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4207" w:name="TAB12003"/>
            <w:bookmarkEnd w:id="4207"/>
            <w:r>
              <w:rPr>
                <w:rFonts w:ascii="Times New Roman" w:hAnsi="Times New Roman"/>
                <w:sz w:val="20"/>
              </w:rPr>
              <w:t>$</w:t>
            </w:r>
          </w:p>
        </w:tc>
        <w:tc>
          <w:tcPr>
            <w:tcW w:w="1236"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4208" w:name="TAB12004"/>
            <w:bookmarkEnd w:id="4208"/>
            <w:r>
              <w:rPr>
                <w:rFonts w:ascii="Times New Roman" w:hAnsi="Times New Roman"/>
                <w:sz w:val="20"/>
              </w:rPr>
              <w:t>38</w:t>
            </w:r>
          </w:p>
        </w:tc>
        <w:tc>
          <w:tcPr>
            <w:tcW w:w="187" w:type="dxa"/>
            <w:tcBorders/>
            <w:shd w:fill="CCEEFF" w:val="clear"/>
            <w:tcMar>
              <w:bottom w:w="0" w:type="dxa"/>
            </w:tcMar>
            <w:vAlign w:val="bottom"/>
          </w:tcPr>
          <w:p>
            <w:pPr>
              <w:pStyle w:val="TableContents"/>
              <w:spacing w:before="0" w:after="283"/>
              <w:jc w:val="left"/>
              <w:rPr/>
            </w:pPr>
            <w:r>
              <w:rPr/>
              <w:t> </w:t>
            </w:r>
          </w:p>
        </w:tc>
        <w:tc>
          <w:tcPr>
            <w:tcW w:w="194"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4209" w:name="TAB12005"/>
            <w:bookmarkEnd w:id="4209"/>
            <w:r>
              <w:rPr>
                <w:rFonts w:ascii="Times New Roman" w:hAnsi="Times New Roman"/>
                <w:sz w:val="20"/>
              </w:rPr>
              <w:t>$</w:t>
            </w:r>
          </w:p>
        </w:tc>
        <w:tc>
          <w:tcPr>
            <w:tcW w:w="1295"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4210" w:name="TAB12006"/>
            <w:bookmarkEnd w:id="4210"/>
            <w:r>
              <w:rPr>
                <w:rFonts w:ascii="Times New Roman" w:hAnsi="Times New Roman"/>
                <w:sz w:val="20"/>
              </w:rPr>
              <w:t>--</w:t>
            </w:r>
          </w:p>
        </w:tc>
        <w:tc>
          <w:tcPr>
            <w:tcW w:w="186" w:type="dxa"/>
            <w:tcBorders/>
            <w:shd w:fill="CCEEFF" w:val="clear"/>
            <w:tcMar>
              <w:bottom w:w="0" w:type="dxa"/>
            </w:tcMar>
            <w:vAlign w:val="bottom"/>
          </w:tcPr>
          <w:p>
            <w:pPr>
              <w:pStyle w:val="TableContents"/>
              <w:spacing w:before="0" w:after="283"/>
              <w:jc w:val="left"/>
              <w:rPr/>
            </w:pPr>
            <w:r>
              <w:rPr/>
              <w:t> </w:t>
            </w:r>
          </w:p>
        </w:tc>
        <w:tc>
          <w:tcPr>
            <w:tcW w:w="152"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4211" w:name="TAB12007"/>
            <w:bookmarkEnd w:id="4211"/>
            <w:r>
              <w:rPr>
                <w:rFonts w:ascii="Times New Roman" w:hAnsi="Times New Roman"/>
                <w:sz w:val="20"/>
              </w:rPr>
              <w:t>$</w:t>
            </w:r>
          </w:p>
        </w:tc>
        <w:tc>
          <w:tcPr>
            <w:tcW w:w="1193"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4212" w:name="TAB12008"/>
            <w:bookmarkEnd w:id="4212"/>
            <w:r>
              <w:rPr>
                <w:rFonts w:ascii="Times New Roman" w:hAnsi="Times New Roman"/>
                <w:sz w:val="20"/>
              </w:rPr>
              <w:t>319</w:t>
            </w:r>
          </w:p>
        </w:tc>
        <w:tc>
          <w:tcPr>
            <w:tcW w:w="131" w:type="dxa"/>
            <w:tcBorders/>
            <w:shd w:fill="CCEEFF" w:val="clear"/>
            <w:tcMar>
              <w:bottom w:w="0" w:type="dxa"/>
            </w:tcMar>
            <w:vAlign w:val="bottom"/>
          </w:tcPr>
          <w:p>
            <w:pPr>
              <w:pStyle w:val="TableContents"/>
              <w:spacing w:before="0" w:after="283"/>
              <w:jc w:val="left"/>
              <w:rPr/>
            </w:pPr>
            <w:r>
              <w:rPr/>
              <w:t> </w:t>
            </w:r>
          </w:p>
        </w:tc>
      </w:tr>
      <w:tr>
        <w:trPr/>
        <w:tc>
          <w:tcPr>
            <w:tcW w:w="3644" w:type="dxa"/>
            <w:tcBorders/>
            <w:shd w:fill="FFFFFF" w:val="clear"/>
            <w:tcMar>
              <w:bottom w:w="0" w:type="dxa"/>
            </w:tcMar>
            <w:vAlign w:val="bottom"/>
          </w:tcPr>
          <w:p>
            <w:pPr>
              <w:pStyle w:val="TableContents"/>
              <w:spacing w:before="0" w:after="283"/>
              <w:jc w:val="left"/>
              <w:rPr/>
            </w:pPr>
            <w:r>
              <w:rPr/>
              <w:t> </w:t>
            </w:r>
          </w:p>
        </w:tc>
        <w:tc>
          <w:tcPr>
            <w:tcW w:w="187" w:type="dxa"/>
            <w:tcBorders/>
            <w:shd w:fill="FFFFFF" w:val="clear"/>
            <w:tcMar>
              <w:bottom w:w="0" w:type="dxa"/>
            </w:tcMar>
            <w:vAlign w:val="center"/>
          </w:tcPr>
          <w:p>
            <w:pPr>
              <w:pStyle w:val="TableContents"/>
              <w:spacing w:before="0" w:after="283"/>
              <w:rPr/>
            </w:pPr>
            <w:r>
              <w:rPr/>
              <w:t> </w:t>
            </w:r>
          </w:p>
        </w:tc>
        <w:tc>
          <w:tcPr>
            <w:tcW w:w="167" w:type="dxa"/>
            <w:tcBorders/>
            <w:shd w:fill="FFFFFF" w:val="clear"/>
            <w:tcMar>
              <w:bottom w:w="0" w:type="dxa"/>
            </w:tcMar>
            <w:vAlign w:val="bottom"/>
          </w:tcPr>
          <w:p>
            <w:pPr>
              <w:pStyle w:val="TableContents"/>
              <w:spacing w:before="0" w:after="283"/>
              <w:jc w:val="left"/>
              <w:rPr/>
            </w:pPr>
            <w:r>
              <w:rPr/>
              <w:t> </w:t>
            </w:r>
          </w:p>
        </w:tc>
        <w:tc>
          <w:tcPr>
            <w:tcW w:w="1267" w:type="dxa"/>
            <w:tcBorders/>
            <w:shd w:fill="FFFFFF" w:val="clear"/>
            <w:tcMar>
              <w:bottom w:w="0" w:type="dxa"/>
            </w:tcMar>
            <w:vAlign w:val="bottom"/>
          </w:tcPr>
          <w:p>
            <w:pPr>
              <w:pStyle w:val="TableContents"/>
              <w:spacing w:before="0" w:after="283"/>
              <w:jc w:val="right"/>
              <w:rPr/>
            </w:pPr>
            <w:r>
              <w:rPr/>
              <w:t> </w:t>
            </w:r>
          </w:p>
        </w:tc>
        <w:tc>
          <w:tcPr>
            <w:tcW w:w="187" w:type="dxa"/>
            <w:tcBorders/>
            <w:shd w:fill="FFFFFF" w:val="clear"/>
            <w:tcMar>
              <w:bottom w:w="0" w:type="dxa"/>
            </w:tcMar>
            <w:vAlign w:val="bottom"/>
          </w:tcPr>
          <w:p>
            <w:pPr>
              <w:pStyle w:val="TableContents"/>
              <w:spacing w:before="0" w:after="283"/>
              <w:jc w:val="left"/>
              <w:rPr/>
            </w:pPr>
            <w:r>
              <w:rPr/>
              <w:t> </w:t>
            </w:r>
          </w:p>
        </w:tc>
        <w:tc>
          <w:tcPr>
            <w:tcW w:w="179" w:type="dxa"/>
            <w:tcBorders/>
            <w:shd w:fill="FFFFFF" w:val="clear"/>
            <w:tcMar>
              <w:bottom w:w="0" w:type="dxa"/>
            </w:tcMar>
            <w:vAlign w:val="bottom"/>
          </w:tcPr>
          <w:p>
            <w:pPr>
              <w:pStyle w:val="TableContents"/>
              <w:spacing w:before="0" w:after="283"/>
              <w:jc w:val="left"/>
              <w:rPr/>
            </w:pPr>
            <w:r>
              <w:rPr/>
              <w:t> </w:t>
            </w:r>
          </w:p>
        </w:tc>
        <w:tc>
          <w:tcPr>
            <w:tcW w:w="1236" w:type="dxa"/>
            <w:tcBorders/>
            <w:shd w:fill="FFFFFF" w:val="clear"/>
            <w:tcMar>
              <w:bottom w:w="0" w:type="dxa"/>
            </w:tcMar>
            <w:vAlign w:val="bottom"/>
          </w:tcPr>
          <w:p>
            <w:pPr>
              <w:pStyle w:val="TableContents"/>
              <w:spacing w:before="0" w:after="283"/>
              <w:jc w:val="right"/>
              <w:rPr/>
            </w:pPr>
            <w:r>
              <w:rPr/>
              <w:t> </w:t>
            </w:r>
          </w:p>
        </w:tc>
        <w:tc>
          <w:tcPr>
            <w:tcW w:w="187" w:type="dxa"/>
            <w:tcBorders/>
            <w:shd w:fill="FFFFFF" w:val="clear"/>
            <w:tcMar>
              <w:bottom w:w="0" w:type="dxa"/>
            </w:tcMar>
            <w:vAlign w:val="bottom"/>
          </w:tcPr>
          <w:p>
            <w:pPr>
              <w:pStyle w:val="TableContents"/>
              <w:spacing w:before="0" w:after="283"/>
              <w:jc w:val="left"/>
              <w:rPr/>
            </w:pPr>
            <w:r>
              <w:rPr/>
              <w:t> </w:t>
            </w:r>
          </w:p>
        </w:tc>
        <w:tc>
          <w:tcPr>
            <w:tcW w:w="194" w:type="dxa"/>
            <w:tcBorders/>
            <w:shd w:fill="FFFFFF" w:val="clear"/>
            <w:tcMar>
              <w:bottom w:w="0" w:type="dxa"/>
            </w:tcMar>
            <w:vAlign w:val="bottom"/>
          </w:tcPr>
          <w:p>
            <w:pPr>
              <w:pStyle w:val="TableContents"/>
              <w:spacing w:before="0" w:after="283"/>
              <w:jc w:val="left"/>
              <w:rPr/>
            </w:pPr>
            <w:r>
              <w:rPr/>
              <w:t> </w:t>
            </w:r>
          </w:p>
        </w:tc>
        <w:tc>
          <w:tcPr>
            <w:tcW w:w="1295" w:type="dxa"/>
            <w:tcBorders/>
            <w:shd w:fill="FFFFFF" w:val="clear"/>
            <w:tcMar>
              <w:bottom w:w="0" w:type="dxa"/>
            </w:tcMar>
            <w:vAlign w:val="bottom"/>
          </w:tcPr>
          <w:p>
            <w:pPr>
              <w:pStyle w:val="TableContents"/>
              <w:spacing w:before="0" w:after="283"/>
              <w:jc w:val="right"/>
              <w:rPr/>
            </w:pPr>
            <w:r>
              <w:rPr/>
              <w:t> </w:t>
            </w:r>
          </w:p>
        </w:tc>
        <w:tc>
          <w:tcPr>
            <w:tcW w:w="186" w:type="dxa"/>
            <w:tcBorders/>
            <w:shd w:fill="FFFFFF" w:val="clear"/>
            <w:tcMar>
              <w:bottom w:w="0" w:type="dxa"/>
            </w:tcMar>
            <w:vAlign w:val="bottom"/>
          </w:tcPr>
          <w:p>
            <w:pPr>
              <w:pStyle w:val="TableContents"/>
              <w:spacing w:before="0" w:after="283"/>
              <w:jc w:val="left"/>
              <w:rPr/>
            </w:pPr>
            <w:r>
              <w:rPr/>
              <w:t> </w:t>
            </w:r>
          </w:p>
        </w:tc>
        <w:tc>
          <w:tcPr>
            <w:tcW w:w="152" w:type="dxa"/>
            <w:tcBorders/>
            <w:shd w:fill="FFFFFF" w:val="clear"/>
            <w:tcMar>
              <w:bottom w:w="0" w:type="dxa"/>
            </w:tcMar>
            <w:vAlign w:val="bottom"/>
          </w:tcPr>
          <w:p>
            <w:pPr>
              <w:pStyle w:val="TableContents"/>
              <w:spacing w:before="0" w:after="283"/>
              <w:jc w:val="left"/>
              <w:rPr/>
            </w:pPr>
            <w:r>
              <w:rPr/>
              <w:t> </w:t>
            </w:r>
          </w:p>
        </w:tc>
        <w:tc>
          <w:tcPr>
            <w:tcW w:w="1193" w:type="dxa"/>
            <w:tcBorders/>
            <w:shd w:fill="FFFFFF" w:val="clear"/>
            <w:tcMar>
              <w:bottom w:w="0" w:type="dxa"/>
            </w:tcMar>
            <w:vAlign w:val="bottom"/>
          </w:tcPr>
          <w:p>
            <w:pPr>
              <w:pStyle w:val="TableContents"/>
              <w:spacing w:before="0" w:after="283"/>
              <w:jc w:val="right"/>
              <w:rPr/>
            </w:pPr>
            <w:r>
              <w:rPr/>
              <w:t> </w:t>
            </w:r>
          </w:p>
        </w:tc>
        <w:tc>
          <w:tcPr>
            <w:tcW w:w="131" w:type="dxa"/>
            <w:tcBorders/>
            <w:shd w:fill="FFFFFF" w:val="clear"/>
            <w:tcMar>
              <w:bottom w:w="0" w:type="dxa"/>
            </w:tcMar>
            <w:vAlign w:val="bottom"/>
          </w:tcPr>
          <w:p>
            <w:pPr>
              <w:pStyle w:val="TableContents"/>
              <w:spacing w:before="0" w:after="283"/>
              <w:jc w:val="left"/>
              <w:rPr/>
            </w:pPr>
            <w:r>
              <w:rPr/>
              <w:t> </w:t>
            </w:r>
          </w:p>
        </w:tc>
      </w:tr>
      <w:tr>
        <w:trPr/>
        <w:tc>
          <w:tcPr>
            <w:tcW w:w="3644" w:type="dxa"/>
            <w:tcBorders/>
            <w:shd w:fill="CCEEFF" w:val="clear"/>
            <w:tcMar>
              <w:bottom w:w="0" w:type="dxa"/>
            </w:tcMar>
            <w:vAlign w:val="bottom"/>
          </w:tcPr>
          <w:p>
            <w:pPr>
              <w:pStyle w:val="TableContents"/>
              <w:spacing w:lineRule="auto" w:line="300" w:before="0" w:after="0"/>
              <w:ind w:left="540" w:right="0" w:hanging="540"/>
              <w:jc w:val="left"/>
              <w:rPr>
                <w:rFonts w:ascii="Times New Roman" w:hAnsi="Times New Roman"/>
                <w:sz w:val="20"/>
              </w:rPr>
            </w:pPr>
            <w:r>
              <w:rPr>
                <w:rFonts w:ascii="Times New Roman" w:hAnsi="Times New Roman"/>
                <w:sz w:val="20"/>
              </w:rPr>
              <w:t xml:space="preserve">Tax valuation allowance </w:t>
            </w:r>
          </w:p>
        </w:tc>
        <w:tc>
          <w:tcPr>
            <w:tcW w:w="187" w:type="dxa"/>
            <w:tcBorders/>
            <w:shd w:fill="CCEEFF" w:val="clear"/>
            <w:tcMar>
              <w:bottom w:w="0" w:type="dxa"/>
            </w:tcMar>
            <w:vAlign w:val="center"/>
          </w:tcPr>
          <w:p>
            <w:pPr>
              <w:pStyle w:val="TableContents"/>
              <w:spacing w:before="0" w:after="283"/>
              <w:rPr/>
            </w:pPr>
            <w:r>
              <w:rPr/>
              <w:t> </w:t>
            </w:r>
          </w:p>
        </w:tc>
        <w:tc>
          <w:tcPr>
            <w:tcW w:w="167" w:type="dxa"/>
            <w:tcBorders/>
            <w:shd w:fill="CCEEFF" w:val="clear"/>
            <w:tcMar>
              <w:bottom w:w="0" w:type="dxa"/>
            </w:tcMar>
            <w:vAlign w:val="bottom"/>
          </w:tcPr>
          <w:p>
            <w:pPr>
              <w:pStyle w:val="TableContents"/>
              <w:spacing w:before="0" w:after="283"/>
              <w:jc w:val="left"/>
              <w:rPr/>
            </w:pPr>
            <w:r>
              <w:rPr/>
              <w:t> </w:t>
            </w:r>
          </w:p>
        </w:tc>
        <w:tc>
          <w:tcPr>
            <w:tcW w:w="1267" w:type="dxa"/>
            <w:tcBorders/>
            <w:shd w:fill="CCEEFF" w:val="clear"/>
            <w:tcMar>
              <w:bottom w:w="0" w:type="dxa"/>
            </w:tcMar>
            <w:vAlign w:val="bottom"/>
          </w:tcPr>
          <w:p>
            <w:pPr>
              <w:pStyle w:val="TableContents"/>
              <w:spacing w:before="0" w:after="283"/>
              <w:jc w:val="right"/>
              <w:rPr/>
            </w:pPr>
            <w:r>
              <w:rPr/>
              <w:t> </w:t>
            </w:r>
          </w:p>
        </w:tc>
        <w:tc>
          <w:tcPr>
            <w:tcW w:w="187" w:type="dxa"/>
            <w:tcBorders/>
            <w:shd w:fill="CCEEFF" w:val="clear"/>
            <w:tcMar>
              <w:bottom w:w="0" w:type="dxa"/>
            </w:tcMar>
            <w:vAlign w:val="bottom"/>
          </w:tcPr>
          <w:p>
            <w:pPr>
              <w:pStyle w:val="TableContents"/>
              <w:spacing w:before="0" w:after="283"/>
              <w:jc w:val="left"/>
              <w:rPr/>
            </w:pPr>
            <w:r>
              <w:rPr/>
              <w:t> </w:t>
            </w:r>
          </w:p>
        </w:tc>
        <w:tc>
          <w:tcPr>
            <w:tcW w:w="179" w:type="dxa"/>
            <w:tcBorders/>
            <w:shd w:fill="CCEEFF" w:val="clear"/>
            <w:tcMar>
              <w:bottom w:w="0" w:type="dxa"/>
            </w:tcMar>
            <w:vAlign w:val="bottom"/>
          </w:tcPr>
          <w:p>
            <w:pPr>
              <w:pStyle w:val="TableContents"/>
              <w:spacing w:before="0" w:after="283"/>
              <w:jc w:val="left"/>
              <w:rPr/>
            </w:pPr>
            <w:r>
              <w:rPr/>
              <w:t> </w:t>
            </w:r>
          </w:p>
        </w:tc>
        <w:tc>
          <w:tcPr>
            <w:tcW w:w="1236" w:type="dxa"/>
            <w:tcBorders/>
            <w:shd w:fill="CCEEFF" w:val="clear"/>
            <w:tcMar>
              <w:bottom w:w="0" w:type="dxa"/>
            </w:tcMar>
            <w:vAlign w:val="bottom"/>
          </w:tcPr>
          <w:p>
            <w:pPr>
              <w:pStyle w:val="TableContents"/>
              <w:spacing w:before="0" w:after="283"/>
              <w:jc w:val="right"/>
              <w:rPr/>
            </w:pPr>
            <w:r>
              <w:rPr/>
              <w:t> </w:t>
            </w:r>
          </w:p>
        </w:tc>
        <w:tc>
          <w:tcPr>
            <w:tcW w:w="187" w:type="dxa"/>
            <w:tcBorders/>
            <w:shd w:fill="CCEEFF" w:val="clear"/>
            <w:tcMar>
              <w:bottom w:w="0" w:type="dxa"/>
            </w:tcMar>
            <w:vAlign w:val="bottom"/>
          </w:tcPr>
          <w:p>
            <w:pPr>
              <w:pStyle w:val="TableContents"/>
              <w:spacing w:before="0" w:after="283"/>
              <w:jc w:val="left"/>
              <w:rPr/>
            </w:pPr>
            <w:r>
              <w:rPr/>
              <w:t> </w:t>
            </w:r>
          </w:p>
        </w:tc>
        <w:tc>
          <w:tcPr>
            <w:tcW w:w="194" w:type="dxa"/>
            <w:tcBorders/>
            <w:shd w:fill="CCEEFF" w:val="clear"/>
            <w:tcMar>
              <w:bottom w:w="0" w:type="dxa"/>
            </w:tcMar>
            <w:vAlign w:val="bottom"/>
          </w:tcPr>
          <w:p>
            <w:pPr>
              <w:pStyle w:val="TableContents"/>
              <w:spacing w:before="0" w:after="283"/>
              <w:jc w:val="left"/>
              <w:rPr/>
            </w:pPr>
            <w:r>
              <w:rPr/>
              <w:t> </w:t>
            </w:r>
          </w:p>
        </w:tc>
        <w:tc>
          <w:tcPr>
            <w:tcW w:w="1295" w:type="dxa"/>
            <w:tcBorders/>
            <w:shd w:fill="CCEEFF" w:val="clear"/>
            <w:tcMar>
              <w:bottom w:w="0" w:type="dxa"/>
            </w:tcMar>
            <w:vAlign w:val="bottom"/>
          </w:tcPr>
          <w:p>
            <w:pPr>
              <w:pStyle w:val="TableContents"/>
              <w:spacing w:before="0" w:after="283"/>
              <w:jc w:val="right"/>
              <w:rPr/>
            </w:pPr>
            <w:r>
              <w:rPr/>
              <w:t> </w:t>
            </w:r>
          </w:p>
        </w:tc>
        <w:tc>
          <w:tcPr>
            <w:tcW w:w="186" w:type="dxa"/>
            <w:tcBorders/>
            <w:shd w:fill="CCEEFF" w:val="clear"/>
            <w:tcMar>
              <w:bottom w:w="0" w:type="dxa"/>
            </w:tcMar>
            <w:vAlign w:val="bottom"/>
          </w:tcPr>
          <w:p>
            <w:pPr>
              <w:pStyle w:val="TableContents"/>
              <w:spacing w:before="0" w:after="283"/>
              <w:jc w:val="left"/>
              <w:rPr/>
            </w:pPr>
            <w:r>
              <w:rPr/>
              <w:t> </w:t>
            </w:r>
          </w:p>
        </w:tc>
        <w:tc>
          <w:tcPr>
            <w:tcW w:w="152" w:type="dxa"/>
            <w:tcBorders/>
            <w:shd w:fill="CCEEFF" w:val="clear"/>
            <w:tcMar>
              <w:bottom w:w="0" w:type="dxa"/>
            </w:tcMar>
            <w:vAlign w:val="bottom"/>
          </w:tcPr>
          <w:p>
            <w:pPr>
              <w:pStyle w:val="TableContents"/>
              <w:spacing w:before="0" w:after="283"/>
              <w:jc w:val="left"/>
              <w:rPr/>
            </w:pPr>
            <w:r>
              <w:rPr/>
              <w:t> </w:t>
            </w:r>
          </w:p>
        </w:tc>
        <w:tc>
          <w:tcPr>
            <w:tcW w:w="1193" w:type="dxa"/>
            <w:tcBorders/>
            <w:shd w:fill="CCEEFF" w:val="clear"/>
            <w:tcMar>
              <w:bottom w:w="0" w:type="dxa"/>
            </w:tcMar>
            <w:vAlign w:val="bottom"/>
          </w:tcPr>
          <w:p>
            <w:pPr>
              <w:pStyle w:val="TableContents"/>
              <w:spacing w:before="0" w:after="283"/>
              <w:jc w:val="right"/>
              <w:rPr/>
            </w:pPr>
            <w:r>
              <w:rPr/>
              <w:t> </w:t>
            </w:r>
          </w:p>
        </w:tc>
        <w:tc>
          <w:tcPr>
            <w:tcW w:w="131" w:type="dxa"/>
            <w:tcBorders/>
            <w:shd w:fill="CCEEFF" w:val="clear"/>
            <w:tcMar>
              <w:bottom w:w="0" w:type="dxa"/>
            </w:tcMar>
            <w:vAlign w:val="bottom"/>
          </w:tcPr>
          <w:p>
            <w:pPr>
              <w:pStyle w:val="TableContents"/>
              <w:spacing w:before="0" w:after="283"/>
              <w:jc w:val="left"/>
              <w:rPr/>
            </w:pPr>
            <w:r>
              <w:rPr/>
              <w:t> </w:t>
            </w:r>
          </w:p>
        </w:tc>
      </w:tr>
      <w:tr>
        <w:trPr/>
        <w:tc>
          <w:tcPr>
            <w:tcW w:w="3644" w:type="dxa"/>
            <w:tcBorders/>
            <w:shd w:fill="FFFFFF" w:val="clear"/>
            <w:tcMar>
              <w:bottom w:w="0" w:type="dxa"/>
            </w:tcMar>
            <w:vAlign w:val="bottom"/>
          </w:tcPr>
          <w:p>
            <w:pPr>
              <w:pStyle w:val="TableContents"/>
              <w:spacing w:lineRule="auto" w:line="300" w:before="0" w:after="0"/>
              <w:ind w:left="900" w:right="0" w:hanging="540"/>
              <w:jc w:val="left"/>
              <w:rPr>
                <w:rFonts w:ascii="Times New Roman" w:hAnsi="Times New Roman"/>
                <w:sz w:val="20"/>
              </w:rPr>
            </w:pPr>
            <w:bookmarkStart w:id="4213" w:name="TAB12009"/>
            <w:bookmarkEnd w:id="4213"/>
            <w:r>
              <w:rPr>
                <w:rFonts w:ascii="Times New Roman" w:hAnsi="Times New Roman"/>
                <w:sz w:val="20"/>
              </w:rPr>
              <w:t>Year-ended December 31, 2006 - Tax valuation allowance</w:t>
            </w:r>
          </w:p>
        </w:tc>
        <w:tc>
          <w:tcPr>
            <w:tcW w:w="187" w:type="dxa"/>
            <w:tcBorders/>
            <w:shd w:fill="FFFFFF" w:val="clear"/>
            <w:tcMar>
              <w:bottom w:w="0" w:type="dxa"/>
            </w:tcMar>
            <w:vAlign w:val="center"/>
          </w:tcPr>
          <w:p>
            <w:pPr>
              <w:pStyle w:val="TableContents"/>
              <w:spacing w:before="0" w:after="283"/>
              <w:rPr/>
            </w:pPr>
            <w:r>
              <w:rPr/>
              <w:t> </w:t>
            </w:r>
          </w:p>
        </w:tc>
        <w:tc>
          <w:tcPr>
            <w:tcW w:w="167"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4214" w:name="TAB12010"/>
            <w:bookmarkEnd w:id="4214"/>
            <w:r>
              <w:rPr>
                <w:rFonts w:ascii="Times New Roman" w:hAnsi="Times New Roman"/>
                <w:sz w:val="20"/>
              </w:rPr>
              <w:t>$</w:t>
            </w:r>
          </w:p>
        </w:tc>
        <w:tc>
          <w:tcPr>
            <w:tcW w:w="1267"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4215" w:name="TAB12011"/>
            <w:bookmarkEnd w:id="4215"/>
            <w:r>
              <w:rPr>
                <w:rFonts w:ascii="Times New Roman" w:hAnsi="Times New Roman"/>
                <w:sz w:val="20"/>
              </w:rPr>
              <w:t>58,584</w:t>
            </w:r>
          </w:p>
        </w:tc>
        <w:tc>
          <w:tcPr>
            <w:tcW w:w="187" w:type="dxa"/>
            <w:tcBorders/>
            <w:shd w:fill="FFFFFF" w:val="clear"/>
            <w:tcMar>
              <w:bottom w:w="0" w:type="dxa"/>
            </w:tcMar>
            <w:vAlign w:val="bottom"/>
          </w:tcPr>
          <w:p>
            <w:pPr>
              <w:pStyle w:val="TableContents"/>
              <w:spacing w:before="0" w:after="283"/>
              <w:jc w:val="left"/>
              <w:rPr/>
            </w:pPr>
            <w:r>
              <w:rPr/>
              <w:t> </w:t>
            </w:r>
          </w:p>
        </w:tc>
        <w:tc>
          <w:tcPr>
            <w:tcW w:w="179"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4216" w:name="TAB12012"/>
            <w:bookmarkEnd w:id="4216"/>
            <w:r>
              <w:rPr>
                <w:rFonts w:ascii="Times New Roman" w:hAnsi="Times New Roman"/>
                <w:sz w:val="20"/>
              </w:rPr>
              <w:t>$</w:t>
            </w:r>
          </w:p>
        </w:tc>
        <w:tc>
          <w:tcPr>
            <w:tcW w:w="1236"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4217" w:name="TAB12013"/>
            <w:bookmarkEnd w:id="4217"/>
            <w:r>
              <w:rPr>
                <w:rFonts w:ascii="Times New Roman" w:hAnsi="Times New Roman"/>
                <w:sz w:val="20"/>
              </w:rPr>
              <w:t>--</w:t>
            </w:r>
          </w:p>
        </w:tc>
        <w:tc>
          <w:tcPr>
            <w:tcW w:w="187" w:type="dxa"/>
            <w:tcBorders/>
            <w:shd w:fill="FFFFFF" w:val="clear"/>
            <w:tcMar>
              <w:bottom w:w="0" w:type="dxa"/>
            </w:tcMar>
            <w:vAlign w:val="bottom"/>
          </w:tcPr>
          <w:p>
            <w:pPr>
              <w:pStyle w:val="TableContents"/>
              <w:spacing w:before="0" w:after="283"/>
              <w:jc w:val="left"/>
              <w:rPr/>
            </w:pPr>
            <w:r>
              <w:rPr/>
              <w:t> </w:t>
            </w:r>
          </w:p>
        </w:tc>
        <w:tc>
          <w:tcPr>
            <w:tcW w:w="194"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4218" w:name="TAB12014"/>
            <w:bookmarkEnd w:id="4218"/>
            <w:r>
              <w:rPr>
                <w:rFonts w:ascii="Times New Roman" w:hAnsi="Times New Roman"/>
                <w:sz w:val="20"/>
              </w:rPr>
              <w:t>$</w:t>
            </w:r>
          </w:p>
        </w:tc>
        <w:tc>
          <w:tcPr>
            <w:tcW w:w="1295"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4219" w:name="TAB12015"/>
            <w:bookmarkEnd w:id="4219"/>
            <w:r>
              <w:rPr>
                <w:rFonts w:ascii="Times New Roman" w:hAnsi="Times New Roman"/>
                <w:sz w:val="20"/>
              </w:rPr>
              <w:t>2,366</w:t>
            </w:r>
          </w:p>
        </w:tc>
        <w:tc>
          <w:tcPr>
            <w:tcW w:w="186" w:type="dxa"/>
            <w:tcBorders/>
            <w:shd w:fill="FFFFFF" w:val="clear"/>
            <w:tcMar>
              <w:bottom w:w="0" w:type="dxa"/>
            </w:tcMar>
            <w:vAlign w:val="bottom"/>
          </w:tcPr>
          <w:p>
            <w:pPr>
              <w:pStyle w:val="TableContents"/>
              <w:spacing w:before="0" w:after="283"/>
              <w:jc w:val="left"/>
              <w:rPr/>
            </w:pPr>
            <w:r>
              <w:rPr/>
              <w:t> </w:t>
            </w:r>
          </w:p>
        </w:tc>
        <w:tc>
          <w:tcPr>
            <w:tcW w:w="152"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4220" w:name="TAB12016"/>
            <w:bookmarkEnd w:id="4220"/>
            <w:r>
              <w:rPr>
                <w:rFonts w:ascii="Times New Roman" w:hAnsi="Times New Roman"/>
                <w:sz w:val="20"/>
              </w:rPr>
              <w:t>$</w:t>
            </w:r>
          </w:p>
        </w:tc>
        <w:tc>
          <w:tcPr>
            <w:tcW w:w="1193"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4221" w:name="TAB12017"/>
            <w:bookmarkEnd w:id="4221"/>
            <w:r>
              <w:rPr>
                <w:rFonts w:ascii="Times New Roman" w:hAnsi="Times New Roman"/>
                <w:sz w:val="20"/>
              </w:rPr>
              <w:t>56,218</w:t>
            </w:r>
          </w:p>
        </w:tc>
        <w:tc>
          <w:tcPr>
            <w:tcW w:w="131" w:type="dxa"/>
            <w:tcBorders/>
            <w:shd w:fill="FFFFFF" w:val="clear"/>
            <w:tcMar>
              <w:bottom w:w="0" w:type="dxa"/>
            </w:tcMar>
            <w:vAlign w:val="bottom"/>
          </w:tcPr>
          <w:p>
            <w:pPr>
              <w:pStyle w:val="TableContents"/>
              <w:spacing w:before="0" w:after="283"/>
              <w:jc w:val="left"/>
              <w:rPr/>
            </w:pPr>
            <w:r>
              <w:rPr/>
              <w:t> </w:t>
            </w:r>
          </w:p>
        </w:tc>
      </w:tr>
      <w:tr>
        <w:trPr/>
        <w:tc>
          <w:tcPr>
            <w:tcW w:w="3644" w:type="dxa"/>
            <w:tcBorders/>
            <w:shd w:fill="CCEEFF" w:val="clear"/>
            <w:tcMar>
              <w:bottom w:w="0" w:type="dxa"/>
            </w:tcMar>
            <w:vAlign w:val="bottom"/>
          </w:tcPr>
          <w:p>
            <w:pPr>
              <w:pStyle w:val="TableContents"/>
              <w:spacing w:lineRule="auto" w:line="300" w:before="0" w:after="0"/>
              <w:ind w:left="900" w:right="0" w:hanging="540"/>
              <w:jc w:val="left"/>
              <w:rPr>
                <w:rFonts w:ascii="Times New Roman" w:hAnsi="Times New Roman"/>
                <w:sz w:val="20"/>
              </w:rPr>
            </w:pPr>
            <w:bookmarkStart w:id="4222" w:name="TAB12018"/>
            <w:bookmarkEnd w:id="4222"/>
            <w:r>
              <w:rPr>
                <w:rFonts w:ascii="Times New Roman" w:hAnsi="Times New Roman"/>
                <w:sz w:val="20"/>
              </w:rPr>
              <w:t>Year-ended December 31, 2005 - Tax valuation allowance</w:t>
            </w:r>
          </w:p>
        </w:tc>
        <w:tc>
          <w:tcPr>
            <w:tcW w:w="187" w:type="dxa"/>
            <w:tcBorders/>
            <w:shd w:fill="CCEEFF" w:val="clear"/>
            <w:tcMar>
              <w:bottom w:w="0" w:type="dxa"/>
            </w:tcMar>
            <w:vAlign w:val="center"/>
          </w:tcPr>
          <w:p>
            <w:pPr>
              <w:pStyle w:val="TableContents"/>
              <w:spacing w:before="0" w:after="283"/>
              <w:rPr/>
            </w:pPr>
            <w:r>
              <w:rPr/>
              <w:t> </w:t>
            </w:r>
          </w:p>
        </w:tc>
        <w:tc>
          <w:tcPr>
            <w:tcW w:w="167"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4223" w:name="TAB12019"/>
            <w:bookmarkEnd w:id="4223"/>
            <w:r>
              <w:rPr>
                <w:rFonts w:ascii="Times New Roman" w:hAnsi="Times New Roman"/>
                <w:sz w:val="20"/>
              </w:rPr>
              <w:t>$</w:t>
            </w:r>
          </w:p>
        </w:tc>
        <w:tc>
          <w:tcPr>
            <w:tcW w:w="1267"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4224" w:name="TAB12020"/>
            <w:bookmarkEnd w:id="4224"/>
            <w:r>
              <w:rPr>
                <w:rFonts w:ascii="Times New Roman" w:hAnsi="Times New Roman"/>
                <w:sz w:val="20"/>
              </w:rPr>
              <w:t>59,180</w:t>
            </w:r>
          </w:p>
        </w:tc>
        <w:tc>
          <w:tcPr>
            <w:tcW w:w="187" w:type="dxa"/>
            <w:tcBorders/>
            <w:shd w:fill="CCEEFF" w:val="clear"/>
            <w:tcMar>
              <w:bottom w:w="0" w:type="dxa"/>
            </w:tcMar>
            <w:vAlign w:val="bottom"/>
          </w:tcPr>
          <w:p>
            <w:pPr>
              <w:pStyle w:val="TableContents"/>
              <w:spacing w:before="0" w:after="283"/>
              <w:jc w:val="left"/>
              <w:rPr/>
            </w:pPr>
            <w:r>
              <w:rPr/>
              <w:t> </w:t>
            </w:r>
          </w:p>
        </w:tc>
        <w:tc>
          <w:tcPr>
            <w:tcW w:w="179"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4225" w:name="TAB12021"/>
            <w:bookmarkEnd w:id="4225"/>
            <w:r>
              <w:rPr>
                <w:rFonts w:ascii="Times New Roman" w:hAnsi="Times New Roman"/>
                <w:sz w:val="20"/>
              </w:rPr>
              <w:t>$</w:t>
            </w:r>
          </w:p>
        </w:tc>
        <w:tc>
          <w:tcPr>
            <w:tcW w:w="1236"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4226" w:name="TAB12022"/>
            <w:bookmarkEnd w:id="4226"/>
            <w:r>
              <w:rPr>
                <w:rFonts w:ascii="Times New Roman" w:hAnsi="Times New Roman"/>
                <w:sz w:val="20"/>
              </w:rPr>
              <w:t>--</w:t>
            </w:r>
          </w:p>
        </w:tc>
        <w:tc>
          <w:tcPr>
            <w:tcW w:w="187" w:type="dxa"/>
            <w:tcBorders/>
            <w:shd w:fill="CCEEFF" w:val="clear"/>
            <w:tcMar>
              <w:bottom w:w="0" w:type="dxa"/>
            </w:tcMar>
            <w:vAlign w:val="bottom"/>
          </w:tcPr>
          <w:p>
            <w:pPr>
              <w:pStyle w:val="TableContents"/>
              <w:spacing w:before="0" w:after="283"/>
              <w:jc w:val="left"/>
              <w:rPr/>
            </w:pPr>
            <w:r>
              <w:rPr/>
              <w:t> </w:t>
            </w:r>
          </w:p>
        </w:tc>
        <w:tc>
          <w:tcPr>
            <w:tcW w:w="194"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4227" w:name="TAB12023"/>
            <w:bookmarkEnd w:id="4227"/>
            <w:r>
              <w:rPr>
                <w:rFonts w:ascii="Times New Roman" w:hAnsi="Times New Roman"/>
                <w:sz w:val="20"/>
              </w:rPr>
              <w:t>$</w:t>
            </w:r>
          </w:p>
        </w:tc>
        <w:tc>
          <w:tcPr>
            <w:tcW w:w="1295"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4228" w:name="TAB12024"/>
            <w:bookmarkEnd w:id="4228"/>
            <w:r>
              <w:rPr>
                <w:rFonts w:ascii="Times New Roman" w:hAnsi="Times New Roman"/>
                <w:sz w:val="20"/>
              </w:rPr>
              <w:t>596</w:t>
            </w:r>
          </w:p>
        </w:tc>
        <w:tc>
          <w:tcPr>
            <w:tcW w:w="186" w:type="dxa"/>
            <w:tcBorders/>
            <w:shd w:fill="CCEEFF" w:val="clear"/>
            <w:tcMar>
              <w:bottom w:w="0" w:type="dxa"/>
            </w:tcMar>
            <w:vAlign w:val="bottom"/>
          </w:tcPr>
          <w:p>
            <w:pPr>
              <w:pStyle w:val="TableContents"/>
              <w:spacing w:before="0" w:after="283"/>
              <w:jc w:val="left"/>
              <w:rPr/>
            </w:pPr>
            <w:r>
              <w:rPr/>
              <w:t> </w:t>
            </w:r>
          </w:p>
        </w:tc>
        <w:tc>
          <w:tcPr>
            <w:tcW w:w="152"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4229" w:name="TAB12025"/>
            <w:bookmarkEnd w:id="4229"/>
            <w:r>
              <w:rPr>
                <w:rFonts w:ascii="Times New Roman" w:hAnsi="Times New Roman"/>
                <w:sz w:val="20"/>
              </w:rPr>
              <w:t>$</w:t>
            </w:r>
          </w:p>
        </w:tc>
        <w:tc>
          <w:tcPr>
            <w:tcW w:w="1193"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4230" w:name="TAB12026"/>
            <w:bookmarkEnd w:id="4230"/>
            <w:r>
              <w:rPr>
                <w:rFonts w:ascii="Times New Roman" w:hAnsi="Times New Roman"/>
                <w:sz w:val="20"/>
              </w:rPr>
              <w:t>58,584</w:t>
            </w:r>
          </w:p>
        </w:tc>
        <w:tc>
          <w:tcPr>
            <w:tcW w:w="131" w:type="dxa"/>
            <w:tcBorders/>
            <w:shd w:fill="CCEEFF" w:val="clear"/>
            <w:tcMar>
              <w:bottom w:w="0" w:type="dxa"/>
            </w:tcMar>
            <w:vAlign w:val="bottom"/>
          </w:tcPr>
          <w:p>
            <w:pPr>
              <w:pStyle w:val="TableContents"/>
              <w:spacing w:before="0" w:after="283"/>
              <w:jc w:val="left"/>
              <w:rPr/>
            </w:pPr>
            <w:r>
              <w:rPr/>
              <w:t> </w:t>
            </w:r>
          </w:p>
        </w:tc>
      </w:tr>
      <w:tr>
        <w:trPr/>
        <w:tc>
          <w:tcPr>
            <w:tcW w:w="3644" w:type="dxa"/>
            <w:tcBorders/>
            <w:shd w:fill="FFFFFF" w:val="clear"/>
            <w:tcMar>
              <w:bottom w:w="0" w:type="dxa"/>
            </w:tcMar>
            <w:vAlign w:val="bottom"/>
          </w:tcPr>
          <w:p>
            <w:pPr>
              <w:pStyle w:val="TableContents"/>
              <w:spacing w:lineRule="auto" w:line="300" w:before="0" w:after="0"/>
              <w:ind w:left="900" w:right="0" w:hanging="540"/>
              <w:jc w:val="left"/>
              <w:rPr>
                <w:rFonts w:ascii="Times New Roman" w:hAnsi="Times New Roman"/>
                <w:sz w:val="20"/>
              </w:rPr>
            </w:pPr>
            <w:bookmarkStart w:id="4231" w:name="TAB12027"/>
            <w:bookmarkEnd w:id="4231"/>
            <w:r>
              <w:rPr>
                <w:rFonts w:ascii="Times New Roman" w:hAnsi="Times New Roman"/>
                <w:sz w:val="20"/>
              </w:rPr>
              <w:t>Year-ended December 31, 2004 - Tax valuation allowance</w:t>
            </w:r>
          </w:p>
        </w:tc>
        <w:tc>
          <w:tcPr>
            <w:tcW w:w="187" w:type="dxa"/>
            <w:tcBorders/>
            <w:shd w:fill="FFFFFF" w:val="clear"/>
            <w:tcMar>
              <w:bottom w:w="0" w:type="dxa"/>
            </w:tcMar>
            <w:vAlign w:val="center"/>
          </w:tcPr>
          <w:p>
            <w:pPr>
              <w:pStyle w:val="TableContents"/>
              <w:spacing w:before="0" w:after="283"/>
              <w:rPr/>
            </w:pPr>
            <w:r>
              <w:rPr/>
              <w:t> </w:t>
            </w:r>
          </w:p>
        </w:tc>
        <w:tc>
          <w:tcPr>
            <w:tcW w:w="167"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4232" w:name="TAB12028"/>
            <w:bookmarkEnd w:id="4232"/>
            <w:r>
              <w:rPr>
                <w:rFonts w:ascii="Times New Roman" w:hAnsi="Times New Roman"/>
                <w:sz w:val="20"/>
              </w:rPr>
              <w:t>$</w:t>
            </w:r>
          </w:p>
        </w:tc>
        <w:tc>
          <w:tcPr>
            <w:tcW w:w="1267"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4233" w:name="TAB12029"/>
            <w:bookmarkEnd w:id="4233"/>
            <w:r>
              <w:rPr>
                <w:rFonts w:ascii="Times New Roman" w:hAnsi="Times New Roman"/>
                <w:sz w:val="20"/>
              </w:rPr>
              <w:t>57,428</w:t>
            </w:r>
          </w:p>
        </w:tc>
        <w:tc>
          <w:tcPr>
            <w:tcW w:w="187" w:type="dxa"/>
            <w:tcBorders/>
            <w:shd w:fill="FFFFFF" w:val="clear"/>
            <w:tcMar>
              <w:bottom w:w="0" w:type="dxa"/>
            </w:tcMar>
            <w:vAlign w:val="bottom"/>
          </w:tcPr>
          <w:p>
            <w:pPr>
              <w:pStyle w:val="TableContents"/>
              <w:spacing w:before="0" w:after="283"/>
              <w:jc w:val="left"/>
              <w:rPr/>
            </w:pPr>
            <w:r>
              <w:rPr/>
              <w:t> </w:t>
            </w:r>
          </w:p>
        </w:tc>
        <w:tc>
          <w:tcPr>
            <w:tcW w:w="179"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4234" w:name="TAB12030"/>
            <w:bookmarkEnd w:id="4234"/>
            <w:r>
              <w:rPr>
                <w:rFonts w:ascii="Times New Roman" w:hAnsi="Times New Roman"/>
                <w:sz w:val="20"/>
              </w:rPr>
              <w:t>$</w:t>
            </w:r>
          </w:p>
        </w:tc>
        <w:tc>
          <w:tcPr>
            <w:tcW w:w="1236"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4235" w:name="TAB12031"/>
            <w:bookmarkEnd w:id="4235"/>
            <w:r>
              <w:rPr>
                <w:rFonts w:ascii="Times New Roman" w:hAnsi="Times New Roman"/>
                <w:sz w:val="20"/>
              </w:rPr>
              <w:t>1,752</w:t>
            </w:r>
          </w:p>
        </w:tc>
        <w:tc>
          <w:tcPr>
            <w:tcW w:w="187" w:type="dxa"/>
            <w:tcBorders/>
            <w:shd w:fill="FFFFFF" w:val="clear"/>
            <w:tcMar>
              <w:bottom w:w="0" w:type="dxa"/>
            </w:tcMar>
            <w:vAlign w:val="bottom"/>
          </w:tcPr>
          <w:p>
            <w:pPr>
              <w:pStyle w:val="TableContents"/>
              <w:spacing w:before="0" w:after="283"/>
              <w:jc w:val="left"/>
              <w:rPr/>
            </w:pPr>
            <w:r>
              <w:rPr/>
              <w:t> </w:t>
            </w:r>
          </w:p>
        </w:tc>
        <w:tc>
          <w:tcPr>
            <w:tcW w:w="194"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4236" w:name="TAB12032"/>
            <w:bookmarkEnd w:id="4236"/>
            <w:r>
              <w:rPr>
                <w:rFonts w:ascii="Times New Roman" w:hAnsi="Times New Roman"/>
                <w:sz w:val="20"/>
              </w:rPr>
              <w:t>$</w:t>
            </w:r>
          </w:p>
        </w:tc>
        <w:tc>
          <w:tcPr>
            <w:tcW w:w="1295"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4237" w:name="TAB12033"/>
            <w:bookmarkEnd w:id="4237"/>
            <w:r>
              <w:rPr>
                <w:rFonts w:ascii="Times New Roman" w:hAnsi="Times New Roman"/>
                <w:sz w:val="20"/>
              </w:rPr>
              <w:t>--</w:t>
            </w:r>
          </w:p>
        </w:tc>
        <w:tc>
          <w:tcPr>
            <w:tcW w:w="186" w:type="dxa"/>
            <w:tcBorders/>
            <w:shd w:fill="FFFFFF" w:val="clear"/>
            <w:tcMar>
              <w:bottom w:w="0" w:type="dxa"/>
            </w:tcMar>
            <w:vAlign w:val="bottom"/>
          </w:tcPr>
          <w:p>
            <w:pPr>
              <w:pStyle w:val="TableContents"/>
              <w:spacing w:before="0" w:after="283"/>
              <w:jc w:val="left"/>
              <w:rPr/>
            </w:pPr>
            <w:r>
              <w:rPr/>
              <w:t> </w:t>
            </w:r>
          </w:p>
        </w:tc>
        <w:tc>
          <w:tcPr>
            <w:tcW w:w="152"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4238" w:name="TAB12034"/>
            <w:bookmarkEnd w:id="4238"/>
            <w:r>
              <w:rPr>
                <w:rFonts w:ascii="Times New Roman" w:hAnsi="Times New Roman"/>
                <w:sz w:val="20"/>
              </w:rPr>
              <w:t>$</w:t>
            </w:r>
          </w:p>
        </w:tc>
        <w:tc>
          <w:tcPr>
            <w:tcW w:w="1193"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4239" w:name="TAB12035"/>
            <w:bookmarkEnd w:id="4239"/>
            <w:r>
              <w:rPr>
                <w:rFonts w:ascii="Times New Roman" w:hAnsi="Times New Roman"/>
                <w:sz w:val="20"/>
              </w:rPr>
              <w:t>59,180</w:t>
            </w:r>
          </w:p>
        </w:tc>
        <w:tc>
          <w:tcPr>
            <w:tcW w:w="131" w:type="dxa"/>
            <w:tcBorders/>
            <w:shd w:fill="FFFFFF" w:val="clear"/>
            <w:tcMar>
              <w:bottom w:w="0" w:type="dxa"/>
            </w:tcMar>
            <w:vAlign w:val="bottom"/>
          </w:tcPr>
          <w:p>
            <w:pPr>
              <w:pStyle w:val="TableContents"/>
              <w:spacing w:before="0" w:after="283"/>
              <w:jc w:val="left"/>
              <w:rPr/>
            </w:pPr>
            <w:r>
              <w:rPr/>
              <w:t> </w:t>
            </w:r>
          </w:p>
        </w:tc>
      </w:tr>
    </w:tbl>
    <w:p>
      <w:pPr>
        <w:pStyle w:val="TextBody"/>
        <w:spacing w:lineRule="auto" w:line="300" w:before="0" w:after="0"/>
        <w:ind w:left="0" w:right="0" w:hanging="0"/>
        <w:jc w:val="center"/>
        <w:rPr/>
      </w:pPr>
      <w:r>
        <w:rPr/>
        <w:t> </w:t>
      </w:r>
    </w:p>
    <w:p>
      <w:pPr>
        <w:pStyle w:val="TextBody"/>
        <w:spacing w:lineRule="auto" w:line="300" w:before="0" w:after="0"/>
        <w:ind w:left="0" w:right="0" w:firstLine="720"/>
        <w:jc w:val="left"/>
        <w:rPr>
          <w:rFonts w:ascii="Times New Roman" w:hAnsi="Times New Roman"/>
          <w:sz w:val="20"/>
        </w:rPr>
      </w:pPr>
      <w:r>
        <w:rPr>
          <w:rFonts w:ascii="Times New Roman" w:hAnsi="Times New Roman"/>
          <w:sz w:val="20"/>
        </w:rPr>
        <w:t>Regarding the allowance for doubtful accounts, certain prior year amounts were reclassified to conform to the current year presentation.</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240" w:name="PGBRK117"/>
      <w:bookmarkStart w:id="4241" w:name="PGBRK117"/>
      <w:bookmarkEnd w:id="424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242" w:name="FTR117"/>
      <w:bookmarkStart w:id="4243" w:name="FTR117"/>
      <w:bookmarkEnd w:id="424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244" w:name="GLFTR117"/>
      <w:bookmarkStart w:id="4245" w:name="GLFTR117"/>
      <w:bookmarkEnd w:id="424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4246" w:name="PN117"/>
      <w:bookmarkEnd w:id="4246"/>
      <w:r>
        <w:rPr>
          <w:rFonts w:ascii="Times New Roman" w:hAnsi="Times New Roman"/>
          <w:sz w:val="16"/>
        </w:rPr>
        <w:t>-117-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247" w:name="HDR117"/>
      <w:bookmarkStart w:id="4248" w:name="HDR117"/>
      <w:bookmarkEnd w:id="424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4249" w:name="GLHDR117"/>
        <w:bookmarkEnd w:id="4249"/>
        <w:r>
          <w:rPr>
            <w:rStyle w:val="Emphasis"/>
            <w:rFonts w:ascii="Times New Roman" w:hAnsi="Times New Roman"/>
            <w:color w:val="000000"/>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300" w:before="0" w:after="0"/>
        <w:ind w:left="0" w:right="0" w:hanging="0"/>
        <w:jc w:val="center"/>
        <w:rPr/>
      </w:pPr>
      <w:bookmarkStart w:id="4250" w:name="item9"/>
      <w:bookmarkEnd w:id="4250"/>
      <w:r>
        <w:rPr>
          <w:rStyle w:val="StrongEmphasis"/>
          <w:rFonts w:ascii="Times New Roman" w:hAnsi="Times New Roman"/>
          <w:sz w:val="20"/>
          <w:u w:val="single"/>
        </w:rPr>
        <w:t>Item 9 - Change in and Disagreements with Accountants on Accounting and Financial Disclosure</w:t>
      </w:r>
    </w:p>
    <w:p>
      <w:pPr>
        <w:pStyle w:val="TextBody"/>
        <w:spacing w:lineRule="auto" w:line="300" w:before="0" w:after="0"/>
        <w:ind w:left="0" w:right="0" w:hanging="0"/>
        <w:jc w:val="left"/>
        <w:rPr/>
      </w:pPr>
      <w:r>
        <w:rPr/>
      </w:r>
    </w:p>
    <w:p>
      <w:pPr>
        <w:pStyle w:val="TextBody"/>
        <w:spacing w:lineRule="auto" w:line="300" w:before="0" w:after="0"/>
        <w:ind w:left="0" w:right="0" w:firstLine="720"/>
        <w:jc w:val="left"/>
        <w:rPr>
          <w:rFonts w:ascii="Times New Roman" w:hAnsi="Times New Roman"/>
          <w:sz w:val="20"/>
        </w:rPr>
      </w:pPr>
      <w:r>
        <w:rPr>
          <w:rFonts w:ascii="Times New Roman" w:hAnsi="Times New Roman"/>
          <w:sz w:val="20"/>
        </w:rPr>
        <w:t>None.</w:t>
      </w:r>
    </w:p>
    <w:p>
      <w:pPr>
        <w:pStyle w:val="TextBody"/>
        <w:spacing w:lineRule="auto" w:line="300" w:before="0" w:after="0"/>
        <w:ind w:left="0" w:right="0" w:firstLine="720"/>
        <w:jc w:val="left"/>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251" w:name="PGBRK118"/>
      <w:bookmarkStart w:id="4252" w:name="PGBRK118"/>
      <w:bookmarkEnd w:id="425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253" w:name="FTR118"/>
      <w:bookmarkStart w:id="4254" w:name="FTR118"/>
      <w:bookmarkEnd w:id="425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255" w:name="GLFTR118"/>
      <w:bookmarkStart w:id="4256" w:name="GLFTR118"/>
      <w:bookmarkEnd w:id="425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4257" w:name="PN118"/>
      <w:bookmarkEnd w:id="4257"/>
      <w:r>
        <w:rPr>
          <w:rFonts w:ascii="Times New Roman" w:hAnsi="Times New Roman"/>
          <w:sz w:val="16"/>
        </w:rPr>
        <w:t>-118-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258" w:name="HDR118"/>
      <w:bookmarkStart w:id="4259" w:name="HDR118"/>
      <w:bookmarkEnd w:id="425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4260" w:name="GLHDR118"/>
        <w:bookmarkEnd w:id="4260"/>
        <w:r>
          <w:rPr>
            <w:rStyle w:val="Emphasis"/>
            <w:rFonts w:ascii="Times New Roman" w:hAnsi="Times New Roman"/>
            <w:color w:val="000000"/>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300" w:before="0" w:after="0"/>
        <w:ind w:left="0" w:right="0" w:hanging="0"/>
        <w:jc w:val="center"/>
        <w:rPr/>
      </w:pPr>
      <w:bookmarkStart w:id="4261" w:name="item9a"/>
      <w:bookmarkEnd w:id="4261"/>
      <w:r>
        <w:rPr>
          <w:rStyle w:val="StrongEmphasis"/>
          <w:rFonts w:ascii="Times New Roman" w:hAnsi="Times New Roman"/>
          <w:sz w:val="20"/>
          <w:u w:val="single"/>
        </w:rPr>
        <w:t>Item 9A — Controls and Procedures</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pPr>
      <w:r>
        <w:rPr/>
      </w:r>
    </w:p>
    <w:p>
      <w:pPr>
        <w:pStyle w:val="TextBody"/>
        <w:spacing w:lineRule="auto" w:line="300" w:before="0" w:after="0"/>
        <w:ind w:left="0" w:right="0" w:hanging="0"/>
        <w:jc w:val="both"/>
        <w:rPr/>
      </w:pPr>
      <w:r>
        <w:rPr>
          <w:rStyle w:val="StrongEmphasis"/>
          <w:rFonts w:ascii="Times New Roman" w:hAnsi="Times New Roman"/>
          <w:sz w:val="20"/>
          <w:u w:val="single"/>
        </w:rPr>
        <w:t xml:space="preserve">Evaluation of Disclosure Controls and Procedures </w:t>
      </w:r>
    </w:p>
    <w:p>
      <w:pPr>
        <w:pStyle w:val="TextBody"/>
        <w:spacing w:lineRule="auto" w:line="300" w:before="0" w:after="0"/>
        <w:ind w:left="0" w:right="0" w:hanging="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 xml:space="preserve">Our management, with the participation of our chief executive officer and chief financial officer, evaluated the effectiveness of our disclosure controls and procedures (as defined in Rules 13a-15(e) and under the Securities Exchange Act of 1934 Exchange Act) as of December 31, 2006. Based on this evaluation, our chief executive officer and chief financial officer concluded that, as of December 31, 2006, our disclosure controls and procedures were (1) designed to ensure that material information relating to us, including our consolidated subsidiaries, is made known to our chief executive officer and chief financial officer by others within those entities, particularly during the period in which this report was being prepared, and (2) effective, in that they provide reasonable assurance that information required to be disclosed by us in the reports that we file or submit under the Exchange Act are recorded, processed, summarized, and reported within the time periods specified in the SEC’s rules and forms. </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pPr>
      <w:r>
        <w:rPr/>
      </w:r>
    </w:p>
    <w:p>
      <w:pPr>
        <w:pStyle w:val="TextBody"/>
        <w:spacing w:lineRule="auto" w:line="300" w:before="0" w:after="0"/>
        <w:ind w:left="0" w:right="0" w:hanging="0"/>
        <w:jc w:val="both"/>
        <w:rPr/>
      </w:pPr>
      <w:r>
        <w:rPr>
          <w:rStyle w:val="StrongEmphasis"/>
          <w:rFonts w:ascii="Times New Roman" w:hAnsi="Times New Roman"/>
          <w:sz w:val="20"/>
          <w:u w:val="single"/>
        </w:rPr>
        <w:t>Management’s Report on Internal Control Over Financial Reporting</w:t>
      </w:r>
    </w:p>
    <w:p>
      <w:pPr>
        <w:pStyle w:val="TextBody"/>
        <w:spacing w:lineRule="auto" w:line="300" w:before="0" w:after="0"/>
        <w:ind w:left="0" w:right="0" w:hanging="0"/>
        <w:jc w:val="both"/>
        <w:rPr/>
      </w:pPr>
      <w:r>
        <w:rPr/>
      </w:r>
    </w:p>
    <w:p>
      <w:pPr>
        <w:pStyle w:val="TextBody"/>
        <w:spacing w:lineRule="auto" w:line="300" w:before="0" w:after="0"/>
        <w:ind w:left="0" w:right="0" w:firstLine="720"/>
        <w:jc w:val="both"/>
        <w:rPr/>
      </w:pPr>
      <w:r>
        <w:rPr>
          <w:rFonts w:ascii="Times New Roman" w:hAnsi="Times New Roman"/>
          <w:sz w:val="20"/>
        </w:rPr>
        <w:t xml:space="preserve">Our management is responsible for establishing and maintaining adequate internal control over financial reporting, as such term is defined in Exchange Act Rule 13a-15(f). Under the supervision and with the participation of our management, including our Chairman and Chief Executive Officer and Chief Financial Officer, we conducted an evaluation of the effectiveness of our internal control over financial reporting based on the framework in </w:t>
      </w:r>
      <w:r>
        <w:rPr>
          <w:rStyle w:val="Emphasis"/>
          <w:rFonts w:ascii="Times New Roman" w:hAnsi="Times New Roman"/>
          <w:sz w:val="20"/>
        </w:rPr>
        <w:t>Internal Control—Integrated Framework</w:t>
      </w:r>
      <w:r>
        <w:rPr/>
        <w:t xml:space="preserve"> </w:t>
      </w:r>
      <w:r>
        <w:rPr>
          <w:rFonts w:ascii="Times New Roman" w:hAnsi="Times New Roman"/>
          <w:sz w:val="20"/>
        </w:rPr>
        <w:t xml:space="preserve">issued by the Committee of Sponsoring Organizations of the Treadway Commission. Based on that evaluation under the framework in Internal Control—Integrated Framework, our management concluded that our internal control over financial reporting was not effective as of December 31, 2006 as described below. Our management’s assessment of the effectiveness of our internal control over financial reporting as of December 31, 2006 has been audited by Deloitte &amp; Touche LLP, an independent registered public accounting firm, as stated in their report which is included herein. </w:t>
      </w:r>
    </w:p>
    <w:p>
      <w:pPr>
        <w:pStyle w:val="TextBody"/>
        <w:spacing w:lineRule="auto" w:line="300" w:before="0" w:after="0"/>
        <w:ind w:left="0" w:right="0" w:firstLine="720"/>
        <w:jc w:val="both"/>
        <w:rPr/>
      </w:pPr>
      <w:r>
        <w:rPr/>
      </w:r>
    </w:p>
    <w:p>
      <w:pPr>
        <w:pStyle w:val="TextBody"/>
        <w:spacing w:lineRule="auto" w:line="300" w:before="0" w:after="0"/>
        <w:ind w:left="0" w:right="0" w:firstLine="720"/>
        <w:jc w:val="left"/>
        <w:rPr>
          <w:rFonts w:ascii="Times New Roman" w:hAnsi="Times New Roman"/>
          <w:sz w:val="20"/>
        </w:rPr>
      </w:pPr>
      <w:r>
        <w:rPr>
          <w:rFonts w:ascii="Times New Roman" w:hAnsi="Times New Roman"/>
          <w:sz w:val="20"/>
        </w:rPr>
        <w:t xml:space="preserve">Our controls related to the cut-off of cinema operating revenue and cinema operating expense failed to prevent or detect errors in our accounts, which were identified by Deloitte &amp; Touche, LLP, our independent registered public accounting firm. As a result, we identified the following material weakness at December 31, 2006: </w:t>
      </w:r>
    </w:p>
    <w:p>
      <w:pPr>
        <w:pStyle w:val="TextBody"/>
        <w:spacing w:lineRule="auto" w:line="300" w:before="0" w:after="0"/>
        <w:ind w:left="0" w:right="0" w:firstLine="720"/>
        <w:jc w:val="left"/>
        <w:rPr/>
      </w:pPr>
      <w:r>
        <w:rPr/>
      </w:r>
    </w:p>
    <w:p>
      <w:pPr>
        <w:pStyle w:val="TextBody"/>
        <w:spacing w:lineRule="auto" w:line="300" w:before="0" w:after="0"/>
        <w:ind w:left="0" w:right="0" w:firstLine="720"/>
        <w:jc w:val="left"/>
        <w:rPr/>
      </w:pPr>
      <w:r>
        <w:rPr/>
        <w:t>•</w:t>
      </w:r>
      <w:bookmarkStart w:id="4262" w:name="TAB2281"/>
      <w:bookmarkEnd w:id="4262"/>
      <w:r>
        <w:rPr>
          <w:color w:val="000000"/>
          <w:spacing w:val="540"/>
        </w:rPr>
        <w:t> </w:t>
      </w:r>
      <w:r>
        <w:rPr>
          <w:rFonts w:ascii="Times New Roman" w:hAnsi="Times New Roman"/>
          <w:sz w:val="20"/>
        </w:rPr>
        <w:t xml:space="preserve">The Company did not design effective controls relating to the timely cut-off of cinema operating revenue and cinema operating expense general ledger accounts as of the reporting date of the consolidated financial statements. </w:t>
      </w:r>
    </w:p>
    <w:p>
      <w:pPr>
        <w:pStyle w:val="TextBody"/>
        <w:spacing w:lineRule="auto" w:line="300" w:before="0" w:after="0"/>
        <w:ind w:left="0" w:right="0" w:firstLine="720"/>
        <w:jc w:val="left"/>
        <w:rPr/>
      </w:pPr>
      <w:r>
        <w:rPr/>
      </w:r>
    </w:p>
    <w:p>
      <w:pPr>
        <w:pStyle w:val="TextBody"/>
        <w:spacing w:lineRule="auto" w:line="300" w:before="0" w:after="0"/>
        <w:ind w:left="0" w:right="0" w:firstLine="720"/>
        <w:jc w:val="left"/>
        <w:rPr>
          <w:rFonts w:ascii="Times New Roman" w:hAnsi="Times New Roman"/>
          <w:sz w:val="20"/>
        </w:rPr>
      </w:pPr>
      <w:r>
        <w:rPr>
          <w:rFonts w:ascii="Times New Roman" w:hAnsi="Times New Roman"/>
          <w:sz w:val="20"/>
        </w:rPr>
        <w:t>We concluded that this deficiency resulted in an actual material misstatement to the cinema operating revenue, cinema operating expense, cash, receivables, prepaid rent, accounts payable and accrued liabilities, and film rent payable accounts in the annual and interim consolidated financial statements that was not prevented or detected by our internal control over financial reporting. Such actual material misstatement has been corrected in the accompanying consolidated financial statements.</w:t>
      </w:r>
    </w:p>
    <w:p>
      <w:pPr>
        <w:pStyle w:val="TextBody"/>
        <w:spacing w:lineRule="auto" w:line="300" w:before="0" w:after="0"/>
        <w:jc w:val="both"/>
        <w:rPr/>
      </w:pPr>
      <w:r>
        <w:rPr/>
      </w:r>
    </w:p>
    <w:p>
      <w:pPr>
        <w:pStyle w:val="TextBody"/>
        <w:spacing w:lineRule="auto" w:line="300" w:before="0" w:after="0"/>
        <w:ind w:left="0" w:right="0" w:hanging="0"/>
        <w:jc w:val="both"/>
        <w:rPr/>
      </w:pPr>
      <w:r>
        <w:rPr/>
      </w:r>
    </w:p>
    <w:p>
      <w:pPr>
        <w:pStyle w:val="TextBody"/>
        <w:spacing w:lineRule="auto" w:line="300" w:before="0" w:after="0"/>
        <w:ind w:left="0" w:right="0" w:hanging="0"/>
        <w:jc w:val="both"/>
        <w:rPr/>
      </w:pPr>
      <w:r>
        <w:rPr>
          <w:rStyle w:val="StrongEmphasis"/>
          <w:rFonts w:ascii="Times New Roman" w:hAnsi="Times New Roman"/>
          <w:sz w:val="20"/>
          <w:u w:val="single"/>
        </w:rPr>
        <w:t>Changes in Internal Control Over Financial Reporting</w:t>
      </w:r>
    </w:p>
    <w:p>
      <w:pPr>
        <w:pStyle w:val="TextBody"/>
        <w:spacing w:lineRule="auto" w:line="300" w:before="0" w:after="0"/>
        <w:ind w:left="0" w:right="0" w:firstLine="72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Except as noted below, no change in our internal control over financial reporting (as defined in Rules 13a-15(f) and 15d-15(f) under the Exchange Act) occurred during the quarter ended December 31, 2006 that has materially affected, or is reasonable likely to materially affect, our internal control over financial reporting.</w:t>
      </w:r>
    </w:p>
    <w:p>
      <w:pPr>
        <w:pStyle w:val="TextBody"/>
        <w:spacing w:lineRule="auto" w:line="300" w:before="0" w:after="0"/>
        <w:ind w:left="0" w:right="0" w:firstLine="720"/>
        <w:jc w:val="left"/>
        <w:rPr/>
      </w:pPr>
      <w:r>
        <w:rPr/>
        <w:t> </w:t>
      </w:r>
    </w:p>
    <w:p>
      <w:pPr>
        <w:pStyle w:val="TextBody"/>
        <w:spacing w:lineRule="auto" w:line="300" w:before="0" w:after="0"/>
        <w:ind w:left="0" w:right="0" w:firstLine="720"/>
        <w:jc w:val="left"/>
        <w:rPr>
          <w:rFonts w:ascii="Times New Roman" w:hAnsi="Times New Roman"/>
          <w:sz w:val="20"/>
        </w:rPr>
      </w:pPr>
      <w:r>
        <w:rPr>
          <w:rFonts w:ascii="Times New Roman" w:hAnsi="Times New Roman"/>
          <w:sz w:val="20"/>
        </w:rPr>
        <w:t>In the fourth quarter of fiscal year 2006 we determined that a control weakness existed as of December 31, 2005 and 2004 relating to the elimination of intercompany rental charges between Australian subsidiaries. As a result of identifying this control weakness, we materially changed our system of internal controls over financial reporting. This change of internal controls involves a more complete verification process surrounding our intercompany elimination entries that are required for subsidiary and corporate consolidations of the financial statements. This process has been supplemented by an additional management review of the consolidated financials prior to their finalization. We believe that these enhanced procedures provide additional internal controls over financial reporting and improve our ability to identify potential accounting issues prior to and during the comprehensive review of our consolidated financial statements. Management believes these changes remediate the control weakness that led to the prior year adjustments discussed above. Such remediation was completed and tested by us and such enhanced internal controls over financial reporting were subject to our management’s assessment of the effectiveness of our internal control over financial reporting as of December 31, 2006.</w:t>
      </w:r>
    </w:p>
    <w:p>
      <w:pPr>
        <w:pStyle w:val="TextBody"/>
        <w:spacing w:lineRule="auto" w:line="300" w:before="0" w:after="0"/>
        <w:ind w:left="0" w:right="0" w:firstLine="72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263" w:name="PGBRK119"/>
      <w:bookmarkStart w:id="4264" w:name="PGBRK119"/>
      <w:bookmarkEnd w:id="426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265" w:name="FTR119"/>
      <w:bookmarkStart w:id="4266" w:name="FTR119"/>
      <w:bookmarkEnd w:id="426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267" w:name="GLFTR119"/>
      <w:bookmarkStart w:id="4268" w:name="GLFTR119"/>
      <w:bookmarkEnd w:id="426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4269" w:name="PN119"/>
      <w:bookmarkEnd w:id="4269"/>
      <w:r>
        <w:rPr>
          <w:rFonts w:ascii="Times New Roman" w:hAnsi="Times New Roman"/>
          <w:sz w:val="16"/>
        </w:rPr>
        <w:t>-119-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270" w:name="HDR119"/>
      <w:bookmarkStart w:id="4271" w:name="HDR119"/>
      <w:bookmarkEnd w:id="427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4272" w:name="GLHDR119"/>
        <w:bookmarkEnd w:id="4272"/>
        <w:r>
          <w:rPr>
            <w:rStyle w:val="Emphasis"/>
            <w:rFonts w:ascii="Times New Roman" w:hAnsi="Times New Roman"/>
            <w:color w:val="000000"/>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pStyle w:val="TextBody"/>
        <w:spacing w:lineRule="auto" w:line="300" w:before="0" w:after="0"/>
        <w:ind w:left="0" w:right="0" w:hanging="0"/>
        <w:jc w:val="both"/>
        <w:rPr/>
      </w:pPr>
      <w:r>
        <w:rPr>
          <w:rStyle w:val="StrongEmphasis"/>
          <w:rFonts w:ascii="Times New Roman" w:hAnsi="Times New Roman"/>
          <w:sz w:val="20"/>
        </w:rPr>
        <w:t>REPORT OF INDEPENDENT REGISTERED PUBLIC ACCOUNTING FIRM</w:t>
      </w:r>
    </w:p>
    <w:p>
      <w:pPr>
        <w:pStyle w:val="TextBody"/>
        <w:spacing w:lineRule="auto" w:line="300" w:before="0" w:after="0"/>
        <w:ind w:left="0" w:right="0" w:hanging="0"/>
        <w:jc w:val="both"/>
        <w:rPr/>
      </w:pPr>
      <w:r>
        <w:rPr/>
        <w:t> </w:t>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To the Board of Directors and Stockholders of Reading International, Inc.:</w:t>
      </w:r>
    </w:p>
    <w:p>
      <w:pPr>
        <w:pStyle w:val="TextBody"/>
        <w:spacing w:lineRule="auto" w:line="300" w:before="0" w:after="0"/>
        <w:ind w:left="0" w:right="0" w:hanging="0"/>
        <w:jc w:val="both"/>
        <w:rPr/>
      </w:pPr>
      <w:r>
        <w:rPr/>
        <w:t> </w:t>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We have audited management's assessment, included in the accompanying Management’s Report on Internal Control Over Financial Reporting, that Reading International, Inc. and subsidiaries (the "Company") did not maintain effective internal control over financial reporting as of December 31, 2006, because of the effect of the material weakness identified in management's assessment based on criteria established in Internal Control—Integrated Framework issued by the Committee of Sponsoring Organizations of the Treadway Commission. The Company's management is responsible for maintaining effective internal control over financial reporting and for its assessment of the effectiveness of internal control over financial reporting. Our responsibility is to express an opinion on management's assessment and an opinion on the effectiveness of the Company's internal control over financial reporting based on our audit.</w:t>
      </w:r>
    </w:p>
    <w:p>
      <w:pPr>
        <w:pStyle w:val="TextBody"/>
        <w:spacing w:lineRule="auto" w:line="300" w:before="0" w:after="0"/>
        <w:ind w:left="0" w:right="0" w:hanging="0"/>
        <w:jc w:val="both"/>
        <w:rPr/>
      </w:pPr>
      <w:r>
        <w:rPr/>
        <w:t> </w:t>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evaluating management's assessment, testing and evaluating the design and operating effectiveness of internal control, and performing such other procedures as we considered necessary in the circumstances. We believe that our audit provides a reasonable basis for our opinions.</w:t>
      </w:r>
    </w:p>
    <w:p>
      <w:pPr>
        <w:pStyle w:val="TextBody"/>
        <w:spacing w:lineRule="auto" w:line="300" w:before="0" w:after="0"/>
        <w:ind w:left="0" w:right="0" w:hanging="0"/>
        <w:jc w:val="both"/>
        <w:rPr/>
      </w:pPr>
      <w:r>
        <w:rPr/>
        <w:t> </w:t>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spacing w:lineRule="auto" w:line="300" w:before="0" w:after="0"/>
        <w:ind w:left="0" w:right="0" w:hanging="0"/>
        <w:jc w:val="both"/>
        <w:rPr/>
      </w:pPr>
      <w:r>
        <w:rPr/>
        <w:t> </w:t>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 xml:space="preserve">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 </w:t>
      </w:r>
    </w:p>
    <w:p>
      <w:pPr>
        <w:pStyle w:val="TextBody"/>
        <w:spacing w:lineRule="auto" w:line="300" w:before="0" w:after="0"/>
        <w:ind w:left="0" w:right="0" w:hanging="0"/>
        <w:jc w:val="both"/>
        <w:rPr/>
      </w:pPr>
      <w:r>
        <w:rPr/>
        <w:t> </w:t>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 xml:space="preserve">A material weakness is a significant deficiency, or combination of significant deficiencies, that results in more than a remote likelihood that a material misstatement of the annual or interim financial statements will not be prevented or detected. The following material weakness has been identified and included in management's assessment: Cinema revenues and cinema operating expenses were cut-off on December 27, 2006 in Australia and New Zealand, and on December 28, 2006 in the United States for the year-end December 31, 2006 to coincide with internal management reporting dates. This error resulted from a deficiency in the design of the controls that should require the cinema operating revenue and cinema operating expense general ledger accounts be properly closed as of the reporting date of the consolidated financial statements. This deficiency resulted in an actual material misstatement to the cinema operating revenue, cinema operating expense, cash, receivables, prepaid rent, accounts payable and accrued liabilities, and film rent payable accounts in the annual and interim consolidated financial statements that was not prevented or detected. This material weakness was considered in determining the nature, timing, and extent of audit tests applied in our audit of the consolidated financial statements and financial statement schedule as of and for the year ended December 31, 2006 of the Company and this report does not affect our report on such financial statements and financial statement schedule. </w:t>
      </w:r>
    </w:p>
    <w:p>
      <w:pPr>
        <w:pStyle w:val="TextBody"/>
        <w:spacing w:lineRule="auto" w:line="300" w:before="0" w:after="0"/>
        <w:ind w:left="0" w:right="0" w:hanging="0"/>
        <w:jc w:val="both"/>
        <w:rPr/>
      </w:pPr>
      <w:r>
        <w:rPr/>
        <w:t> </w:t>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In our opinion, management's assessment that the Company did not maintain effective internal control over financial reporting as of December 31, 2006, is fairly stated, in all material respects, based on the criteria established in Internal Control—Integrated Framework issued by the Committee of Sponsoring Organizations of the Treadway Commission. Also in our opinion, because of the effect of the material weakness described above on the achievement of the objectives of the control criteria, the Company has not maintained effective internal control over financial reporting as of December 31, 2006, based on the criteria established in Internal Control—Integrated Framework issued by the Committee of Sponsoring Organizations of the Treadway Commission.</w:t>
      </w:r>
    </w:p>
    <w:p>
      <w:pPr>
        <w:pStyle w:val="TextBody"/>
        <w:spacing w:lineRule="auto" w:line="300" w:before="0" w:after="0"/>
        <w:ind w:left="0" w:right="0" w:hanging="0"/>
        <w:jc w:val="both"/>
        <w:rPr/>
      </w:pPr>
      <w:r>
        <w:rPr/>
        <w:t> </w:t>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We have also audited, in accordance with the standards of the Public Company Accounting Oversight Board (United States), the consolidated financial statements and financial statement schedule as of and for the year ended December 31, 2006, of the Company and our report dated March 29, 2007 expressed an unqualified opinion on those financial statements and financial statement schedule.</w:t>
      </w:r>
    </w:p>
    <w:p>
      <w:pPr>
        <w:pStyle w:val="TextBody"/>
        <w:spacing w:lineRule="auto" w:line="300" w:before="0" w:after="0"/>
        <w:ind w:left="0" w:right="0" w:hanging="0"/>
        <w:jc w:val="both"/>
        <w:rPr/>
      </w:pPr>
      <w:r>
        <w:rPr/>
        <w:t> </w:t>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DELOITTE &amp; TOUCHE LLP</w:t>
      </w:r>
    </w:p>
    <w:p>
      <w:pPr>
        <w:pStyle w:val="TextBody"/>
        <w:spacing w:lineRule="auto" w:line="300" w:before="0" w:after="0"/>
        <w:ind w:left="0" w:right="0" w:hanging="0"/>
        <w:jc w:val="both"/>
        <w:rPr/>
      </w:pPr>
      <w:r>
        <w:rPr/>
        <w:t> </w:t>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Los Angeles, California</w:t>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March 29, 2007</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273" w:name="PGBRK120"/>
      <w:bookmarkStart w:id="4274" w:name="PGBRK120"/>
      <w:bookmarkEnd w:id="427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275" w:name="FTR120"/>
      <w:bookmarkStart w:id="4276" w:name="FTR120"/>
      <w:bookmarkEnd w:id="427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277" w:name="GLFTR120"/>
      <w:bookmarkStart w:id="4278" w:name="GLFTR120"/>
      <w:bookmarkEnd w:id="427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4279" w:name="PN120"/>
      <w:bookmarkEnd w:id="4279"/>
      <w:r>
        <w:rPr>
          <w:rFonts w:ascii="Times New Roman" w:hAnsi="Times New Roman"/>
          <w:sz w:val="16"/>
        </w:rPr>
        <w:t>-120-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280" w:name="HDR120"/>
      <w:bookmarkStart w:id="4281" w:name="HDR120"/>
      <w:bookmarkEnd w:id="428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4282" w:name="GLHDR120"/>
        <w:bookmarkEnd w:id="4282"/>
        <w:r>
          <w:rPr>
            <w:rStyle w:val="Emphasis"/>
            <w:rFonts w:ascii="Times New Roman" w:hAnsi="Times New Roman"/>
            <w:color w:val="000000"/>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pStyle w:val="TextBody"/>
        <w:spacing w:lineRule="auto" w:line="300" w:before="0" w:after="0"/>
        <w:ind w:left="0" w:right="0" w:hanging="0"/>
        <w:jc w:val="center"/>
        <w:rPr/>
      </w:pPr>
      <w:bookmarkStart w:id="4283" w:name="part3"/>
      <w:bookmarkEnd w:id="4283"/>
      <w:r>
        <w:rPr>
          <w:rStyle w:val="StrongEmphasis"/>
          <w:rFonts w:ascii="Times New Roman" w:hAnsi="Times New Roman"/>
          <w:sz w:val="20"/>
          <w:u w:val="single"/>
        </w:rPr>
        <w:t>PART III</w:t>
      </w:r>
    </w:p>
    <w:p>
      <w:pPr>
        <w:pStyle w:val="TextBody"/>
        <w:spacing w:lineRule="auto" w:line="300" w:before="0" w:after="0"/>
        <w:ind w:left="0" w:right="0" w:hanging="0"/>
        <w:jc w:val="both"/>
        <w:rPr/>
      </w:pPr>
      <w:r>
        <w:rPr/>
        <w:t> </w:t>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Items 10, 11, 12, 13 and 14</w:t>
      </w:r>
    </w:p>
    <w:p>
      <w:pPr>
        <w:pStyle w:val="TextBody"/>
        <w:spacing w:lineRule="auto" w:line="300" w:before="0" w:after="0"/>
        <w:ind w:left="0" w:right="0" w:hanging="0"/>
        <w:jc w:val="left"/>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Information required by Part II (Items 10, 11, 12, 13 and 14) of this From 10-K is herby incorporated by reference from the Reading International, Inc.’s definitive Proxy Statement for its 2006 Annual Meeting of Stockholders, which will be filed with the Securities and Exchange Commission, pursuant to Regulation 14A, not later than 120 days after the end of the fiscal year.</w:t>
      </w:r>
    </w:p>
    <w:p>
      <w:pPr>
        <w:pStyle w:val="TextBody"/>
        <w:spacing w:lineRule="auto" w:line="300"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284" w:name="PGBRK121"/>
      <w:bookmarkStart w:id="4285" w:name="PGBRK121"/>
      <w:bookmarkEnd w:id="428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286" w:name="FTR121"/>
      <w:bookmarkStart w:id="4287" w:name="FTR121"/>
      <w:bookmarkEnd w:id="428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288" w:name="GLFTR121"/>
      <w:bookmarkStart w:id="4289" w:name="GLFTR121"/>
      <w:bookmarkEnd w:id="428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4290" w:name="PN121"/>
      <w:bookmarkEnd w:id="4290"/>
      <w:r>
        <w:rPr>
          <w:rFonts w:ascii="Times New Roman" w:hAnsi="Times New Roman"/>
          <w:sz w:val="16"/>
        </w:rPr>
        <w:t>-121-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291" w:name="HDR121"/>
      <w:bookmarkStart w:id="4292" w:name="HDR121"/>
      <w:bookmarkEnd w:id="42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4293" w:name="GLHDR121"/>
        <w:bookmarkEnd w:id="4293"/>
        <w:r>
          <w:rPr>
            <w:rStyle w:val="Emphasis"/>
            <w:rFonts w:ascii="Times New Roman" w:hAnsi="Times New Roman"/>
            <w:color w:val="000000"/>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300" w:before="0" w:after="0"/>
        <w:ind w:left="0" w:right="0" w:hanging="0"/>
        <w:jc w:val="center"/>
        <w:rPr/>
      </w:pPr>
      <w:bookmarkStart w:id="4294" w:name="part4"/>
      <w:bookmarkEnd w:id="4294"/>
      <w:r>
        <w:rPr>
          <w:rStyle w:val="StrongEmphasis"/>
          <w:rFonts w:ascii="Times New Roman" w:hAnsi="Times New Roman"/>
          <w:sz w:val="20"/>
          <w:u w:val="single"/>
        </w:rPr>
        <w:t>PART IV</w:t>
      </w:r>
    </w:p>
    <w:p>
      <w:pPr>
        <w:pStyle w:val="TextBody"/>
        <w:spacing w:lineRule="auto" w:line="300" w:before="0" w:after="0"/>
        <w:ind w:left="0" w:right="0" w:hanging="0"/>
        <w:jc w:val="left"/>
        <w:rPr/>
      </w:pPr>
      <w:r>
        <w:rPr/>
      </w:r>
    </w:p>
    <w:p>
      <w:pPr>
        <w:pStyle w:val="TextBody"/>
        <w:spacing w:lineRule="auto" w:line="300" w:before="0" w:after="0"/>
        <w:ind w:left="0" w:right="0" w:hanging="0"/>
        <w:jc w:val="center"/>
        <w:rPr/>
      </w:pPr>
      <w:r>
        <w:rPr>
          <w:rStyle w:val="StrongEmphasis"/>
          <w:rFonts w:ascii="Times New Roman" w:hAnsi="Times New Roman"/>
          <w:sz w:val="20"/>
          <w:u w:val="single"/>
        </w:rPr>
        <w:t>Item 15 - Exhibits, Financial Statement Schedule, and Reports on Form 8-K</w:t>
      </w:r>
    </w:p>
    <w:p>
      <w:pPr>
        <w:pStyle w:val="TextBody"/>
        <w:spacing w:lineRule="auto" w:line="300" w:before="0" w:after="0"/>
        <w:ind w:left="0" w:right="0" w:hanging="0"/>
        <w:jc w:val="left"/>
        <w:rPr/>
      </w:pPr>
      <w:r>
        <w:rPr/>
      </w:r>
    </w:p>
    <w:p>
      <w:pPr>
        <w:pStyle w:val="TextBody"/>
        <w:spacing w:lineRule="auto" w:line="300" w:before="0" w:after="0"/>
        <w:ind w:left="0" w:right="0" w:hanging="0"/>
        <w:jc w:val="both"/>
        <w:rPr/>
      </w:pPr>
      <w:r>
        <w:rPr>
          <w:rFonts w:ascii="Times New Roman" w:hAnsi="Times New Roman"/>
          <w:sz w:val="20"/>
        </w:rPr>
        <w:t>(a)</w:t>
      </w:r>
      <w:bookmarkStart w:id="4295" w:name="TAB2282"/>
      <w:bookmarkEnd w:id="4295"/>
      <w:r>
        <w:rPr>
          <w:color w:val="000000"/>
          <w:spacing w:val="540"/>
        </w:rPr>
        <w:t> </w:t>
      </w:r>
      <w:r>
        <w:rPr>
          <w:rFonts w:ascii="Times New Roman" w:hAnsi="Times New Roman"/>
          <w:sz w:val="20"/>
        </w:rPr>
        <w:t>The following documents are filed as a part of this report:</w:t>
      </w:r>
    </w:p>
    <w:p>
      <w:pPr>
        <w:pStyle w:val="TextBody"/>
        <w:spacing w:lineRule="auto" w:line="300" w:before="0" w:after="0"/>
        <w:ind w:left="0" w:right="0" w:hanging="0"/>
        <w:jc w:val="both"/>
        <w:rPr/>
      </w:pPr>
      <w:r>
        <w:rPr/>
      </w:r>
    </w:p>
    <w:p>
      <w:pPr>
        <w:pStyle w:val="TextBody"/>
        <w:spacing w:lineRule="auto" w:line="300" w:before="0" w:after="0"/>
        <w:ind w:left="360" w:right="0" w:hanging="0"/>
        <w:jc w:val="both"/>
        <w:rPr/>
      </w:pPr>
      <w:r>
        <w:rPr>
          <w:rFonts w:ascii="Times New Roman" w:hAnsi="Times New Roman"/>
          <w:sz w:val="20"/>
        </w:rPr>
        <w:t>1.</w:t>
      </w:r>
      <w:bookmarkStart w:id="4296" w:name="TAB2283"/>
      <w:bookmarkEnd w:id="4296"/>
      <w:r>
        <w:rPr>
          <w:color w:val="000000"/>
          <w:spacing w:val="540"/>
        </w:rPr>
        <w:t> </w:t>
      </w:r>
      <w:r>
        <w:rPr>
          <w:rStyle w:val="Emphasis"/>
          <w:rFonts w:ascii="Times New Roman" w:hAnsi="Times New Roman"/>
          <w:sz w:val="20"/>
        </w:rPr>
        <w:t>Financial Statements</w:t>
      </w:r>
    </w:p>
    <w:p>
      <w:pPr>
        <w:pStyle w:val="TextBody"/>
        <w:spacing w:lineRule="auto" w:line="300" w:before="0" w:after="0"/>
        <w:ind w:left="0" w:right="0" w:hanging="0"/>
        <w:jc w:val="both"/>
        <w:rPr/>
      </w:pPr>
      <w:r>
        <w:rPr/>
      </w:r>
    </w:p>
    <w:p>
      <w:pPr>
        <w:pStyle w:val="TextBody"/>
        <w:spacing w:lineRule="auto" w:line="300" w:before="0" w:after="0"/>
        <w:ind w:left="720" w:right="0" w:hanging="0"/>
        <w:jc w:val="both"/>
        <w:rPr>
          <w:rFonts w:ascii="Times New Roman" w:hAnsi="Times New Roman"/>
          <w:sz w:val="20"/>
        </w:rPr>
      </w:pPr>
      <w:bookmarkStart w:id="4297" w:name="TAB12036"/>
      <w:bookmarkEnd w:id="4297"/>
      <w:r>
        <w:rPr>
          <w:rFonts w:ascii="Times New Roman" w:hAnsi="Times New Roman"/>
          <w:sz w:val="20"/>
        </w:rPr>
        <w:t>The following financial statements are filed as part of this report under Item 8 “Financial Statements and Supplementary Data.”</w:t>
      </w:r>
    </w:p>
    <w:p>
      <w:pPr>
        <w:pStyle w:val="TextBody"/>
        <w:spacing w:lineRule="auto" w:line="300"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8964"/>
        <w:gridCol w:w="1241"/>
      </w:tblGrid>
      <w:tr>
        <w:trPr/>
        <w:tc>
          <w:tcPr>
            <w:tcW w:w="8964" w:type="dxa"/>
            <w:tcBorders/>
            <w:shd w:fill="auto" w:val="clear"/>
            <w:vAlign w:val="bottom"/>
          </w:tcPr>
          <w:p>
            <w:pPr>
              <w:pStyle w:val="TableContents"/>
              <w:spacing w:lineRule="auto" w:line="300" w:before="0" w:after="0"/>
              <w:ind w:left="0" w:right="0" w:hanging="0"/>
              <w:jc w:val="left"/>
              <w:rPr/>
            </w:pPr>
            <w:r>
              <w:rPr>
                <w:rFonts w:ascii="Times New Roman" w:hAnsi="Times New Roman"/>
                <w:sz w:val="20"/>
              </w:rPr>
              <w:t>Description</w:t>
            </w:r>
            <w:bookmarkStart w:id="4298" w:name="TAB2284"/>
            <w:bookmarkEnd w:id="4298"/>
            <w:r>
              <w:rPr>
                <w:color w:val="000000"/>
                <w:spacing w:val="540"/>
              </w:rPr>
              <w:t> </w:t>
            </w:r>
          </w:p>
        </w:tc>
        <w:tc>
          <w:tcPr>
            <w:tcW w:w="1241" w:type="dxa"/>
            <w:tcBorders/>
            <w:shd w:fill="auto"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Pg. No.</w:t>
            </w:r>
          </w:p>
        </w:tc>
      </w:tr>
      <w:tr>
        <w:trPr/>
        <w:tc>
          <w:tcPr>
            <w:tcW w:w="8964" w:type="dxa"/>
            <w:tcBorders/>
            <w:shd w:fill="auto" w:val="clear"/>
            <w:vAlign w:val="bottom"/>
          </w:tcPr>
          <w:p>
            <w:pPr>
              <w:pStyle w:val="TableContents"/>
              <w:spacing w:lineRule="auto" w:line="300" w:before="0" w:after="0"/>
              <w:ind w:left="0" w:right="0" w:hanging="0"/>
              <w:jc w:val="both"/>
              <w:rPr/>
            </w:pPr>
            <w:r>
              <w:rPr/>
              <w:t> </w:t>
            </w:r>
          </w:p>
          <w:p>
            <w:pPr>
              <w:pStyle w:val="TableContents"/>
              <w:spacing w:lineRule="auto" w:line="300" w:before="0" w:after="0"/>
              <w:ind w:left="180" w:right="0" w:hanging="180"/>
              <w:jc w:val="left"/>
              <w:rPr/>
            </w:pPr>
            <w:hyperlink w:anchor="reportofindependent">
              <w:r>
                <w:rPr>
                  <w:rStyle w:val="InternetLink"/>
                  <w:rFonts w:ascii="Times New Roman" w:hAnsi="Times New Roman"/>
                  <w:sz w:val="20"/>
                </w:rPr>
                <w:t>Report of Independent Registered Public Accountants</w:t>
              </w:r>
            </w:hyperlink>
            <w:hyperlink w:anchor="reportofindependent">
              <w:bookmarkStart w:id="4299" w:name="TAB2285"/>
              <w:bookmarkEnd w:id="4299"/>
              <w:r>
                <w:rPr>
                  <w:rStyle w:val="InternetLink"/>
                  <w:color w:val="000000"/>
                  <w:spacing w:val="540"/>
                </w:rPr>
                <w:t> </w:t>
              </w:r>
            </w:hyperlink>
          </w:p>
        </w:tc>
        <w:tc>
          <w:tcPr>
            <w:tcW w:w="1241" w:type="dxa"/>
            <w:tcBorders/>
            <w:shd w:fill="auto" w:val="clear"/>
            <w:vAlign w:val="bottom"/>
          </w:tcPr>
          <w:p>
            <w:pPr>
              <w:pStyle w:val="TableContents"/>
              <w:spacing w:lineRule="auto" w:line="300" w:before="0" w:after="0"/>
              <w:ind w:left="0" w:right="0" w:hanging="0"/>
              <w:jc w:val="both"/>
              <w:rPr/>
            </w:pPr>
            <w:r>
              <w:rPr/>
              <w:t> </w:t>
            </w:r>
          </w:p>
          <w:p>
            <w:pPr>
              <w:pStyle w:val="TableContents"/>
              <w:spacing w:lineRule="auto" w:line="300" w:before="0" w:after="0"/>
              <w:ind w:left="0" w:right="0" w:hanging="0"/>
              <w:jc w:val="right"/>
              <w:rPr/>
            </w:pPr>
            <w:hyperlink w:anchor="reportofindependent">
              <w:r>
                <w:rPr>
                  <w:rStyle w:val="InternetLink"/>
                  <w:rFonts w:ascii="Times New Roman" w:hAnsi="Times New Roman"/>
                  <w:sz w:val="20"/>
                </w:rPr>
                <w:t>71</w:t>
              </w:r>
            </w:hyperlink>
          </w:p>
        </w:tc>
      </w:tr>
      <w:tr>
        <w:trPr/>
        <w:tc>
          <w:tcPr>
            <w:tcW w:w="8964" w:type="dxa"/>
            <w:tcBorders/>
            <w:shd w:fill="auto" w:val="clear"/>
            <w:vAlign w:val="bottom"/>
          </w:tcPr>
          <w:p>
            <w:pPr>
              <w:pStyle w:val="TableContents"/>
              <w:spacing w:lineRule="auto" w:line="300" w:before="0" w:after="0"/>
              <w:ind w:left="0" w:right="0" w:hanging="0"/>
              <w:jc w:val="both"/>
              <w:rPr/>
            </w:pPr>
            <w:r>
              <w:rPr/>
              <w:t> </w:t>
            </w:r>
          </w:p>
          <w:p>
            <w:pPr>
              <w:pStyle w:val="TableContents"/>
              <w:spacing w:lineRule="auto" w:line="300" w:before="0" w:after="0"/>
              <w:ind w:left="180" w:right="0" w:hanging="180"/>
              <w:jc w:val="left"/>
              <w:rPr/>
            </w:pPr>
            <w:hyperlink w:anchor="balancesheet">
              <w:r>
                <w:rPr>
                  <w:rStyle w:val="InternetLink"/>
                  <w:rFonts w:ascii="Times New Roman" w:hAnsi="Times New Roman"/>
                  <w:sz w:val="20"/>
                </w:rPr>
                <w:t>Consolidated Balance Sheets as of December 31, 2006 and 2005</w:t>
              </w:r>
            </w:hyperlink>
            <w:hyperlink w:anchor="balancesheet">
              <w:bookmarkStart w:id="4300" w:name="TAB2286"/>
              <w:bookmarkEnd w:id="4300"/>
              <w:r>
                <w:rPr>
                  <w:rStyle w:val="InternetLink"/>
                  <w:color w:val="000000"/>
                  <w:spacing w:val="540"/>
                </w:rPr>
                <w:t> </w:t>
              </w:r>
            </w:hyperlink>
          </w:p>
        </w:tc>
        <w:tc>
          <w:tcPr>
            <w:tcW w:w="1241" w:type="dxa"/>
            <w:tcBorders/>
            <w:shd w:fill="auto" w:val="clear"/>
            <w:vAlign w:val="bottom"/>
          </w:tcPr>
          <w:p>
            <w:pPr>
              <w:pStyle w:val="TableContents"/>
              <w:spacing w:lineRule="auto" w:line="300" w:before="0" w:after="0"/>
              <w:ind w:left="0" w:right="0" w:hanging="0"/>
              <w:jc w:val="both"/>
              <w:rPr/>
            </w:pPr>
            <w:r>
              <w:rPr/>
              <w:t> </w:t>
            </w:r>
          </w:p>
          <w:p>
            <w:pPr>
              <w:pStyle w:val="TableContents"/>
              <w:spacing w:lineRule="auto" w:line="300" w:before="0" w:after="0"/>
              <w:ind w:left="0" w:right="0" w:hanging="0"/>
              <w:jc w:val="right"/>
              <w:rPr/>
            </w:pPr>
            <w:hyperlink w:anchor="balancesheet">
              <w:r>
                <w:rPr>
                  <w:rStyle w:val="InternetLink"/>
                  <w:rFonts w:ascii="Times New Roman" w:hAnsi="Times New Roman"/>
                  <w:sz w:val="20"/>
                </w:rPr>
                <w:t>72</w:t>
              </w:r>
            </w:hyperlink>
          </w:p>
        </w:tc>
      </w:tr>
      <w:tr>
        <w:trPr/>
        <w:tc>
          <w:tcPr>
            <w:tcW w:w="8964" w:type="dxa"/>
            <w:tcBorders/>
            <w:shd w:fill="auto" w:val="clear"/>
            <w:vAlign w:val="bottom"/>
          </w:tcPr>
          <w:p>
            <w:pPr>
              <w:pStyle w:val="TableContents"/>
              <w:spacing w:lineRule="auto" w:line="300" w:before="0" w:after="0"/>
              <w:ind w:left="0" w:right="0" w:hanging="0"/>
              <w:jc w:val="both"/>
              <w:rPr/>
            </w:pPr>
            <w:r>
              <w:rPr/>
              <w:t> </w:t>
            </w:r>
          </w:p>
          <w:p>
            <w:pPr>
              <w:pStyle w:val="TableContents"/>
              <w:spacing w:lineRule="auto" w:line="300" w:before="0" w:after="0"/>
              <w:ind w:left="180" w:right="0" w:hanging="180"/>
              <w:jc w:val="left"/>
              <w:rPr/>
            </w:pPr>
            <w:hyperlink w:anchor="statementofoperations">
              <w:r>
                <w:rPr>
                  <w:rStyle w:val="InternetLink"/>
                  <w:rFonts w:ascii="Times New Roman" w:hAnsi="Times New Roman"/>
                  <w:sz w:val="20"/>
                </w:rPr>
                <w:t>Consolidated Statements of Operations for the Three Years Ended December 31, 2006</w:t>
              </w:r>
            </w:hyperlink>
            <w:hyperlink w:anchor="statementofoperations">
              <w:bookmarkStart w:id="4301" w:name="TAB2287"/>
              <w:bookmarkEnd w:id="4301"/>
              <w:r>
                <w:rPr>
                  <w:rStyle w:val="InternetLink"/>
                  <w:color w:val="000000"/>
                  <w:spacing w:val="540"/>
                </w:rPr>
                <w:t> </w:t>
              </w:r>
            </w:hyperlink>
          </w:p>
        </w:tc>
        <w:tc>
          <w:tcPr>
            <w:tcW w:w="1241" w:type="dxa"/>
            <w:tcBorders/>
            <w:shd w:fill="auto" w:val="clear"/>
            <w:vAlign w:val="bottom"/>
          </w:tcPr>
          <w:p>
            <w:pPr>
              <w:pStyle w:val="TableContents"/>
              <w:spacing w:lineRule="auto" w:line="300" w:before="0" w:after="0"/>
              <w:ind w:left="0" w:right="0" w:hanging="0"/>
              <w:jc w:val="both"/>
              <w:rPr/>
            </w:pPr>
            <w:r>
              <w:rPr/>
              <w:t> </w:t>
            </w:r>
          </w:p>
          <w:p>
            <w:pPr>
              <w:pStyle w:val="TableContents"/>
              <w:spacing w:lineRule="auto" w:line="300" w:before="0" w:after="0"/>
              <w:ind w:left="0" w:right="0" w:hanging="0"/>
              <w:jc w:val="right"/>
              <w:rPr/>
            </w:pPr>
            <w:hyperlink w:anchor="statementofoperations">
              <w:r>
                <w:rPr>
                  <w:rStyle w:val="InternetLink"/>
                  <w:rFonts w:ascii="Times New Roman" w:hAnsi="Times New Roman"/>
                  <w:sz w:val="20"/>
                </w:rPr>
                <w:t>73</w:t>
              </w:r>
            </w:hyperlink>
          </w:p>
        </w:tc>
      </w:tr>
      <w:tr>
        <w:trPr/>
        <w:tc>
          <w:tcPr>
            <w:tcW w:w="8964" w:type="dxa"/>
            <w:tcBorders/>
            <w:shd w:fill="auto" w:val="clear"/>
            <w:vAlign w:val="bottom"/>
          </w:tcPr>
          <w:p>
            <w:pPr>
              <w:pStyle w:val="TableContents"/>
              <w:spacing w:lineRule="auto" w:line="300" w:before="0" w:after="0"/>
              <w:ind w:left="0" w:right="0" w:hanging="0"/>
              <w:jc w:val="both"/>
              <w:rPr/>
            </w:pPr>
            <w:r>
              <w:rPr/>
              <w:t> </w:t>
            </w:r>
          </w:p>
          <w:p>
            <w:pPr>
              <w:pStyle w:val="TableContents"/>
              <w:spacing w:lineRule="auto" w:line="300" w:before="0" w:after="0"/>
              <w:ind w:left="180" w:right="0" w:hanging="180"/>
              <w:jc w:val="left"/>
              <w:rPr/>
            </w:pPr>
            <w:hyperlink w:anchor="stockholderequity">
              <w:r>
                <w:rPr>
                  <w:rStyle w:val="InternetLink"/>
                  <w:rFonts w:ascii="Times New Roman" w:hAnsi="Times New Roman"/>
                  <w:sz w:val="20"/>
                </w:rPr>
                <w:t>Consolidated Statements of Stockholders’ Equity for the Three Years Ended December 31, 2006</w:t>
              </w:r>
            </w:hyperlink>
            <w:hyperlink w:anchor="stockholderequity">
              <w:bookmarkStart w:id="4302" w:name="TAB2288"/>
              <w:bookmarkEnd w:id="4302"/>
              <w:r>
                <w:rPr>
                  <w:rStyle w:val="InternetLink"/>
                  <w:color w:val="000000"/>
                  <w:spacing w:val="540"/>
                </w:rPr>
                <w:t> </w:t>
              </w:r>
            </w:hyperlink>
          </w:p>
        </w:tc>
        <w:tc>
          <w:tcPr>
            <w:tcW w:w="1241" w:type="dxa"/>
            <w:tcBorders/>
            <w:shd w:fill="auto" w:val="clear"/>
            <w:vAlign w:val="bottom"/>
          </w:tcPr>
          <w:p>
            <w:pPr>
              <w:pStyle w:val="TableContents"/>
              <w:spacing w:lineRule="auto" w:line="300" w:before="0" w:after="0"/>
              <w:ind w:left="0" w:right="0" w:hanging="0"/>
              <w:jc w:val="both"/>
              <w:rPr/>
            </w:pPr>
            <w:r>
              <w:rPr/>
              <w:t> </w:t>
            </w:r>
          </w:p>
          <w:p>
            <w:pPr>
              <w:pStyle w:val="TableContents"/>
              <w:spacing w:lineRule="auto" w:line="300" w:before="0" w:after="0"/>
              <w:ind w:left="0" w:right="0" w:hanging="0"/>
              <w:jc w:val="right"/>
              <w:rPr/>
            </w:pPr>
            <w:hyperlink w:anchor="stockholderequity">
              <w:r>
                <w:rPr>
                  <w:rStyle w:val="InternetLink"/>
                  <w:rFonts w:ascii="Times New Roman" w:hAnsi="Times New Roman"/>
                  <w:sz w:val="20"/>
                </w:rPr>
                <w:t>74</w:t>
              </w:r>
            </w:hyperlink>
          </w:p>
        </w:tc>
      </w:tr>
      <w:tr>
        <w:trPr/>
        <w:tc>
          <w:tcPr>
            <w:tcW w:w="8964" w:type="dxa"/>
            <w:tcBorders/>
            <w:shd w:fill="auto" w:val="clear"/>
            <w:vAlign w:val="bottom"/>
          </w:tcPr>
          <w:p>
            <w:pPr>
              <w:pStyle w:val="TableContents"/>
              <w:spacing w:lineRule="auto" w:line="300" w:before="0" w:after="0"/>
              <w:ind w:left="0" w:right="0" w:hanging="0"/>
              <w:jc w:val="both"/>
              <w:rPr/>
            </w:pPr>
            <w:r>
              <w:rPr/>
              <w:t> </w:t>
            </w:r>
          </w:p>
          <w:p>
            <w:pPr>
              <w:pStyle w:val="TableContents"/>
              <w:spacing w:lineRule="auto" w:line="300" w:before="0" w:after="0"/>
              <w:ind w:left="180" w:right="0" w:hanging="180"/>
              <w:jc w:val="left"/>
              <w:rPr/>
            </w:pPr>
            <w:hyperlink w:anchor="cashflow">
              <w:r>
                <w:rPr>
                  <w:rStyle w:val="InternetLink"/>
                  <w:rFonts w:ascii="Times New Roman" w:hAnsi="Times New Roman"/>
                  <w:sz w:val="20"/>
                </w:rPr>
                <w:t>Consolidated Statements of Cash Flows for the Three Years Ended December 31, 2006</w:t>
              </w:r>
            </w:hyperlink>
            <w:hyperlink w:anchor="cashflow">
              <w:bookmarkStart w:id="4303" w:name="TAB2289"/>
              <w:bookmarkEnd w:id="4303"/>
              <w:r>
                <w:rPr>
                  <w:rStyle w:val="InternetLink"/>
                  <w:color w:val="000000"/>
                  <w:spacing w:val="540"/>
                </w:rPr>
                <w:t> </w:t>
              </w:r>
            </w:hyperlink>
          </w:p>
        </w:tc>
        <w:tc>
          <w:tcPr>
            <w:tcW w:w="1241" w:type="dxa"/>
            <w:tcBorders/>
            <w:shd w:fill="auto" w:val="clear"/>
            <w:vAlign w:val="bottom"/>
          </w:tcPr>
          <w:p>
            <w:pPr>
              <w:pStyle w:val="TableContents"/>
              <w:spacing w:lineRule="auto" w:line="300" w:before="0" w:after="0"/>
              <w:ind w:left="0" w:right="0" w:hanging="0"/>
              <w:jc w:val="both"/>
              <w:rPr/>
            </w:pPr>
            <w:r>
              <w:rPr/>
              <w:t> </w:t>
            </w:r>
          </w:p>
          <w:p>
            <w:pPr>
              <w:pStyle w:val="TableContents"/>
              <w:spacing w:lineRule="auto" w:line="300" w:before="0" w:after="0"/>
              <w:ind w:left="0" w:right="0" w:hanging="0"/>
              <w:jc w:val="right"/>
              <w:rPr/>
            </w:pPr>
            <w:hyperlink w:anchor="cashflow">
              <w:r>
                <w:rPr>
                  <w:rStyle w:val="InternetLink"/>
                  <w:rFonts w:ascii="Times New Roman" w:hAnsi="Times New Roman"/>
                  <w:sz w:val="20"/>
                </w:rPr>
                <w:t>75</w:t>
              </w:r>
            </w:hyperlink>
          </w:p>
        </w:tc>
      </w:tr>
      <w:tr>
        <w:trPr/>
        <w:tc>
          <w:tcPr>
            <w:tcW w:w="8964" w:type="dxa"/>
            <w:tcBorders/>
            <w:shd w:fill="auto" w:val="clear"/>
            <w:vAlign w:val="bottom"/>
          </w:tcPr>
          <w:p>
            <w:pPr>
              <w:pStyle w:val="TableContents"/>
              <w:spacing w:lineRule="auto" w:line="300" w:before="0" w:after="0"/>
              <w:ind w:left="0" w:right="0" w:hanging="0"/>
              <w:jc w:val="both"/>
              <w:rPr/>
            </w:pPr>
            <w:r>
              <w:rPr/>
              <w:t> </w:t>
            </w:r>
          </w:p>
          <w:p>
            <w:pPr>
              <w:pStyle w:val="TableContents"/>
              <w:spacing w:lineRule="auto" w:line="300" w:before="0" w:after="0"/>
              <w:ind w:left="180" w:right="0" w:hanging="180"/>
              <w:jc w:val="left"/>
              <w:rPr/>
            </w:pPr>
            <w:hyperlink w:anchor="notes">
              <w:r>
                <w:rPr>
                  <w:rStyle w:val="InternetLink"/>
                  <w:rFonts w:ascii="Times New Roman" w:hAnsi="Times New Roman"/>
                  <w:sz w:val="20"/>
                </w:rPr>
                <w:t>Notes to Consolidated Financial Statements</w:t>
              </w:r>
            </w:hyperlink>
            <w:hyperlink w:anchor="notes">
              <w:bookmarkStart w:id="4304" w:name="TAB2290"/>
              <w:bookmarkEnd w:id="4304"/>
              <w:r>
                <w:rPr>
                  <w:rStyle w:val="InternetLink"/>
                  <w:color w:val="000000"/>
                  <w:spacing w:val="540"/>
                </w:rPr>
                <w:t> </w:t>
              </w:r>
            </w:hyperlink>
          </w:p>
        </w:tc>
        <w:tc>
          <w:tcPr>
            <w:tcW w:w="1241" w:type="dxa"/>
            <w:tcBorders/>
            <w:shd w:fill="auto" w:val="clear"/>
            <w:vAlign w:val="bottom"/>
          </w:tcPr>
          <w:p>
            <w:pPr>
              <w:pStyle w:val="TableContents"/>
              <w:spacing w:lineRule="auto" w:line="300" w:before="0" w:after="0"/>
              <w:ind w:left="0" w:right="0" w:hanging="0"/>
              <w:jc w:val="both"/>
              <w:rPr/>
            </w:pPr>
            <w:r>
              <w:rPr/>
              <w:t> </w:t>
            </w:r>
          </w:p>
          <w:p>
            <w:pPr>
              <w:pStyle w:val="TableContents"/>
              <w:spacing w:lineRule="auto" w:line="300" w:before="0" w:after="0"/>
              <w:ind w:left="0" w:right="0" w:hanging="0"/>
              <w:jc w:val="right"/>
              <w:rPr/>
            </w:pPr>
            <w:hyperlink w:anchor="notes">
              <w:r>
                <w:rPr>
                  <w:rStyle w:val="InternetLink"/>
                  <w:rFonts w:ascii="Times New Roman" w:hAnsi="Times New Roman"/>
                  <w:sz w:val="20"/>
                </w:rPr>
                <w:t>76</w:t>
              </w:r>
            </w:hyperlink>
          </w:p>
        </w:tc>
      </w:tr>
    </w:tbl>
    <w:p>
      <w:pPr>
        <w:pStyle w:val="TextBody"/>
        <w:spacing w:lineRule="auto" w:line="300" w:before="0" w:after="0"/>
        <w:ind w:left="0" w:right="0" w:hanging="0"/>
        <w:jc w:val="both"/>
        <w:rPr/>
      </w:pPr>
      <w:r>
        <w:rPr/>
        <w:t> </w:t>
      </w:r>
    </w:p>
    <w:p>
      <w:pPr>
        <w:pStyle w:val="TextBody"/>
        <w:spacing w:lineRule="auto" w:line="300" w:before="0" w:after="0"/>
        <w:ind w:left="360" w:right="0" w:hanging="0"/>
        <w:jc w:val="both"/>
        <w:rPr/>
      </w:pPr>
      <w:r>
        <w:rPr>
          <w:rFonts w:ascii="Times New Roman" w:hAnsi="Times New Roman"/>
          <w:sz w:val="20"/>
        </w:rPr>
        <w:t>2.</w:t>
      </w:r>
      <w:bookmarkStart w:id="4305" w:name="TAB2291"/>
      <w:bookmarkEnd w:id="4305"/>
      <w:r>
        <w:rPr>
          <w:color w:val="000000"/>
          <w:spacing w:val="540"/>
        </w:rPr>
        <w:t> </w:t>
      </w:r>
      <w:r>
        <w:rPr>
          <w:rStyle w:val="Emphasis"/>
          <w:rFonts w:ascii="Times New Roman" w:hAnsi="Times New Roman"/>
          <w:sz w:val="20"/>
        </w:rPr>
        <w:t>Financial Statement Schedule for the years ended December 31, 2006, 2005 and 2004</w:t>
      </w:r>
    </w:p>
    <w:p>
      <w:pPr>
        <w:pStyle w:val="TextBody"/>
        <w:spacing w:lineRule="auto" w:line="300" w:before="0" w:after="0"/>
        <w:ind w:left="720" w:right="0" w:hanging="0"/>
        <w:jc w:val="left"/>
        <w:rPr/>
      </w:pPr>
      <w:r>
        <w:rPr/>
      </w:r>
    </w:p>
    <w:p>
      <w:pPr>
        <w:pStyle w:val="TextBody"/>
        <w:spacing w:lineRule="auto" w:line="300" w:before="0" w:after="0"/>
        <w:ind w:left="0" w:right="0" w:firstLine="720"/>
        <w:jc w:val="left"/>
        <w:rPr>
          <w:rFonts w:ascii="Times New Roman" w:hAnsi="Times New Roman"/>
          <w:sz w:val="20"/>
        </w:rPr>
      </w:pPr>
      <w:r>
        <w:rPr>
          <w:rFonts w:ascii="Times New Roman" w:hAnsi="Times New Roman"/>
          <w:sz w:val="20"/>
        </w:rPr>
        <w:t xml:space="preserve">Schedule II - Valuation and Qualifying Accounts </w:t>
      </w:r>
    </w:p>
    <w:p>
      <w:pPr>
        <w:pStyle w:val="TextBody"/>
        <w:spacing w:lineRule="auto" w:line="300" w:before="0" w:after="0"/>
        <w:ind w:left="0" w:right="0" w:firstLine="720"/>
        <w:jc w:val="left"/>
        <w:rPr/>
      </w:pPr>
      <w:r>
        <w:rPr/>
      </w:r>
    </w:p>
    <w:p>
      <w:pPr>
        <w:pStyle w:val="TextBody"/>
        <w:spacing w:lineRule="auto" w:line="300" w:before="0" w:after="0"/>
        <w:ind w:left="0" w:right="0" w:firstLine="720"/>
        <w:jc w:val="left"/>
        <w:rPr/>
      </w:pPr>
      <w:r>
        <w:rPr>
          <w:rFonts w:ascii="Times New Roman" w:hAnsi="Times New Roman"/>
          <w:sz w:val="20"/>
        </w:rPr>
        <w:t>Financial Statement Schedules: Consolidated financial statements of 205-209 EAST 57</w:t>
      </w:r>
      <w:r>
        <w:rPr>
          <w:rFonts w:ascii="Times New Roman" w:hAnsi="Times New Roman"/>
          <w:position w:val="7"/>
          <w:sz w:val="16"/>
          <w:sz w:val="20"/>
        </w:rPr>
        <w:t>th</w:t>
      </w:r>
      <w:r>
        <w:rPr/>
        <w:t xml:space="preserve"> </w:t>
      </w:r>
      <w:r>
        <w:rPr>
          <w:rFonts w:ascii="Times New Roman" w:hAnsi="Times New Roman"/>
          <w:sz w:val="20"/>
        </w:rPr>
        <w:t>STREET ASSOCIATES, LLC.</w:t>
      </w:r>
    </w:p>
    <w:p>
      <w:pPr>
        <w:pStyle w:val="TextBody"/>
        <w:spacing w:before="0" w:after="0"/>
        <w:rPr/>
      </w:pPr>
      <w:r>
        <w:rPr/>
        <w:t> </w:t>
      </w:r>
    </w:p>
    <w:p>
      <w:pPr>
        <w:pStyle w:val="TextBody"/>
        <w:spacing w:lineRule="auto" w:line="300" w:before="0" w:after="0"/>
        <w:ind w:left="360" w:right="0" w:hanging="0"/>
        <w:jc w:val="both"/>
        <w:rPr/>
      </w:pPr>
      <w:r>
        <w:rPr>
          <w:rFonts w:ascii="Times New Roman" w:hAnsi="Times New Roman"/>
          <w:sz w:val="20"/>
        </w:rPr>
        <w:t>3.</w:t>
      </w:r>
      <w:bookmarkStart w:id="4306" w:name="TAB2292"/>
      <w:bookmarkEnd w:id="4306"/>
      <w:r>
        <w:rPr>
          <w:color w:val="000000"/>
          <w:spacing w:val="540"/>
        </w:rPr>
        <w:t> </w:t>
      </w:r>
      <w:r>
        <w:rPr>
          <w:rStyle w:val="Emphasis"/>
          <w:rFonts w:ascii="Times New Roman" w:hAnsi="Times New Roman"/>
          <w:sz w:val="20"/>
        </w:rPr>
        <w:t>Exhibits (Listed by numbers corresponding to Item 601 of Regulation S-K)</w:t>
      </w:r>
    </w:p>
    <w:p>
      <w:pPr>
        <w:pStyle w:val="TextBody"/>
        <w:spacing w:lineRule="auto" w:line="300" w:before="0" w:after="0"/>
        <w:ind w:left="0" w:right="0" w:hanging="0"/>
        <w:jc w:val="left"/>
        <w:rPr/>
      </w:pPr>
      <w:r>
        <w:rPr/>
      </w:r>
    </w:p>
    <w:p>
      <w:pPr>
        <w:pStyle w:val="TextBody"/>
        <w:spacing w:lineRule="auto" w:line="300" w:before="0" w:after="0"/>
        <w:ind w:left="540" w:right="0" w:hanging="0"/>
        <w:jc w:val="left"/>
        <w:rPr/>
      </w:pPr>
      <w:bookmarkStart w:id="4307" w:name="TAB12037"/>
      <w:bookmarkEnd w:id="4307"/>
      <w:r>
        <w:rPr>
          <w:rFonts w:ascii="Times New Roman" w:hAnsi="Times New Roman"/>
          <w:sz w:val="20"/>
        </w:rPr>
        <w:t>Following are consolidated financial statements and notes of 205-209 EAST 57</w:t>
      </w:r>
      <w:r>
        <w:rPr>
          <w:rFonts w:ascii="Times New Roman" w:hAnsi="Times New Roman"/>
          <w:position w:val="7"/>
          <w:sz w:val="16"/>
          <w:sz w:val="20"/>
        </w:rPr>
        <w:t>th</w:t>
      </w:r>
      <w:r>
        <w:rPr/>
        <w:t xml:space="preserve"> </w:t>
      </w:r>
      <w:r>
        <w:rPr>
          <w:rFonts w:ascii="Times New Roman" w:hAnsi="Times New Roman"/>
          <w:sz w:val="20"/>
        </w:rPr>
        <w:t>STREET ASSOCIATES, LLC for the periods indicated. We are required to include in our Report on Form 10-K audited financial statements for the year ended December 31, 2006 and unaudited financial statements for the years ending December 31, 2005 and 2004.</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308" w:name="PGBRK122"/>
      <w:bookmarkStart w:id="4309" w:name="PGBRK122"/>
      <w:bookmarkEnd w:id="430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310" w:name="FTR122"/>
      <w:bookmarkStart w:id="4311" w:name="FTR122"/>
      <w:bookmarkEnd w:id="431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312" w:name="GLFTR122"/>
      <w:bookmarkStart w:id="4313" w:name="GLFTR122"/>
      <w:bookmarkEnd w:id="431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4314" w:name="PN122"/>
      <w:bookmarkEnd w:id="4314"/>
      <w:r>
        <w:rPr>
          <w:rFonts w:ascii="Times New Roman" w:hAnsi="Times New Roman"/>
          <w:sz w:val="16"/>
        </w:rPr>
        <w:t>-122-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315" w:name="HDR122"/>
      <w:bookmarkStart w:id="4316" w:name="HDR122"/>
      <w:bookmarkEnd w:id="43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4317" w:name="GLHDR122"/>
        <w:bookmarkEnd w:id="4317"/>
        <w:r>
          <w:rPr>
            <w:rStyle w:val="Emphasis"/>
            <w:rFonts w:ascii="Times New Roman" w:hAnsi="Times New Roman"/>
            <w:color w:val="000000"/>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300" w:before="0" w:after="0"/>
        <w:ind w:left="0" w:right="0" w:hanging="0"/>
        <w:jc w:val="center"/>
        <w:rPr/>
      </w:pPr>
      <w:r>
        <w:rPr>
          <w:rStyle w:val="StrongEmphasis"/>
          <w:rFonts w:ascii="Times New Roman" w:hAnsi="Times New Roman"/>
          <w:sz w:val="20"/>
        </w:rPr>
        <w:t>205-209 EAST 57</w:t>
      </w:r>
      <w:r>
        <w:rPr>
          <w:rStyle w:val="StrongEmphasis"/>
          <w:rFonts w:ascii="Times New Roman" w:hAnsi="Times New Roman"/>
          <w:position w:val="7"/>
          <w:sz w:val="16"/>
          <w:sz w:val="20"/>
        </w:rPr>
        <w:t>th</w:t>
      </w:r>
      <w:r>
        <w:rPr>
          <w:rStyle w:val="StrongEmphasis"/>
        </w:rPr>
        <w:t xml:space="preserve"> </w:t>
      </w:r>
      <w:r>
        <w:rPr>
          <w:rStyle w:val="StrongEmphasis"/>
          <w:rFonts w:ascii="Times New Roman" w:hAnsi="Times New Roman"/>
          <w:sz w:val="20"/>
        </w:rPr>
        <w:t>STREET ASSOCIATES, LLC</w:t>
      </w:r>
    </w:p>
    <w:p>
      <w:pPr>
        <w:pStyle w:val="TextBody"/>
        <w:spacing w:lineRule="auto" w:line="300" w:before="0" w:after="0"/>
        <w:ind w:left="0" w:right="0" w:hanging="0"/>
        <w:jc w:val="center"/>
        <w:rPr/>
      </w:pPr>
      <w:r>
        <w:rPr/>
      </w:r>
    </w:p>
    <w:p>
      <w:pPr>
        <w:pStyle w:val="TextBody"/>
        <w:spacing w:lineRule="auto" w:line="300" w:before="0" w:after="0"/>
        <w:ind w:left="0" w:right="0" w:hanging="0"/>
        <w:jc w:val="center"/>
        <w:rPr/>
      </w:pPr>
      <w:r>
        <w:rPr>
          <w:rStyle w:val="StrongEmphasis"/>
          <w:rFonts w:ascii="Times New Roman" w:hAnsi="Times New Roman"/>
          <w:sz w:val="20"/>
        </w:rPr>
        <w:t>BALANCE SHEETS</w:t>
      </w:r>
    </w:p>
    <w:p>
      <w:pPr>
        <w:pStyle w:val="TextBody"/>
        <w:spacing w:lineRule="auto" w:line="300" w:before="0" w:after="0"/>
        <w:ind w:left="0" w:right="0" w:hanging="0"/>
        <w:jc w:val="center"/>
        <w:rPr/>
      </w:pPr>
      <w:r>
        <w:rPr/>
      </w:r>
    </w:p>
    <w:p>
      <w:pPr>
        <w:pStyle w:val="TextBody"/>
        <w:spacing w:lineRule="auto" w:line="300" w:before="0" w:after="0"/>
        <w:ind w:left="0" w:right="0" w:hanging="0"/>
        <w:jc w:val="center"/>
        <w:rPr/>
      </w:pPr>
      <w:r>
        <w:rPr>
          <w:rStyle w:val="StrongEmphasis"/>
          <w:rFonts w:ascii="Times New Roman" w:hAnsi="Times New Roman"/>
          <w:sz w:val="20"/>
        </w:rPr>
        <w:t>DECEMBER 31, 2006 and 2005</w:t>
      </w:r>
    </w:p>
    <w:p>
      <w:pPr>
        <w:pStyle w:val="TextBody"/>
        <w:spacing w:lineRule="auto" w:line="300" w:before="0" w:after="0"/>
        <w:ind w:left="0" w:right="0" w:hanging="0"/>
        <w:jc w:val="center"/>
        <w:rPr/>
      </w:pPr>
      <w:r>
        <w:rPr/>
      </w:r>
    </w:p>
    <w:p>
      <w:pPr>
        <w:pStyle w:val="TextBody"/>
        <w:spacing w:lineRule="auto" w:line="300" w:before="0" w:after="0"/>
        <w:ind w:left="0" w:right="0" w:hanging="0"/>
        <w:jc w:val="center"/>
        <w:rPr/>
      </w:pPr>
      <w:r>
        <w:rPr>
          <w:rStyle w:val="StrongEmphasis"/>
          <w:rFonts w:ascii="Times New Roman" w:hAnsi="Times New Roman"/>
          <w:sz w:val="20"/>
        </w:rPr>
        <w:t>(U.S. dollars in thousands)</w:t>
      </w:r>
    </w:p>
    <w:p>
      <w:pPr>
        <w:pStyle w:val="TextBody"/>
        <w:spacing w:lineRule="auto" w:line="300" w:before="0" w:after="0"/>
        <w:ind w:left="0" w:right="0" w:hanging="0"/>
        <w:jc w:val="center"/>
        <w:rPr/>
      </w:pPr>
      <w:r>
        <w:rPr/>
      </w:r>
    </w:p>
    <w:p>
      <w:pPr>
        <w:pStyle w:val="Normal"/>
        <w:spacing w:before="0" w:after="0"/>
        <w:rPr>
          <w:sz w:val="4"/>
          <w:szCs w:val="4"/>
        </w:rPr>
      </w:pPr>
      <w:r>
        <w:rPr>
          <w:sz w:val="4"/>
          <w:szCs w:val="4"/>
        </w:rPr>
      </w:r>
      <w:bookmarkStart w:id="4318" w:name="ftable63"/>
      <w:bookmarkStart w:id="4319" w:name="ftable63"/>
      <w:bookmarkEnd w:id="4319"/>
    </w:p>
    <w:tbl>
      <w:tblPr>
        <w:tblW w:w="5000" w:type="pct"/>
        <w:jc w:val="left"/>
        <w:tblInd w:w="0" w:type="dxa"/>
        <w:tblCellMar>
          <w:top w:w="0" w:type="dxa"/>
          <w:left w:w="0" w:type="dxa"/>
          <w:bottom w:w="28" w:type="dxa"/>
          <w:right w:w="0" w:type="dxa"/>
        </w:tblCellMar>
      </w:tblPr>
      <w:tblGrid>
        <w:gridCol w:w="6828"/>
        <w:gridCol w:w="198"/>
        <w:gridCol w:w="146"/>
        <w:gridCol w:w="1222"/>
        <w:gridCol w:w="198"/>
        <w:gridCol w:w="167"/>
        <w:gridCol w:w="1319"/>
        <w:gridCol w:w="127"/>
      </w:tblGrid>
      <w:tr>
        <w:trPr/>
        <w:tc>
          <w:tcPr>
            <w:tcW w:w="6828" w:type="dxa"/>
            <w:tcBorders>
              <w:bottom w:val="single" w:sz="4" w:space="0" w:color="FFFFFF"/>
            </w:tcBorders>
            <w:shd w:fill="auto" w:val="clear"/>
            <w:vAlign w:val="bottom"/>
          </w:tcPr>
          <w:p>
            <w:pPr>
              <w:pStyle w:val="TableContents"/>
              <w:spacing w:before="0" w:after="283"/>
              <w:jc w:val="left"/>
              <w:rPr/>
            </w:pPr>
            <w:r>
              <w:rPr/>
              <w:t> </w:t>
            </w:r>
          </w:p>
        </w:tc>
        <w:tc>
          <w:tcPr>
            <w:tcW w:w="198" w:type="dxa"/>
            <w:tcBorders>
              <w:bottom w:val="single" w:sz="2" w:space="0" w:color="FFFFFF"/>
            </w:tcBorders>
            <w:shd w:fill="auto" w:val="clear"/>
            <w:vAlign w:val="center"/>
          </w:tcPr>
          <w:p>
            <w:pPr>
              <w:pStyle w:val="TableContents"/>
              <w:spacing w:before="0" w:after="283"/>
              <w:rPr/>
            </w:pPr>
            <w:r>
              <w:rPr/>
              <w:t> </w:t>
            </w:r>
          </w:p>
        </w:tc>
        <w:tc>
          <w:tcPr>
            <w:tcW w:w="3052" w:type="dxa"/>
            <w:gridSpan w:val="5"/>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December 31,</w:t>
            </w:r>
          </w:p>
        </w:tc>
        <w:tc>
          <w:tcPr>
            <w:tcW w:w="127" w:type="dxa"/>
            <w:tcBorders>
              <w:bottom w:val="single" w:sz="2" w:space="0" w:color="FFFFFF"/>
            </w:tcBorders>
            <w:shd w:fill="auto" w:val="clear"/>
            <w:vAlign w:val="bottom"/>
          </w:tcPr>
          <w:p>
            <w:pPr>
              <w:pStyle w:val="TableContents"/>
              <w:spacing w:before="0" w:after="283"/>
              <w:jc w:val="left"/>
              <w:rPr/>
            </w:pPr>
            <w:r>
              <w:rPr/>
              <w:t> </w:t>
            </w:r>
          </w:p>
        </w:tc>
      </w:tr>
      <w:tr>
        <w:trPr/>
        <w:tc>
          <w:tcPr>
            <w:tcW w:w="6828" w:type="dxa"/>
            <w:tcBorders>
              <w:bottom w:val="double" w:sz="2" w:space="0" w:color="000000"/>
            </w:tcBorders>
            <w:shd w:fill="auto" w:val="clear"/>
            <w:vAlign w:val="bottom"/>
          </w:tcPr>
          <w:p>
            <w:pPr>
              <w:pStyle w:val="TableContents"/>
              <w:spacing w:before="0" w:after="283"/>
              <w:jc w:val="left"/>
              <w:rPr/>
            </w:pPr>
            <w:r>
              <w:rPr/>
              <w:t> </w:t>
            </w:r>
          </w:p>
        </w:tc>
        <w:tc>
          <w:tcPr>
            <w:tcW w:w="198" w:type="dxa"/>
            <w:tcBorders>
              <w:bottom w:val="single" w:sz="4" w:space="0" w:color="FFFFFF"/>
            </w:tcBorders>
            <w:shd w:fill="auto" w:val="clear"/>
            <w:vAlign w:val="center"/>
          </w:tcPr>
          <w:p>
            <w:pPr>
              <w:pStyle w:val="TableContents"/>
              <w:spacing w:before="0" w:after="283"/>
              <w:rPr/>
            </w:pPr>
            <w:r>
              <w:rPr/>
              <w:t> </w:t>
            </w:r>
          </w:p>
        </w:tc>
        <w:tc>
          <w:tcPr>
            <w:tcW w:w="1368"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2006</w:t>
            </w:r>
          </w:p>
          <w:p>
            <w:pPr>
              <w:pStyle w:val="TableContents"/>
              <w:spacing w:lineRule="auto" w:line="300" w:before="0" w:after="0"/>
              <w:ind w:left="0" w:right="0" w:hanging="0"/>
              <w:jc w:val="center"/>
              <w:rPr/>
            </w:pPr>
            <w:r>
              <w:rPr>
                <w:rStyle w:val="StrongEmphasis"/>
                <w:rFonts w:ascii="Times New Roman" w:hAnsi="Times New Roman"/>
                <w:sz w:val="20"/>
              </w:rPr>
              <w:t>Audited</w:t>
            </w:r>
          </w:p>
        </w:tc>
        <w:tc>
          <w:tcPr>
            <w:tcW w:w="198" w:type="dxa"/>
            <w:tcBorders>
              <w:bottom w:val="single" w:sz="4" w:space="0" w:color="FFFFFF"/>
            </w:tcBorders>
            <w:shd w:fill="auto" w:val="clear"/>
            <w:vAlign w:val="bottom"/>
          </w:tcPr>
          <w:p>
            <w:pPr>
              <w:pStyle w:val="TableContents"/>
              <w:spacing w:before="0" w:after="283"/>
              <w:jc w:val="left"/>
              <w:rPr/>
            </w:pPr>
            <w:r>
              <w:rPr/>
              <w:t> </w:t>
            </w:r>
          </w:p>
        </w:tc>
        <w:tc>
          <w:tcPr>
            <w:tcW w:w="1486"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2005</w:t>
            </w:r>
          </w:p>
          <w:p>
            <w:pPr>
              <w:pStyle w:val="TableContents"/>
              <w:spacing w:lineRule="auto" w:line="300" w:before="0" w:after="0"/>
              <w:ind w:left="0" w:right="0" w:hanging="0"/>
              <w:jc w:val="center"/>
              <w:rPr/>
            </w:pPr>
            <w:r>
              <w:rPr>
                <w:rStyle w:val="StrongEmphasis"/>
                <w:rFonts w:ascii="Times New Roman" w:hAnsi="Times New Roman"/>
                <w:sz w:val="20"/>
              </w:rPr>
              <w:t>(Unaudited)</w:t>
            </w:r>
          </w:p>
        </w:tc>
        <w:tc>
          <w:tcPr>
            <w:tcW w:w="127" w:type="dxa"/>
            <w:tcBorders>
              <w:bottom w:val="single" w:sz="4" w:space="0" w:color="FFFFFF"/>
            </w:tcBorders>
            <w:shd w:fill="auto" w:val="clear"/>
            <w:vAlign w:val="bottom"/>
          </w:tcPr>
          <w:p>
            <w:pPr>
              <w:pStyle w:val="TableContents"/>
              <w:spacing w:before="0" w:after="283"/>
              <w:jc w:val="left"/>
              <w:rPr/>
            </w:pPr>
            <w:r>
              <w:rPr/>
              <w:t> </w:t>
            </w:r>
          </w:p>
        </w:tc>
      </w:tr>
      <w:tr>
        <w:trPr/>
        <w:tc>
          <w:tcPr>
            <w:tcW w:w="6828" w:type="dxa"/>
            <w:tcBorders/>
            <w:shd w:fill="auto" w:val="clear"/>
            <w:tcMar>
              <w:bottom w:w="0" w:type="dxa"/>
            </w:tcMar>
            <w:vAlign w:val="bottom"/>
          </w:tcPr>
          <w:p>
            <w:pPr>
              <w:pStyle w:val="TableContents"/>
              <w:spacing w:lineRule="auto" w:line="300" w:before="0" w:after="0"/>
              <w:ind w:left="0" w:right="0" w:hanging="0"/>
              <w:jc w:val="center"/>
              <w:rPr/>
            </w:pPr>
            <w:r>
              <w:rPr>
                <w:rStyle w:val="StrongEmphasis"/>
                <w:rFonts w:ascii="Times New Roman" w:hAnsi="Times New Roman"/>
                <w:sz w:val="20"/>
              </w:rPr>
              <w:t>ASSETS</w:t>
            </w:r>
          </w:p>
        </w:tc>
        <w:tc>
          <w:tcPr>
            <w:tcW w:w="198" w:type="dxa"/>
            <w:tcBorders/>
            <w:shd w:fill="auto" w:val="clear"/>
            <w:tcMar>
              <w:bottom w:w="0" w:type="dxa"/>
            </w:tcMar>
            <w:vAlign w:val="center"/>
          </w:tcPr>
          <w:p>
            <w:pPr>
              <w:pStyle w:val="TableContents"/>
              <w:spacing w:before="0" w:after="283"/>
              <w:rPr/>
            </w:pPr>
            <w:r>
              <w:rPr/>
              <w:t> </w:t>
            </w:r>
          </w:p>
        </w:tc>
        <w:tc>
          <w:tcPr>
            <w:tcW w:w="1368" w:type="dxa"/>
            <w:gridSpan w:val="2"/>
            <w:tcBorders/>
            <w:shd w:fill="auto" w:val="clear"/>
            <w:tcMar>
              <w:bottom w:w="0" w:type="dxa"/>
            </w:tcMar>
            <w:vAlign w:val="bottom"/>
          </w:tcPr>
          <w:p>
            <w:pPr>
              <w:pStyle w:val="TableContents"/>
              <w:spacing w:before="0" w:after="283"/>
              <w:rPr/>
            </w:pPr>
            <w:r>
              <w:rPr/>
              <w:t> </w:t>
            </w:r>
          </w:p>
        </w:tc>
        <w:tc>
          <w:tcPr>
            <w:tcW w:w="198" w:type="dxa"/>
            <w:tcBorders/>
            <w:shd w:fill="auto" w:val="clear"/>
            <w:tcMar>
              <w:bottom w:w="0" w:type="dxa"/>
            </w:tcMar>
            <w:vAlign w:val="bottom"/>
          </w:tcPr>
          <w:p>
            <w:pPr>
              <w:pStyle w:val="TableContents"/>
              <w:spacing w:before="0" w:after="283"/>
              <w:jc w:val="left"/>
              <w:rPr/>
            </w:pPr>
            <w:r>
              <w:rPr/>
              <w:t> </w:t>
            </w:r>
          </w:p>
        </w:tc>
        <w:tc>
          <w:tcPr>
            <w:tcW w:w="1486" w:type="dxa"/>
            <w:gridSpan w:val="2"/>
            <w:tcBorders/>
            <w:shd w:fill="auto" w:val="clear"/>
            <w:tcMar>
              <w:bottom w:w="0" w:type="dxa"/>
            </w:tcMar>
            <w:vAlign w:val="bottom"/>
          </w:tcPr>
          <w:p>
            <w:pPr>
              <w:pStyle w:val="TableContents"/>
              <w:spacing w:before="0" w:after="283"/>
              <w:rPr/>
            </w:pPr>
            <w:r>
              <w:rPr/>
              <w:t> </w:t>
            </w:r>
          </w:p>
        </w:tc>
        <w:tc>
          <w:tcPr>
            <w:tcW w:w="127" w:type="dxa"/>
            <w:tcBorders/>
            <w:shd w:fill="auto" w:val="clear"/>
            <w:tcMar>
              <w:bottom w:w="0" w:type="dxa"/>
            </w:tcMar>
            <w:vAlign w:val="bottom"/>
          </w:tcPr>
          <w:p>
            <w:pPr>
              <w:pStyle w:val="TableContents"/>
              <w:spacing w:before="0" w:after="283"/>
              <w:jc w:val="left"/>
              <w:rPr/>
            </w:pPr>
            <w:r>
              <w:rPr/>
              <w:t> </w:t>
            </w:r>
          </w:p>
        </w:tc>
      </w:tr>
      <w:tr>
        <w:trPr/>
        <w:tc>
          <w:tcPr>
            <w:tcW w:w="6828" w:type="dxa"/>
            <w:tcBorders/>
            <w:shd w:fill="auto" w:val="clear"/>
            <w:tcMar>
              <w:bottom w:w="0" w:type="dxa"/>
            </w:tcMar>
            <w:vAlign w:val="bottom"/>
          </w:tcPr>
          <w:p>
            <w:pPr>
              <w:pStyle w:val="TableContents"/>
              <w:spacing w:before="0" w:after="283"/>
              <w:jc w:val="left"/>
              <w:rPr/>
            </w:pPr>
            <w:r>
              <w:rPr/>
              <w:t> </w:t>
            </w:r>
          </w:p>
        </w:tc>
        <w:tc>
          <w:tcPr>
            <w:tcW w:w="198" w:type="dxa"/>
            <w:tcBorders/>
            <w:shd w:fill="auto" w:val="clear"/>
            <w:tcMar>
              <w:bottom w:w="0" w:type="dxa"/>
            </w:tcMar>
            <w:vAlign w:val="center"/>
          </w:tcPr>
          <w:p>
            <w:pPr>
              <w:pStyle w:val="TableContents"/>
              <w:spacing w:before="0" w:after="283"/>
              <w:rPr/>
            </w:pPr>
            <w:r>
              <w:rPr/>
              <w:t> </w:t>
            </w:r>
          </w:p>
        </w:tc>
        <w:tc>
          <w:tcPr>
            <w:tcW w:w="1368" w:type="dxa"/>
            <w:gridSpan w:val="2"/>
            <w:tcBorders/>
            <w:shd w:fill="auto" w:val="clear"/>
            <w:tcMar>
              <w:bottom w:w="0" w:type="dxa"/>
            </w:tcMar>
            <w:vAlign w:val="bottom"/>
          </w:tcPr>
          <w:p>
            <w:pPr>
              <w:pStyle w:val="TableContents"/>
              <w:spacing w:before="0" w:after="283"/>
              <w:rPr/>
            </w:pPr>
            <w:r>
              <w:rPr/>
              <w:t> </w:t>
            </w:r>
          </w:p>
        </w:tc>
        <w:tc>
          <w:tcPr>
            <w:tcW w:w="198" w:type="dxa"/>
            <w:tcBorders/>
            <w:shd w:fill="auto" w:val="clear"/>
            <w:tcMar>
              <w:bottom w:w="0" w:type="dxa"/>
            </w:tcMar>
            <w:vAlign w:val="bottom"/>
          </w:tcPr>
          <w:p>
            <w:pPr>
              <w:pStyle w:val="TableContents"/>
              <w:spacing w:before="0" w:after="283"/>
              <w:jc w:val="left"/>
              <w:rPr/>
            </w:pPr>
            <w:r>
              <w:rPr/>
              <w:t> </w:t>
            </w:r>
          </w:p>
        </w:tc>
        <w:tc>
          <w:tcPr>
            <w:tcW w:w="1486" w:type="dxa"/>
            <w:gridSpan w:val="2"/>
            <w:tcBorders/>
            <w:shd w:fill="auto" w:val="clear"/>
            <w:tcMar>
              <w:bottom w:w="0" w:type="dxa"/>
            </w:tcMar>
            <w:vAlign w:val="bottom"/>
          </w:tcPr>
          <w:p>
            <w:pPr>
              <w:pStyle w:val="TableContents"/>
              <w:spacing w:before="0" w:after="283"/>
              <w:rPr/>
            </w:pPr>
            <w:r>
              <w:rPr/>
              <w:t> </w:t>
            </w:r>
          </w:p>
        </w:tc>
        <w:tc>
          <w:tcPr>
            <w:tcW w:w="127" w:type="dxa"/>
            <w:tcBorders/>
            <w:shd w:fill="auto" w:val="clear"/>
            <w:tcMar>
              <w:bottom w:w="0" w:type="dxa"/>
            </w:tcMar>
            <w:vAlign w:val="bottom"/>
          </w:tcPr>
          <w:p>
            <w:pPr>
              <w:pStyle w:val="TableContents"/>
              <w:spacing w:before="0" w:after="283"/>
              <w:jc w:val="left"/>
              <w:rPr/>
            </w:pPr>
            <w:r>
              <w:rPr/>
              <w:t> </w:t>
            </w:r>
          </w:p>
        </w:tc>
      </w:tr>
      <w:tr>
        <w:trPr/>
        <w:tc>
          <w:tcPr>
            <w:tcW w:w="6828" w:type="dxa"/>
            <w:tcBorders/>
            <w:shd w:fill="auto" w:val="clear"/>
            <w:tcMar>
              <w:bottom w:w="0" w:type="dxa"/>
            </w:tcMar>
            <w:vAlign w:val="bottom"/>
          </w:tcPr>
          <w:p>
            <w:pPr>
              <w:pStyle w:val="TableContents"/>
              <w:spacing w:lineRule="auto" w:line="300" w:before="0" w:after="0"/>
              <w:ind w:left="0" w:right="0" w:hanging="0"/>
              <w:jc w:val="left"/>
              <w:rPr/>
            </w:pPr>
            <w:r>
              <w:rPr>
                <w:rStyle w:val="StrongEmphasis"/>
                <w:rFonts w:ascii="Times New Roman" w:hAnsi="Times New Roman"/>
                <w:sz w:val="20"/>
              </w:rPr>
              <w:t>REAL ESTATE:</w:t>
            </w:r>
          </w:p>
        </w:tc>
        <w:tc>
          <w:tcPr>
            <w:tcW w:w="198" w:type="dxa"/>
            <w:tcBorders/>
            <w:shd w:fill="auto" w:val="clear"/>
            <w:tcMar>
              <w:bottom w:w="0" w:type="dxa"/>
            </w:tcMar>
            <w:vAlign w:val="center"/>
          </w:tcPr>
          <w:p>
            <w:pPr>
              <w:pStyle w:val="TableContents"/>
              <w:spacing w:before="0" w:after="283"/>
              <w:rPr/>
            </w:pPr>
            <w:r>
              <w:rPr/>
              <w:t> </w:t>
            </w:r>
          </w:p>
        </w:tc>
        <w:tc>
          <w:tcPr>
            <w:tcW w:w="1368" w:type="dxa"/>
            <w:gridSpan w:val="2"/>
            <w:tcBorders/>
            <w:shd w:fill="auto" w:val="clear"/>
            <w:tcMar>
              <w:bottom w:w="0" w:type="dxa"/>
            </w:tcMar>
            <w:vAlign w:val="bottom"/>
          </w:tcPr>
          <w:p>
            <w:pPr>
              <w:pStyle w:val="TableContents"/>
              <w:spacing w:before="0" w:after="283"/>
              <w:rPr/>
            </w:pPr>
            <w:r>
              <w:rPr/>
              <w:t> </w:t>
            </w:r>
          </w:p>
        </w:tc>
        <w:tc>
          <w:tcPr>
            <w:tcW w:w="198" w:type="dxa"/>
            <w:tcBorders/>
            <w:shd w:fill="auto" w:val="clear"/>
            <w:tcMar>
              <w:bottom w:w="0" w:type="dxa"/>
            </w:tcMar>
            <w:vAlign w:val="bottom"/>
          </w:tcPr>
          <w:p>
            <w:pPr>
              <w:pStyle w:val="TableContents"/>
              <w:spacing w:before="0" w:after="283"/>
              <w:jc w:val="left"/>
              <w:rPr/>
            </w:pPr>
            <w:r>
              <w:rPr/>
              <w:t> </w:t>
            </w:r>
          </w:p>
        </w:tc>
        <w:tc>
          <w:tcPr>
            <w:tcW w:w="1486" w:type="dxa"/>
            <w:gridSpan w:val="2"/>
            <w:tcBorders/>
            <w:shd w:fill="auto" w:val="clear"/>
            <w:tcMar>
              <w:bottom w:w="0" w:type="dxa"/>
            </w:tcMar>
            <w:vAlign w:val="bottom"/>
          </w:tcPr>
          <w:p>
            <w:pPr>
              <w:pStyle w:val="TableContents"/>
              <w:spacing w:before="0" w:after="283"/>
              <w:rPr/>
            </w:pPr>
            <w:r>
              <w:rPr/>
              <w:t> </w:t>
            </w:r>
          </w:p>
        </w:tc>
        <w:tc>
          <w:tcPr>
            <w:tcW w:w="127" w:type="dxa"/>
            <w:tcBorders/>
            <w:shd w:fill="auto" w:val="clear"/>
            <w:tcMar>
              <w:bottom w:w="0" w:type="dxa"/>
            </w:tcMar>
            <w:vAlign w:val="bottom"/>
          </w:tcPr>
          <w:p>
            <w:pPr>
              <w:pStyle w:val="TableContents"/>
              <w:spacing w:before="0" w:after="283"/>
              <w:jc w:val="left"/>
              <w:rPr/>
            </w:pPr>
            <w:r>
              <w:rPr/>
              <w:t> </w:t>
            </w:r>
          </w:p>
        </w:tc>
      </w:tr>
      <w:tr>
        <w:trPr/>
        <w:tc>
          <w:tcPr>
            <w:tcW w:w="6828"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Land</w:t>
            </w:r>
          </w:p>
        </w:tc>
        <w:tc>
          <w:tcPr>
            <w:tcW w:w="198" w:type="dxa"/>
            <w:tcBorders/>
            <w:shd w:fill="CCEEFF" w:val="clear"/>
            <w:tcMar>
              <w:bottom w:w="0" w:type="dxa"/>
            </w:tcMar>
            <w:vAlign w:val="center"/>
          </w:tcPr>
          <w:p>
            <w:pPr>
              <w:pStyle w:val="TableContents"/>
              <w:spacing w:before="0" w:after="283"/>
              <w:rPr/>
            </w:pPr>
            <w:r>
              <w:rPr/>
              <w:t> </w:t>
            </w:r>
          </w:p>
        </w:tc>
        <w:tc>
          <w:tcPr>
            <w:tcW w:w="146"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4320" w:name="TAB12038"/>
            <w:bookmarkEnd w:id="4320"/>
            <w:r>
              <w:rPr>
                <w:rFonts w:ascii="Times New Roman" w:hAnsi="Times New Roman"/>
                <w:sz w:val="20"/>
              </w:rPr>
              <w:t>$</w:t>
            </w:r>
          </w:p>
        </w:tc>
        <w:tc>
          <w:tcPr>
            <w:tcW w:w="1222"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4321" w:name="TAB12039"/>
            <w:bookmarkEnd w:id="4321"/>
            <w:r>
              <w:rPr>
                <w:rFonts w:ascii="Times New Roman" w:hAnsi="Times New Roman"/>
                <w:sz w:val="20"/>
              </w:rPr>
              <w:t>5,230</w:t>
            </w:r>
          </w:p>
        </w:tc>
        <w:tc>
          <w:tcPr>
            <w:tcW w:w="198" w:type="dxa"/>
            <w:tcBorders/>
            <w:shd w:fill="CCEEFF" w:val="clear"/>
            <w:tcMar>
              <w:bottom w:w="0" w:type="dxa"/>
            </w:tcMar>
            <w:vAlign w:val="bottom"/>
          </w:tcPr>
          <w:p>
            <w:pPr>
              <w:pStyle w:val="TableContents"/>
              <w:spacing w:before="0" w:after="283"/>
              <w:jc w:val="left"/>
              <w:rPr/>
            </w:pPr>
            <w:r>
              <w:rPr/>
              <w:t> </w:t>
            </w:r>
          </w:p>
        </w:tc>
        <w:tc>
          <w:tcPr>
            <w:tcW w:w="167"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4322" w:name="TAB12040"/>
            <w:bookmarkEnd w:id="4322"/>
            <w:r>
              <w:rPr>
                <w:rFonts w:ascii="Times New Roman" w:hAnsi="Times New Roman"/>
                <w:sz w:val="20"/>
              </w:rPr>
              <w:t>$</w:t>
            </w:r>
          </w:p>
        </w:tc>
        <w:tc>
          <w:tcPr>
            <w:tcW w:w="1319"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4323" w:name="TAB12041"/>
            <w:bookmarkEnd w:id="4323"/>
            <w:r>
              <w:rPr>
                <w:rFonts w:ascii="Times New Roman" w:hAnsi="Times New Roman"/>
                <w:sz w:val="20"/>
              </w:rPr>
              <w:t>25,508</w:t>
            </w:r>
          </w:p>
        </w:tc>
        <w:tc>
          <w:tcPr>
            <w:tcW w:w="127" w:type="dxa"/>
            <w:tcBorders/>
            <w:shd w:fill="CCEEFF" w:val="clear"/>
            <w:tcMar>
              <w:bottom w:w="0" w:type="dxa"/>
            </w:tcMar>
            <w:vAlign w:val="bottom"/>
          </w:tcPr>
          <w:p>
            <w:pPr>
              <w:pStyle w:val="TableContents"/>
              <w:spacing w:before="0" w:after="283"/>
              <w:jc w:val="left"/>
              <w:rPr/>
            </w:pPr>
            <w:r>
              <w:rPr/>
              <w:t> </w:t>
            </w:r>
          </w:p>
        </w:tc>
      </w:tr>
      <w:tr>
        <w:trPr/>
        <w:tc>
          <w:tcPr>
            <w:tcW w:w="6828"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Construction and development costs</w:t>
            </w:r>
          </w:p>
        </w:tc>
        <w:tc>
          <w:tcPr>
            <w:tcW w:w="198" w:type="dxa"/>
            <w:tcBorders/>
            <w:shd w:fill="FFFFFF" w:val="clear"/>
            <w:tcMar>
              <w:bottom w:w="0" w:type="dxa"/>
            </w:tcMar>
            <w:vAlign w:val="center"/>
          </w:tcPr>
          <w:p>
            <w:pPr>
              <w:pStyle w:val="TableContents"/>
              <w:spacing w:before="0" w:after="283"/>
              <w:rPr/>
            </w:pPr>
            <w:r>
              <w:rPr/>
              <w:t> </w:t>
            </w:r>
          </w:p>
        </w:tc>
        <w:tc>
          <w:tcPr>
            <w:tcW w:w="146" w:type="dxa"/>
            <w:tcBorders/>
            <w:shd w:fill="FFFFFF" w:val="clear"/>
            <w:tcMar>
              <w:bottom w:w="0" w:type="dxa"/>
            </w:tcMar>
            <w:vAlign w:val="bottom"/>
          </w:tcPr>
          <w:p>
            <w:pPr>
              <w:pStyle w:val="TableContents"/>
              <w:spacing w:before="0" w:after="283"/>
              <w:jc w:val="left"/>
              <w:rPr/>
            </w:pPr>
            <w:r>
              <w:rPr/>
              <w:t> </w:t>
            </w:r>
          </w:p>
        </w:tc>
        <w:tc>
          <w:tcPr>
            <w:tcW w:w="1222"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12,950</w:t>
            </w:r>
          </w:p>
        </w:tc>
        <w:tc>
          <w:tcPr>
            <w:tcW w:w="198" w:type="dxa"/>
            <w:tcBorders/>
            <w:shd w:fill="FFFFFF" w:val="clear"/>
            <w:tcMar>
              <w:bottom w:w="0" w:type="dxa"/>
            </w:tcMar>
            <w:vAlign w:val="bottom"/>
          </w:tcPr>
          <w:p>
            <w:pPr>
              <w:pStyle w:val="TableContents"/>
              <w:spacing w:before="0" w:after="283"/>
              <w:jc w:val="left"/>
              <w:rPr/>
            </w:pPr>
            <w:r>
              <w:rPr/>
              <w:t> </w:t>
            </w:r>
          </w:p>
        </w:tc>
        <w:tc>
          <w:tcPr>
            <w:tcW w:w="167" w:type="dxa"/>
            <w:tcBorders/>
            <w:shd w:fill="FFFFFF" w:val="clear"/>
            <w:tcMar>
              <w:bottom w:w="0" w:type="dxa"/>
            </w:tcMar>
            <w:vAlign w:val="bottom"/>
          </w:tcPr>
          <w:p>
            <w:pPr>
              <w:pStyle w:val="TableContents"/>
              <w:spacing w:before="0" w:after="283"/>
              <w:jc w:val="left"/>
              <w:rPr/>
            </w:pPr>
            <w:r>
              <w:rPr/>
              <w:t> </w:t>
            </w:r>
          </w:p>
        </w:tc>
        <w:tc>
          <w:tcPr>
            <w:tcW w:w="1319"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47,167</w:t>
            </w:r>
          </w:p>
        </w:tc>
        <w:tc>
          <w:tcPr>
            <w:tcW w:w="127" w:type="dxa"/>
            <w:tcBorders/>
            <w:shd w:fill="FFFFFF" w:val="clear"/>
            <w:tcMar>
              <w:bottom w:w="0" w:type="dxa"/>
            </w:tcMar>
            <w:vAlign w:val="bottom"/>
          </w:tcPr>
          <w:p>
            <w:pPr>
              <w:pStyle w:val="TableContents"/>
              <w:spacing w:before="0" w:after="283"/>
              <w:jc w:val="left"/>
              <w:rPr/>
            </w:pPr>
            <w:r>
              <w:rPr/>
              <w:t> </w:t>
            </w:r>
          </w:p>
        </w:tc>
      </w:tr>
      <w:tr>
        <w:trPr/>
        <w:tc>
          <w:tcPr>
            <w:tcW w:w="6828" w:type="dxa"/>
            <w:tcBorders>
              <w:bottom w:val="sing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Negotiable certificates - real estate tax abatements</w:t>
            </w:r>
          </w:p>
        </w:tc>
        <w:tc>
          <w:tcPr>
            <w:tcW w:w="198" w:type="dxa"/>
            <w:tcBorders>
              <w:bottom w:val="single" w:sz="4" w:space="0" w:color="CCEEFF"/>
            </w:tcBorders>
            <w:shd w:fill="CCEEFF" w:val="clear"/>
            <w:vAlign w:val="center"/>
          </w:tcPr>
          <w:p>
            <w:pPr>
              <w:pStyle w:val="TableContents"/>
              <w:spacing w:before="0" w:after="283"/>
              <w:rPr/>
            </w:pPr>
            <w:r>
              <w:rPr/>
              <w:t> </w:t>
            </w:r>
          </w:p>
        </w:tc>
        <w:tc>
          <w:tcPr>
            <w:tcW w:w="146" w:type="dxa"/>
            <w:tcBorders>
              <w:bottom w:val="single" w:sz="2" w:space="0" w:color="000000"/>
            </w:tcBorders>
            <w:shd w:fill="CCEEFF" w:val="clear"/>
            <w:vAlign w:val="bottom"/>
          </w:tcPr>
          <w:p>
            <w:pPr>
              <w:pStyle w:val="TableContents"/>
              <w:spacing w:before="0" w:after="283"/>
              <w:jc w:val="left"/>
              <w:rPr/>
            </w:pPr>
            <w:r>
              <w:rPr/>
              <w:t> </w:t>
            </w:r>
          </w:p>
        </w:tc>
        <w:tc>
          <w:tcPr>
            <w:tcW w:w="1222"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308</w:t>
            </w:r>
          </w:p>
        </w:tc>
        <w:tc>
          <w:tcPr>
            <w:tcW w:w="198" w:type="dxa"/>
            <w:tcBorders>
              <w:bottom w:val="single" w:sz="4" w:space="0" w:color="CCEEFF"/>
            </w:tcBorders>
            <w:shd w:fill="CCEEFF" w:val="clear"/>
            <w:vAlign w:val="bottom"/>
          </w:tcPr>
          <w:p>
            <w:pPr>
              <w:pStyle w:val="TableContents"/>
              <w:spacing w:before="0" w:after="283"/>
              <w:jc w:val="left"/>
              <w:rPr/>
            </w:pPr>
            <w:r>
              <w:rPr/>
              <w:t> </w:t>
            </w:r>
          </w:p>
        </w:tc>
        <w:tc>
          <w:tcPr>
            <w:tcW w:w="167" w:type="dxa"/>
            <w:tcBorders>
              <w:bottom w:val="single" w:sz="2" w:space="0" w:color="000000"/>
            </w:tcBorders>
            <w:shd w:fill="CCEEFF" w:val="clear"/>
            <w:vAlign w:val="bottom"/>
          </w:tcPr>
          <w:p>
            <w:pPr>
              <w:pStyle w:val="TableContents"/>
              <w:spacing w:before="0" w:after="283"/>
              <w:jc w:val="left"/>
              <w:rPr/>
            </w:pPr>
            <w:r>
              <w:rPr/>
              <w:t> </w:t>
            </w:r>
          </w:p>
        </w:tc>
        <w:tc>
          <w:tcPr>
            <w:tcW w:w="1319"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863</w:t>
            </w:r>
          </w:p>
        </w:tc>
        <w:tc>
          <w:tcPr>
            <w:tcW w:w="127" w:type="dxa"/>
            <w:tcBorders>
              <w:bottom w:val="single" w:sz="4" w:space="0" w:color="CCEEFF"/>
            </w:tcBorders>
            <w:shd w:fill="CCEEFF" w:val="clear"/>
            <w:vAlign w:val="bottom"/>
          </w:tcPr>
          <w:p>
            <w:pPr>
              <w:pStyle w:val="TableContents"/>
              <w:spacing w:before="0" w:after="283"/>
              <w:jc w:val="left"/>
              <w:rPr/>
            </w:pPr>
            <w:r>
              <w:rPr/>
              <w:t> </w:t>
            </w:r>
          </w:p>
        </w:tc>
      </w:tr>
      <w:tr>
        <w:trPr/>
        <w:tc>
          <w:tcPr>
            <w:tcW w:w="6828" w:type="dxa"/>
            <w:tcBorders/>
            <w:shd w:fill="FFFFFF" w:val="clear"/>
            <w:tcMar>
              <w:bottom w:w="0" w:type="dxa"/>
            </w:tcMar>
            <w:vAlign w:val="bottom"/>
          </w:tcPr>
          <w:p>
            <w:pPr>
              <w:pStyle w:val="TableContents"/>
              <w:spacing w:lineRule="auto" w:line="300" w:before="0" w:after="0"/>
              <w:ind w:left="0" w:right="0" w:firstLine="360"/>
              <w:jc w:val="left"/>
              <w:rPr/>
            </w:pPr>
            <w:r>
              <w:rPr>
                <w:rStyle w:val="StrongEmphasis"/>
                <w:rFonts w:ascii="Times New Roman" w:hAnsi="Times New Roman"/>
                <w:sz w:val="20"/>
              </w:rPr>
              <w:t>TOTAL REAL ESTATE</w:t>
            </w:r>
          </w:p>
        </w:tc>
        <w:tc>
          <w:tcPr>
            <w:tcW w:w="198" w:type="dxa"/>
            <w:tcBorders/>
            <w:shd w:fill="FFFFFF" w:val="clear"/>
            <w:tcMar>
              <w:bottom w:w="0" w:type="dxa"/>
            </w:tcMar>
            <w:vAlign w:val="center"/>
          </w:tcPr>
          <w:p>
            <w:pPr>
              <w:pStyle w:val="TableContents"/>
              <w:spacing w:before="0" w:after="283"/>
              <w:rPr/>
            </w:pPr>
            <w:r>
              <w:rPr/>
              <w:t> </w:t>
            </w:r>
          </w:p>
        </w:tc>
        <w:tc>
          <w:tcPr>
            <w:tcW w:w="146" w:type="dxa"/>
            <w:tcBorders/>
            <w:shd w:fill="FFFFFF" w:val="clear"/>
            <w:tcMar>
              <w:bottom w:w="0" w:type="dxa"/>
            </w:tcMar>
            <w:vAlign w:val="bottom"/>
          </w:tcPr>
          <w:p>
            <w:pPr>
              <w:pStyle w:val="TableContents"/>
              <w:spacing w:before="0" w:after="283"/>
              <w:jc w:val="left"/>
              <w:rPr/>
            </w:pPr>
            <w:r>
              <w:rPr/>
              <w:t> </w:t>
            </w:r>
          </w:p>
        </w:tc>
        <w:tc>
          <w:tcPr>
            <w:tcW w:w="1222"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18,488</w:t>
            </w:r>
          </w:p>
        </w:tc>
        <w:tc>
          <w:tcPr>
            <w:tcW w:w="198" w:type="dxa"/>
            <w:tcBorders/>
            <w:shd w:fill="FFFFFF" w:val="clear"/>
            <w:tcMar>
              <w:bottom w:w="0" w:type="dxa"/>
            </w:tcMar>
            <w:vAlign w:val="bottom"/>
          </w:tcPr>
          <w:p>
            <w:pPr>
              <w:pStyle w:val="TableContents"/>
              <w:spacing w:before="0" w:after="283"/>
              <w:jc w:val="left"/>
              <w:rPr/>
            </w:pPr>
            <w:r>
              <w:rPr/>
              <w:t> </w:t>
            </w:r>
          </w:p>
        </w:tc>
        <w:tc>
          <w:tcPr>
            <w:tcW w:w="167" w:type="dxa"/>
            <w:tcBorders/>
            <w:shd w:fill="FFFFFF" w:val="clear"/>
            <w:tcMar>
              <w:bottom w:w="0" w:type="dxa"/>
            </w:tcMar>
            <w:vAlign w:val="bottom"/>
          </w:tcPr>
          <w:p>
            <w:pPr>
              <w:pStyle w:val="TableContents"/>
              <w:spacing w:before="0" w:after="283"/>
              <w:jc w:val="left"/>
              <w:rPr/>
            </w:pPr>
            <w:r>
              <w:rPr/>
              <w:t> </w:t>
            </w:r>
          </w:p>
        </w:tc>
        <w:tc>
          <w:tcPr>
            <w:tcW w:w="1319"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73,538</w:t>
            </w:r>
          </w:p>
        </w:tc>
        <w:tc>
          <w:tcPr>
            <w:tcW w:w="127" w:type="dxa"/>
            <w:tcBorders/>
            <w:shd w:fill="FFFFFF" w:val="clear"/>
            <w:tcMar>
              <w:bottom w:w="0" w:type="dxa"/>
            </w:tcMar>
            <w:vAlign w:val="bottom"/>
          </w:tcPr>
          <w:p>
            <w:pPr>
              <w:pStyle w:val="TableContents"/>
              <w:spacing w:before="0" w:after="283"/>
              <w:jc w:val="left"/>
              <w:rPr/>
            </w:pPr>
            <w:r>
              <w:rPr/>
              <w:t> </w:t>
            </w:r>
          </w:p>
        </w:tc>
      </w:tr>
      <w:tr>
        <w:trPr/>
        <w:tc>
          <w:tcPr>
            <w:tcW w:w="6828" w:type="dxa"/>
            <w:tcBorders/>
            <w:shd w:fill="CCEEFF" w:val="clear"/>
            <w:tcMar>
              <w:bottom w:w="0" w:type="dxa"/>
            </w:tcMar>
            <w:vAlign w:val="bottom"/>
          </w:tcPr>
          <w:p>
            <w:pPr>
              <w:pStyle w:val="TableContents"/>
              <w:spacing w:before="0" w:after="283"/>
              <w:jc w:val="left"/>
              <w:rPr/>
            </w:pPr>
            <w:r>
              <w:rPr/>
              <w:t> </w:t>
            </w:r>
          </w:p>
        </w:tc>
        <w:tc>
          <w:tcPr>
            <w:tcW w:w="198" w:type="dxa"/>
            <w:tcBorders/>
            <w:shd w:fill="CCEEFF" w:val="clear"/>
            <w:tcMar>
              <w:bottom w:w="0" w:type="dxa"/>
            </w:tcMar>
            <w:vAlign w:val="center"/>
          </w:tcPr>
          <w:p>
            <w:pPr>
              <w:pStyle w:val="TableContents"/>
              <w:spacing w:before="0" w:after="283"/>
              <w:rPr/>
            </w:pPr>
            <w:r>
              <w:rPr/>
              <w:t> </w:t>
            </w:r>
          </w:p>
        </w:tc>
        <w:tc>
          <w:tcPr>
            <w:tcW w:w="146" w:type="dxa"/>
            <w:tcBorders/>
            <w:shd w:fill="CCEEFF" w:val="clear"/>
            <w:tcMar>
              <w:bottom w:w="0" w:type="dxa"/>
            </w:tcMar>
            <w:vAlign w:val="bottom"/>
          </w:tcPr>
          <w:p>
            <w:pPr>
              <w:pStyle w:val="TableContents"/>
              <w:spacing w:before="0" w:after="283"/>
              <w:jc w:val="left"/>
              <w:rPr/>
            </w:pPr>
            <w:r>
              <w:rPr/>
              <w:t> </w:t>
            </w:r>
          </w:p>
        </w:tc>
        <w:tc>
          <w:tcPr>
            <w:tcW w:w="1222" w:type="dxa"/>
            <w:tcBorders/>
            <w:shd w:fill="CCEEFF" w:val="clear"/>
            <w:tcMar>
              <w:bottom w:w="0" w:type="dxa"/>
            </w:tcMar>
            <w:vAlign w:val="bottom"/>
          </w:tcPr>
          <w:p>
            <w:pPr>
              <w:pStyle w:val="TableContents"/>
              <w:spacing w:before="0" w:after="283"/>
              <w:jc w:val="right"/>
              <w:rPr/>
            </w:pPr>
            <w:r>
              <w:rPr/>
              <w:t> </w:t>
            </w:r>
          </w:p>
        </w:tc>
        <w:tc>
          <w:tcPr>
            <w:tcW w:w="198" w:type="dxa"/>
            <w:tcBorders/>
            <w:shd w:fill="CCEEFF" w:val="clear"/>
            <w:tcMar>
              <w:bottom w:w="0" w:type="dxa"/>
            </w:tcMar>
            <w:vAlign w:val="bottom"/>
          </w:tcPr>
          <w:p>
            <w:pPr>
              <w:pStyle w:val="TableContents"/>
              <w:spacing w:before="0" w:after="283"/>
              <w:jc w:val="left"/>
              <w:rPr/>
            </w:pPr>
            <w:r>
              <w:rPr/>
              <w:t> </w:t>
            </w:r>
          </w:p>
        </w:tc>
        <w:tc>
          <w:tcPr>
            <w:tcW w:w="167" w:type="dxa"/>
            <w:tcBorders/>
            <w:shd w:fill="CCEEFF" w:val="clear"/>
            <w:tcMar>
              <w:bottom w:w="0" w:type="dxa"/>
            </w:tcMar>
            <w:vAlign w:val="bottom"/>
          </w:tcPr>
          <w:p>
            <w:pPr>
              <w:pStyle w:val="TableContents"/>
              <w:spacing w:before="0" w:after="283"/>
              <w:jc w:val="left"/>
              <w:rPr/>
            </w:pPr>
            <w:r>
              <w:rPr/>
              <w:t> </w:t>
            </w:r>
          </w:p>
        </w:tc>
        <w:tc>
          <w:tcPr>
            <w:tcW w:w="1319" w:type="dxa"/>
            <w:tcBorders/>
            <w:shd w:fill="CCEEFF" w:val="clear"/>
            <w:tcMar>
              <w:bottom w:w="0" w:type="dxa"/>
            </w:tcMar>
            <w:vAlign w:val="bottom"/>
          </w:tcPr>
          <w:p>
            <w:pPr>
              <w:pStyle w:val="TableContents"/>
              <w:spacing w:before="0" w:after="283"/>
              <w:jc w:val="right"/>
              <w:rPr/>
            </w:pPr>
            <w:r>
              <w:rPr/>
              <w:t> </w:t>
            </w:r>
          </w:p>
        </w:tc>
        <w:tc>
          <w:tcPr>
            <w:tcW w:w="127" w:type="dxa"/>
            <w:tcBorders/>
            <w:shd w:fill="CCEEFF" w:val="clear"/>
            <w:tcMar>
              <w:bottom w:w="0" w:type="dxa"/>
            </w:tcMar>
            <w:vAlign w:val="bottom"/>
          </w:tcPr>
          <w:p>
            <w:pPr>
              <w:pStyle w:val="TableContents"/>
              <w:spacing w:before="0" w:after="283"/>
              <w:jc w:val="left"/>
              <w:rPr/>
            </w:pPr>
            <w:r>
              <w:rPr/>
              <w:t> </w:t>
            </w:r>
          </w:p>
        </w:tc>
      </w:tr>
      <w:tr>
        <w:trPr/>
        <w:tc>
          <w:tcPr>
            <w:tcW w:w="6828" w:type="dxa"/>
            <w:tcBorders/>
            <w:shd w:fill="FFFFFF" w:val="clear"/>
            <w:tcMar>
              <w:bottom w:w="0" w:type="dxa"/>
            </w:tcMar>
            <w:vAlign w:val="bottom"/>
          </w:tcPr>
          <w:p>
            <w:pPr>
              <w:pStyle w:val="TableContents"/>
              <w:spacing w:lineRule="auto" w:line="300" w:before="0" w:after="0"/>
              <w:ind w:left="0" w:right="0" w:hanging="0"/>
              <w:jc w:val="left"/>
              <w:rPr/>
            </w:pPr>
            <w:r>
              <w:rPr>
                <w:rStyle w:val="StrongEmphasis"/>
                <w:rFonts w:ascii="Times New Roman" w:hAnsi="Times New Roman"/>
                <w:sz w:val="20"/>
              </w:rPr>
              <w:t>OTHER ASSETS:</w:t>
            </w:r>
          </w:p>
        </w:tc>
        <w:tc>
          <w:tcPr>
            <w:tcW w:w="198" w:type="dxa"/>
            <w:tcBorders/>
            <w:shd w:fill="FFFFFF" w:val="clear"/>
            <w:tcMar>
              <w:bottom w:w="0" w:type="dxa"/>
            </w:tcMar>
            <w:vAlign w:val="center"/>
          </w:tcPr>
          <w:p>
            <w:pPr>
              <w:pStyle w:val="TableContents"/>
              <w:spacing w:before="0" w:after="283"/>
              <w:rPr/>
            </w:pPr>
            <w:r>
              <w:rPr/>
              <w:t> </w:t>
            </w:r>
          </w:p>
        </w:tc>
        <w:tc>
          <w:tcPr>
            <w:tcW w:w="146" w:type="dxa"/>
            <w:tcBorders/>
            <w:shd w:fill="FFFFFF" w:val="clear"/>
            <w:tcMar>
              <w:bottom w:w="0" w:type="dxa"/>
            </w:tcMar>
            <w:vAlign w:val="bottom"/>
          </w:tcPr>
          <w:p>
            <w:pPr>
              <w:pStyle w:val="TableContents"/>
              <w:spacing w:before="0" w:after="283"/>
              <w:jc w:val="left"/>
              <w:rPr/>
            </w:pPr>
            <w:r>
              <w:rPr/>
              <w:t> </w:t>
            </w:r>
          </w:p>
        </w:tc>
        <w:tc>
          <w:tcPr>
            <w:tcW w:w="1222" w:type="dxa"/>
            <w:tcBorders/>
            <w:shd w:fill="FFFFFF" w:val="clear"/>
            <w:tcMar>
              <w:bottom w:w="0" w:type="dxa"/>
            </w:tcMar>
            <w:vAlign w:val="bottom"/>
          </w:tcPr>
          <w:p>
            <w:pPr>
              <w:pStyle w:val="TableContents"/>
              <w:spacing w:before="0" w:after="283"/>
              <w:jc w:val="right"/>
              <w:rPr/>
            </w:pPr>
            <w:r>
              <w:rPr/>
              <w:t> </w:t>
            </w:r>
          </w:p>
        </w:tc>
        <w:tc>
          <w:tcPr>
            <w:tcW w:w="198" w:type="dxa"/>
            <w:tcBorders/>
            <w:shd w:fill="FFFFFF" w:val="clear"/>
            <w:tcMar>
              <w:bottom w:w="0" w:type="dxa"/>
            </w:tcMar>
            <w:vAlign w:val="bottom"/>
          </w:tcPr>
          <w:p>
            <w:pPr>
              <w:pStyle w:val="TableContents"/>
              <w:spacing w:before="0" w:after="283"/>
              <w:jc w:val="left"/>
              <w:rPr/>
            </w:pPr>
            <w:r>
              <w:rPr/>
              <w:t> </w:t>
            </w:r>
          </w:p>
        </w:tc>
        <w:tc>
          <w:tcPr>
            <w:tcW w:w="167" w:type="dxa"/>
            <w:tcBorders/>
            <w:shd w:fill="FFFFFF" w:val="clear"/>
            <w:tcMar>
              <w:bottom w:w="0" w:type="dxa"/>
            </w:tcMar>
            <w:vAlign w:val="bottom"/>
          </w:tcPr>
          <w:p>
            <w:pPr>
              <w:pStyle w:val="TableContents"/>
              <w:spacing w:before="0" w:after="283"/>
              <w:jc w:val="left"/>
              <w:rPr/>
            </w:pPr>
            <w:r>
              <w:rPr/>
              <w:t> </w:t>
            </w:r>
          </w:p>
        </w:tc>
        <w:tc>
          <w:tcPr>
            <w:tcW w:w="1319" w:type="dxa"/>
            <w:tcBorders/>
            <w:shd w:fill="FFFFFF" w:val="clear"/>
            <w:tcMar>
              <w:bottom w:w="0" w:type="dxa"/>
            </w:tcMar>
            <w:vAlign w:val="bottom"/>
          </w:tcPr>
          <w:p>
            <w:pPr>
              <w:pStyle w:val="TableContents"/>
              <w:spacing w:before="0" w:after="283"/>
              <w:jc w:val="right"/>
              <w:rPr/>
            </w:pPr>
            <w:r>
              <w:rPr/>
              <w:t> </w:t>
            </w:r>
          </w:p>
        </w:tc>
        <w:tc>
          <w:tcPr>
            <w:tcW w:w="127" w:type="dxa"/>
            <w:tcBorders/>
            <w:shd w:fill="FFFFFF" w:val="clear"/>
            <w:tcMar>
              <w:bottom w:w="0" w:type="dxa"/>
            </w:tcMar>
            <w:vAlign w:val="bottom"/>
          </w:tcPr>
          <w:p>
            <w:pPr>
              <w:pStyle w:val="TableContents"/>
              <w:spacing w:before="0" w:after="283"/>
              <w:jc w:val="left"/>
              <w:rPr/>
            </w:pPr>
            <w:r>
              <w:rPr/>
              <w:t> </w:t>
            </w:r>
          </w:p>
        </w:tc>
      </w:tr>
      <w:tr>
        <w:trPr/>
        <w:tc>
          <w:tcPr>
            <w:tcW w:w="6828"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Cash and cash equivalents</w:t>
            </w:r>
          </w:p>
        </w:tc>
        <w:tc>
          <w:tcPr>
            <w:tcW w:w="198" w:type="dxa"/>
            <w:tcBorders/>
            <w:shd w:fill="CCEEFF" w:val="clear"/>
            <w:tcMar>
              <w:bottom w:w="0" w:type="dxa"/>
            </w:tcMar>
            <w:vAlign w:val="center"/>
          </w:tcPr>
          <w:p>
            <w:pPr>
              <w:pStyle w:val="TableContents"/>
              <w:spacing w:before="0" w:after="283"/>
              <w:rPr/>
            </w:pPr>
            <w:r>
              <w:rPr/>
              <w:t> </w:t>
            </w:r>
          </w:p>
        </w:tc>
        <w:tc>
          <w:tcPr>
            <w:tcW w:w="146" w:type="dxa"/>
            <w:tcBorders/>
            <w:shd w:fill="CCEEFF" w:val="clear"/>
            <w:tcMar>
              <w:bottom w:w="0" w:type="dxa"/>
            </w:tcMar>
            <w:vAlign w:val="bottom"/>
          </w:tcPr>
          <w:p>
            <w:pPr>
              <w:pStyle w:val="TableContents"/>
              <w:spacing w:before="0" w:after="283"/>
              <w:jc w:val="left"/>
              <w:rPr/>
            </w:pPr>
            <w:r>
              <w:rPr/>
              <w:t> </w:t>
            </w:r>
          </w:p>
        </w:tc>
        <w:tc>
          <w:tcPr>
            <w:tcW w:w="1222"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4,449</w:t>
            </w:r>
          </w:p>
        </w:tc>
        <w:tc>
          <w:tcPr>
            <w:tcW w:w="198" w:type="dxa"/>
            <w:tcBorders/>
            <w:shd w:fill="CCEEFF" w:val="clear"/>
            <w:tcMar>
              <w:bottom w:w="0" w:type="dxa"/>
            </w:tcMar>
            <w:vAlign w:val="bottom"/>
          </w:tcPr>
          <w:p>
            <w:pPr>
              <w:pStyle w:val="TableContents"/>
              <w:spacing w:before="0" w:after="283"/>
              <w:jc w:val="left"/>
              <w:rPr/>
            </w:pPr>
            <w:r>
              <w:rPr/>
              <w:t> </w:t>
            </w:r>
          </w:p>
        </w:tc>
        <w:tc>
          <w:tcPr>
            <w:tcW w:w="167" w:type="dxa"/>
            <w:tcBorders/>
            <w:shd w:fill="CCEEFF" w:val="clear"/>
            <w:tcMar>
              <w:bottom w:w="0" w:type="dxa"/>
            </w:tcMar>
            <w:vAlign w:val="bottom"/>
          </w:tcPr>
          <w:p>
            <w:pPr>
              <w:pStyle w:val="TableContents"/>
              <w:spacing w:before="0" w:after="283"/>
              <w:jc w:val="left"/>
              <w:rPr/>
            </w:pPr>
            <w:r>
              <w:rPr/>
              <w:t> </w:t>
            </w:r>
          </w:p>
        </w:tc>
        <w:tc>
          <w:tcPr>
            <w:tcW w:w="1319"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163</w:t>
            </w:r>
          </w:p>
        </w:tc>
        <w:tc>
          <w:tcPr>
            <w:tcW w:w="127" w:type="dxa"/>
            <w:tcBorders/>
            <w:shd w:fill="CCEEFF" w:val="clear"/>
            <w:tcMar>
              <w:bottom w:w="0" w:type="dxa"/>
            </w:tcMar>
            <w:vAlign w:val="bottom"/>
          </w:tcPr>
          <w:p>
            <w:pPr>
              <w:pStyle w:val="TableContents"/>
              <w:spacing w:before="0" w:after="283"/>
              <w:jc w:val="left"/>
              <w:rPr/>
            </w:pPr>
            <w:r>
              <w:rPr/>
              <w:t> </w:t>
            </w:r>
          </w:p>
        </w:tc>
      </w:tr>
      <w:tr>
        <w:trPr/>
        <w:tc>
          <w:tcPr>
            <w:tcW w:w="6828"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Security deposits</w:t>
            </w:r>
          </w:p>
        </w:tc>
        <w:tc>
          <w:tcPr>
            <w:tcW w:w="198" w:type="dxa"/>
            <w:tcBorders/>
            <w:shd w:fill="FFFFFF" w:val="clear"/>
            <w:tcMar>
              <w:bottom w:w="0" w:type="dxa"/>
            </w:tcMar>
            <w:vAlign w:val="center"/>
          </w:tcPr>
          <w:p>
            <w:pPr>
              <w:pStyle w:val="TableContents"/>
              <w:spacing w:before="0" w:after="283"/>
              <w:rPr/>
            </w:pPr>
            <w:r>
              <w:rPr/>
              <w:t> </w:t>
            </w:r>
          </w:p>
        </w:tc>
        <w:tc>
          <w:tcPr>
            <w:tcW w:w="146" w:type="dxa"/>
            <w:tcBorders/>
            <w:shd w:fill="FFFFFF" w:val="clear"/>
            <w:tcMar>
              <w:bottom w:w="0" w:type="dxa"/>
            </w:tcMar>
            <w:vAlign w:val="bottom"/>
          </w:tcPr>
          <w:p>
            <w:pPr>
              <w:pStyle w:val="TableContents"/>
              <w:spacing w:before="0" w:after="283"/>
              <w:jc w:val="left"/>
              <w:rPr/>
            </w:pPr>
            <w:r>
              <w:rPr/>
              <w:t> </w:t>
            </w:r>
          </w:p>
        </w:tc>
        <w:tc>
          <w:tcPr>
            <w:tcW w:w="1222"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7</w:t>
            </w:r>
          </w:p>
        </w:tc>
        <w:tc>
          <w:tcPr>
            <w:tcW w:w="198" w:type="dxa"/>
            <w:tcBorders/>
            <w:shd w:fill="FFFFFF" w:val="clear"/>
            <w:tcMar>
              <w:bottom w:w="0" w:type="dxa"/>
            </w:tcMar>
            <w:vAlign w:val="bottom"/>
          </w:tcPr>
          <w:p>
            <w:pPr>
              <w:pStyle w:val="TableContents"/>
              <w:spacing w:before="0" w:after="283"/>
              <w:jc w:val="left"/>
              <w:rPr/>
            </w:pPr>
            <w:r>
              <w:rPr/>
              <w:t> </w:t>
            </w:r>
          </w:p>
        </w:tc>
        <w:tc>
          <w:tcPr>
            <w:tcW w:w="167" w:type="dxa"/>
            <w:tcBorders/>
            <w:shd w:fill="FFFFFF" w:val="clear"/>
            <w:tcMar>
              <w:bottom w:w="0" w:type="dxa"/>
            </w:tcMar>
            <w:vAlign w:val="bottom"/>
          </w:tcPr>
          <w:p>
            <w:pPr>
              <w:pStyle w:val="TableContents"/>
              <w:spacing w:before="0" w:after="283"/>
              <w:jc w:val="left"/>
              <w:rPr/>
            </w:pPr>
            <w:r>
              <w:rPr/>
              <w:t> </w:t>
            </w:r>
          </w:p>
        </w:tc>
        <w:tc>
          <w:tcPr>
            <w:tcW w:w="1319"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66</w:t>
            </w:r>
          </w:p>
        </w:tc>
        <w:tc>
          <w:tcPr>
            <w:tcW w:w="127" w:type="dxa"/>
            <w:tcBorders/>
            <w:shd w:fill="FFFFFF" w:val="clear"/>
            <w:tcMar>
              <w:bottom w:w="0" w:type="dxa"/>
            </w:tcMar>
            <w:vAlign w:val="bottom"/>
          </w:tcPr>
          <w:p>
            <w:pPr>
              <w:pStyle w:val="TableContents"/>
              <w:spacing w:before="0" w:after="283"/>
              <w:jc w:val="left"/>
              <w:rPr/>
            </w:pPr>
            <w:r>
              <w:rPr/>
              <w:t> </w:t>
            </w:r>
          </w:p>
        </w:tc>
      </w:tr>
      <w:tr>
        <w:trPr/>
        <w:tc>
          <w:tcPr>
            <w:tcW w:w="6828" w:type="dxa"/>
            <w:tcBorders>
              <w:bottom w:val="sing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Intangible assets, net</w:t>
            </w:r>
          </w:p>
        </w:tc>
        <w:tc>
          <w:tcPr>
            <w:tcW w:w="198" w:type="dxa"/>
            <w:tcBorders>
              <w:bottom w:val="single" w:sz="2" w:space="0" w:color="CCEEFF"/>
            </w:tcBorders>
            <w:shd w:fill="CCEEFF" w:val="clear"/>
            <w:vAlign w:val="center"/>
          </w:tcPr>
          <w:p>
            <w:pPr>
              <w:pStyle w:val="TableContents"/>
              <w:spacing w:before="0" w:after="283"/>
              <w:rPr/>
            </w:pPr>
            <w:r>
              <w:rPr/>
              <w:t> </w:t>
            </w:r>
          </w:p>
        </w:tc>
        <w:tc>
          <w:tcPr>
            <w:tcW w:w="146" w:type="dxa"/>
            <w:tcBorders>
              <w:bottom w:val="single" w:sz="2" w:space="0" w:color="000000"/>
            </w:tcBorders>
            <w:shd w:fill="CCEEFF" w:val="clear"/>
            <w:vAlign w:val="bottom"/>
          </w:tcPr>
          <w:p>
            <w:pPr>
              <w:pStyle w:val="TableContents"/>
              <w:spacing w:before="0" w:after="283"/>
              <w:jc w:val="left"/>
              <w:rPr/>
            </w:pPr>
            <w:r>
              <w:rPr/>
              <w:t> </w:t>
            </w:r>
          </w:p>
        </w:tc>
        <w:tc>
          <w:tcPr>
            <w:tcW w:w="1222"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198" w:type="dxa"/>
            <w:tcBorders>
              <w:bottom w:val="single" w:sz="2" w:space="0" w:color="CCEEFF"/>
            </w:tcBorders>
            <w:shd w:fill="CCEEFF" w:val="clear"/>
            <w:vAlign w:val="bottom"/>
          </w:tcPr>
          <w:p>
            <w:pPr>
              <w:pStyle w:val="TableContents"/>
              <w:spacing w:before="0" w:after="283"/>
              <w:jc w:val="left"/>
              <w:rPr/>
            </w:pPr>
            <w:r>
              <w:rPr/>
              <w:t> </w:t>
            </w:r>
          </w:p>
        </w:tc>
        <w:tc>
          <w:tcPr>
            <w:tcW w:w="167" w:type="dxa"/>
            <w:tcBorders>
              <w:bottom w:val="single" w:sz="2" w:space="0" w:color="000000"/>
            </w:tcBorders>
            <w:shd w:fill="CCEEFF" w:val="clear"/>
            <w:vAlign w:val="bottom"/>
          </w:tcPr>
          <w:p>
            <w:pPr>
              <w:pStyle w:val="TableContents"/>
              <w:spacing w:before="0" w:after="283"/>
              <w:jc w:val="left"/>
              <w:rPr/>
            </w:pPr>
            <w:r>
              <w:rPr/>
              <w:t> </w:t>
            </w:r>
          </w:p>
        </w:tc>
        <w:tc>
          <w:tcPr>
            <w:tcW w:w="1319"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127" w:type="dxa"/>
            <w:tcBorders>
              <w:bottom w:val="single" w:sz="2" w:space="0" w:color="CCEEFF"/>
            </w:tcBorders>
            <w:shd w:fill="CCEEFF" w:val="clear"/>
            <w:vAlign w:val="bottom"/>
          </w:tcPr>
          <w:p>
            <w:pPr>
              <w:pStyle w:val="TableContents"/>
              <w:spacing w:before="0" w:after="283"/>
              <w:jc w:val="left"/>
              <w:rPr/>
            </w:pPr>
            <w:r>
              <w:rPr/>
              <w:t> </w:t>
            </w:r>
          </w:p>
        </w:tc>
      </w:tr>
      <w:tr>
        <w:trPr/>
        <w:tc>
          <w:tcPr>
            <w:tcW w:w="6828" w:type="dxa"/>
            <w:tcBorders/>
            <w:shd w:fill="FFFFFF" w:val="clear"/>
            <w:tcMar>
              <w:bottom w:w="0" w:type="dxa"/>
            </w:tcMar>
            <w:vAlign w:val="bottom"/>
          </w:tcPr>
          <w:p>
            <w:pPr>
              <w:pStyle w:val="TableContents"/>
              <w:spacing w:lineRule="auto" w:line="300" w:before="0" w:after="0"/>
              <w:ind w:left="0" w:right="0" w:firstLine="360"/>
              <w:jc w:val="left"/>
              <w:rPr/>
            </w:pPr>
            <w:r>
              <w:rPr>
                <w:rStyle w:val="StrongEmphasis"/>
                <w:rFonts w:ascii="Times New Roman" w:hAnsi="Times New Roman"/>
                <w:sz w:val="20"/>
              </w:rPr>
              <w:t>TOTAL OTHER ASSETS</w:t>
            </w:r>
          </w:p>
        </w:tc>
        <w:tc>
          <w:tcPr>
            <w:tcW w:w="198" w:type="dxa"/>
            <w:tcBorders/>
            <w:shd w:fill="FFFFFF" w:val="clear"/>
            <w:tcMar>
              <w:bottom w:w="0" w:type="dxa"/>
            </w:tcMar>
            <w:vAlign w:val="center"/>
          </w:tcPr>
          <w:p>
            <w:pPr>
              <w:pStyle w:val="TableContents"/>
              <w:spacing w:before="0" w:after="283"/>
              <w:rPr/>
            </w:pPr>
            <w:r>
              <w:rPr/>
              <w:t> </w:t>
            </w:r>
          </w:p>
        </w:tc>
        <w:tc>
          <w:tcPr>
            <w:tcW w:w="146" w:type="dxa"/>
            <w:tcBorders/>
            <w:shd w:fill="FFFFFF" w:val="clear"/>
            <w:tcMar>
              <w:bottom w:w="0" w:type="dxa"/>
            </w:tcMar>
            <w:vAlign w:val="bottom"/>
          </w:tcPr>
          <w:p>
            <w:pPr>
              <w:pStyle w:val="TableContents"/>
              <w:spacing w:before="0" w:after="283"/>
              <w:jc w:val="left"/>
              <w:rPr/>
            </w:pPr>
            <w:r>
              <w:rPr/>
              <w:t> </w:t>
            </w:r>
          </w:p>
        </w:tc>
        <w:tc>
          <w:tcPr>
            <w:tcW w:w="1222"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4,456</w:t>
            </w:r>
          </w:p>
        </w:tc>
        <w:tc>
          <w:tcPr>
            <w:tcW w:w="198" w:type="dxa"/>
            <w:tcBorders/>
            <w:shd w:fill="FFFFFF" w:val="clear"/>
            <w:tcMar>
              <w:bottom w:w="0" w:type="dxa"/>
            </w:tcMar>
            <w:vAlign w:val="bottom"/>
          </w:tcPr>
          <w:p>
            <w:pPr>
              <w:pStyle w:val="TableContents"/>
              <w:spacing w:before="0" w:after="283"/>
              <w:jc w:val="left"/>
              <w:rPr/>
            </w:pPr>
            <w:r>
              <w:rPr/>
              <w:t> </w:t>
            </w:r>
          </w:p>
        </w:tc>
        <w:tc>
          <w:tcPr>
            <w:tcW w:w="167" w:type="dxa"/>
            <w:tcBorders/>
            <w:shd w:fill="FFFFFF" w:val="clear"/>
            <w:tcMar>
              <w:bottom w:w="0" w:type="dxa"/>
            </w:tcMar>
            <w:vAlign w:val="bottom"/>
          </w:tcPr>
          <w:p>
            <w:pPr>
              <w:pStyle w:val="TableContents"/>
              <w:spacing w:before="0" w:after="283"/>
              <w:jc w:val="left"/>
              <w:rPr/>
            </w:pPr>
            <w:r>
              <w:rPr/>
              <w:t> </w:t>
            </w:r>
          </w:p>
        </w:tc>
        <w:tc>
          <w:tcPr>
            <w:tcW w:w="1319"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229</w:t>
            </w:r>
          </w:p>
        </w:tc>
        <w:tc>
          <w:tcPr>
            <w:tcW w:w="127" w:type="dxa"/>
            <w:tcBorders/>
            <w:shd w:fill="FFFFFF" w:val="clear"/>
            <w:tcMar>
              <w:bottom w:w="0" w:type="dxa"/>
            </w:tcMar>
            <w:vAlign w:val="bottom"/>
          </w:tcPr>
          <w:p>
            <w:pPr>
              <w:pStyle w:val="TableContents"/>
              <w:spacing w:before="0" w:after="283"/>
              <w:jc w:val="left"/>
              <w:rPr/>
            </w:pPr>
            <w:r>
              <w:rPr/>
              <w:t> </w:t>
            </w:r>
          </w:p>
        </w:tc>
      </w:tr>
      <w:tr>
        <w:trPr/>
        <w:tc>
          <w:tcPr>
            <w:tcW w:w="6828" w:type="dxa"/>
            <w:tcBorders>
              <w:bottom w:val="single" w:sz="2" w:space="0" w:color="000000"/>
            </w:tcBorders>
            <w:shd w:fill="CCEEFF" w:val="clear"/>
            <w:vAlign w:val="bottom"/>
          </w:tcPr>
          <w:p>
            <w:pPr>
              <w:pStyle w:val="TableContents"/>
              <w:spacing w:before="0" w:after="283"/>
              <w:jc w:val="left"/>
              <w:rPr/>
            </w:pPr>
            <w:r>
              <w:rPr/>
              <w:t> </w:t>
            </w:r>
          </w:p>
        </w:tc>
        <w:tc>
          <w:tcPr>
            <w:tcW w:w="198" w:type="dxa"/>
            <w:tcBorders>
              <w:bottom w:val="single" w:sz="2" w:space="0" w:color="CCEEFF"/>
            </w:tcBorders>
            <w:shd w:fill="CCEEFF" w:val="clear"/>
            <w:vAlign w:val="center"/>
          </w:tcPr>
          <w:p>
            <w:pPr>
              <w:pStyle w:val="TableContents"/>
              <w:spacing w:before="0" w:after="283"/>
              <w:rPr/>
            </w:pPr>
            <w:r>
              <w:rPr/>
              <w:t> </w:t>
            </w:r>
          </w:p>
        </w:tc>
        <w:tc>
          <w:tcPr>
            <w:tcW w:w="146" w:type="dxa"/>
            <w:tcBorders>
              <w:bottom w:val="single" w:sz="2" w:space="0" w:color="000000"/>
            </w:tcBorders>
            <w:shd w:fill="CCEEFF" w:val="clear"/>
            <w:vAlign w:val="bottom"/>
          </w:tcPr>
          <w:p>
            <w:pPr>
              <w:pStyle w:val="TableContents"/>
              <w:spacing w:before="0" w:after="283"/>
              <w:jc w:val="left"/>
              <w:rPr/>
            </w:pPr>
            <w:r>
              <w:rPr/>
              <w:t> </w:t>
            </w:r>
          </w:p>
        </w:tc>
        <w:tc>
          <w:tcPr>
            <w:tcW w:w="1222" w:type="dxa"/>
            <w:tcBorders>
              <w:bottom w:val="single" w:sz="2" w:space="0" w:color="000000"/>
            </w:tcBorders>
            <w:shd w:fill="CCEEFF" w:val="clear"/>
            <w:vAlign w:val="bottom"/>
          </w:tcPr>
          <w:p>
            <w:pPr>
              <w:pStyle w:val="TableContents"/>
              <w:spacing w:before="0" w:after="283"/>
              <w:jc w:val="right"/>
              <w:rPr/>
            </w:pPr>
            <w:r>
              <w:rPr/>
              <w:t> </w:t>
            </w:r>
          </w:p>
        </w:tc>
        <w:tc>
          <w:tcPr>
            <w:tcW w:w="198" w:type="dxa"/>
            <w:tcBorders>
              <w:bottom w:val="single" w:sz="2" w:space="0" w:color="CCEEFF"/>
            </w:tcBorders>
            <w:shd w:fill="CCEEFF" w:val="clear"/>
            <w:vAlign w:val="bottom"/>
          </w:tcPr>
          <w:p>
            <w:pPr>
              <w:pStyle w:val="TableContents"/>
              <w:spacing w:before="0" w:after="283"/>
              <w:jc w:val="left"/>
              <w:rPr/>
            </w:pPr>
            <w:r>
              <w:rPr/>
              <w:t> </w:t>
            </w:r>
          </w:p>
        </w:tc>
        <w:tc>
          <w:tcPr>
            <w:tcW w:w="167" w:type="dxa"/>
            <w:tcBorders>
              <w:bottom w:val="single" w:sz="2" w:space="0" w:color="000000"/>
            </w:tcBorders>
            <w:shd w:fill="CCEEFF" w:val="clear"/>
            <w:vAlign w:val="bottom"/>
          </w:tcPr>
          <w:p>
            <w:pPr>
              <w:pStyle w:val="TableContents"/>
              <w:spacing w:before="0" w:after="283"/>
              <w:jc w:val="left"/>
              <w:rPr/>
            </w:pPr>
            <w:r>
              <w:rPr/>
              <w:t> </w:t>
            </w:r>
          </w:p>
        </w:tc>
        <w:tc>
          <w:tcPr>
            <w:tcW w:w="1319" w:type="dxa"/>
            <w:tcBorders>
              <w:bottom w:val="single" w:sz="2" w:space="0" w:color="000000"/>
            </w:tcBorders>
            <w:shd w:fill="CCEEFF" w:val="clear"/>
            <w:vAlign w:val="bottom"/>
          </w:tcPr>
          <w:p>
            <w:pPr>
              <w:pStyle w:val="TableContents"/>
              <w:spacing w:before="0" w:after="283"/>
              <w:jc w:val="right"/>
              <w:rPr/>
            </w:pPr>
            <w:r>
              <w:rPr/>
              <w:t> </w:t>
            </w:r>
          </w:p>
        </w:tc>
        <w:tc>
          <w:tcPr>
            <w:tcW w:w="127" w:type="dxa"/>
            <w:tcBorders>
              <w:bottom w:val="single" w:sz="2" w:space="0" w:color="CCEEFF"/>
            </w:tcBorders>
            <w:shd w:fill="CCEEFF" w:val="clear"/>
            <w:vAlign w:val="bottom"/>
          </w:tcPr>
          <w:p>
            <w:pPr>
              <w:pStyle w:val="TableContents"/>
              <w:spacing w:before="0" w:after="283"/>
              <w:jc w:val="left"/>
              <w:rPr/>
            </w:pPr>
            <w:r>
              <w:rPr/>
              <w:t> </w:t>
            </w:r>
          </w:p>
        </w:tc>
      </w:tr>
      <w:tr>
        <w:trPr/>
        <w:tc>
          <w:tcPr>
            <w:tcW w:w="6828" w:type="dxa"/>
            <w:tcBorders>
              <w:bottom w:val="double" w:sz="2" w:space="0" w:color="000000"/>
            </w:tcBorders>
            <w:shd w:fill="FFFFFF" w:val="clear"/>
            <w:vAlign w:val="bottom"/>
          </w:tcPr>
          <w:p>
            <w:pPr>
              <w:pStyle w:val="TableContents"/>
              <w:spacing w:lineRule="auto" w:line="300" w:before="0" w:after="0"/>
              <w:ind w:left="0" w:right="0" w:firstLine="900"/>
              <w:jc w:val="left"/>
              <w:rPr/>
            </w:pPr>
            <w:r>
              <w:rPr>
                <w:rStyle w:val="StrongEmphasis"/>
                <w:rFonts w:ascii="Times New Roman" w:hAnsi="Times New Roman"/>
                <w:sz w:val="20"/>
              </w:rPr>
              <w:t>TOTAL ASSETS</w:t>
            </w:r>
          </w:p>
        </w:tc>
        <w:tc>
          <w:tcPr>
            <w:tcW w:w="198" w:type="dxa"/>
            <w:tcBorders>
              <w:bottom w:val="single" w:sz="4" w:space="0" w:color="FFFFFF"/>
            </w:tcBorders>
            <w:shd w:fill="FFFFFF" w:val="clear"/>
            <w:vAlign w:val="center"/>
          </w:tcPr>
          <w:p>
            <w:pPr>
              <w:pStyle w:val="TableContents"/>
              <w:spacing w:before="0" w:after="283"/>
              <w:rPr/>
            </w:pPr>
            <w:r>
              <w:rPr/>
              <w:t> </w:t>
            </w:r>
          </w:p>
        </w:tc>
        <w:tc>
          <w:tcPr>
            <w:tcW w:w="146" w:type="dxa"/>
            <w:tcBorders>
              <w:bottom w:val="doub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bookmarkStart w:id="4324" w:name="TAB12042"/>
            <w:bookmarkEnd w:id="4324"/>
            <w:r>
              <w:rPr>
                <w:rFonts w:ascii="Times New Roman" w:hAnsi="Times New Roman"/>
                <w:sz w:val="20"/>
              </w:rPr>
              <w:t>$</w:t>
            </w:r>
          </w:p>
        </w:tc>
        <w:tc>
          <w:tcPr>
            <w:tcW w:w="1222"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4325" w:name="TAB12043"/>
            <w:bookmarkEnd w:id="4325"/>
            <w:r>
              <w:rPr>
                <w:rFonts w:ascii="Times New Roman" w:hAnsi="Times New Roman"/>
                <w:sz w:val="20"/>
              </w:rPr>
              <w:t>22,944</w:t>
            </w:r>
          </w:p>
        </w:tc>
        <w:tc>
          <w:tcPr>
            <w:tcW w:w="198" w:type="dxa"/>
            <w:tcBorders>
              <w:bottom w:val="single" w:sz="4" w:space="0" w:color="FFFFFF"/>
            </w:tcBorders>
            <w:shd w:fill="FFFFFF" w:val="clear"/>
            <w:vAlign w:val="bottom"/>
          </w:tcPr>
          <w:p>
            <w:pPr>
              <w:pStyle w:val="TableContents"/>
              <w:spacing w:before="0" w:after="283"/>
              <w:jc w:val="left"/>
              <w:rPr/>
            </w:pPr>
            <w:r>
              <w:rPr/>
              <w:t> </w:t>
            </w:r>
          </w:p>
        </w:tc>
        <w:tc>
          <w:tcPr>
            <w:tcW w:w="167" w:type="dxa"/>
            <w:tcBorders>
              <w:bottom w:val="doub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bookmarkStart w:id="4326" w:name="TAB12044"/>
            <w:bookmarkEnd w:id="4326"/>
            <w:r>
              <w:rPr>
                <w:rFonts w:ascii="Times New Roman" w:hAnsi="Times New Roman"/>
                <w:sz w:val="20"/>
              </w:rPr>
              <w:t>$</w:t>
            </w:r>
          </w:p>
        </w:tc>
        <w:tc>
          <w:tcPr>
            <w:tcW w:w="1319"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4327" w:name="TAB12045"/>
            <w:bookmarkEnd w:id="4327"/>
            <w:r>
              <w:rPr>
                <w:rFonts w:ascii="Times New Roman" w:hAnsi="Times New Roman"/>
                <w:sz w:val="20"/>
              </w:rPr>
              <w:t>73,767</w:t>
            </w:r>
          </w:p>
        </w:tc>
        <w:tc>
          <w:tcPr>
            <w:tcW w:w="127" w:type="dxa"/>
            <w:tcBorders>
              <w:bottom w:val="single" w:sz="4" w:space="0" w:color="FFFFFF"/>
            </w:tcBorders>
            <w:shd w:fill="FFFFFF" w:val="clear"/>
            <w:vAlign w:val="bottom"/>
          </w:tcPr>
          <w:p>
            <w:pPr>
              <w:pStyle w:val="TableContents"/>
              <w:spacing w:before="0" w:after="283"/>
              <w:jc w:val="left"/>
              <w:rPr/>
            </w:pPr>
            <w:r>
              <w:rPr/>
              <w:t> </w:t>
            </w:r>
          </w:p>
        </w:tc>
      </w:tr>
      <w:tr>
        <w:trPr/>
        <w:tc>
          <w:tcPr>
            <w:tcW w:w="6828" w:type="dxa"/>
            <w:tcBorders/>
            <w:shd w:fill="CCEEFF" w:val="clear"/>
            <w:tcMar>
              <w:bottom w:w="0" w:type="dxa"/>
            </w:tcMar>
            <w:vAlign w:val="bottom"/>
          </w:tcPr>
          <w:p>
            <w:pPr>
              <w:pStyle w:val="TableContents"/>
              <w:spacing w:before="0" w:after="283"/>
              <w:jc w:val="left"/>
              <w:rPr/>
            </w:pPr>
            <w:r>
              <w:rPr/>
              <w:t> </w:t>
            </w:r>
          </w:p>
        </w:tc>
        <w:tc>
          <w:tcPr>
            <w:tcW w:w="198" w:type="dxa"/>
            <w:tcBorders/>
            <w:shd w:fill="CCEEFF" w:val="clear"/>
            <w:tcMar>
              <w:bottom w:w="0" w:type="dxa"/>
            </w:tcMar>
            <w:vAlign w:val="center"/>
          </w:tcPr>
          <w:p>
            <w:pPr>
              <w:pStyle w:val="TableContents"/>
              <w:spacing w:before="0" w:after="283"/>
              <w:rPr/>
            </w:pPr>
            <w:r>
              <w:rPr/>
              <w:t> </w:t>
            </w:r>
          </w:p>
        </w:tc>
        <w:tc>
          <w:tcPr>
            <w:tcW w:w="146" w:type="dxa"/>
            <w:tcBorders/>
            <w:shd w:fill="CCEEFF" w:val="clear"/>
            <w:tcMar>
              <w:bottom w:w="0" w:type="dxa"/>
            </w:tcMar>
            <w:vAlign w:val="bottom"/>
          </w:tcPr>
          <w:p>
            <w:pPr>
              <w:pStyle w:val="TableContents"/>
              <w:spacing w:before="0" w:after="283"/>
              <w:jc w:val="left"/>
              <w:rPr/>
            </w:pPr>
            <w:r>
              <w:rPr/>
              <w:t> </w:t>
            </w:r>
          </w:p>
        </w:tc>
        <w:tc>
          <w:tcPr>
            <w:tcW w:w="1222" w:type="dxa"/>
            <w:tcBorders/>
            <w:shd w:fill="CCEEFF" w:val="clear"/>
            <w:tcMar>
              <w:bottom w:w="0" w:type="dxa"/>
            </w:tcMar>
            <w:vAlign w:val="bottom"/>
          </w:tcPr>
          <w:p>
            <w:pPr>
              <w:pStyle w:val="TableContents"/>
              <w:spacing w:before="0" w:after="283"/>
              <w:jc w:val="right"/>
              <w:rPr/>
            </w:pPr>
            <w:r>
              <w:rPr/>
              <w:t> </w:t>
            </w:r>
          </w:p>
        </w:tc>
        <w:tc>
          <w:tcPr>
            <w:tcW w:w="198" w:type="dxa"/>
            <w:tcBorders/>
            <w:shd w:fill="CCEEFF" w:val="clear"/>
            <w:tcMar>
              <w:bottom w:w="0" w:type="dxa"/>
            </w:tcMar>
            <w:vAlign w:val="bottom"/>
          </w:tcPr>
          <w:p>
            <w:pPr>
              <w:pStyle w:val="TableContents"/>
              <w:spacing w:before="0" w:after="283"/>
              <w:jc w:val="left"/>
              <w:rPr/>
            </w:pPr>
            <w:r>
              <w:rPr/>
              <w:t> </w:t>
            </w:r>
          </w:p>
        </w:tc>
        <w:tc>
          <w:tcPr>
            <w:tcW w:w="167" w:type="dxa"/>
            <w:tcBorders/>
            <w:shd w:fill="CCEEFF" w:val="clear"/>
            <w:tcMar>
              <w:bottom w:w="0" w:type="dxa"/>
            </w:tcMar>
            <w:vAlign w:val="bottom"/>
          </w:tcPr>
          <w:p>
            <w:pPr>
              <w:pStyle w:val="TableContents"/>
              <w:spacing w:before="0" w:after="283"/>
              <w:jc w:val="left"/>
              <w:rPr/>
            </w:pPr>
            <w:r>
              <w:rPr/>
              <w:t> </w:t>
            </w:r>
          </w:p>
        </w:tc>
        <w:tc>
          <w:tcPr>
            <w:tcW w:w="1319" w:type="dxa"/>
            <w:tcBorders/>
            <w:shd w:fill="CCEEFF" w:val="clear"/>
            <w:tcMar>
              <w:bottom w:w="0" w:type="dxa"/>
            </w:tcMar>
            <w:vAlign w:val="bottom"/>
          </w:tcPr>
          <w:p>
            <w:pPr>
              <w:pStyle w:val="TableContents"/>
              <w:spacing w:before="0" w:after="283"/>
              <w:jc w:val="right"/>
              <w:rPr/>
            </w:pPr>
            <w:r>
              <w:rPr/>
              <w:t> </w:t>
            </w:r>
          </w:p>
        </w:tc>
        <w:tc>
          <w:tcPr>
            <w:tcW w:w="127" w:type="dxa"/>
            <w:tcBorders/>
            <w:shd w:fill="CCEEFF" w:val="clear"/>
            <w:tcMar>
              <w:bottom w:w="0" w:type="dxa"/>
            </w:tcMar>
            <w:vAlign w:val="bottom"/>
          </w:tcPr>
          <w:p>
            <w:pPr>
              <w:pStyle w:val="TableContents"/>
              <w:spacing w:before="0" w:after="283"/>
              <w:jc w:val="left"/>
              <w:rPr/>
            </w:pPr>
            <w:r>
              <w:rPr/>
              <w:t> </w:t>
            </w:r>
          </w:p>
        </w:tc>
      </w:tr>
      <w:tr>
        <w:trPr/>
        <w:tc>
          <w:tcPr>
            <w:tcW w:w="6828" w:type="dxa"/>
            <w:tcBorders/>
            <w:shd w:fill="FFFFFF" w:val="clear"/>
            <w:tcMar>
              <w:bottom w:w="0" w:type="dxa"/>
            </w:tcMar>
            <w:vAlign w:val="bottom"/>
          </w:tcPr>
          <w:p>
            <w:pPr>
              <w:pStyle w:val="TableContents"/>
              <w:spacing w:lineRule="auto" w:line="300" w:before="0" w:after="0"/>
              <w:ind w:left="0" w:right="0" w:hanging="0"/>
              <w:jc w:val="center"/>
              <w:rPr/>
            </w:pPr>
            <w:r>
              <w:rPr>
                <w:rStyle w:val="StrongEmphasis"/>
                <w:rFonts w:ascii="Times New Roman" w:hAnsi="Times New Roman"/>
                <w:sz w:val="20"/>
              </w:rPr>
              <w:t>LIABILITIES AND MEMBERS' EQUITY</w:t>
            </w:r>
          </w:p>
        </w:tc>
        <w:tc>
          <w:tcPr>
            <w:tcW w:w="198" w:type="dxa"/>
            <w:tcBorders/>
            <w:shd w:fill="FFFFFF" w:val="clear"/>
            <w:tcMar>
              <w:bottom w:w="0" w:type="dxa"/>
            </w:tcMar>
            <w:vAlign w:val="center"/>
          </w:tcPr>
          <w:p>
            <w:pPr>
              <w:pStyle w:val="TableContents"/>
              <w:spacing w:before="0" w:after="283"/>
              <w:rPr/>
            </w:pPr>
            <w:r>
              <w:rPr/>
              <w:t> </w:t>
            </w:r>
          </w:p>
        </w:tc>
        <w:tc>
          <w:tcPr>
            <w:tcW w:w="146" w:type="dxa"/>
            <w:tcBorders/>
            <w:shd w:fill="FFFFFF" w:val="clear"/>
            <w:tcMar>
              <w:bottom w:w="0" w:type="dxa"/>
            </w:tcMar>
            <w:vAlign w:val="bottom"/>
          </w:tcPr>
          <w:p>
            <w:pPr>
              <w:pStyle w:val="TableContents"/>
              <w:spacing w:before="0" w:after="283"/>
              <w:jc w:val="left"/>
              <w:rPr/>
            </w:pPr>
            <w:r>
              <w:rPr/>
              <w:t> </w:t>
            </w:r>
          </w:p>
        </w:tc>
        <w:tc>
          <w:tcPr>
            <w:tcW w:w="1222" w:type="dxa"/>
            <w:tcBorders/>
            <w:shd w:fill="FFFFFF" w:val="clear"/>
            <w:tcMar>
              <w:bottom w:w="0" w:type="dxa"/>
            </w:tcMar>
            <w:vAlign w:val="bottom"/>
          </w:tcPr>
          <w:p>
            <w:pPr>
              <w:pStyle w:val="TableContents"/>
              <w:spacing w:before="0" w:after="283"/>
              <w:jc w:val="right"/>
              <w:rPr/>
            </w:pPr>
            <w:r>
              <w:rPr/>
              <w:t> </w:t>
            </w:r>
          </w:p>
        </w:tc>
        <w:tc>
          <w:tcPr>
            <w:tcW w:w="198" w:type="dxa"/>
            <w:tcBorders/>
            <w:shd w:fill="FFFFFF" w:val="clear"/>
            <w:tcMar>
              <w:bottom w:w="0" w:type="dxa"/>
            </w:tcMar>
            <w:vAlign w:val="bottom"/>
          </w:tcPr>
          <w:p>
            <w:pPr>
              <w:pStyle w:val="TableContents"/>
              <w:spacing w:before="0" w:after="283"/>
              <w:jc w:val="left"/>
              <w:rPr/>
            </w:pPr>
            <w:r>
              <w:rPr/>
              <w:t> </w:t>
            </w:r>
          </w:p>
        </w:tc>
        <w:tc>
          <w:tcPr>
            <w:tcW w:w="167" w:type="dxa"/>
            <w:tcBorders/>
            <w:shd w:fill="FFFFFF" w:val="clear"/>
            <w:tcMar>
              <w:bottom w:w="0" w:type="dxa"/>
            </w:tcMar>
            <w:vAlign w:val="bottom"/>
          </w:tcPr>
          <w:p>
            <w:pPr>
              <w:pStyle w:val="TableContents"/>
              <w:spacing w:before="0" w:after="283"/>
              <w:jc w:val="left"/>
              <w:rPr/>
            </w:pPr>
            <w:r>
              <w:rPr/>
              <w:t> </w:t>
            </w:r>
          </w:p>
        </w:tc>
        <w:tc>
          <w:tcPr>
            <w:tcW w:w="1319" w:type="dxa"/>
            <w:tcBorders/>
            <w:shd w:fill="FFFFFF" w:val="clear"/>
            <w:tcMar>
              <w:bottom w:w="0" w:type="dxa"/>
            </w:tcMar>
            <w:vAlign w:val="bottom"/>
          </w:tcPr>
          <w:p>
            <w:pPr>
              <w:pStyle w:val="TableContents"/>
              <w:spacing w:before="0" w:after="283"/>
              <w:jc w:val="right"/>
              <w:rPr/>
            </w:pPr>
            <w:r>
              <w:rPr/>
              <w:t> </w:t>
            </w:r>
          </w:p>
        </w:tc>
        <w:tc>
          <w:tcPr>
            <w:tcW w:w="127" w:type="dxa"/>
            <w:tcBorders/>
            <w:shd w:fill="FFFFFF" w:val="clear"/>
            <w:tcMar>
              <w:bottom w:w="0" w:type="dxa"/>
            </w:tcMar>
            <w:vAlign w:val="bottom"/>
          </w:tcPr>
          <w:p>
            <w:pPr>
              <w:pStyle w:val="TableContents"/>
              <w:spacing w:before="0" w:after="283"/>
              <w:jc w:val="left"/>
              <w:rPr/>
            </w:pPr>
            <w:r>
              <w:rPr/>
              <w:t> </w:t>
            </w:r>
          </w:p>
        </w:tc>
      </w:tr>
      <w:tr>
        <w:trPr/>
        <w:tc>
          <w:tcPr>
            <w:tcW w:w="6828" w:type="dxa"/>
            <w:tcBorders/>
            <w:shd w:fill="CCEEFF" w:val="clear"/>
            <w:tcMar>
              <w:bottom w:w="0" w:type="dxa"/>
            </w:tcMar>
            <w:vAlign w:val="bottom"/>
          </w:tcPr>
          <w:p>
            <w:pPr>
              <w:pStyle w:val="TableContents"/>
              <w:spacing w:lineRule="auto" w:line="300" w:before="0" w:after="0"/>
              <w:ind w:left="0" w:right="0" w:hanging="0"/>
              <w:jc w:val="left"/>
              <w:rPr/>
            </w:pPr>
            <w:r>
              <w:rPr>
                <w:rStyle w:val="StrongEmphasis"/>
                <w:rFonts w:ascii="Times New Roman" w:hAnsi="Times New Roman"/>
                <w:sz w:val="20"/>
              </w:rPr>
              <w:t>LIABILITIES:</w:t>
            </w:r>
          </w:p>
        </w:tc>
        <w:tc>
          <w:tcPr>
            <w:tcW w:w="198" w:type="dxa"/>
            <w:tcBorders/>
            <w:shd w:fill="CCEEFF" w:val="clear"/>
            <w:tcMar>
              <w:bottom w:w="0" w:type="dxa"/>
            </w:tcMar>
            <w:vAlign w:val="center"/>
          </w:tcPr>
          <w:p>
            <w:pPr>
              <w:pStyle w:val="TableContents"/>
              <w:spacing w:before="0" w:after="283"/>
              <w:rPr/>
            </w:pPr>
            <w:r>
              <w:rPr/>
              <w:t> </w:t>
            </w:r>
          </w:p>
        </w:tc>
        <w:tc>
          <w:tcPr>
            <w:tcW w:w="146" w:type="dxa"/>
            <w:tcBorders/>
            <w:shd w:fill="CCEEFF" w:val="clear"/>
            <w:tcMar>
              <w:bottom w:w="0" w:type="dxa"/>
            </w:tcMar>
            <w:vAlign w:val="bottom"/>
          </w:tcPr>
          <w:p>
            <w:pPr>
              <w:pStyle w:val="TableContents"/>
              <w:spacing w:before="0" w:after="283"/>
              <w:jc w:val="left"/>
              <w:rPr/>
            </w:pPr>
            <w:r>
              <w:rPr/>
              <w:t> </w:t>
            </w:r>
          </w:p>
        </w:tc>
        <w:tc>
          <w:tcPr>
            <w:tcW w:w="1222" w:type="dxa"/>
            <w:tcBorders/>
            <w:shd w:fill="CCEEFF" w:val="clear"/>
            <w:tcMar>
              <w:bottom w:w="0" w:type="dxa"/>
            </w:tcMar>
            <w:vAlign w:val="bottom"/>
          </w:tcPr>
          <w:p>
            <w:pPr>
              <w:pStyle w:val="TableContents"/>
              <w:spacing w:before="0" w:after="283"/>
              <w:jc w:val="right"/>
              <w:rPr/>
            </w:pPr>
            <w:r>
              <w:rPr/>
              <w:t> </w:t>
            </w:r>
          </w:p>
        </w:tc>
        <w:tc>
          <w:tcPr>
            <w:tcW w:w="198" w:type="dxa"/>
            <w:tcBorders/>
            <w:shd w:fill="CCEEFF" w:val="clear"/>
            <w:tcMar>
              <w:bottom w:w="0" w:type="dxa"/>
            </w:tcMar>
            <w:vAlign w:val="bottom"/>
          </w:tcPr>
          <w:p>
            <w:pPr>
              <w:pStyle w:val="TableContents"/>
              <w:spacing w:before="0" w:after="283"/>
              <w:jc w:val="left"/>
              <w:rPr/>
            </w:pPr>
            <w:r>
              <w:rPr/>
              <w:t> </w:t>
            </w:r>
          </w:p>
        </w:tc>
        <w:tc>
          <w:tcPr>
            <w:tcW w:w="167" w:type="dxa"/>
            <w:tcBorders/>
            <w:shd w:fill="CCEEFF" w:val="clear"/>
            <w:tcMar>
              <w:bottom w:w="0" w:type="dxa"/>
            </w:tcMar>
            <w:vAlign w:val="bottom"/>
          </w:tcPr>
          <w:p>
            <w:pPr>
              <w:pStyle w:val="TableContents"/>
              <w:spacing w:before="0" w:after="283"/>
              <w:jc w:val="left"/>
              <w:rPr/>
            </w:pPr>
            <w:r>
              <w:rPr/>
              <w:t> </w:t>
            </w:r>
          </w:p>
        </w:tc>
        <w:tc>
          <w:tcPr>
            <w:tcW w:w="1319" w:type="dxa"/>
            <w:tcBorders/>
            <w:shd w:fill="CCEEFF" w:val="clear"/>
            <w:tcMar>
              <w:bottom w:w="0" w:type="dxa"/>
            </w:tcMar>
            <w:vAlign w:val="bottom"/>
          </w:tcPr>
          <w:p>
            <w:pPr>
              <w:pStyle w:val="TableContents"/>
              <w:spacing w:before="0" w:after="283"/>
              <w:jc w:val="right"/>
              <w:rPr/>
            </w:pPr>
            <w:r>
              <w:rPr/>
              <w:t> </w:t>
            </w:r>
          </w:p>
        </w:tc>
        <w:tc>
          <w:tcPr>
            <w:tcW w:w="127" w:type="dxa"/>
            <w:tcBorders/>
            <w:shd w:fill="CCEEFF" w:val="clear"/>
            <w:tcMar>
              <w:bottom w:w="0" w:type="dxa"/>
            </w:tcMar>
            <w:vAlign w:val="bottom"/>
          </w:tcPr>
          <w:p>
            <w:pPr>
              <w:pStyle w:val="TableContents"/>
              <w:spacing w:before="0" w:after="283"/>
              <w:jc w:val="left"/>
              <w:rPr/>
            </w:pPr>
            <w:r>
              <w:rPr/>
              <w:t> </w:t>
            </w:r>
          </w:p>
        </w:tc>
      </w:tr>
      <w:tr>
        <w:trPr/>
        <w:tc>
          <w:tcPr>
            <w:tcW w:w="6828"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Accounts payable and accrued liabilities</w:t>
            </w:r>
          </w:p>
        </w:tc>
        <w:tc>
          <w:tcPr>
            <w:tcW w:w="198" w:type="dxa"/>
            <w:tcBorders/>
            <w:shd w:fill="FFFFFF" w:val="clear"/>
            <w:tcMar>
              <w:bottom w:w="0" w:type="dxa"/>
            </w:tcMar>
            <w:vAlign w:val="center"/>
          </w:tcPr>
          <w:p>
            <w:pPr>
              <w:pStyle w:val="TableContents"/>
              <w:spacing w:before="0" w:after="283"/>
              <w:rPr/>
            </w:pPr>
            <w:r>
              <w:rPr/>
              <w:t> </w:t>
            </w:r>
          </w:p>
        </w:tc>
        <w:tc>
          <w:tcPr>
            <w:tcW w:w="146"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4328" w:name="TAB12046"/>
            <w:bookmarkEnd w:id="4328"/>
            <w:r>
              <w:rPr>
                <w:rFonts w:ascii="Times New Roman" w:hAnsi="Times New Roman"/>
                <w:sz w:val="20"/>
              </w:rPr>
              <w:t>$</w:t>
            </w:r>
          </w:p>
        </w:tc>
        <w:tc>
          <w:tcPr>
            <w:tcW w:w="1222"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4329" w:name="TAB12047"/>
            <w:bookmarkEnd w:id="4329"/>
            <w:r>
              <w:rPr>
                <w:rFonts w:ascii="Times New Roman" w:hAnsi="Times New Roman"/>
                <w:sz w:val="20"/>
              </w:rPr>
              <w:t>340</w:t>
            </w:r>
          </w:p>
        </w:tc>
        <w:tc>
          <w:tcPr>
            <w:tcW w:w="198" w:type="dxa"/>
            <w:tcBorders/>
            <w:shd w:fill="FFFFFF" w:val="clear"/>
            <w:tcMar>
              <w:bottom w:w="0" w:type="dxa"/>
            </w:tcMar>
            <w:vAlign w:val="bottom"/>
          </w:tcPr>
          <w:p>
            <w:pPr>
              <w:pStyle w:val="TableContents"/>
              <w:spacing w:before="0" w:after="283"/>
              <w:jc w:val="left"/>
              <w:rPr/>
            </w:pPr>
            <w:r>
              <w:rPr/>
              <w:t> </w:t>
            </w:r>
          </w:p>
        </w:tc>
        <w:tc>
          <w:tcPr>
            <w:tcW w:w="167"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4330" w:name="TAB12048"/>
            <w:bookmarkEnd w:id="4330"/>
            <w:r>
              <w:rPr>
                <w:rFonts w:ascii="Times New Roman" w:hAnsi="Times New Roman"/>
                <w:sz w:val="20"/>
              </w:rPr>
              <w:t>$</w:t>
            </w:r>
          </w:p>
        </w:tc>
        <w:tc>
          <w:tcPr>
            <w:tcW w:w="1319"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4331" w:name="TAB12049"/>
            <w:bookmarkEnd w:id="4331"/>
            <w:r>
              <w:rPr>
                <w:rFonts w:ascii="Times New Roman" w:hAnsi="Times New Roman"/>
                <w:sz w:val="20"/>
              </w:rPr>
              <w:t>3,048</w:t>
            </w:r>
          </w:p>
        </w:tc>
        <w:tc>
          <w:tcPr>
            <w:tcW w:w="127" w:type="dxa"/>
            <w:tcBorders/>
            <w:shd w:fill="FFFFFF" w:val="clear"/>
            <w:tcMar>
              <w:bottom w:w="0" w:type="dxa"/>
            </w:tcMar>
            <w:vAlign w:val="bottom"/>
          </w:tcPr>
          <w:p>
            <w:pPr>
              <w:pStyle w:val="TableContents"/>
              <w:spacing w:before="0" w:after="283"/>
              <w:jc w:val="left"/>
              <w:rPr/>
            </w:pPr>
            <w:r>
              <w:rPr/>
              <w:t> </w:t>
            </w:r>
          </w:p>
        </w:tc>
      </w:tr>
      <w:tr>
        <w:trPr/>
        <w:tc>
          <w:tcPr>
            <w:tcW w:w="6828"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Income taxes payable</w:t>
            </w:r>
          </w:p>
        </w:tc>
        <w:tc>
          <w:tcPr>
            <w:tcW w:w="198" w:type="dxa"/>
            <w:tcBorders/>
            <w:shd w:fill="CCEEFF" w:val="clear"/>
            <w:tcMar>
              <w:bottom w:w="0" w:type="dxa"/>
            </w:tcMar>
            <w:vAlign w:val="center"/>
          </w:tcPr>
          <w:p>
            <w:pPr>
              <w:pStyle w:val="TableContents"/>
              <w:spacing w:before="0" w:after="283"/>
              <w:rPr/>
            </w:pPr>
            <w:r>
              <w:rPr/>
              <w:t> </w:t>
            </w:r>
          </w:p>
        </w:tc>
        <w:tc>
          <w:tcPr>
            <w:tcW w:w="146" w:type="dxa"/>
            <w:tcBorders/>
            <w:shd w:fill="CCEEFF" w:val="clear"/>
            <w:tcMar>
              <w:bottom w:w="0" w:type="dxa"/>
            </w:tcMar>
            <w:vAlign w:val="bottom"/>
          </w:tcPr>
          <w:p>
            <w:pPr>
              <w:pStyle w:val="TableContents"/>
              <w:spacing w:before="0" w:after="283"/>
              <w:jc w:val="left"/>
              <w:rPr/>
            </w:pPr>
            <w:r>
              <w:rPr/>
              <w:t> </w:t>
            </w:r>
          </w:p>
        </w:tc>
        <w:tc>
          <w:tcPr>
            <w:tcW w:w="1222"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860</w:t>
            </w:r>
          </w:p>
        </w:tc>
        <w:tc>
          <w:tcPr>
            <w:tcW w:w="198" w:type="dxa"/>
            <w:tcBorders/>
            <w:shd w:fill="CCEEFF" w:val="clear"/>
            <w:tcMar>
              <w:bottom w:w="0" w:type="dxa"/>
            </w:tcMar>
            <w:vAlign w:val="bottom"/>
          </w:tcPr>
          <w:p>
            <w:pPr>
              <w:pStyle w:val="TableContents"/>
              <w:spacing w:before="0" w:after="283"/>
              <w:jc w:val="left"/>
              <w:rPr/>
            </w:pPr>
            <w:r>
              <w:rPr/>
              <w:t> </w:t>
            </w:r>
          </w:p>
        </w:tc>
        <w:tc>
          <w:tcPr>
            <w:tcW w:w="167" w:type="dxa"/>
            <w:tcBorders/>
            <w:shd w:fill="CCEEFF" w:val="clear"/>
            <w:tcMar>
              <w:bottom w:w="0" w:type="dxa"/>
            </w:tcMar>
            <w:vAlign w:val="bottom"/>
          </w:tcPr>
          <w:p>
            <w:pPr>
              <w:pStyle w:val="TableContents"/>
              <w:spacing w:before="0" w:after="283"/>
              <w:jc w:val="left"/>
              <w:rPr/>
            </w:pPr>
            <w:r>
              <w:rPr/>
              <w:t> </w:t>
            </w:r>
          </w:p>
        </w:tc>
        <w:tc>
          <w:tcPr>
            <w:tcW w:w="1319"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127" w:type="dxa"/>
            <w:tcBorders/>
            <w:shd w:fill="CCEEFF" w:val="clear"/>
            <w:tcMar>
              <w:bottom w:w="0" w:type="dxa"/>
            </w:tcMar>
            <w:vAlign w:val="bottom"/>
          </w:tcPr>
          <w:p>
            <w:pPr>
              <w:pStyle w:val="TableContents"/>
              <w:spacing w:before="0" w:after="283"/>
              <w:jc w:val="left"/>
              <w:rPr/>
            </w:pPr>
            <w:r>
              <w:rPr/>
              <w:t> </w:t>
            </w:r>
          </w:p>
        </w:tc>
      </w:tr>
      <w:tr>
        <w:trPr/>
        <w:tc>
          <w:tcPr>
            <w:tcW w:w="6828"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Retainage payable</w:t>
            </w:r>
          </w:p>
        </w:tc>
        <w:tc>
          <w:tcPr>
            <w:tcW w:w="198" w:type="dxa"/>
            <w:tcBorders/>
            <w:shd w:fill="FFFFFF" w:val="clear"/>
            <w:tcMar>
              <w:bottom w:w="0" w:type="dxa"/>
            </w:tcMar>
            <w:vAlign w:val="center"/>
          </w:tcPr>
          <w:p>
            <w:pPr>
              <w:pStyle w:val="TableContents"/>
              <w:spacing w:before="0" w:after="283"/>
              <w:rPr/>
            </w:pPr>
            <w:r>
              <w:rPr/>
              <w:t> </w:t>
            </w:r>
          </w:p>
        </w:tc>
        <w:tc>
          <w:tcPr>
            <w:tcW w:w="146" w:type="dxa"/>
            <w:tcBorders/>
            <w:shd w:fill="FFFFFF" w:val="clear"/>
            <w:tcMar>
              <w:bottom w:w="0" w:type="dxa"/>
            </w:tcMar>
            <w:vAlign w:val="bottom"/>
          </w:tcPr>
          <w:p>
            <w:pPr>
              <w:pStyle w:val="TableContents"/>
              <w:spacing w:before="0" w:after="283"/>
              <w:jc w:val="left"/>
              <w:rPr/>
            </w:pPr>
            <w:r>
              <w:rPr/>
              <w:t> </w:t>
            </w:r>
          </w:p>
        </w:tc>
        <w:tc>
          <w:tcPr>
            <w:tcW w:w="1222"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751</w:t>
            </w:r>
          </w:p>
        </w:tc>
        <w:tc>
          <w:tcPr>
            <w:tcW w:w="198" w:type="dxa"/>
            <w:tcBorders/>
            <w:shd w:fill="FFFFFF" w:val="clear"/>
            <w:tcMar>
              <w:bottom w:w="0" w:type="dxa"/>
            </w:tcMar>
            <w:vAlign w:val="bottom"/>
          </w:tcPr>
          <w:p>
            <w:pPr>
              <w:pStyle w:val="TableContents"/>
              <w:spacing w:before="0" w:after="283"/>
              <w:jc w:val="left"/>
              <w:rPr/>
            </w:pPr>
            <w:r>
              <w:rPr/>
              <w:t> </w:t>
            </w:r>
          </w:p>
        </w:tc>
        <w:tc>
          <w:tcPr>
            <w:tcW w:w="167" w:type="dxa"/>
            <w:tcBorders/>
            <w:shd w:fill="FFFFFF" w:val="clear"/>
            <w:tcMar>
              <w:bottom w:w="0" w:type="dxa"/>
            </w:tcMar>
            <w:vAlign w:val="bottom"/>
          </w:tcPr>
          <w:p>
            <w:pPr>
              <w:pStyle w:val="TableContents"/>
              <w:spacing w:before="0" w:after="283"/>
              <w:jc w:val="left"/>
              <w:rPr/>
            </w:pPr>
            <w:r>
              <w:rPr/>
              <w:t> </w:t>
            </w:r>
          </w:p>
        </w:tc>
        <w:tc>
          <w:tcPr>
            <w:tcW w:w="1319"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1,704</w:t>
            </w:r>
          </w:p>
        </w:tc>
        <w:tc>
          <w:tcPr>
            <w:tcW w:w="127" w:type="dxa"/>
            <w:tcBorders/>
            <w:shd w:fill="FFFFFF" w:val="clear"/>
            <w:tcMar>
              <w:bottom w:w="0" w:type="dxa"/>
            </w:tcMar>
            <w:vAlign w:val="bottom"/>
          </w:tcPr>
          <w:p>
            <w:pPr>
              <w:pStyle w:val="TableContents"/>
              <w:spacing w:before="0" w:after="283"/>
              <w:jc w:val="left"/>
              <w:rPr/>
            </w:pPr>
            <w:r>
              <w:rPr/>
              <w:t> </w:t>
            </w:r>
          </w:p>
        </w:tc>
      </w:tr>
      <w:tr>
        <w:trPr/>
        <w:tc>
          <w:tcPr>
            <w:tcW w:w="6828"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Construction loan payable</w:t>
            </w:r>
          </w:p>
        </w:tc>
        <w:tc>
          <w:tcPr>
            <w:tcW w:w="198" w:type="dxa"/>
            <w:tcBorders/>
            <w:shd w:fill="CCEEFF" w:val="clear"/>
            <w:tcMar>
              <w:bottom w:w="0" w:type="dxa"/>
            </w:tcMar>
            <w:vAlign w:val="center"/>
          </w:tcPr>
          <w:p>
            <w:pPr>
              <w:pStyle w:val="TableContents"/>
              <w:spacing w:before="0" w:after="283"/>
              <w:rPr/>
            </w:pPr>
            <w:r>
              <w:rPr/>
              <w:t> </w:t>
            </w:r>
          </w:p>
        </w:tc>
        <w:tc>
          <w:tcPr>
            <w:tcW w:w="146" w:type="dxa"/>
            <w:tcBorders/>
            <w:shd w:fill="CCEEFF" w:val="clear"/>
            <w:tcMar>
              <w:bottom w:w="0" w:type="dxa"/>
            </w:tcMar>
            <w:vAlign w:val="bottom"/>
          </w:tcPr>
          <w:p>
            <w:pPr>
              <w:pStyle w:val="TableContents"/>
              <w:spacing w:before="0" w:after="283"/>
              <w:jc w:val="left"/>
              <w:rPr/>
            </w:pPr>
            <w:r>
              <w:rPr/>
              <w:t> </w:t>
            </w:r>
          </w:p>
        </w:tc>
        <w:tc>
          <w:tcPr>
            <w:tcW w:w="1222"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198" w:type="dxa"/>
            <w:tcBorders/>
            <w:shd w:fill="CCEEFF" w:val="clear"/>
            <w:tcMar>
              <w:bottom w:w="0" w:type="dxa"/>
            </w:tcMar>
            <w:vAlign w:val="bottom"/>
          </w:tcPr>
          <w:p>
            <w:pPr>
              <w:pStyle w:val="TableContents"/>
              <w:spacing w:before="0" w:after="283"/>
              <w:jc w:val="left"/>
              <w:rPr/>
            </w:pPr>
            <w:r>
              <w:rPr/>
              <w:t> </w:t>
            </w:r>
          </w:p>
        </w:tc>
        <w:tc>
          <w:tcPr>
            <w:tcW w:w="167" w:type="dxa"/>
            <w:tcBorders/>
            <w:shd w:fill="CCEEFF" w:val="clear"/>
            <w:tcMar>
              <w:bottom w:w="0" w:type="dxa"/>
            </w:tcMar>
            <w:vAlign w:val="bottom"/>
          </w:tcPr>
          <w:p>
            <w:pPr>
              <w:pStyle w:val="TableContents"/>
              <w:spacing w:before="0" w:after="283"/>
              <w:jc w:val="left"/>
              <w:rPr/>
            </w:pPr>
            <w:r>
              <w:rPr/>
              <w:t> </w:t>
            </w:r>
          </w:p>
        </w:tc>
        <w:tc>
          <w:tcPr>
            <w:tcW w:w="1319"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57,932</w:t>
            </w:r>
          </w:p>
        </w:tc>
        <w:tc>
          <w:tcPr>
            <w:tcW w:w="127" w:type="dxa"/>
            <w:tcBorders/>
            <w:shd w:fill="CCEEFF" w:val="clear"/>
            <w:tcMar>
              <w:bottom w:w="0" w:type="dxa"/>
            </w:tcMar>
            <w:vAlign w:val="bottom"/>
          </w:tcPr>
          <w:p>
            <w:pPr>
              <w:pStyle w:val="TableContents"/>
              <w:spacing w:before="0" w:after="283"/>
              <w:jc w:val="left"/>
              <w:rPr/>
            </w:pPr>
            <w:r>
              <w:rPr/>
              <w:t> </w:t>
            </w:r>
          </w:p>
        </w:tc>
      </w:tr>
      <w:tr>
        <w:trPr/>
        <w:tc>
          <w:tcPr>
            <w:tcW w:w="6828" w:type="dxa"/>
            <w:tcBorders>
              <w:bottom w:val="sing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Due to affiliate</w:t>
            </w:r>
          </w:p>
        </w:tc>
        <w:tc>
          <w:tcPr>
            <w:tcW w:w="198" w:type="dxa"/>
            <w:tcBorders>
              <w:bottom w:val="single" w:sz="2" w:space="0" w:color="FFFFFF"/>
            </w:tcBorders>
            <w:shd w:fill="FFFFFF" w:val="clear"/>
            <w:vAlign w:val="center"/>
          </w:tcPr>
          <w:p>
            <w:pPr>
              <w:pStyle w:val="TableContents"/>
              <w:spacing w:before="0" w:after="283"/>
              <w:rPr/>
            </w:pPr>
            <w:r>
              <w:rPr/>
              <w:t> </w:t>
            </w:r>
          </w:p>
        </w:tc>
        <w:tc>
          <w:tcPr>
            <w:tcW w:w="146" w:type="dxa"/>
            <w:tcBorders>
              <w:bottom w:val="single" w:sz="2" w:space="0" w:color="000000"/>
            </w:tcBorders>
            <w:shd w:fill="FFFFFF" w:val="clear"/>
            <w:vAlign w:val="bottom"/>
          </w:tcPr>
          <w:p>
            <w:pPr>
              <w:pStyle w:val="TableContents"/>
              <w:spacing w:before="0" w:after="283"/>
              <w:jc w:val="left"/>
              <w:rPr/>
            </w:pPr>
            <w:r>
              <w:rPr/>
              <w:t> </w:t>
            </w:r>
          </w:p>
        </w:tc>
        <w:tc>
          <w:tcPr>
            <w:tcW w:w="1222"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236</w:t>
            </w:r>
          </w:p>
        </w:tc>
        <w:tc>
          <w:tcPr>
            <w:tcW w:w="198" w:type="dxa"/>
            <w:tcBorders>
              <w:bottom w:val="single" w:sz="2" w:space="0" w:color="FFFFFF"/>
            </w:tcBorders>
            <w:shd w:fill="FFFFFF" w:val="clear"/>
            <w:vAlign w:val="bottom"/>
          </w:tcPr>
          <w:p>
            <w:pPr>
              <w:pStyle w:val="TableContents"/>
              <w:spacing w:before="0" w:after="283"/>
              <w:jc w:val="left"/>
              <w:rPr/>
            </w:pPr>
            <w:r>
              <w:rPr/>
              <w:t> </w:t>
            </w:r>
          </w:p>
        </w:tc>
        <w:tc>
          <w:tcPr>
            <w:tcW w:w="167" w:type="dxa"/>
            <w:tcBorders>
              <w:bottom w:val="single" w:sz="2" w:space="0" w:color="000000"/>
            </w:tcBorders>
            <w:shd w:fill="FFFFFF" w:val="clear"/>
            <w:vAlign w:val="bottom"/>
          </w:tcPr>
          <w:p>
            <w:pPr>
              <w:pStyle w:val="TableContents"/>
              <w:spacing w:before="0" w:after="283"/>
              <w:jc w:val="left"/>
              <w:rPr/>
            </w:pPr>
            <w:r>
              <w:rPr/>
              <w:t> </w:t>
            </w:r>
          </w:p>
        </w:tc>
        <w:tc>
          <w:tcPr>
            <w:tcW w:w="1319"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127" w:type="dxa"/>
            <w:tcBorders>
              <w:bottom w:val="single" w:sz="2" w:space="0" w:color="FFFFFF"/>
            </w:tcBorders>
            <w:shd w:fill="FFFFFF" w:val="clear"/>
            <w:vAlign w:val="bottom"/>
          </w:tcPr>
          <w:p>
            <w:pPr>
              <w:pStyle w:val="TableContents"/>
              <w:spacing w:before="0" w:after="283"/>
              <w:jc w:val="left"/>
              <w:rPr/>
            </w:pPr>
            <w:r>
              <w:rPr/>
              <w:t> </w:t>
            </w:r>
          </w:p>
        </w:tc>
      </w:tr>
      <w:tr>
        <w:trPr/>
        <w:tc>
          <w:tcPr>
            <w:tcW w:w="6828" w:type="dxa"/>
            <w:tcBorders>
              <w:bottom w:val="single" w:sz="2" w:space="0" w:color="000000"/>
            </w:tcBorders>
            <w:shd w:fill="CCEEFF" w:val="clear"/>
            <w:vAlign w:val="bottom"/>
          </w:tcPr>
          <w:p>
            <w:pPr>
              <w:pStyle w:val="TableContents"/>
              <w:spacing w:lineRule="auto" w:line="300" w:before="0" w:after="0"/>
              <w:ind w:left="0" w:right="0" w:hanging="0"/>
              <w:jc w:val="left"/>
              <w:rPr/>
            </w:pPr>
            <w:r>
              <w:rPr>
                <w:rStyle w:val="StrongEmphasis"/>
                <w:rFonts w:ascii="Times New Roman" w:hAnsi="Times New Roman"/>
                <w:sz w:val="20"/>
              </w:rPr>
              <w:t>TOTAL LIABILITIES</w:t>
            </w:r>
          </w:p>
        </w:tc>
        <w:tc>
          <w:tcPr>
            <w:tcW w:w="198" w:type="dxa"/>
            <w:tcBorders>
              <w:bottom w:val="single" w:sz="2" w:space="0" w:color="CCEEFF"/>
            </w:tcBorders>
            <w:shd w:fill="CCEEFF" w:val="clear"/>
            <w:vAlign w:val="center"/>
          </w:tcPr>
          <w:p>
            <w:pPr>
              <w:pStyle w:val="TableContents"/>
              <w:spacing w:before="0" w:after="283"/>
              <w:rPr/>
            </w:pPr>
            <w:r>
              <w:rPr/>
              <w:t> </w:t>
            </w:r>
          </w:p>
        </w:tc>
        <w:tc>
          <w:tcPr>
            <w:tcW w:w="146" w:type="dxa"/>
            <w:tcBorders>
              <w:bottom w:val="single" w:sz="2" w:space="0" w:color="000000"/>
            </w:tcBorders>
            <w:shd w:fill="CCEEFF" w:val="clear"/>
            <w:vAlign w:val="bottom"/>
          </w:tcPr>
          <w:p>
            <w:pPr>
              <w:pStyle w:val="TableContents"/>
              <w:spacing w:before="0" w:after="283"/>
              <w:jc w:val="left"/>
              <w:rPr/>
            </w:pPr>
            <w:r>
              <w:rPr/>
              <w:t> </w:t>
            </w:r>
          </w:p>
        </w:tc>
        <w:tc>
          <w:tcPr>
            <w:tcW w:w="1222"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2,187</w:t>
            </w:r>
          </w:p>
        </w:tc>
        <w:tc>
          <w:tcPr>
            <w:tcW w:w="198" w:type="dxa"/>
            <w:tcBorders>
              <w:bottom w:val="single" w:sz="2" w:space="0" w:color="CCEEFF"/>
            </w:tcBorders>
            <w:shd w:fill="CCEEFF" w:val="clear"/>
            <w:vAlign w:val="bottom"/>
          </w:tcPr>
          <w:p>
            <w:pPr>
              <w:pStyle w:val="TableContents"/>
              <w:spacing w:before="0" w:after="283"/>
              <w:jc w:val="left"/>
              <w:rPr/>
            </w:pPr>
            <w:r>
              <w:rPr/>
              <w:t> </w:t>
            </w:r>
          </w:p>
        </w:tc>
        <w:tc>
          <w:tcPr>
            <w:tcW w:w="167" w:type="dxa"/>
            <w:tcBorders>
              <w:bottom w:val="single" w:sz="2" w:space="0" w:color="000000"/>
            </w:tcBorders>
            <w:shd w:fill="CCEEFF" w:val="clear"/>
            <w:vAlign w:val="bottom"/>
          </w:tcPr>
          <w:p>
            <w:pPr>
              <w:pStyle w:val="TableContents"/>
              <w:spacing w:before="0" w:after="283"/>
              <w:jc w:val="left"/>
              <w:rPr/>
            </w:pPr>
            <w:r>
              <w:rPr/>
              <w:t> </w:t>
            </w:r>
          </w:p>
        </w:tc>
        <w:tc>
          <w:tcPr>
            <w:tcW w:w="1319"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62,684</w:t>
            </w:r>
          </w:p>
        </w:tc>
        <w:tc>
          <w:tcPr>
            <w:tcW w:w="127" w:type="dxa"/>
            <w:tcBorders>
              <w:bottom w:val="single" w:sz="2" w:space="0" w:color="CCEEFF"/>
            </w:tcBorders>
            <w:shd w:fill="CCEEFF" w:val="clear"/>
            <w:vAlign w:val="bottom"/>
          </w:tcPr>
          <w:p>
            <w:pPr>
              <w:pStyle w:val="TableContents"/>
              <w:spacing w:before="0" w:after="283"/>
              <w:jc w:val="left"/>
              <w:rPr/>
            </w:pPr>
            <w:r>
              <w:rPr/>
              <w:t> </w:t>
            </w:r>
          </w:p>
        </w:tc>
      </w:tr>
      <w:tr>
        <w:trPr/>
        <w:tc>
          <w:tcPr>
            <w:tcW w:w="6828" w:type="dxa"/>
            <w:tcBorders/>
            <w:shd w:fill="FFFFFF" w:val="clear"/>
            <w:tcMar>
              <w:bottom w:w="0" w:type="dxa"/>
            </w:tcMar>
            <w:vAlign w:val="bottom"/>
          </w:tcPr>
          <w:p>
            <w:pPr>
              <w:pStyle w:val="TableContents"/>
              <w:spacing w:before="0" w:after="283"/>
              <w:jc w:val="left"/>
              <w:rPr/>
            </w:pPr>
            <w:r>
              <w:rPr/>
              <w:t> </w:t>
            </w:r>
          </w:p>
        </w:tc>
        <w:tc>
          <w:tcPr>
            <w:tcW w:w="198" w:type="dxa"/>
            <w:tcBorders/>
            <w:shd w:fill="FFFFFF" w:val="clear"/>
            <w:tcMar>
              <w:bottom w:w="0" w:type="dxa"/>
            </w:tcMar>
            <w:vAlign w:val="center"/>
          </w:tcPr>
          <w:p>
            <w:pPr>
              <w:pStyle w:val="TableContents"/>
              <w:spacing w:before="0" w:after="283"/>
              <w:rPr/>
            </w:pPr>
            <w:r>
              <w:rPr/>
              <w:t> </w:t>
            </w:r>
          </w:p>
        </w:tc>
        <w:tc>
          <w:tcPr>
            <w:tcW w:w="146" w:type="dxa"/>
            <w:tcBorders/>
            <w:shd w:fill="FFFFFF" w:val="clear"/>
            <w:tcMar>
              <w:bottom w:w="0" w:type="dxa"/>
            </w:tcMar>
            <w:vAlign w:val="bottom"/>
          </w:tcPr>
          <w:p>
            <w:pPr>
              <w:pStyle w:val="TableContents"/>
              <w:spacing w:before="0" w:after="283"/>
              <w:jc w:val="left"/>
              <w:rPr/>
            </w:pPr>
            <w:r>
              <w:rPr/>
              <w:t> </w:t>
            </w:r>
          </w:p>
        </w:tc>
        <w:tc>
          <w:tcPr>
            <w:tcW w:w="1222" w:type="dxa"/>
            <w:tcBorders/>
            <w:shd w:fill="FFFFFF" w:val="clear"/>
            <w:tcMar>
              <w:bottom w:w="0" w:type="dxa"/>
            </w:tcMar>
            <w:vAlign w:val="bottom"/>
          </w:tcPr>
          <w:p>
            <w:pPr>
              <w:pStyle w:val="TableContents"/>
              <w:spacing w:before="0" w:after="283"/>
              <w:jc w:val="right"/>
              <w:rPr/>
            </w:pPr>
            <w:r>
              <w:rPr/>
              <w:t> </w:t>
            </w:r>
          </w:p>
        </w:tc>
        <w:tc>
          <w:tcPr>
            <w:tcW w:w="198" w:type="dxa"/>
            <w:tcBorders/>
            <w:shd w:fill="FFFFFF" w:val="clear"/>
            <w:tcMar>
              <w:bottom w:w="0" w:type="dxa"/>
            </w:tcMar>
            <w:vAlign w:val="bottom"/>
          </w:tcPr>
          <w:p>
            <w:pPr>
              <w:pStyle w:val="TableContents"/>
              <w:spacing w:before="0" w:after="283"/>
              <w:jc w:val="left"/>
              <w:rPr/>
            </w:pPr>
            <w:r>
              <w:rPr/>
              <w:t> </w:t>
            </w:r>
          </w:p>
        </w:tc>
        <w:tc>
          <w:tcPr>
            <w:tcW w:w="167" w:type="dxa"/>
            <w:tcBorders/>
            <w:shd w:fill="FFFFFF" w:val="clear"/>
            <w:tcMar>
              <w:bottom w:w="0" w:type="dxa"/>
            </w:tcMar>
            <w:vAlign w:val="bottom"/>
          </w:tcPr>
          <w:p>
            <w:pPr>
              <w:pStyle w:val="TableContents"/>
              <w:spacing w:before="0" w:after="283"/>
              <w:jc w:val="left"/>
              <w:rPr/>
            </w:pPr>
            <w:r>
              <w:rPr/>
              <w:t> </w:t>
            </w:r>
          </w:p>
        </w:tc>
        <w:tc>
          <w:tcPr>
            <w:tcW w:w="1319" w:type="dxa"/>
            <w:tcBorders/>
            <w:shd w:fill="FFFFFF" w:val="clear"/>
            <w:tcMar>
              <w:bottom w:w="0" w:type="dxa"/>
            </w:tcMar>
            <w:vAlign w:val="bottom"/>
          </w:tcPr>
          <w:p>
            <w:pPr>
              <w:pStyle w:val="TableContents"/>
              <w:spacing w:before="0" w:after="283"/>
              <w:jc w:val="right"/>
              <w:rPr/>
            </w:pPr>
            <w:r>
              <w:rPr/>
              <w:t> </w:t>
            </w:r>
          </w:p>
        </w:tc>
        <w:tc>
          <w:tcPr>
            <w:tcW w:w="127" w:type="dxa"/>
            <w:tcBorders/>
            <w:shd w:fill="FFFFFF" w:val="clear"/>
            <w:tcMar>
              <w:bottom w:w="0" w:type="dxa"/>
            </w:tcMar>
            <w:vAlign w:val="bottom"/>
          </w:tcPr>
          <w:p>
            <w:pPr>
              <w:pStyle w:val="TableContents"/>
              <w:spacing w:before="0" w:after="283"/>
              <w:jc w:val="left"/>
              <w:rPr/>
            </w:pPr>
            <w:r>
              <w:rPr/>
              <w:t> </w:t>
            </w:r>
          </w:p>
        </w:tc>
      </w:tr>
      <w:tr>
        <w:trPr/>
        <w:tc>
          <w:tcPr>
            <w:tcW w:w="6828" w:type="dxa"/>
            <w:tcBorders/>
            <w:shd w:fill="CCEEFF" w:val="clear"/>
            <w:tcMar>
              <w:bottom w:w="0" w:type="dxa"/>
            </w:tcMar>
            <w:vAlign w:val="bottom"/>
          </w:tcPr>
          <w:p>
            <w:pPr>
              <w:pStyle w:val="TableContents"/>
              <w:spacing w:lineRule="auto" w:line="300" w:before="0" w:after="0"/>
              <w:ind w:left="0" w:right="0" w:hanging="0"/>
              <w:jc w:val="left"/>
              <w:rPr/>
            </w:pPr>
            <w:r>
              <w:rPr>
                <w:rStyle w:val="StrongEmphasis"/>
                <w:rFonts w:ascii="Times New Roman" w:hAnsi="Times New Roman"/>
                <w:sz w:val="20"/>
              </w:rPr>
              <w:t>COMMITMENTS AND CONTINGENCIES (Note 12)</w:t>
            </w:r>
          </w:p>
        </w:tc>
        <w:tc>
          <w:tcPr>
            <w:tcW w:w="198" w:type="dxa"/>
            <w:tcBorders/>
            <w:shd w:fill="CCEEFF" w:val="clear"/>
            <w:tcMar>
              <w:bottom w:w="0" w:type="dxa"/>
            </w:tcMar>
            <w:vAlign w:val="center"/>
          </w:tcPr>
          <w:p>
            <w:pPr>
              <w:pStyle w:val="TableContents"/>
              <w:spacing w:before="0" w:after="283"/>
              <w:rPr/>
            </w:pPr>
            <w:r>
              <w:rPr/>
              <w:t> </w:t>
            </w:r>
          </w:p>
        </w:tc>
        <w:tc>
          <w:tcPr>
            <w:tcW w:w="146" w:type="dxa"/>
            <w:tcBorders/>
            <w:shd w:fill="CCEEFF" w:val="clear"/>
            <w:tcMar>
              <w:bottom w:w="0" w:type="dxa"/>
            </w:tcMar>
            <w:vAlign w:val="bottom"/>
          </w:tcPr>
          <w:p>
            <w:pPr>
              <w:pStyle w:val="TableContents"/>
              <w:spacing w:before="0" w:after="283"/>
              <w:jc w:val="left"/>
              <w:rPr/>
            </w:pPr>
            <w:r>
              <w:rPr/>
              <w:t> </w:t>
            </w:r>
          </w:p>
        </w:tc>
        <w:tc>
          <w:tcPr>
            <w:tcW w:w="1222"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198" w:type="dxa"/>
            <w:tcBorders/>
            <w:shd w:fill="CCEEFF" w:val="clear"/>
            <w:tcMar>
              <w:bottom w:w="0" w:type="dxa"/>
            </w:tcMar>
            <w:vAlign w:val="bottom"/>
          </w:tcPr>
          <w:p>
            <w:pPr>
              <w:pStyle w:val="TableContents"/>
              <w:spacing w:before="0" w:after="283"/>
              <w:jc w:val="left"/>
              <w:rPr/>
            </w:pPr>
            <w:r>
              <w:rPr/>
              <w:t> </w:t>
            </w:r>
          </w:p>
        </w:tc>
        <w:tc>
          <w:tcPr>
            <w:tcW w:w="167" w:type="dxa"/>
            <w:tcBorders/>
            <w:shd w:fill="CCEEFF" w:val="clear"/>
            <w:tcMar>
              <w:bottom w:w="0" w:type="dxa"/>
            </w:tcMar>
            <w:vAlign w:val="bottom"/>
          </w:tcPr>
          <w:p>
            <w:pPr>
              <w:pStyle w:val="TableContents"/>
              <w:spacing w:before="0" w:after="283"/>
              <w:jc w:val="left"/>
              <w:rPr/>
            </w:pPr>
            <w:r>
              <w:rPr/>
              <w:t> </w:t>
            </w:r>
          </w:p>
        </w:tc>
        <w:tc>
          <w:tcPr>
            <w:tcW w:w="1319"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127" w:type="dxa"/>
            <w:tcBorders/>
            <w:shd w:fill="CCEEFF" w:val="clear"/>
            <w:tcMar>
              <w:bottom w:w="0" w:type="dxa"/>
            </w:tcMar>
            <w:vAlign w:val="bottom"/>
          </w:tcPr>
          <w:p>
            <w:pPr>
              <w:pStyle w:val="TableContents"/>
              <w:spacing w:before="0" w:after="283"/>
              <w:jc w:val="left"/>
              <w:rPr/>
            </w:pPr>
            <w:r>
              <w:rPr/>
              <w:t> </w:t>
            </w:r>
          </w:p>
        </w:tc>
      </w:tr>
      <w:tr>
        <w:trPr/>
        <w:tc>
          <w:tcPr>
            <w:tcW w:w="6828" w:type="dxa"/>
            <w:tcBorders/>
            <w:shd w:fill="FFFFFF" w:val="clear"/>
            <w:tcMar>
              <w:bottom w:w="0" w:type="dxa"/>
            </w:tcMar>
            <w:vAlign w:val="bottom"/>
          </w:tcPr>
          <w:p>
            <w:pPr>
              <w:pStyle w:val="TableContents"/>
              <w:spacing w:before="0" w:after="283"/>
              <w:jc w:val="left"/>
              <w:rPr/>
            </w:pPr>
            <w:r>
              <w:rPr/>
              <w:t> </w:t>
            </w:r>
          </w:p>
        </w:tc>
        <w:tc>
          <w:tcPr>
            <w:tcW w:w="198" w:type="dxa"/>
            <w:tcBorders/>
            <w:shd w:fill="FFFFFF" w:val="clear"/>
            <w:tcMar>
              <w:bottom w:w="0" w:type="dxa"/>
            </w:tcMar>
            <w:vAlign w:val="center"/>
          </w:tcPr>
          <w:p>
            <w:pPr>
              <w:pStyle w:val="TableContents"/>
              <w:spacing w:before="0" w:after="283"/>
              <w:rPr/>
            </w:pPr>
            <w:r>
              <w:rPr/>
              <w:t> </w:t>
            </w:r>
          </w:p>
        </w:tc>
        <w:tc>
          <w:tcPr>
            <w:tcW w:w="146" w:type="dxa"/>
            <w:tcBorders/>
            <w:shd w:fill="FFFFFF" w:val="clear"/>
            <w:tcMar>
              <w:bottom w:w="0" w:type="dxa"/>
            </w:tcMar>
            <w:vAlign w:val="bottom"/>
          </w:tcPr>
          <w:p>
            <w:pPr>
              <w:pStyle w:val="TableContents"/>
              <w:spacing w:before="0" w:after="283"/>
              <w:jc w:val="left"/>
              <w:rPr/>
            </w:pPr>
            <w:r>
              <w:rPr/>
              <w:t> </w:t>
            </w:r>
          </w:p>
        </w:tc>
        <w:tc>
          <w:tcPr>
            <w:tcW w:w="1222" w:type="dxa"/>
            <w:tcBorders/>
            <w:shd w:fill="FFFFFF" w:val="clear"/>
            <w:tcMar>
              <w:bottom w:w="0" w:type="dxa"/>
            </w:tcMar>
            <w:vAlign w:val="bottom"/>
          </w:tcPr>
          <w:p>
            <w:pPr>
              <w:pStyle w:val="TableContents"/>
              <w:spacing w:before="0" w:after="283"/>
              <w:jc w:val="right"/>
              <w:rPr/>
            </w:pPr>
            <w:r>
              <w:rPr/>
              <w:t> </w:t>
            </w:r>
          </w:p>
        </w:tc>
        <w:tc>
          <w:tcPr>
            <w:tcW w:w="198" w:type="dxa"/>
            <w:tcBorders/>
            <w:shd w:fill="FFFFFF" w:val="clear"/>
            <w:tcMar>
              <w:bottom w:w="0" w:type="dxa"/>
            </w:tcMar>
            <w:vAlign w:val="bottom"/>
          </w:tcPr>
          <w:p>
            <w:pPr>
              <w:pStyle w:val="TableContents"/>
              <w:spacing w:before="0" w:after="283"/>
              <w:jc w:val="left"/>
              <w:rPr/>
            </w:pPr>
            <w:r>
              <w:rPr/>
              <w:t> </w:t>
            </w:r>
          </w:p>
        </w:tc>
        <w:tc>
          <w:tcPr>
            <w:tcW w:w="167" w:type="dxa"/>
            <w:tcBorders/>
            <w:shd w:fill="FFFFFF" w:val="clear"/>
            <w:tcMar>
              <w:bottom w:w="0" w:type="dxa"/>
            </w:tcMar>
            <w:vAlign w:val="bottom"/>
          </w:tcPr>
          <w:p>
            <w:pPr>
              <w:pStyle w:val="TableContents"/>
              <w:spacing w:before="0" w:after="283"/>
              <w:jc w:val="left"/>
              <w:rPr/>
            </w:pPr>
            <w:r>
              <w:rPr/>
              <w:t> </w:t>
            </w:r>
          </w:p>
        </w:tc>
        <w:tc>
          <w:tcPr>
            <w:tcW w:w="1319" w:type="dxa"/>
            <w:tcBorders/>
            <w:shd w:fill="FFFFFF" w:val="clear"/>
            <w:tcMar>
              <w:bottom w:w="0" w:type="dxa"/>
            </w:tcMar>
            <w:vAlign w:val="bottom"/>
          </w:tcPr>
          <w:p>
            <w:pPr>
              <w:pStyle w:val="TableContents"/>
              <w:spacing w:before="0" w:after="283"/>
              <w:jc w:val="right"/>
              <w:rPr/>
            </w:pPr>
            <w:r>
              <w:rPr/>
              <w:t> </w:t>
            </w:r>
          </w:p>
        </w:tc>
        <w:tc>
          <w:tcPr>
            <w:tcW w:w="127" w:type="dxa"/>
            <w:tcBorders/>
            <w:shd w:fill="FFFFFF" w:val="clear"/>
            <w:tcMar>
              <w:bottom w:w="0" w:type="dxa"/>
            </w:tcMar>
            <w:vAlign w:val="bottom"/>
          </w:tcPr>
          <w:p>
            <w:pPr>
              <w:pStyle w:val="TableContents"/>
              <w:spacing w:before="0" w:after="283"/>
              <w:jc w:val="left"/>
              <w:rPr/>
            </w:pPr>
            <w:r>
              <w:rPr/>
              <w:t> </w:t>
            </w:r>
          </w:p>
        </w:tc>
      </w:tr>
      <w:tr>
        <w:trPr/>
        <w:tc>
          <w:tcPr>
            <w:tcW w:w="6828" w:type="dxa"/>
            <w:tcBorders/>
            <w:shd w:fill="CCEEFF" w:val="clear"/>
            <w:tcMar>
              <w:bottom w:w="0" w:type="dxa"/>
            </w:tcMar>
            <w:vAlign w:val="bottom"/>
          </w:tcPr>
          <w:p>
            <w:pPr>
              <w:pStyle w:val="TableContents"/>
              <w:spacing w:lineRule="auto" w:line="300" w:before="0" w:after="0"/>
              <w:ind w:left="0" w:right="0" w:hanging="0"/>
              <w:jc w:val="left"/>
              <w:rPr/>
            </w:pPr>
            <w:r>
              <w:rPr>
                <w:rStyle w:val="StrongEmphasis"/>
                <w:rFonts w:ascii="Times New Roman" w:hAnsi="Times New Roman"/>
                <w:sz w:val="20"/>
              </w:rPr>
              <w:t>MEMBERS’ EQUITY</w:t>
            </w:r>
          </w:p>
        </w:tc>
        <w:tc>
          <w:tcPr>
            <w:tcW w:w="198" w:type="dxa"/>
            <w:tcBorders/>
            <w:shd w:fill="CCEEFF" w:val="clear"/>
            <w:tcMar>
              <w:bottom w:w="0" w:type="dxa"/>
            </w:tcMar>
            <w:vAlign w:val="center"/>
          </w:tcPr>
          <w:p>
            <w:pPr>
              <w:pStyle w:val="TableContents"/>
              <w:spacing w:before="0" w:after="283"/>
              <w:rPr/>
            </w:pPr>
            <w:r>
              <w:rPr/>
              <w:t> </w:t>
            </w:r>
          </w:p>
        </w:tc>
        <w:tc>
          <w:tcPr>
            <w:tcW w:w="146" w:type="dxa"/>
            <w:tcBorders/>
            <w:shd w:fill="CCEEFF" w:val="clear"/>
            <w:tcMar>
              <w:bottom w:w="0" w:type="dxa"/>
            </w:tcMar>
            <w:vAlign w:val="bottom"/>
          </w:tcPr>
          <w:p>
            <w:pPr>
              <w:pStyle w:val="TableContents"/>
              <w:spacing w:before="0" w:after="283"/>
              <w:jc w:val="left"/>
              <w:rPr/>
            </w:pPr>
            <w:r>
              <w:rPr/>
              <w:t> </w:t>
            </w:r>
          </w:p>
        </w:tc>
        <w:tc>
          <w:tcPr>
            <w:tcW w:w="1222"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20,757</w:t>
            </w:r>
          </w:p>
        </w:tc>
        <w:tc>
          <w:tcPr>
            <w:tcW w:w="198" w:type="dxa"/>
            <w:tcBorders/>
            <w:shd w:fill="CCEEFF" w:val="clear"/>
            <w:tcMar>
              <w:bottom w:w="0" w:type="dxa"/>
            </w:tcMar>
            <w:vAlign w:val="bottom"/>
          </w:tcPr>
          <w:p>
            <w:pPr>
              <w:pStyle w:val="TableContents"/>
              <w:spacing w:before="0" w:after="283"/>
              <w:jc w:val="left"/>
              <w:rPr/>
            </w:pPr>
            <w:r>
              <w:rPr/>
              <w:t> </w:t>
            </w:r>
          </w:p>
        </w:tc>
        <w:tc>
          <w:tcPr>
            <w:tcW w:w="167" w:type="dxa"/>
            <w:tcBorders/>
            <w:shd w:fill="CCEEFF" w:val="clear"/>
            <w:tcMar>
              <w:bottom w:w="0" w:type="dxa"/>
            </w:tcMar>
            <w:vAlign w:val="bottom"/>
          </w:tcPr>
          <w:p>
            <w:pPr>
              <w:pStyle w:val="TableContents"/>
              <w:spacing w:before="0" w:after="283"/>
              <w:jc w:val="left"/>
              <w:rPr/>
            </w:pPr>
            <w:r>
              <w:rPr/>
              <w:t> </w:t>
            </w:r>
          </w:p>
        </w:tc>
        <w:tc>
          <w:tcPr>
            <w:tcW w:w="1319"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11,083</w:t>
            </w:r>
          </w:p>
        </w:tc>
        <w:tc>
          <w:tcPr>
            <w:tcW w:w="127" w:type="dxa"/>
            <w:tcBorders/>
            <w:shd w:fill="CCEEFF" w:val="clear"/>
            <w:tcMar>
              <w:bottom w:w="0" w:type="dxa"/>
            </w:tcMar>
            <w:vAlign w:val="bottom"/>
          </w:tcPr>
          <w:p>
            <w:pPr>
              <w:pStyle w:val="TableContents"/>
              <w:spacing w:before="0" w:after="283"/>
              <w:jc w:val="left"/>
              <w:rPr/>
            </w:pPr>
            <w:r>
              <w:rPr/>
              <w:t> </w:t>
            </w:r>
          </w:p>
        </w:tc>
      </w:tr>
      <w:tr>
        <w:trPr/>
        <w:tc>
          <w:tcPr>
            <w:tcW w:w="6828" w:type="dxa"/>
            <w:tcBorders>
              <w:bottom w:val="single" w:sz="2" w:space="0" w:color="000000"/>
            </w:tcBorders>
            <w:shd w:fill="FFFFFF" w:val="clear"/>
            <w:vAlign w:val="bottom"/>
          </w:tcPr>
          <w:p>
            <w:pPr>
              <w:pStyle w:val="TableContents"/>
              <w:spacing w:before="0" w:after="283"/>
              <w:jc w:val="left"/>
              <w:rPr/>
            </w:pPr>
            <w:r>
              <w:rPr/>
              <w:t> </w:t>
            </w:r>
          </w:p>
        </w:tc>
        <w:tc>
          <w:tcPr>
            <w:tcW w:w="198" w:type="dxa"/>
            <w:tcBorders>
              <w:bottom w:val="single" w:sz="2" w:space="0" w:color="FFFFFF"/>
            </w:tcBorders>
            <w:shd w:fill="FFFFFF" w:val="clear"/>
            <w:vAlign w:val="center"/>
          </w:tcPr>
          <w:p>
            <w:pPr>
              <w:pStyle w:val="TableContents"/>
              <w:spacing w:before="0" w:after="283"/>
              <w:rPr/>
            </w:pPr>
            <w:r>
              <w:rPr/>
              <w:t> </w:t>
            </w:r>
          </w:p>
        </w:tc>
        <w:tc>
          <w:tcPr>
            <w:tcW w:w="146" w:type="dxa"/>
            <w:tcBorders>
              <w:bottom w:val="single" w:sz="2" w:space="0" w:color="000000"/>
            </w:tcBorders>
            <w:shd w:fill="FFFFFF" w:val="clear"/>
            <w:vAlign w:val="bottom"/>
          </w:tcPr>
          <w:p>
            <w:pPr>
              <w:pStyle w:val="TableContents"/>
              <w:spacing w:before="0" w:after="283"/>
              <w:jc w:val="left"/>
              <w:rPr/>
            </w:pPr>
            <w:r>
              <w:rPr/>
              <w:t> </w:t>
            </w:r>
          </w:p>
        </w:tc>
        <w:tc>
          <w:tcPr>
            <w:tcW w:w="1222" w:type="dxa"/>
            <w:tcBorders>
              <w:bottom w:val="single" w:sz="2" w:space="0" w:color="000000"/>
            </w:tcBorders>
            <w:shd w:fill="FFFFFF" w:val="clear"/>
            <w:vAlign w:val="bottom"/>
          </w:tcPr>
          <w:p>
            <w:pPr>
              <w:pStyle w:val="TableContents"/>
              <w:spacing w:before="0" w:after="283"/>
              <w:jc w:val="right"/>
              <w:rPr/>
            </w:pPr>
            <w:r>
              <w:rPr/>
              <w:t> </w:t>
            </w:r>
          </w:p>
        </w:tc>
        <w:tc>
          <w:tcPr>
            <w:tcW w:w="198" w:type="dxa"/>
            <w:tcBorders>
              <w:bottom w:val="single" w:sz="2" w:space="0" w:color="FFFFFF"/>
            </w:tcBorders>
            <w:shd w:fill="FFFFFF" w:val="clear"/>
            <w:vAlign w:val="bottom"/>
          </w:tcPr>
          <w:p>
            <w:pPr>
              <w:pStyle w:val="TableContents"/>
              <w:spacing w:before="0" w:after="283"/>
              <w:jc w:val="left"/>
              <w:rPr/>
            </w:pPr>
            <w:r>
              <w:rPr/>
              <w:t> </w:t>
            </w:r>
          </w:p>
        </w:tc>
        <w:tc>
          <w:tcPr>
            <w:tcW w:w="167" w:type="dxa"/>
            <w:tcBorders>
              <w:bottom w:val="single" w:sz="2" w:space="0" w:color="000000"/>
            </w:tcBorders>
            <w:shd w:fill="FFFFFF" w:val="clear"/>
            <w:vAlign w:val="bottom"/>
          </w:tcPr>
          <w:p>
            <w:pPr>
              <w:pStyle w:val="TableContents"/>
              <w:spacing w:before="0" w:after="283"/>
              <w:jc w:val="left"/>
              <w:rPr/>
            </w:pPr>
            <w:r>
              <w:rPr/>
              <w:t> </w:t>
            </w:r>
          </w:p>
        </w:tc>
        <w:tc>
          <w:tcPr>
            <w:tcW w:w="1319" w:type="dxa"/>
            <w:tcBorders>
              <w:bottom w:val="single" w:sz="2" w:space="0" w:color="000000"/>
            </w:tcBorders>
            <w:shd w:fill="FFFFFF" w:val="clear"/>
            <w:vAlign w:val="bottom"/>
          </w:tcPr>
          <w:p>
            <w:pPr>
              <w:pStyle w:val="TableContents"/>
              <w:spacing w:before="0" w:after="283"/>
              <w:jc w:val="right"/>
              <w:rPr/>
            </w:pPr>
            <w:r>
              <w:rPr/>
              <w:t> </w:t>
            </w:r>
          </w:p>
        </w:tc>
        <w:tc>
          <w:tcPr>
            <w:tcW w:w="127" w:type="dxa"/>
            <w:tcBorders>
              <w:bottom w:val="single" w:sz="2" w:space="0" w:color="FFFFFF"/>
            </w:tcBorders>
            <w:shd w:fill="FFFFFF" w:val="clear"/>
            <w:vAlign w:val="bottom"/>
          </w:tcPr>
          <w:p>
            <w:pPr>
              <w:pStyle w:val="TableContents"/>
              <w:spacing w:before="0" w:after="283"/>
              <w:jc w:val="left"/>
              <w:rPr/>
            </w:pPr>
            <w:r>
              <w:rPr/>
              <w:t> </w:t>
            </w:r>
          </w:p>
        </w:tc>
      </w:tr>
      <w:tr>
        <w:trPr/>
        <w:tc>
          <w:tcPr>
            <w:tcW w:w="6828" w:type="dxa"/>
            <w:tcBorders>
              <w:bottom w:val="double" w:sz="2" w:space="0" w:color="000000"/>
            </w:tcBorders>
            <w:shd w:fill="CCEEFF" w:val="clear"/>
            <w:vAlign w:val="bottom"/>
          </w:tcPr>
          <w:p>
            <w:pPr>
              <w:pStyle w:val="TableContents"/>
              <w:spacing w:lineRule="auto" w:line="300" w:before="0" w:after="0"/>
              <w:ind w:left="900" w:right="0" w:hanging="0"/>
              <w:jc w:val="left"/>
              <w:rPr/>
            </w:pPr>
            <w:r>
              <w:rPr>
                <w:rStyle w:val="StrongEmphasis"/>
                <w:rFonts w:ascii="Times New Roman" w:hAnsi="Times New Roman"/>
                <w:sz w:val="20"/>
              </w:rPr>
              <w:t>TOTAL LIABILITIES AND MEMBERS’ EQUITY</w:t>
            </w:r>
          </w:p>
        </w:tc>
        <w:tc>
          <w:tcPr>
            <w:tcW w:w="198" w:type="dxa"/>
            <w:tcBorders>
              <w:bottom w:val="single" w:sz="4" w:space="0" w:color="CCEEFF"/>
            </w:tcBorders>
            <w:shd w:fill="CCEEFF" w:val="clear"/>
            <w:vAlign w:val="center"/>
          </w:tcPr>
          <w:p>
            <w:pPr>
              <w:pStyle w:val="TableContents"/>
              <w:spacing w:before="0" w:after="283"/>
              <w:rPr/>
            </w:pPr>
            <w:r>
              <w:rPr/>
              <w:t> </w:t>
            </w:r>
          </w:p>
        </w:tc>
        <w:tc>
          <w:tcPr>
            <w:tcW w:w="146" w:type="dxa"/>
            <w:tcBorders>
              <w:bottom w:val="doub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bookmarkStart w:id="4332" w:name="TAB12050"/>
            <w:bookmarkEnd w:id="4332"/>
            <w:r>
              <w:rPr>
                <w:rFonts w:ascii="Times New Roman" w:hAnsi="Times New Roman"/>
                <w:sz w:val="20"/>
              </w:rPr>
              <w:t>$</w:t>
            </w:r>
          </w:p>
        </w:tc>
        <w:tc>
          <w:tcPr>
            <w:tcW w:w="1222" w:type="dxa"/>
            <w:tcBorders>
              <w:bottom w:val="doub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4333" w:name="TAB12051"/>
            <w:bookmarkEnd w:id="4333"/>
            <w:r>
              <w:rPr>
                <w:rFonts w:ascii="Times New Roman" w:hAnsi="Times New Roman"/>
                <w:sz w:val="20"/>
              </w:rPr>
              <w:t>22,944</w:t>
            </w:r>
          </w:p>
        </w:tc>
        <w:tc>
          <w:tcPr>
            <w:tcW w:w="198" w:type="dxa"/>
            <w:tcBorders>
              <w:bottom w:val="single" w:sz="4" w:space="0" w:color="CCEEFF"/>
            </w:tcBorders>
            <w:shd w:fill="CCEEFF" w:val="clear"/>
            <w:vAlign w:val="bottom"/>
          </w:tcPr>
          <w:p>
            <w:pPr>
              <w:pStyle w:val="TableContents"/>
              <w:spacing w:before="0" w:after="283"/>
              <w:jc w:val="left"/>
              <w:rPr/>
            </w:pPr>
            <w:r>
              <w:rPr/>
              <w:t> </w:t>
            </w:r>
          </w:p>
        </w:tc>
        <w:tc>
          <w:tcPr>
            <w:tcW w:w="167" w:type="dxa"/>
            <w:tcBorders>
              <w:bottom w:val="doub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bookmarkStart w:id="4334" w:name="TAB12052"/>
            <w:bookmarkEnd w:id="4334"/>
            <w:r>
              <w:rPr>
                <w:rFonts w:ascii="Times New Roman" w:hAnsi="Times New Roman"/>
                <w:sz w:val="20"/>
              </w:rPr>
              <w:t>$</w:t>
            </w:r>
          </w:p>
        </w:tc>
        <w:tc>
          <w:tcPr>
            <w:tcW w:w="1319" w:type="dxa"/>
            <w:tcBorders>
              <w:bottom w:val="doub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4335" w:name="TAB12053"/>
            <w:bookmarkEnd w:id="4335"/>
            <w:r>
              <w:rPr>
                <w:rFonts w:ascii="Times New Roman" w:hAnsi="Times New Roman"/>
                <w:sz w:val="20"/>
              </w:rPr>
              <w:t>73,767</w:t>
            </w:r>
          </w:p>
        </w:tc>
        <w:tc>
          <w:tcPr>
            <w:tcW w:w="127" w:type="dxa"/>
            <w:tcBorders>
              <w:bottom w:val="single" w:sz="4" w:space="0" w:color="CCEEFF"/>
            </w:tcBorders>
            <w:shd w:fill="CCEEFF" w:val="clear"/>
            <w:vAlign w:val="bottom"/>
          </w:tcPr>
          <w:p>
            <w:pPr>
              <w:pStyle w:val="TableContents"/>
              <w:spacing w:before="0" w:after="283"/>
              <w:jc w:val="left"/>
              <w:rPr/>
            </w:pPr>
            <w:r>
              <w:rPr/>
              <w:t> </w:t>
            </w:r>
          </w:p>
        </w:tc>
      </w:tr>
    </w:tbl>
    <w:p>
      <w:pPr>
        <w:pStyle w:val="TextBody"/>
        <w:spacing w:lineRule="auto" w:line="300" w:before="0" w:after="0"/>
        <w:ind w:left="0" w:right="0" w:hanging="0"/>
        <w:jc w:val="center"/>
        <w:rPr/>
      </w:pPr>
      <w:r>
        <w:rPr/>
        <w:t> </w:t>
      </w:r>
    </w:p>
    <w:p>
      <w:pPr>
        <w:pStyle w:val="TextBody"/>
        <w:spacing w:lineRule="auto" w:line="300" w:before="0" w:after="0"/>
        <w:ind w:left="0" w:right="0" w:hanging="0"/>
        <w:jc w:val="center"/>
        <w:rPr>
          <w:rFonts w:ascii="Times New Roman" w:hAnsi="Times New Roman"/>
          <w:sz w:val="20"/>
        </w:rPr>
      </w:pPr>
      <w:r>
        <w:rPr>
          <w:rFonts w:ascii="Times New Roman" w:hAnsi="Times New Roman"/>
          <w:sz w:val="20"/>
        </w:rPr>
        <w:t>The accompanying notes are an integral part of these financial statements.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336" w:name="PGBRK123"/>
      <w:bookmarkStart w:id="4337" w:name="PGBRK123"/>
      <w:bookmarkEnd w:id="433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338" w:name="FTR123"/>
      <w:bookmarkStart w:id="4339" w:name="FTR123"/>
      <w:bookmarkEnd w:id="433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340" w:name="GLFTR123"/>
      <w:bookmarkStart w:id="4341" w:name="GLFTR123"/>
      <w:bookmarkEnd w:id="434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4342" w:name="PN123"/>
      <w:bookmarkEnd w:id="4342"/>
      <w:r>
        <w:rPr>
          <w:rFonts w:ascii="Times New Roman" w:hAnsi="Times New Roman"/>
          <w:sz w:val="16"/>
        </w:rPr>
        <w:t>-123-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343" w:name="HDR123"/>
      <w:bookmarkStart w:id="4344" w:name="HDR123"/>
      <w:bookmarkEnd w:id="434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4345" w:name="GLHDR123"/>
        <w:bookmarkEnd w:id="4345"/>
        <w:r>
          <w:rPr>
            <w:rStyle w:val="Emphasis"/>
            <w:rFonts w:ascii="Times New Roman" w:hAnsi="Times New Roman"/>
            <w:color w:val="000000"/>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300" w:before="0" w:after="0"/>
        <w:ind w:left="0" w:right="0" w:hanging="0"/>
        <w:jc w:val="center"/>
        <w:rPr/>
      </w:pPr>
      <w:r>
        <w:rPr>
          <w:rStyle w:val="StrongEmphasis"/>
          <w:rFonts w:ascii="Times New Roman" w:hAnsi="Times New Roman"/>
          <w:sz w:val="20"/>
        </w:rPr>
        <w:t>205-209 EAST 57</w:t>
      </w:r>
      <w:r>
        <w:rPr>
          <w:rStyle w:val="StrongEmphasis"/>
          <w:rFonts w:ascii="Times New Roman" w:hAnsi="Times New Roman"/>
          <w:position w:val="7"/>
          <w:sz w:val="16"/>
          <w:sz w:val="20"/>
        </w:rPr>
        <w:t>th</w:t>
      </w:r>
      <w:r>
        <w:rPr>
          <w:rStyle w:val="StrongEmphasis"/>
        </w:rPr>
        <w:t xml:space="preserve"> </w:t>
      </w:r>
      <w:r>
        <w:rPr>
          <w:rStyle w:val="StrongEmphasis"/>
          <w:rFonts w:ascii="Times New Roman" w:hAnsi="Times New Roman"/>
          <w:sz w:val="20"/>
        </w:rPr>
        <w:t>STREET ASSOCIATES, LLC</w:t>
      </w:r>
    </w:p>
    <w:p>
      <w:pPr>
        <w:pStyle w:val="TextBody"/>
        <w:spacing w:lineRule="auto" w:line="300" w:before="0" w:after="0"/>
        <w:ind w:left="0" w:right="0" w:hanging="0"/>
        <w:jc w:val="center"/>
        <w:rPr/>
      </w:pPr>
      <w:r>
        <w:rPr/>
      </w:r>
    </w:p>
    <w:p>
      <w:pPr>
        <w:pStyle w:val="TextBody"/>
        <w:spacing w:lineRule="auto" w:line="300" w:before="0" w:after="0"/>
        <w:ind w:left="0" w:right="0" w:hanging="0"/>
        <w:jc w:val="center"/>
        <w:rPr/>
      </w:pPr>
      <w:r>
        <w:rPr>
          <w:rStyle w:val="StrongEmphasis"/>
          <w:rFonts w:ascii="Times New Roman" w:hAnsi="Times New Roman"/>
          <w:sz w:val="20"/>
        </w:rPr>
        <w:t>STATEMENTS OF OPERATIONS</w:t>
      </w:r>
    </w:p>
    <w:p>
      <w:pPr>
        <w:pStyle w:val="TextBody"/>
        <w:spacing w:lineRule="auto" w:line="300" w:before="0" w:after="0"/>
        <w:ind w:left="0" w:right="0" w:hanging="0"/>
        <w:jc w:val="center"/>
        <w:rPr/>
      </w:pPr>
      <w:r>
        <w:rPr/>
      </w:r>
    </w:p>
    <w:p>
      <w:pPr>
        <w:pStyle w:val="TextBody"/>
        <w:spacing w:lineRule="auto" w:line="300" w:before="0" w:after="0"/>
        <w:ind w:left="0" w:right="0" w:hanging="0"/>
        <w:jc w:val="center"/>
        <w:rPr/>
      </w:pPr>
      <w:r>
        <w:rPr>
          <w:rStyle w:val="StrongEmphasis"/>
          <w:rFonts w:ascii="Times New Roman" w:hAnsi="Times New Roman"/>
          <w:sz w:val="20"/>
        </w:rPr>
        <w:t>FOR THE THREE YEARS ENDED DECEMBER 31, 2006, 2005 and 2004</w:t>
      </w:r>
    </w:p>
    <w:p>
      <w:pPr>
        <w:pStyle w:val="TextBody"/>
        <w:spacing w:lineRule="auto" w:line="300" w:before="0" w:after="0"/>
        <w:ind w:left="0" w:right="0" w:hanging="0"/>
        <w:jc w:val="center"/>
        <w:rPr/>
      </w:pPr>
      <w:r>
        <w:rPr/>
      </w:r>
    </w:p>
    <w:p>
      <w:pPr>
        <w:pStyle w:val="TextBody"/>
        <w:spacing w:lineRule="auto" w:line="300" w:before="0" w:after="0"/>
        <w:ind w:left="0" w:right="0" w:hanging="0"/>
        <w:jc w:val="center"/>
        <w:rPr/>
      </w:pPr>
      <w:r>
        <w:rPr>
          <w:rStyle w:val="StrongEmphasis"/>
          <w:rFonts w:ascii="Times New Roman" w:hAnsi="Times New Roman"/>
          <w:sz w:val="20"/>
        </w:rPr>
        <w:t>(U.S. dollars in thousands)</w:t>
      </w:r>
    </w:p>
    <w:p>
      <w:pPr>
        <w:pStyle w:val="TextBody"/>
        <w:spacing w:lineRule="auto" w:line="300" w:before="0" w:after="0"/>
        <w:ind w:left="0" w:right="0" w:hanging="0"/>
        <w:jc w:val="center"/>
        <w:rPr/>
      </w:pPr>
      <w:r>
        <w:rPr/>
        <w:t> </w:t>
      </w:r>
    </w:p>
    <w:p>
      <w:pPr>
        <w:pStyle w:val="TextBody"/>
        <w:spacing w:lineRule="auto" w:line="300" w:before="0" w:after="0"/>
        <w:ind w:left="0" w:right="0" w:hanging="0"/>
        <w:jc w:val="center"/>
        <w:rPr/>
      </w:pPr>
      <w:r>
        <w:rPr/>
      </w:r>
    </w:p>
    <w:p>
      <w:pPr>
        <w:pStyle w:val="Normal"/>
        <w:spacing w:lineRule="auto" w:line="300" w:before="0" w:after="0"/>
        <w:jc w:val="center"/>
        <w:rPr>
          <w:sz w:val="4"/>
          <w:szCs w:val="4"/>
        </w:rPr>
      </w:pPr>
      <w:r>
        <w:rPr>
          <w:sz w:val="4"/>
          <w:szCs w:val="4"/>
        </w:rPr>
      </w:r>
      <w:bookmarkStart w:id="4346" w:name="ftable64"/>
      <w:bookmarkStart w:id="4347" w:name="ftable64"/>
      <w:bookmarkEnd w:id="4347"/>
    </w:p>
    <w:tbl>
      <w:tblPr>
        <w:tblW w:w="5000" w:type="pct"/>
        <w:jc w:val="center"/>
        <w:tblInd w:w="0" w:type="dxa"/>
        <w:tblCellMar>
          <w:top w:w="0" w:type="dxa"/>
          <w:left w:w="0" w:type="dxa"/>
          <w:bottom w:w="28" w:type="dxa"/>
          <w:right w:w="0" w:type="dxa"/>
        </w:tblCellMar>
      </w:tblPr>
      <w:tblGrid>
        <w:gridCol w:w="4975"/>
        <w:gridCol w:w="189"/>
        <w:gridCol w:w="158"/>
        <w:gridCol w:w="1286"/>
        <w:gridCol w:w="189"/>
        <w:gridCol w:w="228"/>
        <w:gridCol w:w="1304"/>
        <w:gridCol w:w="202"/>
        <w:gridCol w:w="228"/>
        <w:gridCol w:w="1304"/>
        <w:gridCol w:w="142"/>
      </w:tblGrid>
      <w:tr>
        <w:trPr/>
        <w:tc>
          <w:tcPr>
            <w:tcW w:w="4975" w:type="dxa"/>
            <w:tcBorders>
              <w:bottom w:val="single" w:sz="4" w:space="0" w:color="FFFFFF"/>
            </w:tcBorders>
            <w:shd w:fill="auto" w:val="clear"/>
            <w:vAlign w:val="bottom"/>
          </w:tcPr>
          <w:p>
            <w:pPr>
              <w:pStyle w:val="TableContents"/>
              <w:spacing w:before="0" w:after="283"/>
              <w:jc w:val="left"/>
              <w:rPr/>
            </w:pPr>
            <w:r>
              <w:rPr/>
              <w:t> </w:t>
            </w:r>
          </w:p>
        </w:tc>
        <w:tc>
          <w:tcPr>
            <w:tcW w:w="189" w:type="dxa"/>
            <w:tcBorders>
              <w:bottom w:val="single" w:sz="2" w:space="0" w:color="FFFFFF"/>
            </w:tcBorders>
            <w:shd w:fill="auto" w:val="clear"/>
            <w:vAlign w:val="center"/>
          </w:tcPr>
          <w:p>
            <w:pPr>
              <w:pStyle w:val="TableContents"/>
              <w:spacing w:before="0" w:after="283"/>
              <w:rPr/>
            </w:pPr>
            <w:r>
              <w:rPr/>
              <w:t> </w:t>
            </w:r>
          </w:p>
        </w:tc>
        <w:tc>
          <w:tcPr>
            <w:tcW w:w="4899" w:type="dxa"/>
            <w:gridSpan w:val="8"/>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Years Ended December 31,</w:t>
            </w:r>
          </w:p>
        </w:tc>
        <w:tc>
          <w:tcPr>
            <w:tcW w:w="142" w:type="dxa"/>
            <w:tcBorders>
              <w:bottom w:val="single" w:sz="2" w:space="0" w:color="FFFFFF"/>
            </w:tcBorders>
            <w:shd w:fill="auto" w:val="clear"/>
            <w:vAlign w:val="bottom"/>
          </w:tcPr>
          <w:p>
            <w:pPr>
              <w:pStyle w:val="TableContents"/>
              <w:spacing w:before="0" w:after="283"/>
              <w:jc w:val="left"/>
              <w:rPr/>
            </w:pPr>
            <w:r>
              <w:rPr/>
              <w:t> </w:t>
            </w:r>
          </w:p>
        </w:tc>
      </w:tr>
      <w:tr>
        <w:trPr/>
        <w:tc>
          <w:tcPr>
            <w:tcW w:w="4975" w:type="dxa"/>
            <w:tcBorders>
              <w:bottom w:val="double" w:sz="2" w:space="0" w:color="000000"/>
            </w:tcBorders>
            <w:shd w:fill="auto" w:val="clear"/>
            <w:vAlign w:val="bottom"/>
          </w:tcPr>
          <w:p>
            <w:pPr>
              <w:pStyle w:val="TableContents"/>
              <w:spacing w:before="0" w:after="283"/>
              <w:jc w:val="left"/>
              <w:rPr/>
            </w:pPr>
            <w:r>
              <w:rPr/>
              <w:t> </w:t>
            </w:r>
          </w:p>
        </w:tc>
        <w:tc>
          <w:tcPr>
            <w:tcW w:w="189" w:type="dxa"/>
            <w:tcBorders>
              <w:bottom w:val="single" w:sz="4" w:space="0" w:color="FFFFFF"/>
            </w:tcBorders>
            <w:shd w:fill="auto" w:val="clear"/>
            <w:vAlign w:val="center"/>
          </w:tcPr>
          <w:p>
            <w:pPr>
              <w:pStyle w:val="TableContents"/>
              <w:spacing w:before="0" w:after="283"/>
              <w:rPr/>
            </w:pPr>
            <w:r>
              <w:rPr/>
              <w:t> </w:t>
            </w:r>
          </w:p>
        </w:tc>
        <w:tc>
          <w:tcPr>
            <w:tcW w:w="1444"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2006</w:t>
            </w:r>
          </w:p>
          <w:p>
            <w:pPr>
              <w:pStyle w:val="TableContents"/>
              <w:spacing w:lineRule="auto" w:line="300" w:before="0" w:after="0"/>
              <w:ind w:left="0" w:right="0" w:hanging="0"/>
              <w:jc w:val="center"/>
              <w:rPr/>
            </w:pPr>
            <w:r>
              <w:rPr>
                <w:rStyle w:val="StrongEmphasis"/>
                <w:rFonts w:ascii="Times New Roman" w:hAnsi="Times New Roman"/>
                <w:sz w:val="20"/>
              </w:rPr>
              <w:t>Audited</w:t>
            </w:r>
          </w:p>
        </w:tc>
        <w:tc>
          <w:tcPr>
            <w:tcW w:w="189" w:type="dxa"/>
            <w:tcBorders>
              <w:bottom w:val="single" w:sz="4" w:space="0" w:color="FFFFFF"/>
            </w:tcBorders>
            <w:shd w:fill="auto" w:val="clear"/>
            <w:vAlign w:val="bottom"/>
          </w:tcPr>
          <w:p>
            <w:pPr>
              <w:pStyle w:val="TableContents"/>
              <w:spacing w:before="0" w:after="283"/>
              <w:jc w:val="left"/>
              <w:rPr/>
            </w:pPr>
            <w:r>
              <w:rPr/>
              <w:t> </w:t>
            </w:r>
          </w:p>
        </w:tc>
        <w:tc>
          <w:tcPr>
            <w:tcW w:w="1532"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2005</w:t>
            </w:r>
          </w:p>
          <w:p>
            <w:pPr>
              <w:pStyle w:val="TableContents"/>
              <w:spacing w:lineRule="auto" w:line="300" w:before="0" w:after="0"/>
              <w:ind w:left="0" w:right="0" w:hanging="0"/>
              <w:jc w:val="center"/>
              <w:rPr/>
            </w:pPr>
            <w:r>
              <w:rPr>
                <w:rStyle w:val="StrongEmphasis"/>
                <w:rFonts w:ascii="Times New Roman" w:hAnsi="Times New Roman"/>
                <w:sz w:val="20"/>
              </w:rPr>
              <w:t>(Unaudited)</w:t>
            </w:r>
          </w:p>
        </w:tc>
        <w:tc>
          <w:tcPr>
            <w:tcW w:w="202" w:type="dxa"/>
            <w:tcBorders>
              <w:bottom w:val="single" w:sz="4" w:space="0" w:color="FFFFFF"/>
            </w:tcBorders>
            <w:shd w:fill="auto" w:val="clear"/>
            <w:vAlign w:val="bottom"/>
          </w:tcPr>
          <w:p>
            <w:pPr>
              <w:pStyle w:val="TableContents"/>
              <w:spacing w:before="0" w:after="283"/>
              <w:jc w:val="left"/>
              <w:rPr/>
            </w:pPr>
            <w:r>
              <w:rPr/>
              <w:t> </w:t>
            </w:r>
          </w:p>
        </w:tc>
        <w:tc>
          <w:tcPr>
            <w:tcW w:w="1532"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2004</w:t>
            </w:r>
          </w:p>
          <w:p>
            <w:pPr>
              <w:pStyle w:val="TableContents"/>
              <w:spacing w:lineRule="auto" w:line="300" w:before="0" w:after="0"/>
              <w:ind w:left="0" w:right="0" w:hanging="0"/>
              <w:jc w:val="center"/>
              <w:rPr/>
            </w:pPr>
            <w:r>
              <w:rPr>
                <w:rStyle w:val="StrongEmphasis"/>
                <w:rFonts w:ascii="Times New Roman" w:hAnsi="Times New Roman"/>
                <w:sz w:val="20"/>
              </w:rPr>
              <w:t>(Unaudited)</w:t>
            </w:r>
          </w:p>
        </w:tc>
        <w:tc>
          <w:tcPr>
            <w:tcW w:w="142" w:type="dxa"/>
            <w:tcBorders>
              <w:bottom w:val="single" w:sz="4" w:space="0" w:color="FFFFFF"/>
            </w:tcBorders>
            <w:shd w:fill="auto" w:val="clear"/>
            <w:vAlign w:val="bottom"/>
          </w:tcPr>
          <w:p>
            <w:pPr>
              <w:pStyle w:val="TableContents"/>
              <w:spacing w:before="0" w:after="283"/>
              <w:jc w:val="left"/>
              <w:rPr/>
            </w:pPr>
            <w:r>
              <w:rPr/>
              <w:t> </w:t>
            </w:r>
          </w:p>
        </w:tc>
      </w:tr>
      <w:tr>
        <w:trPr/>
        <w:tc>
          <w:tcPr>
            <w:tcW w:w="4975" w:type="dxa"/>
            <w:tcBorders/>
            <w:shd w:fill="auto" w:val="clear"/>
            <w:tcMar>
              <w:bottom w:w="0" w:type="dxa"/>
            </w:tcMar>
            <w:vAlign w:val="bottom"/>
          </w:tcPr>
          <w:p>
            <w:pPr>
              <w:pStyle w:val="TableContents"/>
              <w:spacing w:lineRule="auto" w:line="300" w:before="0" w:after="0"/>
              <w:ind w:left="180" w:right="0" w:hanging="180"/>
              <w:jc w:val="left"/>
              <w:rPr/>
            </w:pPr>
            <w:r>
              <w:rPr/>
              <w:t> </w:t>
            </w:r>
          </w:p>
          <w:p>
            <w:pPr>
              <w:pStyle w:val="TableContents"/>
              <w:spacing w:lineRule="auto" w:line="300" w:before="0" w:after="0"/>
              <w:ind w:left="180" w:right="0" w:hanging="180"/>
              <w:jc w:val="left"/>
              <w:rPr/>
            </w:pPr>
            <w:r>
              <w:rPr>
                <w:rStyle w:val="StrongEmphasis"/>
                <w:rFonts w:ascii="Times New Roman" w:hAnsi="Times New Roman"/>
                <w:sz w:val="20"/>
              </w:rPr>
              <w:t>REVENUE:</w:t>
            </w:r>
          </w:p>
        </w:tc>
        <w:tc>
          <w:tcPr>
            <w:tcW w:w="189" w:type="dxa"/>
            <w:tcBorders/>
            <w:shd w:fill="auto" w:val="clear"/>
            <w:tcMar>
              <w:bottom w:w="0" w:type="dxa"/>
            </w:tcMar>
            <w:vAlign w:val="center"/>
          </w:tcPr>
          <w:p>
            <w:pPr>
              <w:pStyle w:val="TableContents"/>
              <w:spacing w:before="0" w:after="283"/>
              <w:rPr/>
            </w:pPr>
            <w:r>
              <w:rPr/>
              <w:t> </w:t>
            </w:r>
          </w:p>
        </w:tc>
        <w:tc>
          <w:tcPr>
            <w:tcW w:w="1444" w:type="dxa"/>
            <w:gridSpan w:val="2"/>
            <w:tcBorders/>
            <w:shd w:fill="auto" w:val="clear"/>
            <w:tcMar>
              <w:bottom w:w="0" w:type="dxa"/>
            </w:tcMar>
            <w:vAlign w:val="bottom"/>
          </w:tcPr>
          <w:p>
            <w:pPr>
              <w:pStyle w:val="TableContents"/>
              <w:spacing w:before="0" w:after="283"/>
              <w:jc w:val="right"/>
              <w:rPr/>
            </w:pPr>
            <w:r>
              <w:rPr/>
              <w:t> </w:t>
            </w:r>
          </w:p>
        </w:tc>
        <w:tc>
          <w:tcPr>
            <w:tcW w:w="189" w:type="dxa"/>
            <w:tcBorders/>
            <w:shd w:fill="auto" w:val="clear"/>
            <w:tcMar>
              <w:bottom w:w="0" w:type="dxa"/>
            </w:tcMar>
            <w:vAlign w:val="bottom"/>
          </w:tcPr>
          <w:p>
            <w:pPr>
              <w:pStyle w:val="TableContents"/>
              <w:spacing w:before="0" w:after="283"/>
              <w:jc w:val="left"/>
              <w:rPr/>
            </w:pPr>
            <w:r>
              <w:rPr/>
              <w:t> </w:t>
            </w:r>
          </w:p>
        </w:tc>
        <w:tc>
          <w:tcPr>
            <w:tcW w:w="1532" w:type="dxa"/>
            <w:gridSpan w:val="2"/>
            <w:tcBorders/>
            <w:shd w:fill="auto" w:val="clear"/>
            <w:tcMar>
              <w:bottom w:w="0" w:type="dxa"/>
            </w:tcMar>
            <w:vAlign w:val="bottom"/>
          </w:tcPr>
          <w:p>
            <w:pPr>
              <w:pStyle w:val="TableContents"/>
              <w:spacing w:before="0" w:after="283"/>
              <w:jc w:val="right"/>
              <w:rPr/>
            </w:pPr>
            <w:r>
              <w:rPr/>
              <w:t> </w:t>
            </w:r>
          </w:p>
        </w:tc>
        <w:tc>
          <w:tcPr>
            <w:tcW w:w="202" w:type="dxa"/>
            <w:tcBorders/>
            <w:shd w:fill="auto" w:val="clear"/>
            <w:tcMar>
              <w:bottom w:w="0" w:type="dxa"/>
            </w:tcMar>
            <w:vAlign w:val="bottom"/>
          </w:tcPr>
          <w:p>
            <w:pPr>
              <w:pStyle w:val="TableContents"/>
              <w:spacing w:before="0" w:after="283"/>
              <w:jc w:val="left"/>
              <w:rPr/>
            </w:pPr>
            <w:r>
              <w:rPr/>
              <w:t> </w:t>
            </w:r>
          </w:p>
        </w:tc>
        <w:tc>
          <w:tcPr>
            <w:tcW w:w="1532" w:type="dxa"/>
            <w:gridSpan w:val="2"/>
            <w:tcBorders/>
            <w:shd w:fill="auto" w:val="clear"/>
            <w:tcMar>
              <w:bottom w:w="0" w:type="dxa"/>
            </w:tcMar>
            <w:vAlign w:val="bottom"/>
          </w:tcPr>
          <w:p>
            <w:pPr>
              <w:pStyle w:val="TableContents"/>
              <w:spacing w:before="0" w:after="283"/>
              <w:jc w:val="right"/>
              <w:rPr/>
            </w:pPr>
            <w:r>
              <w:rPr/>
              <w:t> </w:t>
            </w:r>
          </w:p>
        </w:tc>
        <w:tc>
          <w:tcPr>
            <w:tcW w:w="142" w:type="dxa"/>
            <w:tcBorders/>
            <w:shd w:fill="auto" w:val="clear"/>
            <w:tcMar>
              <w:bottom w:w="0" w:type="dxa"/>
            </w:tcMar>
            <w:vAlign w:val="bottom"/>
          </w:tcPr>
          <w:p>
            <w:pPr>
              <w:pStyle w:val="TableContents"/>
              <w:spacing w:before="0" w:after="283"/>
              <w:jc w:val="left"/>
              <w:rPr/>
            </w:pPr>
            <w:r>
              <w:rPr/>
              <w:t> </w:t>
            </w:r>
          </w:p>
        </w:tc>
      </w:tr>
      <w:tr>
        <w:trPr/>
        <w:tc>
          <w:tcPr>
            <w:tcW w:w="4975" w:type="dxa"/>
            <w:tcBorders/>
            <w:shd w:fill="CCEEFF" w:val="clear"/>
            <w:tcMar>
              <w:bottom w:w="0" w:type="dxa"/>
            </w:tcMar>
            <w:vAlign w:val="bottom"/>
          </w:tcPr>
          <w:p>
            <w:pPr>
              <w:pStyle w:val="TableContents"/>
              <w:spacing w:lineRule="auto" w:line="300" w:before="0" w:after="0"/>
              <w:ind w:left="180" w:right="0" w:hanging="180"/>
              <w:jc w:val="left"/>
              <w:rPr>
                <w:rFonts w:ascii="Times New Roman" w:hAnsi="Times New Roman"/>
                <w:sz w:val="20"/>
              </w:rPr>
            </w:pPr>
            <w:r>
              <w:rPr>
                <w:rFonts w:ascii="Times New Roman" w:hAnsi="Times New Roman"/>
                <w:sz w:val="20"/>
              </w:rPr>
              <w:t xml:space="preserve">Sales - condominium units </w:t>
            </w:r>
          </w:p>
        </w:tc>
        <w:tc>
          <w:tcPr>
            <w:tcW w:w="189" w:type="dxa"/>
            <w:tcBorders/>
            <w:shd w:fill="CCEEFF" w:val="clear"/>
            <w:tcMar>
              <w:bottom w:w="0" w:type="dxa"/>
            </w:tcMar>
            <w:vAlign w:val="center"/>
          </w:tcPr>
          <w:p>
            <w:pPr>
              <w:pStyle w:val="TableContents"/>
              <w:spacing w:before="0" w:after="283"/>
              <w:rPr/>
            </w:pPr>
            <w:r>
              <w:rPr/>
              <w:t> </w:t>
            </w:r>
          </w:p>
        </w:tc>
        <w:tc>
          <w:tcPr>
            <w:tcW w:w="158"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4348" w:name="TAB12054"/>
            <w:bookmarkEnd w:id="4348"/>
            <w:r>
              <w:rPr>
                <w:rFonts w:ascii="Times New Roman" w:hAnsi="Times New Roman"/>
                <w:sz w:val="20"/>
              </w:rPr>
              <w:t>$</w:t>
            </w:r>
          </w:p>
        </w:tc>
        <w:tc>
          <w:tcPr>
            <w:tcW w:w="1286"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4349" w:name="TAB12055"/>
            <w:bookmarkEnd w:id="4349"/>
            <w:r>
              <w:rPr>
                <w:rFonts w:ascii="Times New Roman" w:hAnsi="Times New Roman"/>
                <w:sz w:val="20"/>
              </w:rPr>
              <w:t>117,329</w:t>
            </w:r>
          </w:p>
        </w:tc>
        <w:tc>
          <w:tcPr>
            <w:tcW w:w="189" w:type="dxa"/>
            <w:tcBorders/>
            <w:shd w:fill="CCEEFF" w:val="clear"/>
            <w:tcMar>
              <w:bottom w:w="0" w:type="dxa"/>
            </w:tcMar>
            <w:vAlign w:val="bottom"/>
          </w:tcPr>
          <w:p>
            <w:pPr>
              <w:pStyle w:val="TableContents"/>
              <w:spacing w:before="0" w:after="283"/>
              <w:jc w:val="left"/>
              <w:rPr/>
            </w:pPr>
            <w:r>
              <w:rPr/>
              <w:t> </w:t>
            </w:r>
          </w:p>
        </w:tc>
        <w:tc>
          <w:tcPr>
            <w:tcW w:w="228"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4350" w:name="TAB12056"/>
            <w:bookmarkEnd w:id="4350"/>
            <w:r>
              <w:rPr>
                <w:rFonts w:ascii="Times New Roman" w:hAnsi="Times New Roman"/>
                <w:sz w:val="20"/>
              </w:rPr>
              <w:t>$</w:t>
            </w:r>
          </w:p>
        </w:tc>
        <w:tc>
          <w:tcPr>
            <w:tcW w:w="1304"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4351" w:name="TAB12057"/>
            <w:bookmarkEnd w:id="4351"/>
            <w:r>
              <w:rPr>
                <w:rFonts w:ascii="Times New Roman" w:hAnsi="Times New Roman"/>
                <w:sz w:val="20"/>
              </w:rPr>
              <w:t>--</w:t>
            </w:r>
          </w:p>
        </w:tc>
        <w:tc>
          <w:tcPr>
            <w:tcW w:w="202" w:type="dxa"/>
            <w:tcBorders/>
            <w:shd w:fill="CCEEFF" w:val="clear"/>
            <w:tcMar>
              <w:bottom w:w="0" w:type="dxa"/>
            </w:tcMar>
            <w:vAlign w:val="bottom"/>
          </w:tcPr>
          <w:p>
            <w:pPr>
              <w:pStyle w:val="TableContents"/>
              <w:spacing w:before="0" w:after="283"/>
              <w:jc w:val="left"/>
              <w:rPr/>
            </w:pPr>
            <w:r>
              <w:rPr/>
              <w:t> </w:t>
            </w:r>
          </w:p>
        </w:tc>
        <w:tc>
          <w:tcPr>
            <w:tcW w:w="228"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4352" w:name="TAB12058"/>
            <w:bookmarkEnd w:id="4352"/>
            <w:r>
              <w:rPr>
                <w:rFonts w:ascii="Times New Roman" w:hAnsi="Times New Roman"/>
                <w:sz w:val="20"/>
              </w:rPr>
              <w:t>$</w:t>
            </w:r>
          </w:p>
        </w:tc>
        <w:tc>
          <w:tcPr>
            <w:tcW w:w="1304"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4353" w:name="TAB12059"/>
            <w:bookmarkEnd w:id="4353"/>
            <w:r>
              <w:rPr>
                <w:rFonts w:ascii="Times New Roman" w:hAnsi="Times New Roman"/>
                <w:sz w:val="20"/>
              </w:rPr>
              <w:t>--</w:t>
            </w:r>
          </w:p>
        </w:tc>
        <w:tc>
          <w:tcPr>
            <w:tcW w:w="142" w:type="dxa"/>
            <w:tcBorders/>
            <w:shd w:fill="CCEEFF" w:val="clear"/>
            <w:tcMar>
              <w:bottom w:w="0" w:type="dxa"/>
            </w:tcMar>
            <w:vAlign w:val="bottom"/>
          </w:tcPr>
          <w:p>
            <w:pPr>
              <w:pStyle w:val="TableContents"/>
              <w:spacing w:before="0" w:after="283"/>
              <w:jc w:val="left"/>
              <w:rPr/>
            </w:pPr>
            <w:r>
              <w:rPr/>
              <w:t> </w:t>
            </w:r>
          </w:p>
        </w:tc>
      </w:tr>
      <w:tr>
        <w:trPr/>
        <w:tc>
          <w:tcPr>
            <w:tcW w:w="4975" w:type="dxa"/>
            <w:tcBorders/>
            <w:shd w:fill="FFFFFF" w:val="clear"/>
            <w:tcMar>
              <w:bottom w:w="0" w:type="dxa"/>
            </w:tcMar>
            <w:vAlign w:val="bottom"/>
          </w:tcPr>
          <w:p>
            <w:pPr>
              <w:pStyle w:val="TableContents"/>
              <w:spacing w:lineRule="auto" w:line="300" w:before="0" w:after="0"/>
              <w:ind w:left="180" w:right="0" w:hanging="180"/>
              <w:jc w:val="left"/>
              <w:rPr>
                <w:rFonts w:ascii="Times New Roman" w:hAnsi="Times New Roman"/>
                <w:sz w:val="20"/>
              </w:rPr>
            </w:pPr>
            <w:r>
              <w:rPr>
                <w:rFonts w:ascii="Times New Roman" w:hAnsi="Times New Roman"/>
                <w:sz w:val="20"/>
              </w:rPr>
              <w:t>Contract termination income</w:t>
            </w:r>
          </w:p>
        </w:tc>
        <w:tc>
          <w:tcPr>
            <w:tcW w:w="189" w:type="dxa"/>
            <w:tcBorders/>
            <w:shd w:fill="FFFFFF" w:val="clear"/>
            <w:tcMar>
              <w:bottom w:w="0" w:type="dxa"/>
            </w:tcMar>
            <w:vAlign w:val="center"/>
          </w:tcPr>
          <w:p>
            <w:pPr>
              <w:pStyle w:val="TableContents"/>
              <w:spacing w:before="0" w:after="283"/>
              <w:rPr/>
            </w:pPr>
            <w:r>
              <w:rPr/>
              <w:t> </w:t>
            </w:r>
          </w:p>
        </w:tc>
        <w:tc>
          <w:tcPr>
            <w:tcW w:w="158" w:type="dxa"/>
            <w:tcBorders/>
            <w:shd w:fill="FFFFFF" w:val="clear"/>
            <w:tcMar>
              <w:bottom w:w="0" w:type="dxa"/>
            </w:tcMar>
            <w:vAlign w:val="bottom"/>
          </w:tcPr>
          <w:p>
            <w:pPr>
              <w:pStyle w:val="TableContents"/>
              <w:spacing w:before="0" w:after="283"/>
              <w:jc w:val="left"/>
              <w:rPr/>
            </w:pPr>
            <w:r>
              <w:rPr/>
              <w:t> </w:t>
            </w:r>
          </w:p>
        </w:tc>
        <w:tc>
          <w:tcPr>
            <w:tcW w:w="1286"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4354" w:name="TAB12060"/>
            <w:bookmarkStart w:id="4355" w:name="TAB12061"/>
            <w:bookmarkStart w:id="4356" w:name="TAB12062"/>
            <w:bookmarkEnd w:id="4354"/>
            <w:bookmarkEnd w:id="4355"/>
            <w:bookmarkEnd w:id="4356"/>
            <w:r>
              <w:rPr>
                <w:rFonts w:ascii="Times New Roman" w:hAnsi="Times New Roman"/>
                <w:sz w:val="20"/>
              </w:rPr>
              <w:t>239</w:t>
            </w:r>
          </w:p>
        </w:tc>
        <w:tc>
          <w:tcPr>
            <w:tcW w:w="189" w:type="dxa"/>
            <w:tcBorders/>
            <w:shd w:fill="FFFFFF" w:val="clear"/>
            <w:tcMar>
              <w:bottom w:w="0" w:type="dxa"/>
            </w:tcMar>
            <w:vAlign w:val="bottom"/>
          </w:tcPr>
          <w:p>
            <w:pPr>
              <w:pStyle w:val="TableContents"/>
              <w:spacing w:before="0" w:after="283"/>
              <w:jc w:val="left"/>
              <w:rPr/>
            </w:pPr>
            <w:r>
              <w:rPr/>
              <w:t> </w:t>
            </w:r>
          </w:p>
        </w:tc>
        <w:tc>
          <w:tcPr>
            <w:tcW w:w="228" w:type="dxa"/>
            <w:tcBorders/>
            <w:shd w:fill="FFFFFF" w:val="clear"/>
            <w:tcMar>
              <w:bottom w:w="0" w:type="dxa"/>
            </w:tcMar>
            <w:vAlign w:val="bottom"/>
          </w:tcPr>
          <w:p>
            <w:pPr>
              <w:pStyle w:val="TableContents"/>
              <w:spacing w:before="0" w:after="283"/>
              <w:jc w:val="left"/>
              <w:rPr/>
            </w:pPr>
            <w:r>
              <w:rPr/>
              <w:t> </w:t>
            </w:r>
          </w:p>
        </w:tc>
        <w:tc>
          <w:tcPr>
            <w:tcW w:w="1304"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4357" w:name="TAB12063"/>
            <w:bookmarkStart w:id="4358" w:name="TAB12064"/>
            <w:bookmarkStart w:id="4359" w:name="TAB12065"/>
            <w:bookmarkEnd w:id="4357"/>
            <w:bookmarkEnd w:id="4358"/>
            <w:bookmarkEnd w:id="4359"/>
            <w:r>
              <w:rPr>
                <w:rFonts w:ascii="Times New Roman" w:hAnsi="Times New Roman"/>
                <w:sz w:val="20"/>
              </w:rPr>
              <w:t>--</w:t>
            </w:r>
          </w:p>
        </w:tc>
        <w:tc>
          <w:tcPr>
            <w:tcW w:w="202" w:type="dxa"/>
            <w:tcBorders/>
            <w:shd w:fill="FFFFFF" w:val="clear"/>
            <w:tcMar>
              <w:bottom w:w="0" w:type="dxa"/>
            </w:tcMar>
            <w:vAlign w:val="bottom"/>
          </w:tcPr>
          <w:p>
            <w:pPr>
              <w:pStyle w:val="TableContents"/>
              <w:spacing w:before="0" w:after="283"/>
              <w:jc w:val="left"/>
              <w:rPr/>
            </w:pPr>
            <w:r>
              <w:rPr/>
              <w:t> </w:t>
            </w:r>
          </w:p>
        </w:tc>
        <w:tc>
          <w:tcPr>
            <w:tcW w:w="228" w:type="dxa"/>
            <w:tcBorders/>
            <w:shd w:fill="FFFFFF" w:val="clear"/>
            <w:tcMar>
              <w:bottom w:w="0" w:type="dxa"/>
            </w:tcMar>
            <w:vAlign w:val="bottom"/>
          </w:tcPr>
          <w:p>
            <w:pPr>
              <w:pStyle w:val="TableContents"/>
              <w:spacing w:before="0" w:after="283"/>
              <w:jc w:val="left"/>
              <w:rPr/>
            </w:pPr>
            <w:r>
              <w:rPr/>
              <w:t> </w:t>
            </w:r>
          </w:p>
        </w:tc>
        <w:tc>
          <w:tcPr>
            <w:tcW w:w="1304"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4360" w:name="TAB12066"/>
            <w:bookmarkStart w:id="4361" w:name="TAB12067"/>
            <w:bookmarkStart w:id="4362" w:name="TAB12068"/>
            <w:bookmarkEnd w:id="4360"/>
            <w:bookmarkEnd w:id="4361"/>
            <w:bookmarkEnd w:id="4362"/>
            <w:r>
              <w:rPr>
                <w:rFonts w:ascii="Times New Roman" w:hAnsi="Times New Roman"/>
                <w:sz w:val="20"/>
              </w:rPr>
              <w:t>--</w:t>
            </w:r>
          </w:p>
        </w:tc>
        <w:tc>
          <w:tcPr>
            <w:tcW w:w="142" w:type="dxa"/>
            <w:tcBorders/>
            <w:shd w:fill="FFFFFF" w:val="clear"/>
            <w:tcMar>
              <w:bottom w:w="0" w:type="dxa"/>
            </w:tcMar>
            <w:vAlign w:val="bottom"/>
          </w:tcPr>
          <w:p>
            <w:pPr>
              <w:pStyle w:val="TableContents"/>
              <w:spacing w:before="0" w:after="283"/>
              <w:jc w:val="left"/>
              <w:rPr/>
            </w:pPr>
            <w:r>
              <w:rPr/>
              <w:t> </w:t>
            </w:r>
          </w:p>
        </w:tc>
      </w:tr>
      <w:tr>
        <w:trPr/>
        <w:tc>
          <w:tcPr>
            <w:tcW w:w="4975" w:type="dxa"/>
            <w:tcBorders>
              <w:bottom w:val="sing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Dividends and interest</w:t>
            </w:r>
          </w:p>
        </w:tc>
        <w:tc>
          <w:tcPr>
            <w:tcW w:w="189" w:type="dxa"/>
            <w:tcBorders>
              <w:bottom w:val="single" w:sz="4" w:space="0" w:color="CCEEFF"/>
            </w:tcBorders>
            <w:shd w:fill="CCEEFF" w:val="clear"/>
            <w:vAlign w:val="center"/>
          </w:tcPr>
          <w:p>
            <w:pPr>
              <w:pStyle w:val="TableContents"/>
              <w:spacing w:before="0" w:after="283"/>
              <w:rPr/>
            </w:pPr>
            <w:r>
              <w:rPr/>
              <w:t> </w:t>
            </w:r>
          </w:p>
        </w:tc>
        <w:tc>
          <w:tcPr>
            <w:tcW w:w="158" w:type="dxa"/>
            <w:tcBorders>
              <w:bottom w:val="single" w:sz="2" w:space="0" w:color="000000"/>
            </w:tcBorders>
            <w:shd w:fill="CCEEFF" w:val="clear"/>
            <w:vAlign w:val="bottom"/>
          </w:tcPr>
          <w:p>
            <w:pPr>
              <w:pStyle w:val="TableContents"/>
              <w:spacing w:before="0" w:after="283"/>
              <w:jc w:val="left"/>
              <w:rPr/>
            </w:pPr>
            <w:r>
              <w:rPr/>
              <w:t> </w:t>
            </w:r>
          </w:p>
        </w:tc>
        <w:tc>
          <w:tcPr>
            <w:tcW w:w="1286"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4363" w:name="TAB12069"/>
            <w:bookmarkStart w:id="4364" w:name="TAB12070"/>
            <w:bookmarkStart w:id="4365" w:name="TAB12071"/>
            <w:bookmarkEnd w:id="4363"/>
            <w:bookmarkEnd w:id="4364"/>
            <w:bookmarkEnd w:id="4365"/>
            <w:r>
              <w:rPr>
                <w:rFonts w:ascii="Times New Roman" w:hAnsi="Times New Roman"/>
                <w:sz w:val="20"/>
              </w:rPr>
              <w:t>140</w:t>
            </w:r>
          </w:p>
        </w:tc>
        <w:tc>
          <w:tcPr>
            <w:tcW w:w="189" w:type="dxa"/>
            <w:tcBorders>
              <w:bottom w:val="single" w:sz="4" w:space="0" w:color="CCEEFF"/>
            </w:tcBorders>
            <w:shd w:fill="CCEEFF" w:val="clear"/>
            <w:vAlign w:val="bottom"/>
          </w:tcPr>
          <w:p>
            <w:pPr>
              <w:pStyle w:val="TableContents"/>
              <w:spacing w:before="0" w:after="283"/>
              <w:jc w:val="left"/>
              <w:rPr/>
            </w:pPr>
            <w:r>
              <w:rPr/>
              <w:t> </w:t>
            </w:r>
          </w:p>
        </w:tc>
        <w:tc>
          <w:tcPr>
            <w:tcW w:w="228" w:type="dxa"/>
            <w:tcBorders>
              <w:bottom w:val="single" w:sz="2" w:space="0" w:color="000000"/>
            </w:tcBorders>
            <w:shd w:fill="CCEEFF" w:val="clear"/>
            <w:vAlign w:val="bottom"/>
          </w:tcPr>
          <w:p>
            <w:pPr>
              <w:pStyle w:val="TableContents"/>
              <w:spacing w:before="0" w:after="283"/>
              <w:jc w:val="left"/>
              <w:rPr/>
            </w:pPr>
            <w:r>
              <w:rPr/>
              <w:t> </w:t>
            </w:r>
          </w:p>
        </w:tc>
        <w:tc>
          <w:tcPr>
            <w:tcW w:w="1304"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4366" w:name="TAB12072"/>
            <w:bookmarkStart w:id="4367" w:name="TAB12073"/>
            <w:bookmarkStart w:id="4368" w:name="TAB12074"/>
            <w:bookmarkEnd w:id="4366"/>
            <w:bookmarkEnd w:id="4367"/>
            <w:bookmarkEnd w:id="4368"/>
            <w:r>
              <w:rPr>
                <w:rFonts w:ascii="Times New Roman" w:hAnsi="Times New Roman"/>
                <w:sz w:val="20"/>
              </w:rPr>
              <w:t>--</w:t>
            </w:r>
          </w:p>
        </w:tc>
        <w:tc>
          <w:tcPr>
            <w:tcW w:w="202" w:type="dxa"/>
            <w:tcBorders>
              <w:bottom w:val="single" w:sz="4" w:space="0" w:color="CCEEFF"/>
            </w:tcBorders>
            <w:shd w:fill="CCEEFF" w:val="clear"/>
            <w:vAlign w:val="bottom"/>
          </w:tcPr>
          <w:p>
            <w:pPr>
              <w:pStyle w:val="TableContents"/>
              <w:spacing w:before="0" w:after="283"/>
              <w:jc w:val="left"/>
              <w:rPr/>
            </w:pPr>
            <w:r>
              <w:rPr/>
              <w:t> </w:t>
            </w:r>
          </w:p>
        </w:tc>
        <w:tc>
          <w:tcPr>
            <w:tcW w:w="228" w:type="dxa"/>
            <w:tcBorders>
              <w:bottom w:val="single" w:sz="2" w:space="0" w:color="000000"/>
            </w:tcBorders>
            <w:shd w:fill="CCEEFF" w:val="clear"/>
            <w:vAlign w:val="bottom"/>
          </w:tcPr>
          <w:p>
            <w:pPr>
              <w:pStyle w:val="TableContents"/>
              <w:spacing w:before="0" w:after="283"/>
              <w:jc w:val="left"/>
              <w:rPr/>
            </w:pPr>
            <w:r>
              <w:rPr/>
              <w:t> </w:t>
            </w:r>
          </w:p>
        </w:tc>
        <w:tc>
          <w:tcPr>
            <w:tcW w:w="1304"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4369" w:name="TAB12075"/>
            <w:bookmarkStart w:id="4370" w:name="TAB12076"/>
            <w:bookmarkStart w:id="4371" w:name="TAB12077"/>
            <w:bookmarkEnd w:id="4369"/>
            <w:bookmarkEnd w:id="4370"/>
            <w:bookmarkEnd w:id="4371"/>
            <w:r>
              <w:rPr>
                <w:rFonts w:ascii="Times New Roman" w:hAnsi="Times New Roman"/>
                <w:sz w:val="20"/>
              </w:rPr>
              <w:t>--</w:t>
            </w:r>
          </w:p>
        </w:tc>
        <w:tc>
          <w:tcPr>
            <w:tcW w:w="142" w:type="dxa"/>
            <w:tcBorders>
              <w:bottom w:val="single" w:sz="4" w:space="0" w:color="CCEEFF"/>
            </w:tcBorders>
            <w:shd w:fill="CCEEFF" w:val="clear"/>
            <w:vAlign w:val="bottom"/>
          </w:tcPr>
          <w:p>
            <w:pPr>
              <w:pStyle w:val="TableContents"/>
              <w:spacing w:before="0" w:after="283"/>
              <w:jc w:val="left"/>
              <w:rPr/>
            </w:pPr>
            <w:r>
              <w:rPr/>
              <w:t> </w:t>
            </w:r>
          </w:p>
        </w:tc>
      </w:tr>
      <w:tr>
        <w:trPr/>
        <w:tc>
          <w:tcPr>
            <w:tcW w:w="4975" w:type="dxa"/>
            <w:tcBorders>
              <w:bottom w:val="single" w:sz="2" w:space="0" w:color="000000"/>
            </w:tcBorders>
            <w:shd w:fill="FFFFFF" w:val="clear"/>
            <w:vAlign w:val="bottom"/>
          </w:tcPr>
          <w:p>
            <w:pPr>
              <w:pStyle w:val="TableContents"/>
              <w:spacing w:lineRule="auto" w:line="300" w:before="0" w:after="0"/>
              <w:ind w:left="900" w:right="0" w:hanging="180"/>
              <w:jc w:val="left"/>
              <w:rPr>
                <w:rFonts w:ascii="Times New Roman" w:hAnsi="Times New Roman"/>
                <w:sz w:val="20"/>
              </w:rPr>
            </w:pPr>
            <w:bookmarkStart w:id="4372" w:name="TAB12078"/>
            <w:bookmarkEnd w:id="4372"/>
            <w:r>
              <w:rPr>
                <w:rFonts w:ascii="Times New Roman" w:hAnsi="Times New Roman"/>
                <w:sz w:val="20"/>
              </w:rPr>
              <w:t>TOTAL REVENUE</w:t>
            </w:r>
          </w:p>
        </w:tc>
        <w:tc>
          <w:tcPr>
            <w:tcW w:w="189" w:type="dxa"/>
            <w:tcBorders>
              <w:bottom w:val="single" w:sz="2" w:space="0" w:color="FFFFFF"/>
            </w:tcBorders>
            <w:shd w:fill="FFFFFF" w:val="clear"/>
            <w:vAlign w:val="center"/>
          </w:tcPr>
          <w:p>
            <w:pPr>
              <w:pStyle w:val="TableContents"/>
              <w:spacing w:before="0" w:after="283"/>
              <w:rPr/>
            </w:pPr>
            <w:r>
              <w:rPr/>
              <w:t> </w:t>
            </w:r>
          </w:p>
        </w:tc>
        <w:tc>
          <w:tcPr>
            <w:tcW w:w="158" w:type="dxa"/>
            <w:tcBorders>
              <w:bottom w:val="single" w:sz="2" w:space="0" w:color="000000"/>
            </w:tcBorders>
            <w:shd w:fill="FFFFFF" w:val="clear"/>
            <w:vAlign w:val="bottom"/>
          </w:tcPr>
          <w:p>
            <w:pPr>
              <w:pStyle w:val="TableContents"/>
              <w:spacing w:before="0" w:after="283"/>
              <w:jc w:val="left"/>
              <w:rPr/>
            </w:pPr>
            <w:r>
              <w:rPr/>
              <w:t> </w:t>
            </w:r>
          </w:p>
        </w:tc>
        <w:tc>
          <w:tcPr>
            <w:tcW w:w="1286"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4373" w:name="TAB12079"/>
            <w:bookmarkStart w:id="4374" w:name="TAB12080"/>
            <w:bookmarkStart w:id="4375" w:name="TAB12081"/>
            <w:bookmarkEnd w:id="4373"/>
            <w:bookmarkEnd w:id="4374"/>
            <w:bookmarkEnd w:id="4375"/>
            <w:r>
              <w:rPr>
                <w:rFonts w:ascii="Times New Roman" w:hAnsi="Times New Roman"/>
                <w:sz w:val="20"/>
              </w:rPr>
              <w:t>117,708</w:t>
            </w:r>
          </w:p>
        </w:tc>
        <w:tc>
          <w:tcPr>
            <w:tcW w:w="189" w:type="dxa"/>
            <w:tcBorders>
              <w:bottom w:val="single" w:sz="2" w:space="0" w:color="FFFFFF"/>
            </w:tcBorders>
            <w:shd w:fill="FFFFFF" w:val="clear"/>
            <w:vAlign w:val="bottom"/>
          </w:tcPr>
          <w:p>
            <w:pPr>
              <w:pStyle w:val="TableContents"/>
              <w:spacing w:before="0" w:after="283"/>
              <w:jc w:val="left"/>
              <w:rPr/>
            </w:pPr>
            <w:r>
              <w:rPr/>
              <w:t> </w:t>
            </w:r>
          </w:p>
        </w:tc>
        <w:tc>
          <w:tcPr>
            <w:tcW w:w="228" w:type="dxa"/>
            <w:tcBorders>
              <w:bottom w:val="single" w:sz="2" w:space="0" w:color="000000"/>
            </w:tcBorders>
            <w:shd w:fill="FFFFFF" w:val="clear"/>
            <w:vAlign w:val="bottom"/>
          </w:tcPr>
          <w:p>
            <w:pPr>
              <w:pStyle w:val="TableContents"/>
              <w:spacing w:before="0" w:after="283"/>
              <w:jc w:val="left"/>
              <w:rPr/>
            </w:pPr>
            <w:r>
              <w:rPr/>
              <w:t> </w:t>
            </w:r>
          </w:p>
        </w:tc>
        <w:tc>
          <w:tcPr>
            <w:tcW w:w="1304"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4376" w:name="TAB12082"/>
            <w:bookmarkStart w:id="4377" w:name="TAB12083"/>
            <w:bookmarkStart w:id="4378" w:name="TAB12084"/>
            <w:bookmarkEnd w:id="4376"/>
            <w:bookmarkEnd w:id="4377"/>
            <w:bookmarkEnd w:id="4378"/>
            <w:r>
              <w:rPr>
                <w:rFonts w:ascii="Times New Roman" w:hAnsi="Times New Roman"/>
                <w:sz w:val="20"/>
              </w:rPr>
              <w:t>--</w:t>
            </w:r>
          </w:p>
        </w:tc>
        <w:tc>
          <w:tcPr>
            <w:tcW w:w="202" w:type="dxa"/>
            <w:tcBorders>
              <w:bottom w:val="single" w:sz="2" w:space="0" w:color="FFFFFF"/>
            </w:tcBorders>
            <w:shd w:fill="FFFFFF" w:val="clear"/>
            <w:vAlign w:val="bottom"/>
          </w:tcPr>
          <w:p>
            <w:pPr>
              <w:pStyle w:val="TableContents"/>
              <w:spacing w:before="0" w:after="283"/>
              <w:jc w:val="left"/>
              <w:rPr/>
            </w:pPr>
            <w:r>
              <w:rPr/>
              <w:t> </w:t>
            </w:r>
          </w:p>
        </w:tc>
        <w:tc>
          <w:tcPr>
            <w:tcW w:w="228" w:type="dxa"/>
            <w:tcBorders>
              <w:bottom w:val="single" w:sz="2" w:space="0" w:color="000000"/>
            </w:tcBorders>
            <w:shd w:fill="FFFFFF" w:val="clear"/>
            <w:vAlign w:val="bottom"/>
          </w:tcPr>
          <w:p>
            <w:pPr>
              <w:pStyle w:val="TableContents"/>
              <w:spacing w:before="0" w:after="283"/>
              <w:jc w:val="left"/>
              <w:rPr/>
            </w:pPr>
            <w:r>
              <w:rPr/>
              <w:t> </w:t>
            </w:r>
          </w:p>
        </w:tc>
        <w:tc>
          <w:tcPr>
            <w:tcW w:w="1304"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4379" w:name="TAB12085"/>
            <w:bookmarkStart w:id="4380" w:name="TAB12086"/>
            <w:bookmarkStart w:id="4381" w:name="TAB12087"/>
            <w:bookmarkEnd w:id="4379"/>
            <w:bookmarkEnd w:id="4380"/>
            <w:bookmarkEnd w:id="4381"/>
            <w:r>
              <w:rPr>
                <w:rFonts w:ascii="Times New Roman" w:hAnsi="Times New Roman"/>
                <w:sz w:val="20"/>
              </w:rPr>
              <w:t>--</w:t>
            </w:r>
          </w:p>
        </w:tc>
        <w:tc>
          <w:tcPr>
            <w:tcW w:w="142" w:type="dxa"/>
            <w:tcBorders>
              <w:bottom w:val="single" w:sz="2" w:space="0" w:color="FFFFFF"/>
            </w:tcBorders>
            <w:shd w:fill="FFFFFF" w:val="clear"/>
            <w:vAlign w:val="bottom"/>
          </w:tcPr>
          <w:p>
            <w:pPr>
              <w:pStyle w:val="TableContents"/>
              <w:spacing w:before="0" w:after="283"/>
              <w:jc w:val="left"/>
              <w:rPr/>
            </w:pPr>
            <w:r>
              <w:rPr/>
              <w:t> </w:t>
            </w:r>
          </w:p>
        </w:tc>
      </w:tr>
      <w:tr>
        <w:trPr/>
        <w:tc>
          <w:tcPr>
            <w:tcW w:w="4975" w:type="dxa"/>
            <w:tcBorders/>
            <w:shd w:fill="CCEEFF" w:val="clear"/>
            <w:tcMar>
              <w:bottom w:w="0" w:type="dxa"/>
            </w:tcMar>
            <w:vAlign w:val="bottom"/>
          </w:tcPr>
          <w:p>
            <w:pPr>
              <w:pStyle w:val="TableContents"/>
              <w:spacing w:lineRule="auto" w:line="300" w:before="0" w:after="0"/>
              <w:ind w:left="180" w:right="0" w:hanging="180"/>
              <w:jc w:val="left"/>
              <w:rPr/>
            </w:pPr>
            <w:r>
              <w:rPr/>
              <w:t> </w:t>
            </w:r>
          </w:p>
          <w:p>
            <w:pPr>
              <w:pStyle w:val="TableContents"/>
              <w:spacing w:lineRule="auto" w:line="300" w:before="0" w:after="0"/>
              <w:ind w:left="180" w:right="0" w:hanging="180"/>
              <w:jc w:val="left"/>
              <w:rPr/>
            </w:pPr>
            <w:r>
              <w:rPr>
                <w:rStyle w:val="StrongEmphasis"/>
                <w:rFonts w:ascii="Times New Roman" w:hAnsi="Times New Roman"/>
                <w:sz w:val="20"/>
              </w:rPr>
              <w:t>EXPENSES:</w:t>
            </w:r>
          </w:p>
        </w:tc>
        <w:tc>
          <w:tcPr>
            <w:tcW w:w="189" w:type="dxa"/>
            <w:tcBorders/>
            <w:shd w:fill="CCEEFF" w:val="clear"/>
            <w:tcMar>
              <w:bottom w:w="0" w:type="dxa"/>
            </w:tcMar>
            <w:vAlign w:val="center"/>
          </w:tcPr>
          <w:p>
            <w:pPr>
              <w:pStyle w:val="TableContents"/>
              <w:spacing w:before="0" w:after="283"/>
              <w:rPr/>
            </w:pPr>
            <w:r>
              <w:rPr/>
              <w:t> </w:t>
            </w:r>
          </w:p>
        </w:tc>
        <w:tc>
          <w:tcPr>
            <w:tcW w:w="158" w:type="dxa"/>
            <w:tcBorders/>
            <w:shd w:fill="CCEEFF" w:val="clear"/>
            <w:tcMar>
              <w:bottom w:w="0" w:type="dxa"/>
            </w:tcMar>
            <w:vAlign w:val="bottom"/>
          </w:tcPr>
          <w:p>
            <w:pPr>
              <w:pStyle w:val="TableContents"/>
              <w:spacing w:before="0" w:after="283"/>
              <w:jc w:val="left"/>
              <w:rPr/>
            </w:pPr>
            <w:r>
              <w:rPr/>
              <w:t> </w:t>
            </w:r>
          </w:p>
        </w:tc>
        <w:tc>
          <w:tcPr>
            <w:tcW w:w="1286" w:type="dxa"/>
            <w:tcBorders/>
            <w:shd w:fill="CCEEFF" w:val="clear"/>
            <w:tcMar>
              <w:bottom w:w="0" w:type="dxa"/>
            </w:tcMar>
            <w:vAlign w:val="bottom"/>
          </w:tcPr>
          <w:p>
            <w:pPr>
              <w:pStyle w:val="TableContents"/>
              <w:spacing w:before="0" w:after="283"/>
              <w:jc w:val="right"/>
              <w:rPr/>
            </w:pPr>
            <w:r>
              <w:rPr/>
              <w:t> </w:t>
            </w:r>
          </w:p>
        </w:tc>
        <w:tc>
          <w:tcPr>
            <w:tcW w:w="189" w:type="dxa"/>
            <w:tcBorders/>
            <w:shd w:fill="CCEEFF" w:val="clear"/>
            <w:tcMar>
              <w:bottom w:w="0" w:type="dxa"/>
            </w:tcMar>
            <w:vAlign w:val="bottom"/>
          </w:tcPr>
          <w:p>
            <w:pPr>
              <w:pStyle w:val="TableContents"/>
              <w:spacing w:before="0" w:after="283"/>
              <w:jc w:val="left"/>
              <w:rPr/>
            </w:pPr>
            <w:r>
              <w:rPr/>
              <w:t> </w:t>
            </w:r>
          </w:p>
        </w:tc>
        <w:tc>
          <w:tcPr>
            <w:tcW w:w="228" w:type="dxa"/>
            <w:tcBorders/>
            <w:shd w:fill="CCEEFF" w:val="clear"/>
            <w:tcMar>
              <w:bottom w:w="0" w:type="dxa"/>
            </w:tcMar>
            <w:vAlign w:val="bottom"/>
          </w:tcPr>
          <w:p>
            <w:pPr>
              <w:pStyle w:val="TableContents"/>
              <w:spacing w:before="0" w:after="283"/>
              <w:jc w:val="left"/>
              <w:rPr/>
            </w:pPr>
            <w:r>
              <w:rPr/>
              <w:t> </w:t>
            </w:r>
          </w:p>
        </w:tc>
        <w:tc>
          <w:tcPr>
            <w:tcW w:w="1304" w:type="dxa"/>
            <w:tcBorders/>
            <w:shd w:fill="CCEEFF" w:val="clear"/>
            <w:tcMar>
              <w:bottom w:w="0" w:type="dxa"/>
            </w:tcMar>
            <w:vAlign w:val="bottom"/>
          </w:tcPr>
          <w:p>
            <w:pPr>
              <w:pStyle w:val="TableContents"/>
              <w:spacing w:before="0" w:after="283"/>
              <w:jc w:val="right"/>
              <w:rPr/>
            </w:pPr>
            <w:r>
              <w:rPr/>
              <w:t> </w:t>
            </w:r>
          </w:p>
        </w:tc>
        <w:tc>
          <w:tcPr>
            <w:tcW w:w="202" w:type="dxa"/>
            <w:tcBorders/>
            <w:shd w:fill="CCEEFF" w:val="clear"/>
            <w:tcMar>
              <w:bottom w:w="0" w:type="dxa"/>
            </w:tcMar>
            <w:vAlign w:val="bottom"/>
          </w:tcPr>
          <w:p>
            <w:pPr>
              <w:pStyle w:val="TableContents"/>
              <w:spacing w:before="0" w:after="283"/>
              <w:jc w:val="left"/>
              <w:rPr/>
            </w:pPr>
            <w:r>
              <w:rPr/>
              <w:t> </w:t>
            </w:r>
          </w:p>
        </w:tc>
        <w:tc>
          <w:tcPr>
            <w:tcW w:w="228" w:type="dxa"/>
            <w:tcBorders/>
            <w:shd w:fill="CCEEFF" w:val="clear"/>
            <w:tcMar>
              <w:bottom w:w="0" w:type="dxa"/>
            </w:tcMar>
            <w:vAlign w:val="bottom"/>
          </w:tcPr>
          <w:p>
            <w:pPr>
              <w:pStyle w:val="TableContents"/>
              <w:spacing w:before="0" w:after="283"/>
              <w:jc w:val="left"/>
              <w:rPr/>
            </w:pPr>
            <w:r>
              <w:rPr/>
              <w:t> </w:t>
            </w:r>
          </w:p>
        </w:tc>
        <w:tc>
          <w:tcPr>
            <w:tcW w:w="1304" w:type="dxa"/>
            <w:tcBorders/>
            <w:shd w:fill="CCEEFF" w:val="clear"/>
            <w:tcMar>
              <w:bottom w:w="0" w:type="dxa"/>
            </w:tcMar>
            <w:vAlign w:val="bottom"/>
          </w:tcPr>
          <w:p>
            <w:pPr>
              <w:pStyle w:val="TableContents"/>
              <w:spacing w:before="0" w:after="283"/>
              <w:jc w:val="right"/>
              <w:rPr/>
            </w:pPr>
            <w:r>
              <w:rPr/>
              <w:t> </w:t>
            </w:r>
          </w:p>
        </w:tc>
        <w:tc>
          <w:tcPr>
            <w:tcW w:w="142" w:type="dxa"/>
            <w:tcBorders/>
            <w:shd w:fill="CCEEFF" w:val="clear"/>
            <w:tcMar>
              <w:bottom w:w="0" w:type="dxa"/>
            </w:tcMar>
            <w:vAlign w:val="bottom"/>
          </w:tcPr>
          <w:p>
            <w:pPr>
              <w:pStyle w:val="TableContents"/>
              <w:spacing w:before="0" w:after="283"/>
              <w:jc w:val="left"/>
              <w:rPr/>
            </w:pPr>
            <w:r>
              <w:rPr/>
              <w:t> </w:t>
            </w:r>
          </w:p>
        </w:tc>
      </w:tr>
      <w:tr>
        <w:trPr/>
        <w:tc>
          <w:tcPr>
            <w:tcW w:w="4975" w:type="dxa"/>
            <w:tcBorders/>
            <w:shd w:fill="FFFFFF" w:val="clear"/>
            <w:tcMar>
              <w:bottom w:w="0" w:type="dxa"/>
            </w:tcMar>
            <w:vAlign w:val="bottom"/>
          </w:tcPr>
          <w:p>
            <w:pPr>
              <w:pStyle w:val="TableContents"/>
              <w:spacing w:lineRule="auto" w:line="300" w:before="0" w:after="0"/>
              <w:ind w:left="180" w:right="0" w:hanging="180"/>
              <w:jc w:val="left"/>
              <w:rPr>
                <w:rFonts w:ascii="Times New Roman" w:hAnsi="Times New Roman"/>
                <w:sz w:val="20"/>
              </w:rPr>
            </w:pPr>
            <w:r>
              <w:rPr>
                <w:rFonts w:ascii="Times New Roman" w:hAnsi="Times New Roman"/>
                <w:sz w:val="20"/>
              </w:rPr>
              <w:t>Costs of sales of condominium units</w:t>
            </w:r>
          </w:p>
        </w:tc>
        <w:tc>
          <w:tcPr>
            <w:tcW w:w="189" w:type="dxa"/>
            <w:tcBorders/>
            <w:shd w:fill="FFFFFF" w:val="clear"/>
            <w:tcMar>
              <w:bottom w:w="0" w:type="dxa"/>
            </w:tcMar>
            <w:vAlign w:val="center"/>
          </w:tcPr>
          <w:p>
            <w:pPr>
              <w:pStyle w:val="TableContents"/>
              <w:spacing w:before="0" w:after="283"/>
              <w:rPr/>
            </w:pPr>
            <w:r>
              <w:rPr/>
              <w:t> </w:t>
            </w:r>
          </w:p>
        </w:tc>
        <w:tc>
          <w:tcPr>
            <w:tcW w:w="158" w:type="dxa"/>
            <w:tcBorders/>
            <w:shd w:fill="FFFFFF" w:val="clear"/>
            <w:tcMar>
              <w:bottom w:w="0" w:type="dxa"/>
            </w:tcMar>
            <w:vAlign w:val="bottom"/>
          </w:tcPr>
          <w:p>
            <w:pPr>
              <w:pStyle w:val="TableContents"/>
              <w:spacing w:before="0" w:after="283"/>
              <w:jc w:val="left"/>
              <w:rPr/>
            </w:pPr>
            <w:r>
              <w:rPr/>
              <w:t> </w:t>
            </w:r>
          </w:p>
        </w:tc>
        <w:tc>
          <w:tcPr>
            <w:tcW w:w="1286"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4382" w:name="TAB12088"/>
            <w:bookmarkStart w:id="4383" w:name="TAB12089"/>
            <w:bookmarkEnd w:id="4382"/>
            <w:bookmarkEnd w:id="4383"/>
            <w:r>
              <w:rPr>
                <w:rFonts w:ascii="Times New Roman" w:hAnsi="Times New Roman"/>
                <w:sz w:val="20"/>
              </w:rPr>
              <w:t>75,382</w:t>
            </w:r>
          </w:p>
        </w:tc>
        <w:tc>
          <w:tcPr>
            <w:tcW w:w="189" w:type="dxa"/>
            <w:tcBorders/>
            <w:shd w:fill="FFFFFF" w:val="clear"/>
            <w:tcMar>
              <w:bottom w:w="0" w:type="dxa"/>
            </w:tcMar>
            <w:vAlign w:val="bottom"/>
          </w:tcPr>
          <w:p>
            <w:pPr>
              <w:pStyle w:val="TableContents"/>
              <w:spacing w:before="0" w:after="283"/>
              <w:jc w:val="left"/>
              <w:rPr/>
            </w:pPr>
            <w:r>
              <w:rPr/>
              <w:t> </w:t>
            </w:r>
          </w:p>
        </w:tc>
        <w:tc>
          <w:tcPr>
            <w:tcW w:w="228" w:type="dxa"/>
            <w:tcBorders/>
            <w:shd w:fill="FFFFFF" w:val="clear"/>
            <w:tcMar>
              <w:bottom w:w="0" w:type="dxa"/>
            </w:tcMar>
            <w:vAlign w:val="bottom"/>
          </w:tcPr>
          <w:p>
            <w:pPr>
              <w:pStyle w:val="TableContents"/>
              <w:spacing w:before="0" w:after="283"/>
              <w:jc w:val="left"/>
              <w:rPr/>
            </w:pPr>
            <w:r>
              <w:rPr/>
              <w:t> </w:t>
            </w:r>
          </w:p>
        </w:tc>
        <w:tc>
          <w:tcPr>
            <w:tcW w:w="1304"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4384" w:name="TAB12090"/>
            <w:bookmarkStart w:id="4385" w:name="TAB12091"/>
            <w:bookmarkEnd w:id="4384"/>
            <w:bookmarkEnd w:id="4385"/>
            <w:r>
              <w:rPr>
                <w:rFonts w:ascii="Times New Roman" w:hAnsi="Times New Roman"/>
                <w:sz w:val="20"/>
              </w:rPr>
              <w:t>--</w:t>
            </w:r>
          </w:p>
        </w:tc>
        <w:tc>
          <w:tcPr>
            <w:tcW w:w="202" w:type="dxa"/>
            <w:tcBorders/>
            <w:shd w:fill="FFFFFF" w:val="clear"/>
            <w:tcMar>
              <w:bottom w:w="0" w:type="dxa"/>
            </w:tcMar>
            <w:vAlign w:val="bottom"/>
          </w:tcPr>
          <w:p>
            <w:pPr>
              <w:pStyle w:val="TableContents"/>
              <w:spacing w:before="0" w:after="283"/>
              <w:jc w:val="left"/>
              <w:rPr/>
            </w:pPr>
            <w:r>
              <w:rPr/>
              <w:t> </w:t>
            </w:r>
          </w:p>
        </w:tc>
        <w:tc>
          <w:tcPr>
            <w:tcW w:w="228" w:type="dxa"/>
            <w:tcBorders/>
            <w:shd w:fill="FFFFFF" w:val="clear"/>
            <w:tcMar>
              <w:bottom w:w="0" w:type="dxa"/>
            </w:tcMar>
            <w:vAlign w:val="bottom"/>
          </w:tcPr>
          <w:p>
            <w:pPr>
              <w:pStyle w:val="TableContents"/>
              <w:spacing w:before="0" w:after="283"/>
              <w:jc w:val="left"/>
              <w:rPr/>
            </w:pPr>
            <w:r>
              <w:rPr/>
              <w:t> </w:t>
            </w:r>
          </w:p>
        </w:tc>
        <w:tc>
          <w:tcPr>
            <w:tcW w:w="1304"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4386" w:name="TAB12092"/>
            <w:bookmarkStart w:id="4387" w:name="TAB12093"/>
            <w:bookmarkEnd w:id="4386"/>
            <w:bookmarkEnd w:id="4387"/>
            <w:r>
              <w:rPr>
                <w:rFonts w:ascii="Times New Roman" w:hAnsi="Times New Roman"/>
                <w:sz w:val="20"/>
              </w:rPr>
              <w:t>--</w:t>
            </w:r>
          </w:p>
        </w:tc>
        <w:tc>
          <w:tcPr>
            <w:tcW w:w="142" w:type="dxa"/>
            <w:tcBorders/>
            <w:shd w:fill="FFFFFF" w:val="clear"/>
            <w:tcMar>
              <w:bottom w:w="0" w:type="dxa"/>
            </w:tcMar>
            <w:vAlign w:val="bottom"/>
          </w:tcPr>
          <w:p>
            <w:pPr>
              <w:pStyle w:val="TableContents"/>
              <w:spacing w:before="0" w:after="283"/>
              <w:jc w:val="left"/>
              <w:rPr/>
            </w:pPr>
            <w:r>
              <w:rPr/>
              <w:t> </w:t>
            </w:r>
          </w:p>
        </w:tc>
      </w:tr>
      <w:tr>
        <w:trPr/>
        <w:tc>
          <w:tcPr>
            <w:tcW w:w="4975" w:type="dxa"/>
            <w:tcBorders/>
            <w:shd w:fill="CCEEFF" w:val="clear"/>
            <w:tcMar>
              <w:bottom w:w="0" w:type="dxa"/>
            </w:tcMar>
            <w:vAlign w:val="bottom"/>
          </w:tcPr>
          <w:p>
            <w:pPr>
              <w:pStyle w:val="TableContents"/>
              <w:spacing w:lineRule="auto" w:line="300" w:before="0" w:after="0"/>
              <w:ind w:left="180" w:right="0" w:hanging="180"/>
              <w:jc w:val="left"/>
              <w:rPr>
                <w:rFonts w:ascii="Times New Roman" w:hAnsi="Times New Roman"/>
                <w:sz w:val="20"/>
              </w:rPr>
            </w:pPr>
            <w:r>
              <w:rPr>
                <w:rFonts w:ascii="Times New Roman" w:hAnsi="Times New Roman"/>
                <w:sz w:val="20"/>
              </w:rPr>
              <w:t>Selling costs</w:t>
            </w:r>
          </w:p>
        </w:tc>
        <w:tc>
          <w:tcPr>
            <w:tcW w:w="189" w:type="dxa"/>
            <w:tcBorders/>
            <w:shd w:fill="CCEEFF" w:val="clear"/>
            <w:tcMar>
              <w:bottom w:w="0" w:type="dxa"/>
            </w:tcMar>
            <w:vAlign w:val="center"/>
          </w:tcPr>
          <w:p>
            <w:pPr>
              <w:pStyle w:val="TableContents"/>
              <w:spacing w:before="0" w:after="283"/>
              <w:rPr/>
            </w:pPr>
            <w:r>
              <w:rPr/>
              <w:t> </w:t>
            </w:r>
          </w:p>
        </w:tc>
        <w:tc>
          <w:tcPr>
            <w:tcW w:w="158" w:type="dxa"/>
            <w:tcBorders/>
            <w:shd w:fill="CCEEFF" w:val="clear"/>
            <w:tcMar>
              <w:bottom w:w="0" w:type="dxa"/>
            </w:tcMar>
            <w:vAlign w:val="bottom"/>
          </w:tcPr>
          <w:p>
            <w:pPr>
              <w:pStyle w:val="TableContents"/>
              <w:spacing w:before="0" w:after="283"/>
              <w:jc w:val="left"/>
              <w:rPr/>
            </w:pPr>
            <w:r>
              <w:rPr/>
              <w:t> </w:t>
            </w:r>
          </w:p>
        </w:tc>
        <w:tc>
          <w:tcPr>
            <w:tcW w:w="1286"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4388" w:name="TAB12094"/>
            <w:bookmarkStart w:id="4389" w:name="TAB12095"/>
            <w:bookmarkStart w:id="4390" w:name="TAB12096"/>
            <w:bookmarkEnd w:id="4388"/>
            <w:bookmarkEnd w:id="4389"/>
            <w:bookmarkEnd w:id="4390"/>
            <w:r>
              <w:rPr>
                <w:rFonts w:ascii="Times New Roman" w:hAnsi="Times New Roman"/>
                <w:sz w:val="20"/>
              </w:rPr>
              <w:t>6,523</w:t>
            </w:r>
          </w:p>
        </w:tc>
        <w:tc>
          <w:tcPr>
            <w:tcW w:w="189" w:type="dxa"/>
            <w:tcBorders/>
            <w:shd w:fill="CCEEFF" w:val="clear"/>
            <w:tcMar>
              <w:bottom w:w="0" w:type="dxa"/>
            </w:tcMar>
            <w:vAlign w:val="bottom"/>
          </w:tcPr>
          <w:p>
            <w:pPr>
              <w:pStyle w:val="TableContents"/>
              <w:spacing w:before="0" w:after="283"/>
              <w:jc w:val="left"/>
              <w:rPr/>
            </w:pPr>
            <w:r>
              <w:rPr/>
              <w:t> </w:t>
            </w:r>
          </w:p>
        </w:tc>
        <w:tc>
          <w:tcPr>
            <w:tcW w:w="228" w:type="dxa"/>
            <w:tcBorders/>
            <w:shd w:fill="CCEEFF" w:val="clear"/>
            <w:tcMar>
              <w:bottom w:w="0" w:type="dxa"/>
            </w:tcMar>
            <w:vAlign w:val="bottom"/>
          </w:tcPr>
          <w:p>
            <w:pPr>
              <w:pStyle w:val="TableContents"/>
              <w:spacing w:before="0" w:after="283"/>
              <w:jc w:val="left"/>
              <w:rPr/>
            </w:pPr>
            <w:r>
              <w:rPr/>
              <w:t> </w:t>
            </w:r>
          </w:p>
        </w:tc>
        <w:tc>
          <w:tcPr>
            <w:tcW w:w="1304"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4391" w:name="TAB12097"/>
            <w:bookmarkStart w:id="4392" w:name="TAB12098"/>
            <w:bookmarkStart w:id="4393" w:name="TAB12099"/>
            <w:bookmarkEnd w:id="4391"/>
            <w:bookmarkEnd w:id="4392"/>
            <w:bookmarkEnd w:id="4393"/>
            <w:r>
              <w:rPr>
                <w:rFonts w:ascii="Times New Roman" w:hAnsi="Times New Roman"/>
                <w:sz w:val="20"/>
              </w:rPr>
              <w:t>--</w:t>
            </w:r>
          </w:p>
        </w:tc>
        <w:tc>
          <w:tcPr>
            <w:tcW w:w="202" w:type="dxa"/>
            <w:tcBorders/>
            <w:shd w:fill="CCEEFF" w:val="clear"/>
            <w:tcMar>
              <w:bottom w:w="0" w:type="dxa"/>
            </w:tcMar>
            <w:vAlign w:val="bottom"/>
          </w:tcPr>
          <w:p>
            <w:pPr>
              <w:pStyle w:val="TableContents"/>
              <w:spacing w:before="0" w:after="283"/>
              <w:jc w:val="left"/>
              <w:rPr/>
            </w:pPr>
            <w:r>
              <w:rPr/>
              <w:t> </w:t>
            </w:r>
          </w:p>
        </w:tc>
        <w:tc>
          <w:tcPr>
            <w:tcW w:w="228" w:type="dxa"/>
            <w:tcBorders/>
            <w:shd w:fill="CCEEFF" w:val="clear"/>
            <w:tcMar>
              <w:bottom w:w="0" w:type="dxa"/>
            </w:tcMar>
            <w:vAlign w:val="bottom"/>
          </w:tcPr>
          <w:p>
            <w:pPr>
              <w:pStyle w:val="TableContents"/>
              <w:spacing w:before="0" w:after="283"/>
              <w:jc w:val="left"/>
              <w:rPr/>
            </w:pPr>
            <w:r>
              <w:rPr/>
              <w:t> </w:t>
            </w:r>
          </w:p>
        </w:tc>
        <w:tc>
          <w:tcPr>
            <w:tcW w:w="1304"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4394" w:name="TAB12100"/>
            <w:bookmarkStart w:id="4395" w:name="TAB12101"/>
            <w:bookmarkStart w:id="4396" w:name="TAB12102"/>
            <w:bookmarkEnd w:id="4394"/>
            <w:bookmarkEnd w:id="4395"/>
            <w:bookmarkEnd w:id="4396"/>
            <w:r>
              <w:rPr>
                <w:rFonts w:ascii="Times New Roman" w:hAnsi="Times New Roman"/>
                <w:sz w:val="20"/>
              </w:rPr>
              <w:t>--</w:t>
            </w:r>
          </w:p>
        </w:tc>
        <w:tc>
          <w:tcPr>
            <w:tcW w:w="142" w:type="dxa"/>
            <w:tcBorders/>
            <w:shd w:fill="CCEEFF" w:val="clear"/>
            <w:tcMar>
              <w:bottom w:w="0" w:type="dxa"/>
            </w:tcMar>
            <w:vAlign w:val="bottom"/>
          </w:tcPr>
          <w:p>
            <w:pPr>
              <w:pStyle w:val="TableContents"/>
              <w:spacing w:before="0" w:after="283"/>
              <w:jc w:val="left"/>
              <w:rPr/>
            </w:pPr>
            <w:r>
              <w:rPr/>
              <w:t> </w:t>
            </w:r>
          </w:p>
        </w:tc>
      </w:tr>
      <w:tr>
        <w:trPr/>
        <w:tc>
          <w:tcPr>
            <w:tcW w:w="4975" w:type="dxa"/>
            <w:tcBorders/>
            <w:shd w:fill="FFFFFF" w:val="clear"/>
            <w:tcMar>
              <w:bottom w:w="0" w:type="dxa"/>
            </w:tcMar>
            <w:vAlign w:val="bottom"/>
          </w:tcPr>
          <w:p>
            <w:pPr>
              <w:pStyle w:val="TableContents"/>
              <w:spacing w:lineRule="auto" w:line="300" w:before="0" w:after="0"/>
              <w:ind w:left="180" w:right="0" w:hanging="180"/>
              <w:jc w:val="left"/>
              <w:rPr>
                <w:rFonts w:ascii="Times New Roman" w:hAnsi="Times New Roman"/>
                <w:sz w:val="20"/>
              </w:rPr>
            </w:pPr>
            <w:r>
              <w:rPr>
                <w:rFonts w:ascii="Times New Roman" w:hAnsi="Times New Roman"/>
                <w:sz w:val="20"/>
              </w:rPr>
              <w:t>Marketing and promotion</w:t>
            </w:r>
          </w:p>
        </w:tc>
        <w:tc>
          <w:tcPr>
            <w:tcW w:w="189" w:type="dxa"/>
            <w:tcBorders/>
            <w:shd w:fill="FFFFFF" w:val="clear"/>
            <w:tcMar>
              <w:bottom w:w="0" w:type="dxa"/>
            </w:tcMar>
            <w:vAlign w:val="center"/>
          </w:tcPr>
          <w:p>
            <w:pPr>
              <w:pStyle w:val="TableContents"/>
              <w:spacing w:before="0" w:after="283"/>
              <w:rPr/>
            </w:pPr>
            <w:r>
              <w:rPr/>
              <w:t> </w:t>
            </w:r>
          </w:p>
        </w:tc>
        <w:tc>
          <w:tcPr>
            <w:tcW w:w="158" w:type="dxa"/>
            <w:tcBorders/>
            <w:shd w:fill="FFFFFF" w:val="clear"/>
            <w:tcMar>
              <w:bottom w:w="0" w:type="dxa"/>
            </w:tcMar>
            <w:vAlign w:val="bottom"/>
          </w:tcPr>
          <w:p>
            <w:pPr>
              <w:pStyle w:val="TableContents"/>
              <w:spacing w:before="0" w:after="283"/>
              <w:jc w:val="left"/>
              <w:rPr/>
            </w:pPr>
            <w:r>
              <w:rPr/>
              <w:t> </w:t>
            </w:r>
          </w:p>
        </w:tc>
        <w:tc>
          <w:tcPr>
            <w:tcW w:w="1286"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4397" w:name="TAB12103"/>
            <w:bookmarkStart w:id="4398" w:name="TAB12104"/>
            <w:bookmarkStart w:id="4399" w:name="TAB12105"/>
            <w:bookmarkEnd w:id="4397"/>
            <w:bookmarkEnd w:id="4398"/>
            <w:bookmarkEnd w:id="4399"/>
            <w:r>
              <w:rPr>
                <w:rFonts w:ascii="Times New Roman" w:hAnsi="Times New Roman"/>
                <w:sz w:val="20"/>
              </w:rPr>
              <w:t>740</w:t>
            </w:r>
          </w:p>
        </w:tc>
        <w:tc>
          <w:tcPr>
            <w:tcW w:w="189" w:type="dxa"/>
            <w:tcBorders/>
            <w:shd w:fill="FFFFFF" w:val="clear"/>
            <w:tcMar>
              <w:bottom w:w="0" w:type="dxa"/>
            </w:tcMar>
            <w:vAlign w:val="bottom"/>
          </w:tcPr>
          <w:p>
            <w:pPr>
              <w:pStyle w:val="TableContents"/>
              <w:spacing w:before="0" w:after="283"/>
              <w:jc w:val="left"/>
              <w:rPr/>
            </w:pPr>
            <w:r>
              <w:rPr/>
              <w:t> </w:t>
            </w:r>
          </w:p>
        </w:tc>
        <w:tc>
          <w:tcPr>
            <w:tcW w:w="228" w:type="dxa"/>
            <w:tcBorders/>
            <w:shd w:fill="FFFFFF" w:val="clear"/>
            <w:tcMar>
              <w:bottom w:w="0" w:type="dxa"/>
            </w:tcMar>
            <w:vAlign w:val="bottom"/>
          </w:tcPr>
          <w:p>
            <w:pPr>
              <w:pStyle w:val="TableContents"/>
              <w:spacing w:before="0" w:after="283"/>
              <w:jc w:val="left"/>
              <w:rPr/>
            </w:pPr>
            <w:r>
              <w:rPr/>
              <w:t> </w:t>
            </w:r>
          </w:p>
        </w:tc>
        <w:tc>
          <w:tcPr>
            <w:tcW w:w="1304"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4400" w:name="TAB12106"/>
            <w:bookmarkStart w:id="4401" w:name="TAB12107"/>
            <w:bookmarkStart w:id="4402" w:name="TAB12108"/>
            <w:bookmarkEnd w:id="4400"/>
            <w:bookmarkEnd w:id="4401"/>
            <w:bookmarkEnd w:id="4402"/>
            <w:r>
              <w:rPr>
                <w:rFonts w:ascii="Times New Roman" w:hAnsi="Times New Roman"/>
                <w:sz w:val="20"/>
              </w:rPr>
              <w:t>500</w:t>
            </w:r>
          </w:p>
        </w:tc>
        <w:tc>
          <w:tcPr>
            <w:tcW w:w="202" w:type="dxa"/>
            <w:tcBorders/>
            <w:shd w:fill="FFFFFF" w:val="clear"/>
            <w:tcMar>
              <w:bottom w:w="0" w:type="dxa"/>
            </w:tcMar>
            <w:vAlign w:val="bottom"/>
          </w:tcPr>
          <w:p>
            <w:pPr>
              <w:pStyle w:val="TableContents"/>
              <w:spacing w:before="0" w:after="283"/>
              <w:jc w:val="left"/>
              <w:rPr/>
            </w:pPr>
            <w:r>
              <w:rPr/>
              <w:t> </w:t>
            </w:r>
          </w:p>
        </w:tc>
        <w:tc>
          <w:tcPr>
            <w:tcW w:w="228" w:type="dxa"/>
            <w:tcBorders/>
            <w:shd w:fill="FFFFFF" w:val="clear"/>
            <w:tcMar>
              <w:bottom w:w="0" w:type="dxa"/>
            </w:tcMar>
            <w:vAlign w:val="bottom"/>
          </w:tcPr>
          <w:p>
            <w:pPr>
              <w:pStyle w:val="TableContents"/>
              <w:spacing w:before="0" w:after="283"/>
              <w:jc w:val="left"/>
              <w:rPr/>
            </w:pPr>
            <w:r>
              <w:rPr/>
              <w:t> </w:t>
            </w:r>
          </w:p>
        </w:tc>
        <w:tc>
          <w:tcPr>
            <w:tcW w:w="1304"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4403" w:name="TAB12109"/>
            <w:bookmarkStart w:id="4404" w:name="TAB12110"/>
            <w:bookmarkStart w:id="4405" w:name="TAB12111"/>
            <w:bookmarkEnd w:id="4403"/>
            <w:bookmarkEnd w:id="4404"/>
            <w:bookmarkEnd w:id="4405"/>
            <w:r>
              <w:rPr>
                <w:rFonts w:ascii="Times New Roman" w:hAnsi="Times New Roman"/>
                <w:sz w:val="20"/>
              </w:rPr>
              <w:t>225</w:t>
            </w:r>
          </w:p>
        </w:tc>
        <w:tc>
          <w:tcPr>
            <w:tcW w:w="142" w:type="dxa"/>
            <w:tcBorders/>
            <w:shd w:fill="FFFFFF" w:val="clear"/>
            <w:tcMar>
              <w:bottom w:w="0" w:type="dxa"/>
            </w:tcMar>
            <w:vAlign w:val="bottom"/>
          </w:tcPr>
          <w:p>
            <w:pPr>
              <w:pStyle w:val="TableContents"/>
              <w:spacing w:before="0" w:after="283"/>
              <w:jc w:val="left"/>
              <w:rPr/>
            </w:pPr>
            <w:r>
              <w:rPr/>
              <w:t> </w:t>
            </w:r>
          </w:p>
        </w:tc>
      </w:tr>
      <w:tr>
        <w:trPr/>
        <w:tc>
          <w:tcPr>
            <w:tcW w:w="4975" w:type="dxa"/>
            <w:tcBorders/>
            <w:shd w:fill="CCEEFF" w:val="clear"/>
            <w:tcMar>
              <w:bottom w:w="0" w:type="dxa"/>
            </w:tcMar>
            <w:vAlign w:val="bottom"/>
          </w:tcPr>
          <w:p>
            <w:pPr>
              <w:pStyle w:val="TableContents"/>
              <w:spacing w:lineRule="auto" w:line="300" w:before="0" w:after="0"/>
              <w:ind w:left="180" w:right="0" w:hanging="180"/>
              <w:jc w:val="left"/>
              <w:rPr>
                <w:rFonts w:ascii="Times New Roman" w:hAnsi="Times New Roman"/>
                <w:sz w:val="20"/>
              </w:rPr>
            </w:pPr>
            <w:r>
              <w:rPr>
                <w:rFonts w:ascii="Times New Roman" w:hAnsi="Times New Roman"/>
                <w:sz w:val="20"/>
              </w:rPr>
              <w:t>Sponsor common charges</w:t>
            </w:r>
          </w:p>
        </w:tc>
        <w:tc>
          <w:tcPr>
            <w:tcW w:w="189" w:type="dxa"/>
            <w:tcBorders/>
            <w:shd w:fill="CCEEFF" w:val="clear"/>
            <w:tcMar>
              <w:bottom w:w="0" w:type="dxa"/>
            </w:tcMar>
            <w:vAlign w:val="center"/>
          </w:tcPr>
          <w:p>
            <w:pPr>
              <w:pStyle w:val="TableContents"/>
              <w:spacing w:before="0" w:after="283"/>
              <w:rPr/>
            </w:pPr>
            <w:r>
              <w:rPr/>
              <w:t> </w:t>
            </w:r>
          </w:p>
        </w:tc>
        <w:tc>
          <w:tcPr>
            <w:tcW w:w="158" w:type="dxa"/>
            <w:tcBorders/>
            <w:shd w:fill="CCEEFF" w:val="clear"/>
            <w:tcMar>
              <w:bottom w:w="0" w:type="dxa"/>
            </w:tcMar>
            <w:vAlign w:val="bottom"/>
          </w:tcPr>
          <w:p>
            <w:pPr>
              <w:pStyle w:val="TableContents"/>
              <w:spacing w:before="0" w:after="283"/>
              <w:jc w:val="left"/>
              <w:rPr/>
            </w:pPr>
            <w:r>
              <w:rPr/>
              <w:t> </w:t>
            </w:r>
          </w:p>
        </w:tc>
        <w:tc>
          <w:tcPr>
            <w:tcW w:w="1286"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4406" w:name="TAB12112"/>
            <w:bookmarkStart w:id="4407" w:name="TAB12113"/>
            <w:bookmarkStart w:id="4408" w:name="TAB12114"/>
            <w:bookmarkEnd w:id="4406"/>
            <w:bookmarkEnd w:id="4407"/>
            <w:bookmarkEnd w:id="4408"/>
            <w:r>
              <w:rPr>
                <w:rFonts w:ascii="Times New Roman" w:hAnsi="Times New Roman"/>
                <w:sz w:val="20"/>
              </w:rPr>
              <w:t>421</w:t>
            </w:r>
          </w:p>
        </w:tc>
        <w:tc>
          <w:tcPr>
            <w:tcW w:w="189" w:type="dxa"/>
            <w:tcBorders/>
            <w:shd w:fill="CCEEFF" w:val="clear"/>
            <w:tcMar>
              <w:bottom w:w="0" w:type="dxa"/>
            </w:tcMar>
            <w:vAlign w:val="bottom"/>
          </w:tcPr>
          <w:p>
            <w:pPr>
              <w:pStyle w:val="TableContents"/>
              <w:spacing w:before="0" w:after="283"/>
              <w:jc w:val="left"/>
              <w:rPr/>
            </w:pPr>
            <w:r>
              <w:rPr/>
              <w:t> </w:t>
            </w:r>
          </w:p>
        </w:tc>
        <w:tc>
          <w:tcPr>
            <w:tcW w:w="228" w:type="dxa"/>
            <w:tcBorders/>
            <w:shd w:fill="CCEEFF" w:val="clear"/>
            <w:tcMar>
              <w:bottom w:w="0" w:type="dxa"/>
            </w:tcMar>
            <w:vAlign w:val="bottom"/>
          </w:tcPr>
          <w:p>
            <w:pPr>
              <w:pStyle w:val="TableContents"/>
              <w:spacing w:before="0" w:after="283"/>
              <w:jc w:val="left"/>
              <w:rPr/>
            </w:pPr>
            <w:r>
              <w:rPr/>
              <w:t> </w:t>
            </w:r>
          </w:p>
        </w:tc>
        <w:tc>
          <w:tcPr>
            <w:tcW w:w="1304"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4409" w:name="TAB12115"/>
            <w:bookmarkStart w:id="4410" w:name="TAB12116"/>
            <w:bookmarkStart w:id="4411" w:name="TAB12117"/>
            <w:bookmarkEnd w:id="4409"/>
            <w:bookmarkEnd w:id="4410"/>
            <w:bookmarkEnd w:id="4411"/>
            <w:r>
              <w:rPr>
                <w:rFonts w:ascii="Times New Roman" w:hAnsi="Times New Roman"/>
                <w:sz w:val="20"/>
              </w:rPr>
              <w:t>--</w:t>
            </w:r>
          </w:p>
        </w:tc>
        <w:tc>
          <w:tcPr>
            <w:tcW w:w="202" w:type="dxa"/>
            <w:tcBorders/>
            <w:shd w:fill="CCEEFF" w:val="clear"/>
            <w:tcMar>
              <w:bottom w:w="0" w:type="dxa"/>
            </w:tcMar>
            <w:vAlign w:val="bottom"/>
          </w:tcPr>
          <w:p>
            <w:pPr>
              <w:pStyle w:val="TableContents"/>
              <w:spacing w:before="0" w:after="283"/>
              <w:jc w:val="left"/>
              <w:rPr/>
            </w:pPr>
            <w:r>
              <w:rPr/>
              <w:t> </w:t>
            </w:r>
          </w:p>
        </w:tc>
        <w:tc>
          <w:tcPr>
            <w:tcW w:w="228" w:type="dxa"/>
            <w:tcBorders/>
            <w:shd w:fill="CCEEFF" w:val="clear"/>
            <w:tcMar>
              <w:bottom w:w="0" w:type="dxa"/>
            </w:tcMar>
            <w:vAlign w:val="bottom"/>
          </w:tcPr>
          <w:p>
            <w:pPr>
              <w:pStyle w:val="TableContents"/>
              <w:spacing w:before="0" w:after="283"/>
              <w:jc w:val="left"/>
              <w:rPr/>
            </w:pPr>
            <w:r>
              <w:rPr/>
              <w:t> </w:t>
            </w:r>
          </w:p>
        </w:tc>
        <w:tc>
          <w:tcPr>
            <w:tcW w:w="1304"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4412" w:name="TAB12118"/>
            <w:bookmarkStart w:id="4413" w:name="TAB12119"/>
            <w:bookmarkStart w:id="4414" w:name="TAB12120"/>
            <w:bookmarkEnd w:id="4412"/>
            <w:bookmarkEnd w:id="4413"/>
            <w:bookmarkEnd w:id="4414"/>
            <w:r>
              <w:rPr>
                <w:rFonts w:ascii="Times New Roman" w:hAnsi="Times New Roman"/>
                <w:sz w:val="20"/>
              </w:rPr>
              <w:t>--</w:t>
            </w:r>
          </w:p>
        </w:tc>
        <w:tc>
          <w:tcPr>
            <w:tcW w:w="142" w:type="dxa"/>
            <w:tcBorders/>
            <w:shd w:fill="CCEEFF" w:val="clear"/>
            <w:tcMar>
              <w:bottom w:w="0" w:type="dxa"/>
            </w:tcMar>
            <w:vAlign w:val="bottom"/>
          </w:tcPr>
          <w:p>
            <w:pPr>
              <w:pStyle w:val="TableContents"/>
              <w:spacing w:before="0" w:after="283"/>
              <w:jc w:val="left"/>
              <w:rPr/>
            </w:pPr>
            <w:r>
              <w:rPr/>
              <w:t> </w:t>
            </w:r>
          </w:p>
        </w:tc>
      </w:tr>
      <w:tr>
        <w:trPr/>
        <w:tc>
          <w:tcPr>
            <w:tcW w:w="4975" w:type="dxa"/>
            <w:tcBorders/>
            <w:shd w:fill="FFFFFF" w:val="clear"/>
            <w:tcMar>
              <w:bottom w:w="0" w:type="dxa"/>
            </w:tcMar>
            <w:vAlign w:val="bottom"/>
          </w:tcPr>
          <w:p>
            <w:pPr>
              <w:pStyle w:val="TableContents"/>
              <w:spacing w:lineRule="auto" w:line="300" w:before="0" w:after="0"/>
              <w:ind w:left="180" w:right="0" w:hanging="180"/>
              <w:jc w:val="left"/>
              <w:rPr>
                <w:rFonts w:ascii="Times New Roman" w:hAnsi="Times New Roman"/>
                <w:sz w:val="20"/>
              </w:rPr>
            </w:pPr>
            <w:r>
              <w:rPr>
                <w:rFonts w:ascii="Times New Roman" w:hAnsi="Times New Roman"/>
                <w:sz w:val="20"/>
              </w:rPr>
              <w:t>Utilities</w:t>
            </w:r>
          </w:p>
        </w:tc>
        <w:tc>
          <w:tcPr>
            <w:tcW w:w="189" w:type="dxa"/>
            <w:tcBorders/>
            <w:shd w:fill="FFFFFF" w:val="clear"/>
            <w:tcMar>
              <w:bottom w:w="0" w:type="dxa"/>
            </w:tcMar>
            <w:vAlign w:val="center"/>
          </w:tcPr>
          <w:p>
            <w:pPr>
              <w:pStyle w:val="TableContents"/>
              <w:spacing w:before="0" w:after="283"/>
              <w:rPr/>
            </w:pPr>
            <w:r>
              <w:rPr/>
              <w:t> </w:t>
            </w:r>
          </w:p>
        </w:tc>
        <w:tc>
          <w:tcPr>
            <w:tcW w:w="158" w:type="dxa"/>
            <w:tcBorders/>
            <w:shd w:fill="FFFFFF" w:val="clear"/>
            <w:tcMar>
              <w:bottom w:w="0" w:type="dxa"/>
            </w:tcMar>
            <w:vAlign w:val="bottom"/>
          </w:tcPr>
          <w:p>
            <w:pPr>
              <w:pStyle w:val="TableContents"/>
              <w:spacing w:before="0" w:after="283"/>
              <w:jc w:val="left"/>
              <w:rPr/>
            </w:pPr>
            <w:r>
              <w:rPr/>
              <w:t> </w:t>
            </w:r>
          </w:p>
        </w:tc>
        <w:tc>
          <w:tcPr>
            <w:tcW w:w="1286"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4415" w:name="TAB12121"/>
            <w:bookmarkStart w:id="4416" w:name="TAB12122"/>
            <w:bookmarkStart w:id="4417" w:name="TAB12123"/>
            <w:bookmarkEnd w:id="4415"/>
            <w:bookmarkEnd w:id="4416"/>
            <w:bookmarkEnd w:id="4417"/>
            <w:r>
              <w:rPr>
                <w:rFonts w:ascii="Times New Roman" w:hAnsi="Times New Roman"/>
                <w:sz w:val="20"/>
              </w:rPr>
              <w:t>90</w:t>
            </w:r>
          </w:p>
        </w:tc>
        <w:tc>
          <w:tcPr>
            <w:tcW w:w="189" w:type="dxa"/>
            <w:tcBorders/>
            <w:shd w:fill="FFFFFF" w:val="clear"/>
            <w:tcMar>
              <w:bottom w:w="0" w:type="dxa"/>
            </w:tcMar>
            <w:vAlign w:val="bottom"/>
          </w:tcPr>
          <w:p>
            <w:pPr>
              <w:pStyle w:val="TableContents"/>
              <w:spacing w:before="0" w:after="283"/>
              <w:jc w:val="left"/>
              <w:rPr/>
            </w:pPr>
            <w:r>
              <w:rPr/>
              <w:t> </w:t>
            </w:r>
          </w:p>
        </w:tc>
        <w:tc>
          <w:tcPr>
            <w:tcW w:w="228" w:type="dxa"/>
            <w:tcBorders/>
            <w:shd w:fill="FFFFFF" w:val="clear"/>
            <w:tcMar>
              <w:bottom w:w="0" w:type="dxa"/>
            </w:tcMar>
            <w:vAlign w:val="bottom"/>
          </w:tcPr>
          <w:p>
            <w:pPr>
              <w:pStyle w:val="TableContents"/>
              <w:spacing w:before="0" w:after="283"/>
              <w:jc w:val="left"/>
              <w:rPr/>
            </w:pPr>
            <w:r>
              <w:rPr/>
              <w:t> </w:t>
            </w:r>
          </w:p>
        </w:tc>
        <w:tc>
          <w:tcPr>
            <w:tcW w:w="1304"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4418" w:name="TAB12124"/>
            <w:bookmarkStart w:id="4419" w:name="TAB12125"/>
            <w:bookmarkStart w:id="4420" w:name="TAB12126"/>
            <w:bookmarkEnd w:id="4418"/>
            <w:bookmarkEnd w:id="4419"/>
            <w:bookmarkEnd w:id="4420"/>
            <w:r>
              <w:rPr>
                <w:rFonts w:ascii="Times New Roman" w:hAnsi="Times New Roman"/>
                <w:sz w:val="20"/>
              </w:rPr>
              <w:t>--</w:t>
            </w:r>
          </w:p>
        </w:tc>
        <w:tc>
          <w:tcPr>
            <w:tcW w:w="202" w:type="dxa"/>
            <w:tcBorders/>
            <w:shd w:fill="FFFFFF" w:val="clear"/>
            <w:tcMar>
              <w:bottom w:w="0" w:type="dxa"/>
            </w:tcMar>
            <w:vAlign w:val="bottom"/>
          </w:tcPr>
          <w:p>
            <w:pPr>
              <w:pStyle w:val="TableContents"/>
              <w:spacing w:before="0" w:after="283"/>
              <w:jc w:val="left"/>
              <w:rPr/>
            </w:pPr>
            <w:r>
              <w:rPr/>
              <w:t> </w:t>
            </w:r>
          </w:p>
        </w:tc>
        <w:tc>
          <w:tcPr>
            <w:tcW w:w="228" w:type="dxa"/>
            <w:tcBorders/>
            <w:shd w:fill="FFFFFF" w:val="clear"/>
            <w:tcMar>
              <w:bottom w:w="0" w:type="dxa"/>
            </w:tcMar>
            <w:vAlign w:val="bottom"/>
          </w:tcPr>
          <w:p>
            <w:pPr>
              <w:pStyle w:val="TableContents"/>
              <w:spacing w:before="0" w:after="283"/>
              <w:jc w:val="left"/>
              <w:rPr/>
            </w:pPr>
            <w:r>
              <w:rPr/>
              <w:t> </w:t>
            </w:r>
          </w:p>
        </w:tc>
        <w:tc>
          <w:tcPr>
            <w:tcW w:w="1304"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4421" w:name="TAB12127"/>
            <w:bookmarkStart w:id="4422" w:name="TAB12128"/>
            <w:bookmarkStart w:id="4423" w:name="TAB12129"/>
            <w:bookmarkEnd w:id="4421"/>
            <w:bookmarkEnd w:id="4422"/>
            <w:bookmarkEnd w:id="4423"/>
            <w:r>
              <w:rPr>
                <w:rFonts w:ascii="Times New Roman" w:hAnsi="Times New Roman"/>
                <w:sz w:val="20"/>
              </w:rPr>
              <w:t>--</w:t>
            </w:r>
          </w:p>
        </w:tc>
        <w:tc>
          <w:tcPr>
            <w:tcW w:w="142" w:type="dxa"/>
            <w:tcBorders/>
            <w:shd w:fill="FFFFFF" w:val="clear"/>
            <w:tcMar>
              <w:bottom w:w="0" w:type="dxa"/>
            </w:tcMar>
            <w:vAlign w:val="bottom"/>
          </w:tcPr>
          <w:p>
            <w:pPr>
              <w:pStyle w:val="TableContents"/>
              <w:spacing w:before="0" w:after="283"/>
              <w:jc w:val="left"/>
              <w:rPr/>
            </w:pPr>
            <w:r>
              <w:rPr/>
              <w:t> </w:t>
            </w:r>
          </w:p>
        </w:tc>
      </w:tr>
      <w:tr>
        <w:trPr/>
        <w:tc>
          <w:tcPr>
            <w:tcW w:w="4975" w:type="dxa"/>
            <w:tcBorders/>
            <w:shd w:fill="CCEEFF" w:val="clear"/>
            <w:tcMar>
              <w:bottom w:w="0" w:type="dxa"/>
            </w:tcMar>
            <w:vAlign w:val="bottom"/>
          </w:tcPr>
          <w:p>
            <w:pPr>
              <w:pStyle w:val="TableContents"/>
              <w:spacing w:lineRule="auto" w:line="300" w:before="0" w:after="0"/>
              <w:ind w:left="180" w:right="0" w:hanging="180"/>
              <w:jc w:val="left"/>
              <w:rPr>
                <w:rFonts w:ascii="Times New Roman" w:hAnsi="Times New Roman"/>
                <w:sz w:val="20"/>
              </w:rPr>
            </w:pPr>
            <w:r>
              <w:rPr>
                <w:rFonts w:ascii="Times New Roman" w:hAnsi="Times New Roman"/>
                <w:sz w:val="20"/>
              </w:rPr>
              <w:t>Contributions</w:t>
            </w:r>
          </w:p>
        </w:tc>
        <w:tc>
          <w:tcPr>
            <w:tcW w:w="189" w:type="dxa"/>
            <w:tcBorders/>
            <w:shd w:fill="CCEEFF" w:val="clear"/>
            <w:tcMar>
              <w:bottom w:w="0" w:type="dxa"/>
            </w:tcMar>
            <w:vAlign w:val="center"/>
          </w:tcPr>
          <w:p>
            <w:pPr>
              <w:pStyle w:val="TableContents"/>
              <w:spacing w:before="0" w:after="283"/>
              <w:rPr/>
            </w:pPr>
            <w:r>
              <w:rPr/>
              <w:t> </w:t>
            </w:r>
          </w:p>
        </w:tc>
        <w:tc>
          <w:tcPr>
            <w:tcW w:w="158" w:type="dxa"/>
            <w:tcBorders/>
            <w:shd w:fill="CCEEFF" w:val="clear"/>
            <w:tcMar>
              <w:bottom w:w="0" w:type="dxa"/>
            </w:tcMar>
            <w:vAlign w:val="bottom"/>
          </w:tcPr>
          <w:p>
            <w:pPr>
              <w:pStyle w:val="TableContents"/>
              <w:spacing w:before="0" w:after="283"/>
              <w:jc w:val="left"/>
              <w:rPr/>
            </w:pPr>
            <w:r>
              <w:rPr/>
              <w:t> </w:t>
            </w:r>
          </w:p>
        </w:tc>
        <w:tc>
          <w:tcPr>
            <w:tcW w:w="1286"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4424" w:name="TAB12130"/>
            <w:bookmarkStart w:id="4425" w:name="TAB12131"/>
            <w:bookmarkStart w:id="4426" w:name="TAB12132"/>
            <w:bookmarkEnd w:id="4424"/>
            <w:bookmarkEnd w:id="4425"/>
            <w:bookmarkEnd w:id="4426"/>
            <w:r>
              <w:rPr>
                <w:rFonts w:ascii="Times New Roman" w:hAnsi="Times New Roman"/>
                <w:sz w:val="20"/>
              </w:rPr>
              <w:t>6</w:t>
            </w:r>
          </w:p>
        </w:tc>
        <w:tc>
          <w:tcPr>
            <w:tcW w:w="189" w:type="dxa"/>
            <w:tcBorders/>
            <w:shd w:fill="CCEEFF" w:val="clear"/>
            <w:tcMar>
              <w:bottom w:w="0" w:type="dxa"/>
            </w:tcMar>
            <w:vAlign w:val="bottom"/>
          </w:tcPr>
          <w:p>
            <w:pPr>
              <w:pStyle w:val="TableContents"/>
              <w:spacing w:before="0" w:after="283"/>
              <w:jc w:val="left"/>
              <w:rPr/>
            </w:pPr>
            <w:r>
              <w:rPr/>
              <w:t> </w:t>
            </w:r>
          </w:p>
        </w:tc>
        <w:tc>
          <w:tcPr>
            <w:tcW w:w="228" w:type="dxa"/>
            <w:tcBorders/>
            <w:shd w:fill="CCEEFF" w:val="clear"/>
            <w:tcMar>
              <w:bottom w:w="0" w:type="dxa"/>
            </w:tcMar>
            <w:vAlign w:val="bottom"/>
          </w:tcPr>
          <w:p>
            <w:pPr>
              <w:pStyle w:val="TableContents"/>
              <w:spacing w:before="0" w:after="283"/>
              <w:jc w:val="left"/>
              <w:rPr/>
            </w:pPr>
            <w:r>
              <w:rPr/>
              <w:t> </w:t>
            </w:r>
          </w:p>
        </w:tc>
        <w:tc>
          <w:tcPr>
            <w:tcW w:w="1304"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4427" w:name="TAB12133"/>
            <w:bookmarkStart w:id="4428" w:name="TAB12134"/>
            <w:bookmarkStart w:id="4429" w:name="TAB12135"/>
            <w:bookmarkEnd w:id="4427"/>
            <w:bookmarkEnd w:id="4428"/>
            <w:bookmarkEnd w:id="4429"/>
            <w:r>
              <w:rPr>
                <w:rFonts w:ascii="Times New Roman" w:hAnsi="Times New Roman"/>
                <w:sz w:val="20"/>
              </w:rPr>
              <w:t>--</w:t>
            </w:r>
          </w:p>
        </w:tc>
        <w:tc>
          <w:tcPr>
            <w:tcW w:w="202" w:type="dxa"/>
            <w:tcBorders/>
            <w:shd w:fill="CCEEFF" w:val="clear"/>
            <w:tcMar>
              <w:bottom w:w="0" w:type="dxa"/>
            </w:tcMar>
            <w:vAlign w:val="bottom"/>
          </w:tcPr>
          <w:p>
            <w:pPr>
              <w:pStyle w:val="TableContents"/>
              <w:spacing w:before="0" w:after="283"/>
              <w:jc w:val="left"/>
              <w:rPr/>
            </w:pPr>
            <w:r>
              <w:rPr/>
              <w:t> </w:t>
            </w:r>
          </w:p>
        </w:tc>
        <w:tc>
          <w:tcPr>
            <w:tcW w:w="228" w:type="dxa"/>
            <w:tcBorders/>
            <w:shd w:fill="CCEEFF" w:val="clear"/>
            <w:tcMar>
              <w:bottom w:w="0" w:type="dxa"/>
            </w:tcMar>
            <w:vAlign w:val="bottom"/>
          </w:tcPr>
          <w:p>
            <w:pPr>
              <w:pStyle w:val="TableContents"/>
              <w:spacing w:before="0" w:after="283"/>
              <w:jc w:val="left"/>
              <w:rPr/>
            </w:pPr>
            <w:r>
              <w:rPr/>
              <w:t> </w:t>
            </w:r>
          </w:p>
        </w:tc>
        <w:tc>
          <w:tcPr>
            <w:tcW w:w="1304"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4430" w:name="TAB12136"/>
            <w:bookmarkStart w:id="4431" w:name="TAB12137"/>
            <w:bookmarkStart w:id="4432" w:name="TAB12138"/>
            <w:bookmarkEnd w:id="4430"/>
            <w:bookmarkEnd w:id="4431"/>
            <w:bookmarkEnd w:id="4432"/>
            <w:r>
              <w:rPr>
                <w:rFonts w:ascii="Times New Roman" w:hAnsi="Times New Roman"/>
                <w:sz w:val="20"/>
              </w:rPr>
              <w:t>--</w:t>
            </w:r>
          </w:p>
        </w:tc>
        <w:tc>
          <w:tcPr>
            <w:tcW w:w="142" w:type="dxa"/>
            <w:tcBorders/>
            <w:shd w:fill="CCEEFF" w:val="clear"/>
            <w:tcMar>
              <w:bottom w:w="0" w:type="dxa"/>
            </w:tcMar>
            <w:vAlign w:val="bottom"/>
          </w:tcPr>
          <w:p>
            <w:pPr>
              <w:pStyle w:val="TableContents"/>
              <w:spacing w:before="0" w:after="283"/>
              <w:jc w:val="left"/>
              <w:rPr/>
            </w:pPr>
            <w:r>
              <w:rPr/>
              <w:t> </w:t>
            </w:r>
          </w:p>
        </w:tc>
      </w:tr>
      <w:tr>
        <w:trPr/>
        <w:tc>
          <w:tcPr>
            <w:tcW w:w="4975" w:type="dxa"/>
            <w:tcBorders/>
            <w:shd w:fill="FFFFFF" w:val="clear"/>
            <w:tcMar>
              <w:bottom w:w="0" w:type="dxa"/>
            </w:tcMar>
            <w:vAlign w:val="bottom"/>
          </w:tcPr>
          <w:p>
            <w:pPr>
              <w:pStyle w:val="TableContents"/>
              <w:spacing w:lineRule="auto" w:line="300" w:before="0" w:after="0"/>
              <w:ind w:left="180" w:right="0" w:hanging="180"/>
              <w:jc w:val="left"/>
              <w:rPr>
                <w:rFonts w:ascii="Times New Roman" w:hAnsi="Times New Roman"/>
                <w:sz w:val="20"/>
              </w:rPr>
            </w:pPr>
            <w:r>
              <w:rPr>
                <w:rFonts w:ascii="Times New Roman" w:hAnsi="Times New Roman"/>
                <w:sz w:val="20"/>
              </w:rPr>
              <w:t>Miscellaneous</w:t>
            </w:r>
          </w:p>
        </w:tc>
        <w:tc>
          <w:tcPr>
            <w:tcW w:w="189" w:type="dxa"/>
            <w:tcBorders/>
            <w:shd w:fill="FFFFFF" w:val="clear"/>
            <w:tcMar>
              <w:bottom w:w="0" w:type="dxa"/>
            </w:tcMar>
            <w:vAlign w:val="center"/>
          </w:tcPr>
          <w:p>
            <w:pPr>
              <w:pStyle w:val="TableContents"/>
              <w:spacing w:before="0" w:after="283"/>
              <w:rPr/>
            </w:pPr>
            <w:r>
              <w:rPr/>
              <w:t> </w:t>
            </w:r>
          </w:p>
        </w:tc>
        <w:tc>
          <w:tcPr>
            <w:tcW w:w="158" w:type="dxa"/>
            <w:tcBorders/>
            <w:shd w:fill="FFFFFF" w:val="clear"/>
            <w:tcMar>
              <w:bottom w:w="0" w:type="dxa"/>
            </w:tcMar>
            <w:vAlign w:val="bottom"/>
          </w:tcPr>
          <w:p>
            <w:pPr>
              <w:pStyle w:val="TableContents"/>
              <w:spacing w:before="0" w:after="283"/>
              <w:jc w:val="left"/>
              <w:rPr/>
            </w:pPr>
            <w:r>
              <w:rPr/>
              <w:t> </w:t>
            </w:r>
          </w:p>
        </w:tc>
        <w:tc>
          <w:tcPr>
            <w:tcW w:w="1286"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4433" w:name="TAB12139"/>
            <w:bookmarkStart w:id="4434" w:name="TAB12140"/>
            <w:bookmarkStart w:id="4435" w:name="TAB12141"/>
            <w:bookmarkEnd w:id="4433"/>
            <w:bookmarkEnd w:id="4434"/>
            <w:bookmarkEnd w:id="4435"/>
            <w:r>
              <w:rPr>
                <w:rFonts w:ascii="Times New Roman" w:hAnsi="Times New Roman"/>
                <w:sz w:val="20"/>
              </w:rPr>
              <w:t>5</w:t>
            </w:r>
          </w:p>
        </w:tc>
        <w:tc>
          <w:tcPr>
            <w:tcW w:w="189" w:type="dxa"/>
            <w:tcBorders/>
            <w:shd w:fill="FFFFFF" w:val="clear"/>
            <w:tcMar>
              <w:bottom w:w="0" w:type="dxa"/>
            </w:tcMar>
            <w:vAlign w:val="bottom"/>
          </w:tcPr>
          <w:p>
            <w:pPr>
              <w:pStyle w:val="TableContents"/>
              <w:spacing w:before="0" w:after="283"/>
              <w:jc w:val="left"/>
              <w:rPr/>
            </w:pPr>
            <w:r>
              <w:rPr/>
              <w:t> </w:t>
            </w:r>
          </w:p>
        </w:tc>
        <w:tc>
          <w:tcPr>
            <w:tcW w:w="228" w:type="dxa"/>
            <w:tcBorders/>
            <w:shd w:fill="FFFFFF" w:val="clear"/>
            <w:tcMar>
              <w:bottom w:w="0" w:type="dxa"/>
            </w:tcMar>
            <w:vAlign w:val="bottom"/>
          </w:tcPr>
          <w:p>
            <w:pPr>
              <w:pStyle w:val="TableContents"/>
              <w:spacing w:before="0" w:after="283"/>
              <w:jc w:val="left"/>
              <w:rPr/>
            </w:pPr>
            <w:r>
              <w:rPr/>
              <w:t> </w:t>
            </w:r>
          </w:p>
        </w:tc>
        <w:tc>
          <w:tcPr>
            <w:tcW w:w="1304"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4436" w:name="TAB12142"/>
            <w:bookmarkStart w:id="4437" w:name="TAB12143"/>
            <w:bookmarkStart w:id="4438" w:name="TAB12144"/>
            <w:bookmarkEnd w:id="4436"/>
            <w:bookmarkEnd w:id="4437"/>
            <w:bookmarkEnd w:id="4438"/>
            <w:r>
              <w:rPr>
                <w:rFonts w:ascii="Times New Roman" w:hAnsi="Times New Roman"/>
                <w:sz w:val="20"/>
              </w:rPr>
              <w:t>--</w:t>
            </w:r>
          </w:p>
        </w:tc>
        <w:tc>
          <w:tcPr>
            <w:tcW w:w="202" w:type="dxa"/>
            <w:tcBorders/>
            <w:shd w:fill="FFFFFF" w:val="clear"/>
            <w:tcMar>
              <w:bottom w:w="0" w:type="dxa"/>
            </w:tcMar>
            <w:vAlign w:val="bottom"/>
          </w:tcPr>
          <w:p>
            <w:pPr>
              <w:pStyle w:val="TableContents"/>
              <w:spacing w:before="0" w:after="283"/>
              <w:jc w:val="left"/>
              <w:rPr/>
            </w:pPr>
            <w:r>
              <w:rPr/>
              <w:t> </w:t>
            </w:r>
          </w:p>
        </w:tc>
        <w:tc>
          <w:tcPr>
            <w:tcW w:w="228" w:type="dxa"/>
            <w:tcBorders/>
            <w:shd w:fill="FFFFFF" w:val="clear"/>
            <w:tcMar>
              <w:bottom w:w="0" w:type="dxa"/>
            </w:tcMar>
            <w:vAlign w:val="bottom"/>
          </w:tcPr>
          <w:p>
            <w:pPr>
              <w:pStyle w:val="TableContents"/>
              <w:spacing w:before="0" w:after="283"/>
              <w:jc w:val="left"/>
              <w:rPr/>
            </w:pPr>
            <w:r>
              <w:rPr/>
              <w:t> </w:t>
            </w:r>
          </w:p>
        </w:tc>
        <w:tc>
          <w:tcPr>
            <w:tcW w:w="1304"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4439" w:name="TAB12145"/>
            <w:bookmarkStart w:id="4440" w:name="TAB12146"/>
            <w:bookmarkStart w:id="4441" w:name="TAB12147"/>
            <w:bookmarkEnd w:id="4439"/>
            <w:bookmarkEnd w:id="4440"/>
            <w:bookmarkEnd w:id="4441"/>
            <w:r>
              <w:rPr>
                <w:rFonts w:ascii="Times New Roman" w:hAnsi="Times New Roman"/>
                <w:sz w:val="20"/>
              </w:rPr>
              <w:t>--</w:t>
            </w:r>
          </w:p>
        </w:tc>
        <w:tc>
          <w:tcPr>
            <w:tcW w:w="142" w:type="dxa"/>
            <w:tcBorders/>
            <w:shd w:fill="FFFFFF" w:val="clear"/>
            <w:tcMar>
              <w:bottom w:w="0" w:type="dxa"/>
            </w:tcMar>
            <w:vAlign w:val="bottom"/>
          </w:tcPr>
          <w:p>
            <w:pPr>
              <w:pStyle w:val="TableContents"/>
              <w:spacing w:before="0" w:after="283"/>
              <w:jc w:val="left"/>
              <w:rPr/>
            </w:pPr>
            <w:r>
              <w:rPr/>
              <w:t> </w:t>
            </w:r>
          </w:p>
        </w:tc>
      </w:tr>
      <w:tr>
        <w:trPr/>
        <w:tc>
          <w:tcPr>
            <w:tcW w:w="4975" w:type="dxa"/>
            <w:tcBorders>
              <w:bottom w:val="single" w:sz="2" w:space="0" w:color="000000"/>
            </w:tcBorders>
            <w:shd w:fill="CCEEFF" w:val="clear"/>
            <w:vAlign w:val="bottom"/>
          </w:tcPr>
          <w:p>
            <w:pPr>
              <w:pStyle w:val="TableContents"/>
              <w:spacing w:lineRule="auto" w:line="300" w:before="0" w:after="0"/>
              <w:ind w:left="180" w:right="0" w:hanging="180"/>
              <w:jc w:val="left"/>
              <w:rPr>
                <w:rFonts w:ascii="Times New Roman" w:hAnsi="Times New Roman"/>
                <w:sz w:val="20"/>
              </w:rPr>
            </w:pPr>
            <w:r>
              <w:rPr>
                <w:rFonts w:ascii="Times New Roman" w:hAnsi="Times New Roman"/>
                <w:sz w:val="20"/>
              </w:rPr>
              <w:t xml:space="preserve">New York City unincorporated business tax </w:t>
            </w:r>
          </w:p>
        </w:tc>
        <w:tc>
          <w:tcPr>
            <w:tcW w:w="189" w:type="dxa"/>
            <w:tcBorders>
              <w:bottom w:val="single" w:sz="4" w:space="0" w:color="CCEEFF"/>
            </w:tcBorders>
            <w:shd w:fill="CCEEFF" w:val="clear"/>
            <w:vAlign w:val="center"/>
          </w:tcPr>
          <w:p>
            <w:pPr>
              <w:pStyle w:val="TableContents"/>
              <w:spacing w:before="0" w:after="283"/>
              <w:rPr/>
            </w:pPr>
            <w:r>
              <w:rPr/>
              <w:t> </w:t>
            </w:r>
          </w:p>
        </w:tc>
        <w:tc>
          <w:tcPr>
            <w:tcW w:w="158" w:type="dxa"/>
            <w:tcBorders>
              <w:bottom w:val="single" w:sz="2" w:space="0" w:color="000000"/>
            </w:tcBorders>
            <w:shd w:fill="CCEEFF" w:val="clear"/>
            <w:vAlign w:val="bottom"/>
          </w:tcPr>
          <w:p>
            <w:pPr>
              <w:pStyle w:val="TableContents"/>
              <w:spacing w:before="0" w:after="283"/>
              <w:jc w:val="left"/>
              <w:rPr/>
            </w:pPr>
            <w:r>
              <w:rPr/>
              <w:t> </w:t>
            </w:r>
          </w:p>
        </w:tc>
        <w:tc>
          <w:tcPr>
            <w:tcW w:w="1286"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4442" w:name="TAB12148"/>
            <w:bookmarkStart w:id="4443" w:name="TAB12149"/>
            <w:bookmarkStart w:id="4444" w:name="TAB12150"/>
            <w:bookmarkEnd w:id="4442"/>
            <w:bookmarkEnd w:id="4443"/>
            <w:bookmarkEnd w:id="4444"/>
            <w:r>
              <w:rPr>
                <w:rFonts w:ascii="Times New Roman" w:hAnsi="Times New Roman"/>
                <w:sz w:val="20"/>
              </w:rPr>
              <w:t>1,435</w:t>
            </w:r>
          </w:p>
        </w:tc>
        <w:tc>
          <w:tcPr>
            <w:tcW w:w="189" w:type="dxa"/>
            <w:tcBorders>
              <w:bottom w:val="single" w:sz="4" w:space="0" w:color="CCEEFF"/>
            </w:tcBorders>
            <w:shd w:fill="CCEEFF" w:val="clear"/>
            <w:vAlign w:val="bottom"/>
          </w:tcPr>
          <w:p>
            <w:pPr>
              <w:pStyle w:val="TableContents"/>
              <w:spacing w:before="0" w:after="283"/>
              <w:jc w:val="left"/>
              <w:rPr/>
            </w:pPr>
            <w:r>
              <w:rPr/>
              <w:t> </w:t>
            </w:r>
          </w:p>
        </w:tc>
        <w:tc>
          <w:tcPr>
            <w:tcW w:w="228" w:type="dxa"/>
            <w:tcBorders>
              <w:bottom w:val="single" w:sz="2" w:space="0" w:color="000000"/>
            </w:tcBorders>
            <w:shd w:fill="CCEEFF" w:val="clear"/>
            <w:vAlign w:val="bottom"/>
          </w:tcPr>
          <w:p>
            <w:pPr>
              <w:pStyle w:val="TableContents"/>
              <w:spacing w:before="0" w:after="283"/>
              <w:jc w:val="left"/>
              <w:rPr/>
            </w:pPr>
            <w:r>
              <w:rPr/>
              <w:t> </w:t>
            </w:r>
          </w:p>
        </w:tc>
        <w:tc>
          <w:tcPr>
            <w:tcW w:w="1304"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4445" w:name="TAB12151"/>
            <w:bookmarkStart w:id="4446" w:name="TAB12152"/>
            <w:bookmarkStart w:id="4447" w:name="TAB12153"/>
            <w:bookmarkEnd w:id="4445"/>
            <w:bookmarkEnd w:id="4446"/>
            <w:bookmarkEnd w:id="4447"/>
            <w:r>
              <w:rPr>
                <w:rFonts w:ascii="Times New Roman" w:hAnsi="Times New Roman"/>
                <w:sz w:val="20"/>
              </w:rPr>
              <w:t>--</w:t>
            </w:r>
          </w:p>
        </w:tc>
        <w:tc>
          <w:tcPr>
            <w:tcW w:w="202" w:type="dxa"/>
            <w:tcBorders>
              <w:bottom w:val="single" w:sz="4" w:space="0" w:color="CCEEFF"/>
            </w:tcBorders>
            <w:shd w:fill="CCEEFF" w:val="clear"/>
            <w:vAlign w:val="bottom"/>
          </w:tcPr>
          <w:p>
            <w:pPr>
              <w:pStyle w:val="TableContents"/>
              <w:spacing w:before="0" w:after="283"/>
              <w:jc w:val="left"/>
              <w:rPr/>
            </w:pPr>
            <w:r>
              <w:rPr/>
              <w:t> </w:t>
            </w:r>
          </w:p>
        </w:tc>
        <w:tc>
          <w:tcPr>
            <w:tcW w:w="228" w:type="dxa"/>
            <w:tcBorders>
              <w:bottom w:val="single" w:sz="2" w:space="0" w:color="000000"/>
            </w:tcBorders>
            <w:shd w:fill="CCEEFF" w:val="clear"/>
            <w:vAlign w:val="bottom"/>
          </w:tcPr>
          <w:p>
            <w:pPr>
              <w:pStyle w:val="TableContents"/>
              <w:spacing w:before="0" w:after="283"/>
              <w:jc w:val="left"/>
              <w:rPr/>
            </w:pPr>
            <w:r>
              <w:rPr/>
              <w:t> </w:t>
            </w:r>
          </w:p>
        </w:tc>
        <w:tc>
          <w:tcPr>
            <w:tcW w:w="1304"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4448" w:name="TAB12154"/>
            <w:bookmarkStart w:id="4449" w:name="TAB12155"/>
            <w:bookmarkStart w:id="4450" w:name="TAB12156"/>
            <w:bookmarkEnd w:id="4448"/>
            <w:bookmarkEnd w:id="4449"/>
            <w:bookmarkEnd w:id="4450"/>
            <w:r>
              <w:rPr>
                <w:rFonts w:ascii="Times New Roman" w:hAnsi="Times New Roman"/>
                <w:sz w:val="20"/>
              </w:rPr>
              <w:t>--</w:t>
            </w:r>
          </w:p>
        </w:tc>
        <w:tc>
          <w:tcPr>
            <w:tcW w:w="142" w:type="dxa"/>
            <w:tcBorders>
              <w:bottom w:val="single" w:sz="4" w:space="0" w:color="CCEEFF"/>
            </w:tcBorders>
            <w:shd w:fill="CCEEFF" w:val="clear"/>
            <w:vAlign w:val="bottom"/>
          </w:tcPr>
          <w:p>
            <w:pPr>
              <w:pStyle w:val="TableContents"/>
              <w:spacing w:before="0" w:after="283"/>
              <w:jc w:val="left"/>
              <w:rPr/>
            </w:pPr>
            <w:r>
              <w:rPr/>
              <w:t> </w:t>
            </w:r>
          </w:p>
        </w:tc>
      </w:tr>
      <w:tr>
        <w:trPr/>
        <w:tc>
          <w:tcPr>
            <w:tcW w:w="4975" w:type="dxa"/>
            <w:tcBorders>
              <w:bottom w:val="single" w:sz="2" w:space="0" w:color="000000"/>
            </w:tcBorders>
            <w:shd w:fill="FFFFFF" w:val="clear"/>
            <w:vAlign w:val="bottom"/>
          </w:tcPr>
          <w:p>
            <w:pPr>
              <w:pStyle w:val="TableContents"/>
              <w:spacing w:lineRule="auto" w:line="300" w:before="0" w:after="0"/>
              <w:ind w:left="900" w:right="0" w:hanging="180"/>
              <w:jc w:val="left"/>
              <w:rPr>
                <w:rFonts w:ascii="Times New Roman" w:hAnsi="Times New Roman"/>
                <w:sz w:val="20"/>
              </w:rPr>
            </w:pPr>
            <w:bookmarkStart w:id="4451" w:name="TAB12157"/>
            <w:bookmarkEnd w:id="4451"/>
            <w:r>
              <w:rPr>
                <w:rFonts w:ascii="Times New Roman" w:hAnsi="Times New Roman"/>
                <w:sz w:val="20"/>
              </w:rPr>
              <w:t>TOTAL EXPENSES</w:t>
            </w:r>
          </w:p>
        </w:tc>
        <w:tc>
          <w:tcPr>
            <w:tcW w:w="189" w:type="dxa"/>
            <w:tcBorders>
              <w:bottom w:val="single" w:sz="2" w:space="0" w:color="FFFFFF"/>
            </w:tcBorders>
            <w:shd w:fill="FFFFFF" w:val="clear"/>
            <w:vAlign w:val="center"/>
          </w:tcPr>
          <w:p>
            <w:pPr>
              <w:pStyle w:val="TableContents"/>
              <w:spacing w:before="0" w:after="283"/>
              <w:rPr/>
            </w:pPr>
            <w:r>
              <w:rPr/>
              <w:t> </w:t>
            </w:r>
          </w:p>
        </w:tc>
        <w:tc>
          <w:tcPr>
            <w:tcW w:w="158" w:type="dxa"/>
            <w:tcBorders>
              <w:bottom w:val="single" w:sz="2" w:space="0" w:color="000000"/>
            </w:tcBorders>
            <w:shd w:fill="FFFFFF" w:val="clear"/>
            <w:vAlign w:val="bottom"/>
          </w:tcPr>
          <w:p>
            <w:pPr>
              <w:pStyle w:val="TableContents"/>
              <w:spacing w:before="0" w:after="283"/>
              <w:jc w:val="left"/>
              <w:rPr/>
            </w:pPr>
            <w:r>
              <w:rPr/>
              <w:t> </w:t>
            </w:r>
          </w:p>
        </w:tc>
        <w:tc>
          <w:tcPr>
            <w:tcW w:w="1286"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4452" w:name="TAB12158"/>
            <w:bookmarkStart w:id="4453" w:name="TAB12159"/>
            <w:bookmarkStart w:id="4454" w:name="TAB12160"/>
            <w:bookmarkEnd w:id="4452"/>
            <w:bookmarkEnd w:id="4453"/>
            <w:bookmarkEnd w:id="4454"/>
            <w:r>
              <w:rPr>
                <w:rFonts w:ascii="Times New Roman" w:hAnsi="Times New Roman"/>
                <w:sz w:val="20"/>
              </w:rPr>
              <w:t>84,602</w:t>
            </w:r>
          </w:p>
        </w:tc>
        <w:tc>
          <w:tcPr>
            <w:tcW w:w="189" w:type="dxa"/>
            <w:tcBorders>
              <w:bottom w:val="single" w:sz="2" w:space="0" w:color="FFFFFF"/>
            </w:tcBorders>
            <w:shd w:fill="FFFFFF" w:val="clear"/>
            <w:vAlign w:val="bottom"/>
          </w:tcPr>
          <w:p>
            <w:pPr>
              <w:pStyle w:val="TableContents"/>
              <w:spacing w:before="0" w:after="283"/>
              <w:jc w:val="left"/>
              <w:rPr/>
            </w:pPr>
            <w:r>
              <w:rPr/>
              <w:t> </w:t>
            </w:r>
          </w:p>
        </w:tc>
        <w:tc>
          <w:tcPr>
            <w:tcW w:w="228" w:type="dxa"/>
            <w:tcBorders>
              <w:bottom w:val="single" w:sz="2" w:space="0" w:color="000000"/>
            </w:tcBorders>
            <w:shd w:fill="FFFFFF" w:val="clear"/>
            <w:vAlign w:val="bottom"/>
          </w:tcPr>
          <w:p>
            <w:pPr>
              <w:pStyle w:val="TableContents"/>
              <w:spacing w:before="0" w:after="283"/>
              <w:jc w:val="left"/>
              <w:rPr/>
            </w:pPr>
            <w:r>
              <w:rPr/>
              <w:t> </w:t>
            </w:r>
          </w:p>
        </w:tc>
        <w:tc>
          <w:tcPr>
            <w:tcW w:w="1304"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4455" w:name="TAB12161"/>
            <w:bookmarkStart w:id="4456" w:name="TAB12162"/>
            <w:bookmarkStart w:id="4457" w:name="TAB12163"/>
            <w:bookmarkEnd w:id="4455"/>
            <w:bookmarkEnd w:id="4456"/>
            <w:bookmarkEnd w:id="4457"/>
            <w:r>
              <w:rPr>
                <w:rFonts w:ascii="Times New Roman" w:hAnsi="Times New Roman"/>
                <w:sz w:val="20"/>
              </w:rPr>
              <w:t>500</w:t>
            </w:r>
          </w:p>
        </w:tc>
        <w:tc>
          <w:tcPr>
            <w:tcW w:w="202" w:type="dxa"/>
            <w:tcBorders>
              <w:bottom w:val="single" w:sz="2" w:space="0" w:color="FFFFFF"/>
            </w:tcBorders>
            <w:shd w:fill="FFFFFF" w:val="clear"/>
            <w:vAlign w:val="bottom"/>
          </w:tcPr>
          <w:p>
            <w:pPr>
              <w:pStyle w:val="TableContents"/>
              <w:spacing w:before="0" w:after="283"/>
              <w:jc w:val="left"/>
              <w:rPr/>
            </w:pPr>
            <w:r>
              <w:rPr/>
              <w:t> </w:t>
            </w:r>
          </w:p>
        </w:tc>
        <w:tc>
          <w:tcPr>
            <w:tcW w:w="228" w:type="dxa"/>
            <w:tcBorders>
              <w:bottom w:val="single" w:sz="2" w:space="0" w:color="000000"/>
            </w:tcBorders>
            <w:shd w:fill="FFFFFF" w:val="clear"/>
            <w:vAlign w:val="bottom"/>
          </w:tcPr>
          <w:p>
            <w:pPr>
              <w:pStyle w:val="TableContents"/>
              <w:spacing w:before="0" w:after="283"/>
              <w:jc w:val="left"/>
              <w:rPr/>
            </w:pPr>
            <w:r>
              <w:rPr/>
              <w:t> </w:t>
            </w:r>
          </w:p>
        </w:tc>
        <w:tc>
          <w:tcPr>
            <w:tcW w:w="1304"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4458" w:name="TAB12164"/>
            <w:bookmarkStart w:id="4459" w:name="TAB12165"/>
            <w:bookmarkStart w:id="4460" w:name="TAB12166"/>
            <w:bookmarkEnd w:id="4458"/>
            <w:bookmarkEnd w:id="4459"/>
            <w:bookmarkEnd w:id="4460"/>
            <w:r>
              <w:rPr>
                <w:rFonts w:ascii="Times New Roman" w:hAnsi="Times New Roman"/>
                <w:sz w:val="20"/>
              </w:rPr>
              <w:t>225</w:t>
            </w:r>
          </w:p>
        </w:tc>
        <w:tc>
          <w:tcPr>
            <w:tcW w:w="142" w:type="dxa"/>
            <w:tcBorders>
              <w:bottom w:val="single" w:sz="2" w:space="0" w:color="FFFFFF"/>
            </w:tcBorders>
            <w:shd w:fill="FFFFFF" w:val="clear"/>
            <w:vAlign w:val="bottom"/>
          </w:tcPr>
          <w:p>
            <w:pPr>
              <w:pStyle w:val="TableContents"/>
              <w:spacing w:before="0" w:after="283"/>
              <w:jc w:val="left"/>
              <w:rPr/>
            </w:pPr>
            <w:r>
              <w:rPr/>
              <w:t> </w:t>
            </w:r>
          </w:p>
        </w:tc>
      </w:tr>
      <w:tr>
        <w:trPr/>
        <w:tc>
          <w:tcPr>
            <w:tcW w:w="4975" w:type="dxa"/>
            <w:tcBorders/>
            <w:shd w:fill="CCEEFF" w:val="clear"/>
            <w:tcMar>
              <w:bottom w:w="0" w:type="dxa"/>
            </w:tcMar>
            <w:vAlign w:val="bottom"/>
          </w:tcPr>
          <w:p>
            <w:pPr>
              <w:pStyle w:val="TableContents"/>
              <w:spacing w:before="0" w:after="283"/>
              <w:jc w:val="left"/>
              <w:rPr/>
            </w:pPr>
            <w:r>
              <w:rPr/>
              <w:t> </w:t>
            </w:r>
          </w:p>
        </w:tc>
        <w:tc>
          <w:tcPr>
            <w:tcW w:w="189" w:type="dxa"/>
            <w:tcBorders/>
            <w:shd w:fill="CCEEFF" w:val="clear"/>
            <w:tcMar>
              <w:bottom w:w="0" w:type="dxa"/>
            </w:tcMar>
            <w:vAlign w:val="center"/>
          </w:tcPr>
          <w:p>
            <w:pPr>
              <w:pStyle w:val="TableContents"/>
              <w:spacing w:before="0" w:after="283"/>
              <w:rPr/>
            </w:pPr>
            <w:r>
              <w:rPr/>
              <w:t> </w:t>
            </w:r>
          </w:p>
        </w:tc>
        <w:tc>
          <w:tcPr>
            <w:tcW w:w="158" w:type="dxa"/>
            <w:tcBorders/>
            <w:shd w:fill="CCEEFF" w:val="clear"/>
            <w:tcMar>
              <w:bottom w:w="0" w:type="dxa"/>
            </w:tcMar>
            <w:vAlign w:val="bottom"/>
          </w:tcPr>
          <w:p>
            <w:pPr>
              <w:pStyle w:val="TableContents"/>
              <w:spacing w:before="0" w:after="283"/>
              <w:jc w:val="left"/>
              <w:rPr/>
            </w:pPr>
            <w:r>
              <w:rPr/>
              <w:t> </w:t>
            </w:r>
          </w:p>
        </w:tc>
        <w:tc>
          <w:tcPr>
            <w:tcW w:w="1286" w:type="dxa"/>
            <w:tcBorders/>
            <w:shd w:fill="CCEEFF" w:val="clear"/>
            <w:tcMar>
              <w:bottom w:w="0" w:type="dxa"/>
            </w:tcMar>
            <w:vAlign w:val="bottom"/>
          </w:tcPr>
          <w:p>
            <w:pPr>
              <w:pStyle w:val="TableContents"/>
              <w:spacing w:before="0" w:after="283"/>
              <w:jc w:val="right"/>
              <w:rPr/>
            </w:pPr>
            <w:r>
              <w:rPr/>
              <w:t> </w:t>
            </w:r>
          </w:p>
        </w:tc>
        <w:tc>
          <w:tcPr>
            <w:tcW w:w="189" w:type="dxa"/>
            <w:tcBorders/>
            <w:shd w:fill="CCEEFF" w:val="clear"/>
            <w:tcMar>
              <w:bottom w:w="0" w:type="dxa"/>
            </w:tcMar>
            <w:vAlign w:val="bottom"/>
          </w:tcPr>
          <w:p>
            <w:pPr>
              <w:pStyle w:val="TableContents"/>
              <w:spacing w:before="0" w:after="283"/>
              <w:jc w:val="left"/>
              <w:rPr/>
            </w:pPr>
            <w:r>
              <w:rPr/>
              <w:t> </w:t>
            </w:r>
          </w:p>
        </w:tc>
        <w:tc>
          <w:tcPr>
            <w:tcW w:w="228" w:type="dxa"/>
            <w:tcBorders/>
            <w:shd w:fill="CCEEFF" w:val="clear"/>
            <w:tcMar>
              <w:bottom w:w="0" w:type="dxa"/>
            </w:tcMar>
            <w:vAlign w:val="bottom"/>
          </w:tcPr>
          <w:p>
            <w:pPr>
              <w:pStyle w:val="TableContents"/>
              <w:spacing w:before="0" w:after="283"/>
              <w:jc w:val="left"/>
              <w:rPr/>
            </w:pPr>
            <w:r>
              <w:rPr/>
              <w:t> </w:t>
            </w:r>
          </w:p>
        </w:tc>
        <w:tc>
          <w:tcPr>
            <w:tcW w:w="1304" w:type="dxa"/>
            <w:tcBorders/>
            <w:shd w:fill="CCEEFF" w:val="clear"/>
            <w:tcMar>
              <w:bottom w:w="0" w:type="dxa"/>
            </w:tcMar>
            <w:vAlign w:val="bottom"/>
          </w:tcPr>
          <w:p>
            <w:pPr>
              <w:pStyle w:val="TableContents"/>
              <w:spacing w:before="0" w:after="283"/>
              <w:jc w:val="right"/>
              <w:rPr/>
            </w:pPr>
            <w:r>
              <w:rPr/>
              <w:t> </w:t>
            </w:r>
          </w:p>
        </w:tc>
        <w:tc>
          <w:tcPr>
            <w:tcW w:w="202" w:type="dxa"/>
            <w:tcBorders/>
            <w:shd w:fill="CCEEFF" w:val="clear"/>
            <w:tcMar>
              <w:bottom w:w="0" w:type="dxa"/>
            </w:tcMar>
            <w:vAlign w:val="bottom"/>
          </w:tcPr>
          <w:p>
            <w:pPr>
              <w:pStyle w:val="TableContents"/>
              <w:spacing w:before="0" w:after="283"/>
              <w:jc w:val="left"/>
              <w:rPr/>
            </w:pPr>
            <w:r>
              <w:rPr/>
              <w:t> </w:t>
            </w:r>
          </w:p>
        </w:tc>
        <w:tc>
          <w:tcPr>
            <w:tcW w:w="228" w:type="dxa"/>
            <w:tcBorders/>
            <w:shd w:fill="CCEEFF" w:val="clear"/>
            <w:tcMar>
              <w:bottom w:w="0" w:type="dxa"/>
            </w:tcMar>
            <w:vAlign w:val="bottom"/>
          </w:tcPr>
          <w:p>
            <w:pPr>
              <w:pStyle w:val="TableContents"/>
              <w:spacing w:before="0" w:after="283"/>
              <w:jc w:val="left"/>
              <w:rPr/>
            </w:pPr>
            <w:r>
              <w:rPr/>
              <w:t> </w:t>
            </w:r>
          </w:p>
        </w:tc>
        <w:tc>
          <w:tcPr>
            <w:tcW w:w="1304" w:type="dxa"/>
            <w:tcBorders/>
            <w:shd w:fill="CCEEFF" w:val="clear"/>
            <w:tcMar>
              <w:bottom w:w="0" w:type="dxa"/>
            </w:tcMar>
            <w:vAlign w:val="bottom"/>
          </w:tcPr>
          <w:p>
            <w:pPr>
              <w:pStyle w:val="TableContents"/>
              <w:spacing w:before="0" w:after="283"/>
              <w:jc w:val="right"/>
              <w:rPr/>
            </w:pPr>
            <w:r>
              <w:rPr/>
              <w:t> </w:t>
            </w:r>
          </w:p>
        </w:tc>
        <w:tc>
          <w:tcPr>
            <w:tcW w:w="142" w:type="dxa"/>
            <w:tcBorders/>
            <w:shd w:fill="CCEEFF" w:val="clear"/>
            <w:tcMar>
              <w:bottom w:w="0" w:type="dxa"/>
            </w:tcMar>
            <w:vAlign w:val="bottom"/>
          </w:tcPr>
          <w:p>
            <w:pPr>
              <w:pStyle w:val="TableContents"/>
              <w:spacing w:before="0" w:after="283"/>
              <w:jc w:val="left"/>
              <w:rPr/>
            </w:pPr>
            <w:r>
              <w:rPr/>
              <w:t> </w:t>
            </w:r>
          </w:p>
        </w:tc>
      </w:tr>
      <w:tr>
        <w:trPr/>
        <w:tc>
          <w:tcPr>
            <w:tcW w:w="4975" w:type="dxa"/>
            <w:tcBorders>
              <w:bottom w:val="double" w:sz="2" w:space="0" w:color="000000"/>
            </w:tcBorders>
            <w:shd w:fill="FFFFFF" w:val="clear"/>
            <w:vAlign w:val="bottom"/>
          </w:tcPr>
          <w:p>
            <w:pPr>
              <w:pStyle w:val="TableContents"/>
              <w:spacing w:lineRule="auto" w:line="300" w:before="0" w:after="0"/>
              <w:ind w:left="900" w:right="0" w:hanging="180"/>
              <w:jc w:val="left"/>
              <w:rPr/>
            </w:pPr>
            <w:bookmarkStart w:id="4461" w:name="TAB12167"/>
            <w:bookmarkStart w:id="4462" w:name="TAB12168"/>
            <w:bookmarkEnd w:id="4461"/>
            <w:bookmarkEnd w:id="4462"/>
            <w:r>
              <w:rPr>
                <w:rStyle w:val="StrongEmphasis"/>
                <w:rFonts w:ascii="Times New Roman" w:hAnsi="Times New Roman"/>
                <w:sz w:val="20"/>
              </w:rPr>
              <w:t>NET INCOME (LOSS)</w:t>
            </w:r>
          </w:p>
        </w:tc>
        <w:tc>
          <w:tcPr>
            <w:tcW w:w="189" w:type="dxa"/>
            <w:tcBorders>
              <w:bottom w:val="single" w:sz="4" w:space="0" w:color="FFFFFF"/>
            </w:tcBorders>
            <w:shd w:fill="FFFFFF" w:val="clear"/>
            <w:vAlign w:val="center"/>
          </w:tcPr>
          <w:p>
            <w:pPr>
              <w:pStyle w:val="TableContents"/>
              <w:spacing w:before="0" w:after="283"/>
              <w:rPr/>
            </w:pPr>
            <w:r>
              <w:rPr/>
              <w:t> </w:t>
            </w:r>
          </w:p>
        </w:tc>
        <w:tc>
          <w:tcPr>
            <w:tcW w:w="158" w:type="dxa"/>
            <w:tcBorders>
              <w:bottom w:val="doub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bookmarkStart w:id="4463" w:name="TAB12169"/>
            <w:bookmarkEnd w:id="4463"/>
            <w:r>
              <w:rPr>
                <w:rFonts w:ascii="Times New Roman" w:hAnsi="Times New Roman"/>
                <w:sz w:val="20"/>
              </w:rPr>
              <w:t>$</w:t>
            </w:r>
          </w:p>
        </w:tc>
        <w:tc>
          <w:tcPr>
            <w:tcW w:w="1286"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4464" w:name="TAB12170"/>
            <w:bookmarkEnd w:id="4464"/>
            <w:r>
              <w:rPr>
                <w:rFonts w:ascii="Times New Roman" w:hAnsi="Times New Roman"/>
                <w:sz w:val="20"/>
              </w:rPr>
              <w:t>33,106</w:t>
            </w:r>
          </w:p>
        </w:tc>
        <w:tc>
          <w:tcPr>
            <w:tcW w:w="189" w:type="dxa"/>
            <w:tcBorders>
              <w:bottom w:val="single" w:sz="4" w:space="0" w:color="FFFFFF"/>
            </w:tcBorders>
            <w:shd w:fill="FFFFFF" w:val="clear"/>
            <w:vAlign w:val="bottom"/>
          </w:tcPr>
          <w:p>
            <w:pPr>
              <w:pStyle w:val="TableContents"/>
              <w:spacing w:before="0" w:after="283"/>
              <w:jc w:val="left"/>
              <w:rPr/>
            </w:pPr>
            <w:r>
              <w:rPr/>
              <w:t> </w:t>
            </w:r>
          </w:p>
        </w:tc>
        <w:tc>
          <w:tcPr>
            <w:tcW w:w="228" w:type="dxa"/>
            <w:tcBorders>
              <w:bottom w:val="doub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bookmarkStart w:id="4465" w:name="TAB12171"/>
            <w:bookmarkEnd w:id="4465"/>
            <w:r>
              <w:rPr>
                <w:rFonts w:ascii="Times New Roman" w:hAnsi="Times New Roman"/>
                <w:sz w:val="20"/>
              </w:rPr>
              <w:t>$</w:t>
            </w:r>
          </w:p>
        </w:tc>
        <w:tc>
          <w:tcPr>
            <w:tcW w:w="1304"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4466" w:name="TAB12172"/>
            <w:bookmarkEnd w:id="4466"/>
            <w:r>
              <w:rPr>
                <w:rFonts w:ascii="Times New Roman" w:hAnsi="Times New Roman"/>
                <w:sz w:val="20"/>
              </w:rPr>
              <w:t>(500</w:t>
            </w:r>
          </w:p>
        </w:tc>
        <w:tc>
          <w:tcPr>
            <w:tcW w:w="202" w:type="dxa"/>
            <w:tcBorders>
              <w:bottom w:val="single" w:sz="4" w:space="0" w:color="FFFFFF"/>
            </w:tcBorders>
            <w:shd w:fill="FFFFFF" w:val="clear"/>
            <w:vAlign w:val="bottom"/>
          </w:tcPr>
          <w:p>
            <w:pPr>
              <w:pStyle w:val="TableContents"/>
              <w:spacing w:lineRule="auto" w:line="300" w:before="0" w:after="0"/>
              <w:ind w:left="0" w:right="0" w:hanging="0"/>
              <w:jc w:val="left"/>
              <w:rPr>
                <w:rFonts w:ascii="Times New Roman" w:hAnsi="Times New Roman"/>
                <w:sz w:val="20"/>
              </w:rPr>
            </w:pPr>
            <w:bookmarkStart w:id="4467" w:name="TAB12173"/>
            <w:bookmarkEnd w:id="4467"/>
            <w:r>
              <w:rPr>
                <w:rFonts w:ascii="Times New Roman" w:hAnsi="Times New Roman"/>
                <w:sz w:val="20"/>
              </w:rPr>
              <w:t>)</w:t>
            </w:r>
          </w:p>
        </w:tc>
        <w:tc>
          <w:tcPr>
            <w:tcW w:w="228" w:type="dxa"/>
            <w:tcBorders>
              <w:bottom w:val="doub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bookmarkStart w:id="4468" w:name="TAB12174"/>
            <w:bookmarkEnd w:id="4468"/>
            <w:r>
              <w:rPr>
                <w:rFonts w:ascii="Times New Roman" w:hAnsi="Times New Roman"/>
                <w:sz w:val="20"/>
              </w:rPr>
              <w:t>$</w:t>
            </w:r>
          </w:p>
        </w:tc>
        <w:tc>
          <w:tcPr>
            <w:tcW w:w="1304"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4469" w:name="TAB12175"/>
            <w:bookmarkEnd w:id="4469"/>
            <w:r>
              <w:rPr>
                <w:rFonts w:ascii="Times New Roman" w:hAnsi="Times New Roman"/>
                <w:sz w:val="20"/>
              </w:rPr>
              <w:t>(225</w:t>
            </w:r>
          </w:p>
        </w:tc>
        <w:tc>
          <w:tcPr>
            <w:tcW w:w="142" w:type="dxa"/>
            <w:tcBorders>
              <w:bottom w:val="single" w:sz="4" w:space="0" w:color="FFFFFF"/>
            </w:tcBorders>
            <w:shd w:fill="FFFFFF" w:val="clear"/>
            <w:vAlign w:val="bottom"/>
          </w:tcPr>
          <w:p>
            <w:pPr>
              <w:pStyle w:val="TableContents"/>
              <w:spacing w:lineRule="auto" w:line="300" w:before="0" w:after="0"/>
              <w:ind w:left="0" w:right="0" w:hanging="0"/>
              <w:jc w:val="left"/>
              <w:rPr>
                <w:rFonts w:ascii="Times New Roman" w:hAnsi="Times New Roman"/>
                <w:sz w:val="20"/>
              </w:rPr>
            </w:pPr>
            <w:bookmarkStart w:id="4470" w:name="TAB12176"/>
            <w:bookmarkEnd w:id="4470"/>
            <w:r>
              <w:rPr>
                <w:rFonts w:ascii="Times New Roman" w:hAnsi="Times New Roman"/>
                <w:sz w:val="20"/>
              </w:rPr>
              <w:t>)</w:t>
            </w:r>
          </w:p>
        </w:tc>
      </w:tr>
    </w:tbl>
    <w:p>
      <w:pPr>
        <w:pStyle w:val="TextBody"/>
        <w:spacing w:lineRule="auto" w:line="300" w:before="0" w:after="0"/>
        <w:ind w:left="0" w:right="0" w:hanging="0"/>
        <w:jc w:val="center"/>
        <w:rPr/>
      </w:pPr>
      <w:r>
        <w:rPr/>
      </w:r>
    </w:p>
    <w:p>
      <w:pPr>
        <w:pStyle w:val="TextBody"/>
        <w:spacing w:lineRule="auto" w:line="300" w:before="0" w:after="0"/>
        <w:ind w:left="0" w:right="0" w:hanging="0"/>
        <w:jc w:val="center"/>
        <w:rPr>
          <w:rFonts w:ascii="Times New Roman" w:hAnsi="Times New Roman"/>
          <w:sz w:val="20"/>
        </w:rPr>
      </w:pPr>
      <w:r>
        <w:rPr>
          <w:rFonts w:ascii="Times New Roman" w:hAnsi="Times New Roman"/>
          <w:sz w:val="20"/>
        </w:rPr>
        <w:t>The accompanying notes are an integral part of these financial statements.</w:t>
      </w:r>
    </w:p>
    <w:p>
      <w:pPr>
        <w:pStyle w:val="TextBody"/>
        <w:spacing w:lineRule="auto" w:line="300" w:before="0" w:after="0"/>
        <w:ind w:left="0" w:right="0" w:hanging="0"/>
        <w:jc w:val="center"/>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471" w:name="PGBRK124"/>
      <w:bookmarkStart w:id="4472" w:name="PGBRK124"/>
      <w:bookmarkEnd w:id="447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0"/>
        <w:ind w:left="0" w:right="0" w:hanging="0"/>
        <w:jc w:val="center"/>
        <w:rPr/>
      </w:pPr>
      <w:bookmarkStart w:id="4473" w:name="FTR124"/>
      <w:bookmarkEnd w:id="4473"/>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474" w:name="GLFTR124"/>
      <w:bookmarkStart w:id="4475" w:name="GLFTR124"/>
      <w:bookmarkEnd w:id="447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4476" w:name="PN124"/>
      <w:bookmarkEnd w:id="4476"/>
      <w:r>
        <w:rPr>
          <w:rFonts w:ascii="Times New Roman" w:hAnsi="Times New Roman"/>
          <w:sz w:val="16"/>
        </w:rPr>
        <w:t>-124-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477" w:name="HDR124"/>
      <w:bookmarkStart w:id="4478" w:name="HDR124"/>
      <w:bookmarkEnd w:id="447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4479" w:name="GLHDR124"/>
        <w:bookmarkEnd w:id="4479"/>
        <w:r>
          <w:rPr>
            <w:rStyle w:val="Emphasis"/>
            <w:rFonts w:ascii="Times New Roman" w:hAnsi="Times New Roman"/>
            <w:color w:val="000000"/>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pStyle w:val="TextBody"/>
        <w:spacing w:lineRule="auto" w:line="300" w:before="0" w:after="0"/>
        <w:ind w:left="0" w:right="0" w:hanging="0"/>
        <w:jc w:val="center"/>
        <w:rPr/>
      </w:pPr>
      <w:r>
        <w:rPr>
          <w:rStyle w:val="StrongEmphasis"/>
          <w:rFonts w:ascii="Times New Roman" w:hAnsi="Times New Roman"/>
          <w:sz w:val="20"/>
        </w:rPr>
        <w:t>205-209 EAST 57</w:t>
      </w:r>
      <w:r>
        <w:rPr>
          <w:rStyle w:val="StrongEmphasis"/>
          <w:rFonts w:ascii="Times New Roman" w:hAnsi="Times New Roman"/>
          <w:position w:val="7"/>
          <w:sz w:val="16"/>
          <w:sz w:val="20"/>
        </w:rPr>
        <w:t>th</w:t>
      </w:r>
      <w:r>
        <w:rPr>
          <w:rStyle w:val="StrongEmphasis"/>
        </w:rPr>
        <w:t xml:space="preserve"> </w:t>
      </w:r>
      <w:r>
        <w:rPr>
          <w:rStyle w:val="StrongEmphasis"/>
          <w:rFonts w:ascii="Times New Roman" w:hAnsi="Times New Roman"/>
          <w:sz w:val="20"/>
        </w:rPr>
        <w:t>STREET ASSOCIATES, LLC</w:t>
      </w:r>
    </w:p>
    <w:p>
      <w:pPr>
        <w:pStyle w:val="TextBody"/>
        <w:spacing w:lineRule="auto" w:line="300" w:before="0" w:after="0"/>
        <w:ind w:left="0" w:right="0" w:hanging="0"/>
        <w:jc w:val="center"/>
        <w:rPr/>
      </w:pPr>
      <w:r>
        <w:rPr/>
      </w:r>
    </w:p>
    <w:p>
      <w:pPr>
        <w:pStyle w:val="TextBody"/>
        <w:spacing w:lineRule="auto" w:line="300" w:before="0" w:after="0"/>
        <w:ind w:left="0" w:right="0" w:hanging="0"/>
        <w:jc w:val="center"/>
        <w:rPr/>
      </w:pPr>
      <w:r>
        <w:rPr>
          <w:rStyle w:val="StrongEmphasis"/>
          <w:rFonts w:ascii="Times New Roman" w:hAnsi="Times New Roman"/>
          <w:sz w:val="20"/>
        </w:rPr>
        <w:t>STATEMENTS OF CHANGES IN MEMBERS’ EQUITY</w:t>
      </w:r>
    </w:p>
    <w:p>
      <w:pPr>
        <w:pStyle w:val="TextBody"/>
        <w:spacing w:lineRule="auto" w:line="300" w:before="0" w:after="0"/>
        <w:ind w:left="0" w:right="0" w:hanging="0"/>
        <w:jc w:val="center"/>
        <w:rPr/>
      </w:pPr>
      <w:r>
        <w:rPr/>
      </w:r>
    </w:p>
    <w:p>
      <w:pPr>
        <w:pStyle w:val="TextBody"/>
        <w:spacing w:lineRule="auto" w:line="300" w:before="0" w:after="0"/>
        <w:ind w:left="0" w:right="0" w:hanging="0"/>
        <w:jc w:val="center"/>
        <w:rPr/>
      </w:pPr>
      <w:r>
        <w:rPr>
          <w:rStyle w:val="StrongEmphasis"/>
          <w:rFonts w:ascii="Times New Roman" w:hAnsi="Times New Roman"/>
          <w:sz w:val="20"/>
        </w:rPr>
        <w:t>FOR THE THREE YEARS ENDED DECEMBER 31, 2006, 2005 and 2004</w:t>
      </w:r>
    </w:p>
    <w:p>
      <w:pPr>
        <w:pStyle w:val="TextBody"/>
        <w:spacing w:lineRule="auto" w:line="300" w:before="0" w:after="0"/>
        <w:ind w:left="0" w:right="0" w:hanging="540"/>
        <w:jc w:val="center"/>
        <w:rPr/>
      </w:pPr>
      <w:r>
        <w:rPr/>
      </w:r>
    </w:p>
    <w:p>
      <w:pPr>
        <w:pStyle w:val="TextBody"/>
        <w:spacing w:lineRule="auto" w:line="300" w:before="0" w:after="0"/>
        <w:ind w:left="0" w:right="0" w:hanging="0"/>
        <w:jc w:val="center"/>
        <w:rPr/>
      </w:pPr>
      <w:r>
        <w:rPr>
          <w:rStyle w:val="StrongEmphasis"/>
          <w:rFonts w:ascii="Times New Roman" w:hAnsi="Times New Roman"/>
          <w:sz w:val="20"/>
        </w:rPr>
        <w:t>(U.S. dollars in thousands)</w:t>
      </w:r>
    </w:p>
    <w:p>
      <w:pPr>
        <w:pStyle w:val="TextBody"/>
        <w:spacing w:lineRule="auto" w:line="300" w:before="0" w:after="0"/>
        <w:ind w:left="0" w:right="0" w:hanging="0"/>
        <w:jc w:val="both"/>
        <w:rPr/>
      </w:pPr>
      <w:r>
        <w:rPr/>
        <w:t> </w:t>
      </w:r>
    </w:p>
    <w:p>
      <w:pPr>
        <w:pStyle w:val="Normal"/>
        <w:spacing w:before="0" w:after="0"/>
        <w:ind w:left="0" w:right="0" w:hanging="0"/>
        <w:rPr>
          <w:sz w:val="4"/>
          <w:szCs w:val="4"/>
        </w:rPr>
      </w:pPr>
      <w:r>
        <w:rPr>
          <w:sz w:val="4"/>
          <w:szCs w:val="4"/>
        </w:rPr>
      </w:r>
      <w:bookmarkStart w:id="4480" w:name="ftable65"/>
      <w:bookmarkStart w:id="4481" w:name="ftable65"/>
      <w:bookmarkEnd w:id="4481"/>
    </w:p>
    <w:tbl>
      <w:tblPr>
        <w:tblW w:w="5000" w:type="pct"/>
        <w:jc w:val="left"/>
        <w:tblInd w:w="0" w:type="dxa"/>
        <w:tblCellMar>
          <w:top w:w="0" w:type="dxa"/>
          <w:left w:w="0" w:type="dxa"/>
          <w:bottom w:w="28" w:type="dxa"/>
          <w:right w:w="0" w:type="dxa"/>
        </w:tblCellMar>
      </w:tblPr>
      <w:tblGrid>
        <w:gridCol w:w="1026"/>
        <w:gridCol w:w="61"/>
        <w:gridCol w:w="272"/>
        <w:gridCol w:w="640"/>
        <w:gridCol w:w="81"/>
        <w:gridCol w:w="168"/>
        <w:gridCol w:w="741"/>
        <w:gridCol w:w="81"/>
        <w:gridCol w:w="168"/>
        <w:gridCol w:w="741"/>
        <w:gridCol w:w="81"/>
        <w:gridCol w:w="216"/>
        <w:gridCol w:w="693"/>
        <w:gridCol w:w="81"/>
        <w:gridCol w:w="168"/>
        <w:gridCol w:w="741"/>
        <w:gridCol w:w="81"/>
        <w:gridCol w:w="184"/>
        <w:gridCol w:w="874"/>
        <w:gridCol w:w="81"/>
        <w:gridCol w:w="194"/>
        <w:gridCol w:w="850"/>
        <w:gridCol w:w="81"/>
        <w:gridCol w:w="174"/>
        <w:gridCol w:w="764"/>
        <w:gridCol w:w="81"/>
        <w:gridCol w:w="126"/>
        <w:gridCol w:w="655"/>
        <w:gridCol w:w="101"/>
      </w:tblGrid>
      <w:tr>
        <w:trPr/>
        <w:tc>
          <w:tcPr>
            <w:tcW w:w="1026" w:type="dxa"/>
            <w:tcBorders>
              <w:bottom w:val="double" w:sz="2" w:space="0" w:color="000000"/>
            </w:tcBorders>
            <w:shd w:fill="auto" w:val="clear"/>
            <w:vAlign w:val="bottom"/>
          </w:tcPr>
          <w:p>
            <w:pPr>
              <w:pStyle w:val="TableContents"/>
              <w:spacing w:before="0" w:after="283"/>
              <w:jc w:val="left"/>
              <w:rPr/>
            </w:pPr>
            <w:r>
              <w:rPr/>
              <w:t> </w:t>
            </w:r>
          </w:p>
        </w:tc>
        <w:tc>
          <w:tcPr>
            <w:tcW w:w="61" w:type="dxa"/>
            <w:tcBorders>
              <w:bottom w:val="single" w:sz="4" w:space="0" w:color="FFFFFF"/>
            </w:tcBorders>
            <w:shd w:fill="auto" w:val="clear"/>
            <w:vAlign w:val="center"/>
          </w:tcPr>
          <w:p>
            <w:pPr>
              <w:pStyle w:val="TableContents"/>
              <w:spacing w:before="0" w:after="283"/>
              <w:rPr/>
            </w:pPr>
            <w:r>
              <w:rPr/>
              <w:t> </w:t>
            </w:r>
          </w:p>
        </w:tc>
        <w:tc>
          <w:tcPr>
            <w:tcW w:w="912" w:type="dxa"/>
            <w:gridSpan w:val="2"/>
            <w:tcBorders>
              <w:bottom w:val="double" w:sz="2" w:space="0" w:color="000000"/>
            </w:tcBorders>
            <w:shd w:fill="auto" w:val="cle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CLARETT CAPITAL, LLC</w:t>
            </w:r>
          </w:p>
        </w:tc>
        <w:tc>
          <w:tcPr>
            <w:tcW w:w="81" w:type="dxa"/>
            <w:tcBorders>
              <w:bottom w:val="single" w:sz="4" w:space="0" w:color="FFFFFF"/>
            </w:tcBorders>
            <w:shd w:fill="auto" w:val="clear"/>
            <w:vAlign w:val="bottom"/>
          </w:tcPr>
          <w:p>
            <w:pPr>
              <w:pStyle w:val="TableContents"/>
              <w:spacing w:before="0" w:after="283"/>
              <w:jc w:val="left"/>
              <w:rPr/>
            </w:pPr>
            <w:r>
              <w:rPr/>
              <w:t> </w:t>
            </w:r>
          </w:p>
        </w:tc>
        <w:tc>
          <w:tcPr>
            <w:tcW w:w="909" w:type="dxa"/>
            <w:gridSpan w:val="2"/>
            <w:tcBorders>
              <w:bottom w:val="double" w:sz="2" w:space="0" w:color="000000"/>
            </w:tcBorders>
            <w:shd w:fill="auto" w:val="cle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PGA CLARETT 1, LLC</w:t>
            </w:r>
          </w:p>
        </w:tc>
        <w:tc>
          <w:tcPr>
            <w:tcW w:w="81" w:type="dxa"/>
            <w:tcBorders>
              <w:bottom w:val="single" w:sz="4" w:space="0" w:color="FFFFFF"/>
            </w:tcBorders>
            <w:shd w:fill="auto" w:val="clear"/>
            <w:vAlign w:val="bottom"/>
          </w:tcPr>
          <w:p>
            <w:pPr>
              <w:pStyle w:val="TableContents"/>
              <w:spacing w:before="0" w:after="283"/>
              <w:jc w:val="left"/>
              <w:rPr/>
            </w:pPr>
            <w:r>
              <w:rPr/>
              <w:t> </w:t>
            </w:r>
          </w:p>
        </w:tc>
        <w:tc>
          <w:tcPr>
            <w:tcW w:w="909" w:type="dxa"/>
            <w:gridSpan w:val="2"/>
            <w:tcBorders>
              <w:bottom w:val="double" w:sz="2" w:space="0" w:color="000000"/>
            </w:tcBorders>
            <w:shd w:fill="auto" w:val="cle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PGA CLARETT 2, LLC</w:t>
            </w:r>
          </w:p>
        </w:tc>
        <w:tc>
          <w:tcPr>
            <w:tcW w:w="81" w:type="dxa"/>
            <w:tcBorders>
              <w:bottom w:val="single" w:sz="4" w:space="0" w:color="FFFFFF"/>
            </w:tcBorders>
            <w:shd w:fill="auto" w:val="clear"/>
            <w:vAlign w:val="bottom"/>
          </w:tcPr>
          <w:p>
            <w:pPr>
              <w:pStyle w:val="TableContents"/>
              <w:spacing w:before="0" w:after="283"/>
              <w:jc w:val="left"/>
              <w:rPr/>
            </w:pPr>
            <w:r>
              <w:rPr/>
              <w:t> </w:t>
            </w:r>
          </w:p>
        </w:tc>
        <w:tc>
          <w:tcPr>
            <w:tcW w:w="909" w:type="dxa"/>
            <w:gridSpan w:val="2"/>
            <w:tcBorders>
              <w:bottom w:val="double" w:sz="2" w:space="0" w:color="000000"/>
            </w:tcBorders>
            <w:shd w:fill="auto" w:val="cle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PGA CLARETT 3, LLC</w:t>
            </w:r>
          </w:p>
        </w:tc>
        <w:tc>
          <w:tcPr>
            <w:tcW w:w="81" w:type="dxa"/>
            <w:tcBorders>
              <w:bottom w:val="single" w:sz="4" w:space="0" w:color="FFFFFF"/>
            </w:tcBorders>
            <w:shd w:fill="auto" w:val="clear"/>
            <w:vAlign w:val="bottom"/>
          </w:tcPr>
          <w:p>
            <w:pPr>
              <w:pStyle w:val="TableContents"/>
              <w:spacing w:before="0" w:after="283"/>
              <w:jc w:val="left"/>
              <w:rPr/>
            </w:pPr>
            <w:r>
              <w:rPr/>
              <w:t> </w:t>
            </w:r>
          </w:p>
        </w:tc>
        <w:tc>
          <w:tcPr>
            <w:tcW w:w="909" w:type="dxa"/>
            <w:gridSpan w:val="2"/>
            <w:tcBorders>
              <w:bottom w:val="double" w:sz="2" w:space="0" w:color="000000"/>
            </w:tcBorders>
            <w:shd w:fill="auto" w:val="cle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PGA CLARETT 4, LP</w:t>
            </w:r>
          </w:p>
        </w:tc>
        <w:tc>
          <w:tcPr>
            <w:tcW w:w="81" w:type="dxa"/>
            <w:tcBorders>
              <w:bottom w:val="single" w:sz="4" w:space="0" w:color="FFFFFF"/>
            </w:tcBorders>
            <w:shd w:fill="auto" w:val="clear"/>
            <w:vAlign w:val="bottom"/>
          </w:tcPr>
          <w:p>
            <w:pPr>
              <w:pStyle w:val="TableContents"/>
              <w:spacing w:before="0" w:after="283"/>
              <w:jc w:val="left"/>
              <w:rPr/>
            </w:pPr>
            <w:r>
              <w:rPr/>
              <w:t> </w:t>
            </w:r>
          </w:p>
        </w:tc>
        <w:tc>
          <w:tcPr>
            <w:tcW w:w="1058" w:type="dxa"/>
            <w:gridSpan w:val="2"/>
            <w:tcBorders>
              <w:bottom w:val="double" w:sz="2" w:space="0" w:color="000000"/>
            </w:tcBorders>
            <w:shd w:fill="auto" w:val="cle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CLARETT PARTNERS, LLC</w:t>
            </w:r>
          </w:p>
        </w:tc>
        <w:tc>
          <w:tcPr>
            <w:tcW w:w="81" w:type="dxa"/>
            <w:tcBorders>
              <w:bottom w:val="single" w:sz="4" w:space="0" w:color="FFFFFF"/>
            </w:tcBorders>
            <w:shd w:fill="auto" w:val="clear"/>
            <w:vAlign w:val="bottom"/>
          </w:tcPr>
          <w:p>
            <w:pPr>
              <w:pStyle w:val="TableContents"/>
              <w:spacing w:before="0" w:after="283"/>
              <w:jc w:val="left"/>
              <w:rPr/>
            </w:pPr>
            <w:r>
              <w:rPr/>
              <w:t> </w:t>
            </w:r>
          </w:p>
        </w:tc>
        <w:tc>
          <w:tcPr>
            <w:tcW w:w="1044" w:type="dxa"/>
            <w:gridSpan w:val="2"/>
            <w:tcBorders>
              <w:bottom w:val="double" w:sz="2" w:space="0" w:color="000000"/>
            </w:tcBorders>
            <w:shd w:fill="auto" w:val="cle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CC SUTTON MANAGER, LLC</w:t>
            </w:r>
          </w:p>
        </w:tc>
        <w:tc>
          <w:tcPr>
            <w:tcW w:w="81" w:type="dxa"/>
            <w:tcBorders>
              <w:bottom w:val="single" w:sz="4" w:space="0" w:color="FFFFFF"/>
            </w:tcBorders>
            <w:shd w:fill="auto" w:val="clear"/>
            <w:vAlign w:val="bottom"/>
          </w:tcPr>
          <w:p>
            <w:pPr>
              <w:pStyle w:val="TableContents"/>
              <w:spacing w:before="0" w:after="283"/>
              <w:jc w:val="left"/>
              <w:rPr/>
            </w:pPr>
            <w:r>
              <w:rPr/>
              <w:t> </w:t>
            </w:r>
          </w:p>
        </w:tc>
        <w:tc>
          <w:tcPr>
            <w:tcW w:w="938" w:type="dxa"/>
            <w:gridSpan w:val="2"/>
            <w:tcBorders>
              <w:bottom w:val="double" w:sz="2" w:space="0" w:color="000000"/>
            </w:tcBorders>
            <w:shd w:fill="auto" w:val="cle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CITADEL CINEMAS, INC.</w:t>
            </w:r>
          </w:p>
        </w:tc>
        <w:tc>
          <w:tcPr>
            <w:tcW w:w="81" w:type="dxa"/>
            <w:tcBorders>
              <w:bottom w:val="single" w:sz="4" w:space="0" w:color="FFFFFF"/>
            </w:tcBorders>
            <w:shd w:fill="auto" w:val="clear"/>
            <w:vAlign w:val="bottom"/>
          </w:tcPr>
          <w:p>
            <w:pPr>
              <w:pStyle w:val="TableContents"/>
              <w:spacing w:before="0" w:after="283"/>
              <w:jc w:val="left"/>
              <w:rPr/>
            </w:pPr>
            <w:r>
              <w:rPr/>
              <w:t> </w:t>
            </w:r>
          </w:p>
        </w:tc>
        <w:tc>
          <w:tcPr>
            <w:tcW w:w="781" w:type="dxa"/>
            <w:gridSpan w:val="2"/>
            <w:tcBorders>
              <w:bottom w:val="double" w:sz="2" w:space="0" w:color="000000"/>
            </w:tcBorders>
            <w:shd w:fill="auto" w:val="cle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TOTAL</w:t>
            </w:r>
          </w:p>
        </w:tc>
        <w:tc>
          <w:tcPr>
            <w:tcW w:w="101" w:type="dxa"/>
            <w:tcBorders>
              <w:bottom w:val="single" w:sz="4" w:space="0" w:color="FFFFFF"/>
            </w:tcBorders>
            <w:shd w:fill="auto" w:val="clear"/>
            <w:vAlign w:val="bottom"/>
          </w:tcPr>
          <w:p>
            <w:pPr>
              <w:pStyle w:val="TableContents"/>
              <w:spacing w:before="0" w:after="283"/>
              <w:jc w:val="left"/>
              <w:rPr/>
            </w:pPr>
            <w:r>
              <w:rPr/>
              <w:t> </w:t>
            </w:r>
          </w:p>
        </w:tc>
      </w:tr>
      <w:tr>
        <w:trPr/>
        <w:tc>
          <w:tcPr>
            <w:tcW w:w="1026" w:type="dxa"/>
            <w:tcBorders>
              <w:bottom w:val="double" w:sz="2" w:space="0" w:color="000000"/>
            </w:tcBorders>
            <w:shd w:fill="CCEEFF" w:val="clear"/>
            <w:vAlign w:val="bottom"/>
          </w:tcPr>
          <w:p>
            <w:pPr>
              <w:pStyle w:val="TableContents"/>
              <w:spacing w:lineRule="auto" w:line="300" w:before="0" w:after="0"/>
              <w:ind w:left="180" w:right="0" w:hanging="180"/>
              <w:jc w:val="left"/>
              <w:rPr>
                <w:rFonts w:ascii="Times New Roman" w:hAnsi="Times New Roman"/>
                <w:sz w:val="20"/>
              </w:rPr>
            </w:pPr>
            <w:r>
              <w:rPr>
                <w:rFonts w:ascii="Times New Roman" w:hAnsi="Times New Roman"/>
                <w:sz w:val="20"/>
              </w:rPr>
              <w:t>MEMBERS’ EQUITY - January 1, 2004 (Unaudited)</w:t>
            </w:r>
          </w:p>
        </w:tc>
        <w:tc>
          <w:tcPr>
            <w:tcW w:w="61" w:type="dxa"/>
            <w:tcBorders>
              <w:bottom w:val="single" w:sz="4" w:space="0" w:color="CCEEFF"/>
            </w:tcBorders>
            <w:shd w:fill="CCEEFF" w:val="clear"/>
            <w:vAlign w:val="center"/>
          </w:tcPr>
          <w:p>
            <w:pPr>
              <w:pStyle w:val="TableContents"/>
              <w:spacing w:before="0" w:after="283"/>
              <w:rPr/>
            </w:pPr>
            <w:r>
              <w:rPr/>
              <w:t> </w:t>
            </w:r>
          </w:p>
        </w:tc>
        <w:tc>
          <w:tcPr>
            <w:tcW w:w="272" w:type="dxa"/>
            <w:tcBorders>
              <w:bottom w:val="doub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640" w:type="dxa"/>
            <w:tcBorders>
              <w:bottom w:val="doub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35</w:t>
            </w:r>
          </w:p>
        </w:tc>
        <w:tc>
          <w:tcPr>
            <w:tcW w:w="81" w:type="dxa"/>
            <w:tcBorders>
              <w:bottom w:val="single" w:sz="4" w:space="0" w:color="CCEEFF"/>
            </w:tcBorders>
            <w:shd w:fill="CCEEFF" w:val="clear"/>
            <w:vAlign w:val="bottom"/>
          </w:tcPr>
          <w:p>
            <w:pPr>
              <w:pStyle w:val="TableContents"/>
              <w:spacing w:before="0" w:after="283"/>
              <w:jc w:val="left"/>
              <w:rPr/>
            </w:pPr>
            <w:r>
              <w:rPr/>
              <w:t> </w:t>
            </w:r>
          </w:p>
        </w:tc>
        <w:tc>
          <w:tcPr>
            <w:tcW w:w="168" w:type="dxa"/>
            <w:tcBorders>
              <w:bottom w:val="doub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741" w:type="dxa"/>
            <w:tcBorders>
              <w:bottom w:val="doub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81" w:type="dxa"/>
            <w:tcBorders>
              <w:bottom w:val="single" w:sz="4" w:space="0" w:color="CCEEFF"/>
            </w:tcBorders>
            <w:shd w:fill="CCEEFF" w:val="clear"/>
            <w:vAlign w:val="bottom"/>
          </w:tcPr>
          <w:p>
            <w:pPr>
              <w:pStyle w:val="TableContents"/>
              <w:spacing w:before="0" w:after="283"/>
              <w:jc w:val="left"/>
              <w:rPr/>
            </w:pPr>
            <w:r>
              <w:rPr/>
              <w:t> </w:t>
            </w:r>
          </w:p>
        </w:tc>
        <w:tc>
          <w:tcPr>
            <w:tcW w:w="168" w:type="dxa"/>
            <w:tcBorders>
              <w:bottom w:val="doub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741" w:type="dxa"/>
            <w:tcBorders>
              <w:bottom w:val="doub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81" w:type="dxa"/>
            <w:tcBorders>
              <w:bottom w:val="single" w:sz="4" w:space="0" w:color="CCEEFF"/>
            </w:tcBorders>
            <w:shd w:fill="CCEEFF" w:val="clear"/>
            <w:vAlign w:val="bottom"/>
          </w:tcPr>
          <w:p>
            <w:pPr>
              <w:pStyle w:val="TableContents"/>
              <w:spacing w:before="0" w:after="283"/>
              <w:jc w:val="left"/>
              <w:rPr/>
            </w:pPr>
            <w:r>
              <w:rPr/>
              <w:t> </w:t>
            </w:r>
          </w:p>
        </w:tc>
        <w:tc>
          <w:tcPr>
            <w:tcW w:w="216" w:type="dxa"/>
            <w:tcBorders>
              <w:bottom w:val="doub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693" w:type="dxa"/>
            <w:tcBorders>
              <w:bottom w:val="doub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81" w:type="dxa"/>
            <w:tcBorders>
              <w:bottom w:val="single" w:sz="4" w:space="0" w:color="CCEEFF"/>
            </w:tcBorders>
            <w:shd w:fill="CCEEFF" w:val="clear"/>
            <w:vAlign w:val="bottom"/>
          </w:tcPr>
          <w:p>
            <w:pPr>
              <w:pStyle w:val="TableContents"/>
              <w:spacing w:before="0" w:after="283"/>
              <w:jc w:val="left"/>
              <w:rPr/>
            </w:pPr>
            <w:r>
              <w:rPr/>
              <w:t> </w:t>
            </w:r>
          </w:p>
        </w:tc>
        <w:tc>
          <w:tcPr>
            <w:tcW w:w="168" w:type="dxa"/>
            <w:tcBorders>
              <w:bottom w:val="doub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741" w:type="dxa"/>
            <w:tcBorders>
              <w:bottom w:val="doub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81" w:type="dxa"/>
            <w:tcBorders>
              <w:bottom w:val="single" w:sz="4" w:space="0" w:color="CCEEFF"/>
            </w:tcBorders>
            <w:shd w:fill="CCEEFF" w:val="clear"/>
            <w:vAlign w:val="bottom"/>
          </w:tcPr>
          <w:p>
            <w:pPr>
              <w:pStyle w:val="TableContents"/>
              <w:spacing w:before="0" w:after="283"/>
              <w:jc w:val="left"/>
              <w:rPr/>
            </w:pPr>
            <w:r>
              <w:rPr/>
              <w:t> </w:t>
            </w:r>
          </w:p>
        </w:tc>
        <w:tc>
          <w:tcPr>
            <w:tcW w:w="184" w:type="dxa"/>
            <w:tcBorders>
              <w:bottom w:val="doub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874" w:type="dxa"/>
            <w:tcBorders>
              <w:bottom w:val="doub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81" w:type="dxa"/>
            <w:tcBorders>
              <w:bottom w:val="single" w:sz="4" w:space="0" w:color="CCEEFF"/>
            </w:tcBorders>
            <w:shd w:fill="CCEEFF" w:val="clear"/>
            <w:vAlign w:val="bottom"/>
          </w:tcPr>
          <w:p>
            <w:pPr>
              <w:pStyle w:val="TableContents"/>
              <w:spacing w:before="0" w:after="283"/>
              <w:jc w:val="left"/>
              <w:rPr/>
            </w:pPr>
            <w:r>
              <w:rPr/>
              <w:t> </w:t>
            </w:r>
          </w:p>
        </w:tc>
        <w:tc>
          <w:tcPr>
            <w:tcW w:w="194" w:type="dxa"/>
            <w:tcBorders>
              <w:bottom w:val="doub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850" w:type="dxa"/>
            <w:tcBorders>
              <w:bottom w:val="doub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81" w:type="dxa"/>
            <w:tcBorders>
              <w:bottom w:val="single" w:sz="4" w:space="0" w:color="CCEEFF"/>
            </w:tcBorders>
            <w:shd w:fill="CCEEFF" w:val="clear"/>
            <w:vAlign w:val="bottom"/>
          </w:tcPr>
          <w:p>
            <w:pPr>
              <w:pStyle w:val="TableContents"/>
              <w:spacing w:before="0" w:after="283"/>
              <w:jc w:val="left"/>
              <w:rPr/>
            </w:pPr>
            <w:r>
              <w:rPr/>
              <w:t> </w:t>
            </w:r>
          </w:p>
        </w:tc>
        <w:tc>
          <w:tcPr>
            <w:tcW w:w="174" w:type="dxa"/>
            <w:tcBorders>
              <w:bottom w:val="doub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764" w:type="dxa"/>
            <w:tcBorders>
              <w:bottom w:val="doub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81" w:type="dxa"/>
            <w:tcBorders>
              <w:bottom w:val="single" w:sz="4" w:space="0" w:color="CCEEFF"/>
            </w:tcBorders>
            <w:shd w:fill="CCEEFF" w:val="clear"/>
            <w:vAlign w:val="bottom"/>
          </w:tcPr>
          <w:p>
            <w:pPr>
              <w:pStyle w:val="TableContents"/>
              <w:spacing w:before="0" w:after="283"/>
              <w:jc w:val="left"/>
              <w:rPr/>
            </w:pPr>
            <w:r>
              <w:rPr/>
              <w:t> </w:t>
            </w:r>
          </w:p>
        </w:tc>
        <w:tc>
          <w:tcPr>
            <w:tcW w:w="126" w:type="dxa"/>
            <w:tcBorders>
              <w:bottom w:val="doub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655" w:type="dxa"/>
            <w:tcBorders>
              <w:bottom w:val="doub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35</w:t>
            </w:r>
          </w:p>
        </w:tc>
        <w:tc>
          <w:tcPr>
            <w:tcW w:w="101" w:type="dxa"/>
            <w:tcBorders>
              <w:bottom w:val="single" w:sz="4" w:space="0" w:color="CCEEFF"/>
            </w:tcBorders>
            <w:shd w:fill="CCEEFF" w:val="clear"/>
            <w:vAlign w:val="bottom"/>
          </w:tcPr>
          <w:p>
            <w:pPr>
              <w:pStyle w:val="TableContents"/>
              <w:spacing w:before="0" w:after="283"/>
              <w:jc w:val="left"/>
              <w:rPr/>
            </w:pPr>
            <w:r>
              <w:rPr/>
              <w:t> </w:t>
            </w:r>
          </w:p>
        </w:tc>
      </w:tr>
      <w:tr>
        <w:trPr/>
        <w:tc>
          <w:tcPr>
            <w:tcW w:w="1026" w:type="dxa"/>
            <w:tcBorders/>
            <w:shd w:fill="FFFFFF" w:val="clear"/>
            <w:tcMar>
              <w:bottom w:w="0" w:type="dxa"/>
            </w:tcMar>
            <w:vAlign w:val="bottom"/>
          </w:tcPr>
          <w:p>
            <w:pPr>
              <w:pStyle w:val="TableContents"/>
              <w:spacing w:lineRule="auto" w:line="300" w:before="0" w:after="0"/>
              <w:ind w:left="180" w:right="0" w:hanging="180"/>
              <w:jc w:val="left"/>
              <w:rPr/>
            </w:pPr>
            <w:r>
              <w:rPr/>
              <w:t> </w:t>
            </w:r>
          </w:p>
          <w:p>
            <w:pPr>
              <w:pStyle w:val="TableContents"/>
              <w:spacing w:lineRule="auto" w:line="300" w:before="0" w:after="0"/>
              <w:ind w:left="180" w:right="0" w:hanging="180"/>
              <w:jc w:val="left"/>
              <w:rPr>
                <w:rFonts w:ascii="Times New Roman" w:hAnsi="Times New Roman"/>
                <w:sz w:val="20"/>
              </w:rPr>
            </w:pPr>
            <w:r>
              <w:rPr>
                <w:rFonts w:ascii="Times New Roman" w:hAnsi="Times New Roman"/>
                <w:sz w:val="20"/>
              </w:rPr>
              <w:t>Member contributions</w:t>
            </w:r>
          </w:p>
        </w:tc>
        <w:tc>
          <w:tcPr>
            <w:tcW w:w="61" w:type="dxa"/>
            <w:tcBorders/>
            <w:shd w:fill="FFFFFF" w:val="clear"/>
            <w:tcMar>
              <w:bottom w:w="0" w:type="dxa"/>
            </w:tcMar>
            <w:vAlign w:val="center"/>
          </w:tcPr>
          <w:p>
            <w:pPr>
              <w:pStyle w:val="TableContents"/>
              <w:spacing w:before="0" w:after="283"/>
              <w:rPr/>
            </w:pPr>
            <w:r>
              <w:rPr/>
              <w:t> </w:t>
            </w:r>
          </w:p>
        </w:tc>
        <w:tc>
          <w:tcPr>
            <w:tcW w:w="272" w:type="dxa"/>
            <w:tcBorders/>
            <w:shd w:fill="FFFFFF" w:val="clear"/>
            <w:tcMar>
              <w:bottom w:w="0" w:type="dxa"/>
            </w:tcMar>
            <w:vAlign w:val="bottom"/>
          </w:tcPr>
          <w:p>
            <w:pPr>
              <w:pStyle w:val="TableContents"/>
              <w:spacing w:before="0" w:after="283"/>
              <w:jc w:val="left"/>
              <w:rPr/>
            </w:pPr>
            <w:r>
              <w:rPr/>
              <w:t> </w:t>
            </w:r>
          </w:p>
        </w:tc>
        <w:tc>
          <w:tcPr>
            <w:tcW w:w="640"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4482" w:name="TAB12177"/>
            <w:bookmarkEnd w:id="4482"/>
            <w:r>
              <w:rPr>
                <w:rFonts w:ascii="Times New Roman" w:hAnsi="Times New Roman"/>
                <w:sz w:val="20"/>
              </w:rPr>
              <w:t>52</w:t>
            </w:r>
          </w:p>
        </w:tc>
        <w:tc>
          <w:tcPr>
            <w:tcW w:w="81" w:type="dxa"/>
            <w:tcBorders/>
            <w:shd w:fill="FFFFFF" w:val="clear"/>
            <w:tcMar>
              <w:bottom w:w="0" w:type="dxa"/>
            </w:tcMar>
            <w:vAlign w:val="bottom"/>
          </w:tcPr>
          <w:p>
            <w:pPr>
              <w:pStyle w:val="TableContents"/>
              <w:spacing w:before="0" w:after="283"/>
              <w:jc w:val="left"/>
              <w:rPr/>
            </w:pPr>
            <w:r>
              <w:rPr/>
              <w:t> </w:t>
            </w:r>
          </w:p>
        </w:tc>
        <w:tc>
          <w:tcPr>
            <w:tcW w:w="168" w:type="dxa"/>
            <w:tcBorders/>
            <w:shd w:fill="FFFFFF" w:val="clear"/>
            <w:tcMar>
              <w:bottom w:w="0" w:type="dxa"/>
            </w:tcMar>
            <w:vAlign w:val="bottom"/>
          </w:tcPr>
          <w:p>
            <w:pPr>
              <w:pStyle w:val="TableContents"/>
              <w:spacing w:before="0" w:after="283"/>
              <w:jc w:val="left"/>
              <w:rPr/>
            </w:pPr>
            <w:r>
              <w:rPr/>
              <w:t> </w:t>
            </w:r>
          </w:p>
        </w:tc>
        <w:tc>
          <w:tcPr>
            <w:tcW w:w="741"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4483" w:name="TAB12178"/>
            <w:bookmarkEnd w:id="4483"/>
            <w:r>
              <w:rPr>
                <w:rFonts w:ascii="Times New Roman" w:hAnsi="Times New Roman"/>
                <w:sz w:val="20"/>
              </w:rPr>
              <w:t>1,933</w:t>
            </w:r>
          </w:p>
        </w:tc>
        <w:tc>
          <w:tcPr>
            <w:tcW w:w="81" w:type="dxa"/>
            <w:tcBorders/>
            <w:shd w:fill="FFFFFF" w:val="clear"/>
            <w:tcMar>
              <w:bottom w:w="0" w:type="dxa"/>
            </w:tcMar>
            <w:vAlign w:val="bottom"/>
          </w:tcPr>
          <w:p>
            <w:pPr>
              <w:pStyle w:val="TableContents"/>
              <w:spacing w:before="0" w:after="283"/>
              <w:jc w:val="left"/>
              <w:rPr/>
            </w:pPr>
            <w:r>
              <w:rPr/>
              <w:t> </w:t>
            </w:r>
          </w:p>
        </w:tc>
        <w:tc>
          <w:tcPr>
            <w:tcW w:w="168" w:type="dxa"/>
            <w:tcBorders/>
            <w:shd w:fill="FFFFFF" w:val="clear"/>
            <w:tcMar>
              <w:bottom w:w="0" w:type="dxa"/>
            </w:tcMar>
            <w:vAlign w:val="bottom"/>
          </w:tcPr>
          <w:p>
            <w:pPr>
              <w:pStyle w:val="TableContents"/>
              <w:spacing w:before="0" w:after="283"/>
              <w:jc w:val="left"/>
              <w:rPr/>
            </w:pPr>
            <w:r>
              <w:rPr/>
              <w:t> </w:t>
            </w:r>
          </w:p>
        </w:tc>
        <w:tc>
          <w:tcPr>
            <w:tcW w:w="741"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4484" w:name="TAB12179"/>
            <w:bookmarkEnd w:id="4484"/>
            <w:r>
              <w:rPr>
                <w:rFonts w:ascii="Times New Roman" w:hAnsi="Times New Roman"/>
                <w:sz w:val="20"/>
              </w:rPr>
              <w:t>1,340</w:t>
            </w:r>
          </w:p>
        </w:tc>
        <w:tc>
          <w:tcPr>
            <w:tcW w:w="81" w:type="dxa"/>
            <w:tcBorders/>
            <w:shd w:fill="FFFFFF" w:val="clear"/>
            <w:tcMar>
              <w:bottom w:w="0" w:type="dxa"/>
            </w:tcMar>
            <w:vAlign w:val="bottom"/>
          </w:tcPr>
          <w:p>
            <w:pPr>
              <w:pStyle w:val="TableContents"/>
              <w:spacing w:before="0" w:after="283"/>
              <w:jc w:val="left"/>
              <w:rPr/>
            </w:pPr>
            <w:r>
              <w:rPr/>
              <w:t> </w:t>
            </w:r>
          </w:p>
        </w:tc>
        <w:tc>
          <w:tcPr>
            <w:tcW w:w="216" w:type="dxa"/>
            <w:tcBorders/>
            <w:shd w:fill="FFFFFF" w:val="clear"/>
            <w:tcMar>
              <w:bottom w:w="0" w:type="dxa"/>
            </w:tcMar>
            <w:vAlign w:val="bottom"/>
          </w:tcPr>
          <w:p>
            <w:pPr>
              <w:pStyle w:val="TableContents"/>
              <w:spacing w:before="0" w:after="283"/>
              <w:jc w:val="left"/>
              <w:rPr/>
            </w:pPr>
            <w:r>
              <w:rPr/>
              <w:t> </w:t>
            </w:r>
          </w:p>
        </w:tc>
        <w:tc>
          <w:tcPr>
            <w:tcW w:w="693"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4485" w:name="TAB12180"/>
            <w:bookmarkEnd w:id="4485"/>
            <w:r>
              <w:rPr>
                <w:rFonts w:ascii="Times New Roman" w:hAnsi="Times New Roman"/>
                <w:sz w:val="20"/>
              </w:rPr>
              <w:t>746</w:t>
            </w:r>
          </w:p>
        </w:tc>
        <w:tc>
          <w:tcPr>
            <w:tcW w:w="81" w:type="dxa"/>
            <w:tcBorders/>
            <w:shd w:fill="FFFFFF" w:val="clear"/>
            <w:tcMar>
              <w:bottom w:w="0" w:type="dxa"/>
            </w:tcMar>
            <w:vAlign w:val="bottom"/>
          </w:tcPr>
          <w:p>
            <w:pPr>
              <w:pStyle w:val="TableContents"/>
              <w:spacing w:before="0" w:after="283"/>
              <w:jc w:val="left"/>
              <w:rPr/>
            </w:pPr>
            <w:r>
              <w:rPr/>
              <w:t> </w:t>
            </w:r>
          </w:p>
        </w:tc>
        <w:tc>
          <w:tcPr>
            <w:tcW w:w="168" w:type="dxa"/>
            <w:tcBorders/>
            <w:shd w:fill="FFFFFF" w:val="clear"/>
            <w:tcMar>
              <w:bottom w:w="0" w:type="dxa"/>
            </w:tcMar>
            <w:vAlign w:val="bottom"/>
          </w:tcPr>
          <w:p>
            <w:pPr>
              <w:pStyle w:val="TableContents"/>
              <w:spacing w:before="0" w:after="283"/>
              <w:jc w:val="left"/>
              <w:rPr/>
            </w:pPr>
            <w:r>
              <w:rPr/>
              <w:t> </w:t>
            </w:r>
          </w:p>
        </w:tc>
        <w:tc>
          <w:tcPr>
            <w:tcW w:w="741"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4486" w:name="TAB12181"/>
            <w:bookmarkEnd w:id="4486"/>
            <w:r>
              <w:rPr>
                <w:rFonts w:ascii="Times New Roman" w:hAnsi="Times New Roman"/>
                <w:sz w:val="20"/>
              </w:rPr>
              <w:t>--</w:t>
            </w:r>
          </w:p>
        </w:tc>
        <w:tc>
          <w:tcPr>
            <w:tcW w:w="81" w:type="dxa"/>
            <w:tcBorders/>
            <w:shd w:fill="FFFFFF" w:val="clear"/>
            <w:tcMar>
              <w:bottom w:w="0" w:type="dxa"/>
            </w:tcMar>
            <w:vAlign w:val="bottom"/>
          </w:tcPr>
          <w:p>
            <w:pPr>
              <w:pStyle w:val="TableContents"/>
              <w:spacing w:before="0" w:after="283"/>
              <w:jc w:val="left"/>
              <w:rPr/>
            </w:pPr>
            <w:r>
              <w:rPr/>
              <w:t> </w:t>
            </w:r>
          </w:p>
        </w:tc>
        <w:tc>
          <w:tcPr>
            <w:tcW w:w="184" w:type="dxa"/>
            <w:tcBorders/>
            <w:shd w:fill="FFFFFF" w:val="clear"/>
            <w:tcMar>
              <w:bottom w:w="0" w:type="dxa"/>
            </w:tcMar>
            <w:vAlign w:val="bottom"/>
          </w:tcPr>
          <w:p>
            <w:pPr>
              <w:pStyle w:val="TableContents"/>
              <w:spacing w:before="0" w:after="283"/>
              <w:jc w:val="left"/>
              <w:rPr/>
            </w:pPr>
            <w:r>
              <w:rPr/>
              <w:t> </w:t>
            </w:r>
          </w:p>
        </w:tc>
        <w:tc>
          <w:tcPr>
            <w:tcW w:w="874"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4487" w:name="TAB12182"/>
            <w:bookmarkEnd w:id="4487"/>
            <w:r>
              <w:rPr>
                <w:rFonts w:ascii="Times New Roman" w:hAnsi="Times New Roman"/>
                <w:sz w:val="20"/>
              </w:rPr>
              <w:t>67</w:t>
            </w:r>
          </w:p>
        </w:tc>
        <w:tc>
          <w:tcPr>
            <w:tcW w:w="81" w:type="dxa"/>
            <w:tcBorders/>
            <w:shd w:fill="FFFFFF" w:val="clear"/>
            <w:tcMar>
              <w:bottom w:w="0" w:type="dxa"/>
            </w:tcMar>
            <w:vAlign w:val="bottom"/>
          </w:tcPr>
          <w:p>
            <w:pPr>
              <w:pStyle w:val="TableContents"/>
              <w:spacing w:before="0" w:after="283"/>
              <w:jc w:val="left"/>
              <w:rPr/>
            </w:pPr>
            <w:r>
              <w:rPr/>
              <w:t> </w:t>
            </w:r>
          </w:p>
        </w:tc>
        <w:tc>
          <w:tcPr>
            <w:tcW w:w="194" w:type="dxa"/>
            <w:tcBorders/>
            <w:shd w:fill="FFFFFF" w:val="clear"/>
            <w:tcMar>
              <w:bottom w:w="0" w:type="dxa"/>
            </w:tcMar>
            <w:vAlign w:val="bottom"/>
          </w:tcPr>
          <w:p>
            <w:pPr>
              <w:pStyle w:val="TableContents"/>
              <w:spacing w:before="0" w:after="283"/>
              <w:jc w:val="left"/>
              <w:rPr/>
            </w:pPr>
            <w:r>
              <w:rPr/>
              <w:t> </w:t>
            </w:r>
          </w:p>
        </w:tc>
        <w:tc>
          <w:tcPr>
            <w:tcW w:w="850"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4488" w:name="TAB12183"/>
            <w:bookmarkEnd w:id="4488"/>
            <w:r>
              <w:rPr>
                <w:rFonts w:ascii="Times New Roman" w:hAnsi="Times New Roman"/>
                <w:sz w:val="20"/>
              </w:rPr>
              <w:t>2,611</w:t>
            </w:r>
          </w:p>
        </w:tc>
        <w:tc>
          <w:tcPr>
            <w:tcW w:w="81" w:type="dxa"/>
            <w:tcBorders/>
            <w:shd w:fill="FFFFFF" w:val="clear"/>
            <w:tcMar>
              <w:bottom w:w="0" w:type="dxa"/>
            </w:tcMar>
            <w:vAlign w:val="bottom"/>
          </w:tcPr>
          <w:p>
            <w:pPr>
              <w:pStyle w:val="TableContents"/>
              <w:spacing w:before="0" w:after="283"/>
              <w:jc w:val="left"/>
              <w:rPr/>
            </w:pPr>
            <w:r>
              <w:rPr/>
              <w:t> </w:t>
            </w:r>
          </w:p>
        </w:tc>
        <w:tc>
          <w:tcPr>
            <w:tcW w:w="174" w:type="dxa"/>
            <w:tcBorders/>
            <w:shd w:fill="FFFFFF" w:val="clear"/>
            <w:tcMar>
              <w:bottom w:w="0" w:type="dxa"/>
            </w:tcMar>
            <w:vAlign w:val="bottom"/>
          </w:tcPr>
          <w:p>
            <w:pPr>
              <w:pStyle w:val="TableContents"/>
              <w:spacing w:before="0" w:after="283"/>
              <w:jc w:val="left"/>
              <w:rPr/>
            </w:pPr>
            <w:r>
              <w:rPr/>
              <w:t> </w:t>
            </w:r>
          </w:p>
        </w:tc>
        <w:tc>
          <w:tcPr>
            <w:tcW w:w="764"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4489" w:name="TAB12184"/>
            <w:bookmarkEnd w:id="4489"/>
            <w:r>
              <w:rPr>
                <w:rFonts w:ascii="Times New Roman" w:hAnsi="Times New Roman"/>
                <w:sz w:val="20"/>
              </w:rPr>
              <w:t>2,233</w:t>
            </w:r>
          </w:p>
        </w:tc>
        <w:tc>
          <w:tcPr>
            <w:tcW w:w="81" w:type="dxa"/>
            <w:tcBorders/>
            <w:shd w:fill="FFFFFF" w:val="clear"/>
            <w:tcMar>
              <w:bottom w:w="0" w:type="dxa"/>
            </w:tcMar>
            <w:vAlign w:val="bottom"/>
          </w:tcPr>
          <w:p>
            <w:pPr>
              <w:pStyle w:val="TableContents"/>
              <w:spacing w:before="0" w:after="283"/>
              <w:jc w:val="left"/>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655"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4490" w:name="TAB12185"/>
            <w:bookmarkEnd w:id="4490"/>
            <w:r>
              <w:rPr>
                <w:rFonts w:ascii="Times New Roman" w:hAnsi="Times New Roman"/>
                <w:sz w:val="20"/>
              </w:rPr>
              <w:t>8,982</w:t>
            </w:r>
          </w:p>
        </w:tc>
        <w:tc>
          <w:tcPr>
            <w:tcW w:w="101" w:type="dxa"/>
            <w:tcBorders/>
            <w:shd w:fill="FFFFFF" w:val="clear"/>
            <w:tcMar>
              <w:bottom w:w="0" w:type="dxa"/>
            </w:tcMar>
            <w:vAlign w:val="bottom"/>
          </w:tcPr>
          <w:p>
            <w:pPr>
              <w:pStyle w:val="TableContents"/>
              <w:spacing w:before="0" w:after="283"/>
              <w:jc w:val="left"/>
              <w:rPr/>
            </w:pPr>
            <w:r>
              <w:rPr/>
              <w:t> </w:t>
            </w:r>
          </w:p>
        </w:tc>
      </w:tr>
      <w:tr>
        <w:trPr/>
        <w:tc>
          <w:tcPr>
            <w:tcW w:w="1026" w:type="dxa"/>
            <w:tcBorders/>
            <w:shd w:fill="CCEEFF" w:val="clear"/>
            <w:tcMar>
              <w:bottom w:w="0" w:type="dxa"/>
            </w:tcMar>
            <w:vAlign w:val="bottom"/>
          </w:tcPr>
          <w:p>
            <w:pPr>
              <w:pStyle w:val="TableContents"/>
              <w:spacing w:lineRule="auto" w:line="300" w:before="0" w:after="0"/>
              <w:ind w:left="180" w:right="0" w:hanging="180"/>
              <w:jc w:val="left"/>
              <w:rPr>
                <w:rFonts w:ascii="Times New Roman" w:hAnsi="Times New Roman"/>
                <w:sz w:val="20"/>
              </w:rPr>
            </w:pPr>
            <w:r>
              <w:rPr>
                <w:rFonts w:ascii="Times New Roman" w:hAnsi="Times New Roman"/>
                <w:sz w:val="20"/>
              </w:rPr>
              <w:t>Member distributions</w:t>
            </w:r>
          </w:p>
        </w:tc>
        <w:tc>
          <w:tcPr>
            <w:tcW w:w="61" w:type="dxa"/>
            <w:tcBorders/>
            <w:shd w:fill="CCEEFF" w:val="clear"/>
            <w:tcMar>
              <w:bottom w:w="0" w:type="dxa"/>
            </w:tcMar>
            <w:vAlign w:val="center"/>
          </w:tcPr>
          <w:p>
            <w:pPr>
              <w:pStyle w:val="TableContents"/>
              <w:spacing w:before="0" w:after="283"/>
              <w:rPr/>
            </w:pPr>
            <w:r>
              <w:rPr/>
              <w:t> </w:t>
            </w:r>
          </w:p>
        </w:tc>
        <w:tc>
          <w:tcPr>
            <w:tcW w:w="272" w:type="dxa"/>
            <w:tcBorders/>
            <w:shd w:fill="CCEEFF" w:val="clear"/>
            <w:tcMar>
              <w:bottom w:w="0" w:type="dxa"/>
            </w:tcMar>
            <w:vAlign w:val="bottom"/>
          </w:tcPr>
          <w:p>
            <w:pPr>
              <w:pStyle w:val="TableContents"/>
              <w:spacing w:before="0" w:after="283"/>
              <w:jc w:val="left"/>
              <w:rPr/>
            </w:pPr>
            <w:r>
              <w:rPr/>
              <w:t> </w:t>
            </w:r>
          </w:p>
        </w:tc>
        <w:tc>
          <w:tcPr>
            <w:tcW w:w="640"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4491" w:name="TAB12186"/>
            <w:bookmarkEnd w:id="4491"/>
            <w:r>
              <w:rPr>
                <w:rFonts w:ascii="Times New Roman" w:hAnsi="Times New Roman"/>
                <w:sz w:val="20"/>
              </w:rPr>
              <w:t>(87</w:t>
            </w:r>
          </w:p>
        </w:tc>
        <w:tc>
          <w:tcPr>
            <w:tcW w:w="81"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4492" w:name="TAB12187"/>
            <w:bookmarkEnd w:id="4492"/>
            <w:r>
              <w:rPr>
                <w:rFonts w:ascii="Times New Roman" w:hAnsi="Times New Roman"/>
                <w:sz w:val="20"/>
              </w:rPr>
              <w:t>)</w:t>
            </w:r>
          </w:p>
        </w:tc>
        <w:tc>
          <w:tcPr>
            <w:tcW w:w="168" w:type="dxa"/>
            <w:tcBorders/>
            <w:shd w:fill="CCEEFF" w:val="clear"/>
            <w:tcMar>
              <w:bottom w:w="0" w:type="dxa"/>
            </w:tcMar>
            <w:vAlign w:val="bottom"/>
          </w:tcPr>
          <w:p>
            <w:pPr>
              <w:pStyle w:val="TableContents"/>
              <w:spacing w:before="0" w:after="283"/>
              <w:jc w:val="left"/>
              <w:rPr/>
            </w:pPr>
            <w:r>
              <w:rPr/>
              <w:t> </w:t>
            </w:r>
          </w:p>
        </w:tc>
        <w:tc>
          <w:tcPr>
            <w:tcW w:w="741"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4493" w:name="TAB12188"/>
            <w:bookmarkEnd w:id="4493"/>
            <w:r>
              <w:rPr>
                <w:rFonts w:ascii="Times New Roman" w:hAnsi="Times New Roman"/>
                <w:sz w:val="20"/>
              </w:rPr>
              <w:t>--</w:t>
            </w:r>
          </w:p>
        </w:tc>
        <w:tc>
          <w:tcPr>
            <w:tcW w:w="81" w:type="dxa"/>
            <w:tcBorders/>
            <w:shd w:fill="CCEEFF" w:val="clear"/>
            <w:tcMar>
              <w:bottom w:w="0" w:type="dxa"/>
            </w:tcMar>
            <w:vAlign w:val="bottom"/>
          </w:tcPr>
          <w:p>
            <w:pPr>
              <w:pStyle w:val="TableContents"/>
              <w:spacing w:before="0" w:after="283"/>
              <w:jc w:val="left"/>
              <w:rPr/>
            </w:pPr>
            <w:r>
              <w:rPr/>
              <w:t> </w:t>
            </w:r>
          </w:p>
        </w:tc>
        <w:tc>
          <w:tcPr>
            <w:tcW w:w="168" w:type="dxa"/>
            <w:tcBorders/>
            <w:shd w:fill="CCEEFF" w:val="clear"/>
            <w:tcMar>
              <w:bottom w:w="0" w:type="dxa"/>
            </w:tcMar>
            <w:vAlign w:val="bottom"/>
          </w:tcPr>
          <w:p>
            <w:pPr>
              <w:pStyle w:val="TableContents"/>
              <w:spacing w:before="0" w:after="283"/>
              <w:jc w:val="left"/>
              <w:rPr/>
            </w:pPr>
            <w:r>
              <w:rPr/>
              <w:t> </w:t>
            </w:r>
          </w:p>
        </w:tc>
        <w:tc>
          <w:tcPr>
            <w:tcW w:w="741"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4494" w:name="TAB12189"/>
            <w:bookmarkEnd w:id="4494"/>
            <w:r>
              <w:rPr>
                <w:rFonts w:ascii="Times New Roman" w:hAnsi="Times New Roman"/>
                <w:sz w:val="20"/>
              </w:rPr>
              <w:t>--</w:t>
            </w:r>
          </w:p>
        </w:tc>
        <w:tc>
          <w:tcPr>
            <w:tcW w:w="81" w:type="dxa"/>
            <w:tcBorders/>
            <w:shd w:fill="CCEEFF" w:val="clear"/>
            <w:tcMar>
              <w:bottom w:w="0" w:type="dxa"/>
            </w:tcMar>
            <w:vAlign w:val="bottom"/>
          </w:tcPr>
          <w:p>
            <w:pPr>
              <w:pStyle w:val="TableContents"/>
              <w:spacing w:before="0" w:after="283"/>
              <w:jc w:val="left"/>
              <w:rPr/>
            </w:pPr>
            <w:r>
              <w:rPr/>
              <w:t> </w:t>
            </w:r>
          </w:p>
        </w:tc>
        <w:tc>
          <w:tcPr>
            <w:tcW w:w="216" w:type="dxa"/>
            <w:tcBorders/>
            <w:shd w:fill="CCEEFF" w:val="clear"/>
            <w:tcMar>
              <w:bottom w:w="0" w:type="dxa"/>
            </w:tcMar>
            <w:vAlign w:val="bottom"/>
          </w:tcPr>
          <w:p>
            <w:pPr>
              <w:pStyle w:val="TableContents"/>
              <w:spacing w:before="0" w:after="283"/>
              <w:jc w:val="left"/>
              <w:rPr/>
            </w:pPr>
            <w:r>
              <w:rPr/>
              <w:t> </w:t>
            </w:r>
          </w:p>
        </w:tc>
        <w:tc>
          <w:tcPr>
            <w:tcW w:w="693"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4495" w:name="TAB12190"/>
            <w:bookmarkEnd w:id="4495"/>
            <w:r>
              <w:rPr>
                <w:rFonts w:ascii="Times New Roman" w:hAnsi="Times New Roman"/>
                <w:sz w:val="20"/>
              </w:rPr>
              <w:t>--</w:t>
            </w:r>
          </w:p>
        </w:tc>
        <w:tc>
          <w:tcPr>
            <w:tcW w:w="81" w:type="dxa"/>
            <w:tcBorders/>
            <w:shd w:fill="CCEEFF" w:val="clear"/>
            <w:tcMar>
              <w:bottom w:w="0" w:type="dxa"/>
            </w:tcMar>
            <w:vAlign w:val="bottom"/>
          </w:tcPr>
          <w:p>
            <w:pPr>
              <w:pStyle w:val="TableContents"/>
              <w:spacing w:before="0" w:after="283"/>
              <w:jc w:val="left"/>
              <w:rPr/>
            </w:pPr>
            <w:r>
              <w:rPr/>
              <w:t> </w:t>
            </w:r>
          </w:p>
        </w:tc>
        <w:tc>
          <w:tcPr>
            <w:tcW w:w="168" w:type="dxa"/>
            <w:tcBorders/>
            <w:shd w:fill="CCEEFF" w:val="clear"/>
            <w:tcMar>
              <w:bottom w:w="0" w:type="dxa"/>
            </w:tcMar>
            <w:vAlign w:val="bottom"/>
          </w:tcPr>
          <w:p>
            <w:pPr>
              <w:pStyle w:val="TableContents"/>
              <w:spacing w:before="0" w:after="283"/>
              <w:jc w:val="left"/>
              <w:rPr/>
            </w:pPr>
            <w:r>
              <w:rPr/>
              <w:t> </w:t>
            </w:r>
          </w:p>
        </w:tc>
        <w:tc>
          <w:tcPr>
            <w:tcW w:w="741"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4496" w:name="TAB12191"/>
            <w:bookmarkEnd w:id="4496"/>
            <w:r>
              <w:rPr>
                <w:rFonts w:ascii="Times New Roman" w:hAnsi="Times New Roman"/>
                <w:sz w:val="20"/>
              </w:rPr>
              <w:t>--</w:t>
            </w:r>
          </w:p>
        </w:tc>
        <w:tc>
          <w:tcPr>
            <w:tcW w:w="81" w:type="dxa"/>
            <w:tcBorders/>
            <w:shd w:fill="CCEEFF" w:val="clear"/>
            <w:tcMar>
              <w:bottom w:w="0" w:type="dxa"/>
            </w:tcMar>
            <w:vAlign w:val="bottom"/>
          </w:tcPr>
          <w:p>
            <w:pPr>
              <w:pStyle w:val="TableContents"/>
              <w:spacing w:before="0" w:after="283"/>
              <w:jc w:val="left"/>
              <w:rPr/>
            </w:pPr>
            <w:r>
              <w:rPr/>
              <w:t> </w:t>
            </w:r>
          </w:p>
        </w:tc>
        <w:tc>
          <w:tcPr>
            <w:tcW w:w="184" w:type="dxa"/>
            <w:tcBorders/>
            <w:shd w:fill="CCEEFF" w:val="clear"/>
            <w:tcMar>
              <w:bottom w:w="0" w:type="dxa"/>
            </w:tcMar>
            <w:vAlign w:val="bottom"/>
          </w:tcPr>
          <w:p>
            <w:pPr>
              <w:pStyle w:val="TableContents"/>
              <w:spacing w:before="0" w:after="283"/>
              <w:jc w:val="left"/>
              <w:rPr/>
            </w:pPr>
            <w:r>
              <w:rPr/>
              <w:t> </w:t>
            </w:r>
          </w:p>
        </w:tc>
        <w:tc>
          <w:tcPr>
            <w:tcW w:w="874"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4497" w:name="TAB12192"/>
            <w:bookmarkEnd w:id="4497"/>
            <w:r>
              <w:rPr>
                <w:rFonts w:ascii="Times New Roman" w:hAnsi="Times New Roman"/>
                <w:sz w:val="20"/>
              </w:rPr>
              <w:t>--</w:t>
            </w:r>
          </w:p>
        </w:tc>
        <w:tc>
          <w:tcPr>
            <w:tcW w:w="81" w:type="dxa"/>
            <w:tcBorders/>
            <w:shd w:fill="CCEEFF" w:val="clear"/>
            <w:tcMar>
              <w:bottom w:w="0" w:type="dxa"/>
            </w:tcMar>
            <w:vAlign w:val="bottom"/>
          </w:tcPr>
          <w:p>
            <w:pPr>
              <w:pStyle w:val="TableContents"/>
              <w:spacing w:before="0" w:after="283"/>
              <w:jc w:val="left"/>
              <w:rPr/>
            </w:pPr>
            <w:r>
              <w:rPr/>
              <w:t> </w:t>
            </w:r>
          </w:p>
        </w:tc>
        <w:tc>
          <w:tcPr>
            <w:tcW w:w="194" w:type="dxa"/>
            <w:tcBorders/>
            <w:shd w:fill="CCEEFF" w:val="clear"/>
            <w:tcMar>
              <w:bottom w:w="0" w:type="dxa"/>
            </w:tcMar>
            <w:vAlign w:val="bottom"/>
          </w:tcPr>
          <w:p>
            <w:pPr>
              <w:pStyle w:val="TableContents"/>
              <w:spacing w:before="0" w:after="283"/>
              <w:jc w:val="left"/>
              <w:rPr/>
            </w:pPr>
            <w:r>
              <w:rPr/>
              <w:t> </w:t>
            </w:r>
          </w:p>
        </w:tc>
        <w:tc>
          <w:tcPr>
            <w:tcW w:w="850"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4498" w:name="TAB12193"/>
            <w:bookmarkEnd w:id="4498"/>
            <w:r>
              <w:rPr>
                <w:rFonts w:ascii="Times New Roman" w:hAnsi="Times New Roman"/>
                <w:sz w:val="20"/>
              </w:rPr>
              <w:t>--</w:t>
            </w:r>
          </w:p>
        </w:tc>
        <w:tc>
          <w:tcPr>
            <w:tcW w:w="81" w:type="dxa"/>
            <w:tcBorders/>
            <w:shd w:fill="CCEEFF" w:val="clear"/>
            <w:tcMar>
              <w:bottom w:w="0" w:type="dxa"/>
            </w:tcMar>
            <w:vAlign w:val="bottom"/>
          </w:tcPr>
          <w:p>
            <w:pPr>
              <w:pStyle w:val="TableContents"/>
              <w:spacing w:before="0" w:after="283"/>
              <w:jc w:val="left"/>
              <w:rPr/>
            </w:pPr>
            <w:r>
              <w:rPr/>
              <w:t> </w:t>
            </w:r>
          </w:p>
        </w:tc>
        <w:tc>
          <w:tcPr>
            <w:tcW w:w="174" w:type="dxa"/>
            <w:tcBorders/>
            <w:shd w:fill="CCEEFF" w:val="clear"/>
            <w:tcMar>
              <w:bottom w:w="0" w:type="dxa"/>
            </w:tcMar>
            <w:vAlign w:val="bottom"/>
          </w:tcPr>
          <w:p>
            <w:pPr>
              <w:pStyle w:val="TableContents"/>
              <w:spacing w:before="0" w:after="283"/>
              <w:jc w:val="left"/>
              <w:rPr/>
            </w:pPr>
            <w:r>
              <w:rPr/>
              <w:t> </w:t>
            </w:r>
          </w:p>
        </w:tc>
        <w:tc>
          <w:tcPr>
            <w:tcW w:w="764"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4499" w:name="TAB12194"/>
            <w:bookmarkEnd w:id="4499"/>
            <w:r>
              <w:rPr>
                <w:rFonts w:ascii="Times New Roman" w:hAnsi="Times New Roman"/>
                <w:sz w:val="20"/>
              </w:rPr>
              <w:t>--</w:t>
            </w:r>
          </w:p>
        </w:tc>
        <w:tc>
          <w:tcPr>
            <w:tcW w:w="81" w:type="dxa"/>
            <w:tcBorders/>
            <w:shd w:fill="CCEEFF" w:val="clear"/>
            <w:tcMar>
              <w:bottom w:w="0" w:type="dxa"/>
            </w:tcMar>
            <w:vAlign w:val="bottom"/>
          </w:tcPr>
          <w:p>
            <w:pPr>
              <w:pStyle w:val="TableContents"/>
              <w:spacing w:before="0" w:after="283"/>
              <w:jc w:val="left"/>
              <w:rPr/>
            </w:pPr>
            <w:r>
              <w:rPr/>
              <w:t> </w:t>
            </w:r>
          </w:p>
        </w:tc>
        <w:tc>
          <w:tcPr>
            <w:tcW w:w="126" w:type="dxa"/>
            <w:tcBorders/>
            <w:shd w:fill="CCEEFF" w:val="clear"/>
            <w:tcMar>
              <w:bottom w:w="0" w:type="dxa"/>
            </w:tcMar>
            <w:vAlign w:val="bottom"/>
          </w:tcPr>
          <w:p>
            <w:pPr>
              <w:pStyle w:val="TableContents"/>
              <w:spacing w:before="0" w:after="283"/>
              <w:jc w:val="left"/>
              <w:rPr/>
            </w:pPr>
            <w:r>
              <w:rPr/>
              <w:t> </w:t>
            </w:r>
          </w:p>
        </w:tc>
        <w:tc>
          <w:tcPr>
            <w:tcW w:w="655"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4500" w:name="TAB12195"/>
            <w:bookmarkEnd w:id="4500"/>
            <w:r>
              <w:rPr>
                <w:rFonts w:ascii="Times New Roman" w:hAnsi="Times New Roman"/>
                <w:sz w:val="20"/>
              </w:rPr>
              <w:t>(87</w:t>
            </w:r>
          </w:p>
        </w:tc>
        <w:tc>
          <w:tcPr>
            <w:tcW w:w="101"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4501" w:name="TAB12196"/>
            <w:bookmarkEnd w:id="4501"/>
            <w:r>
              <w:rPr>
                <w:rFonts w:ascii="Times New Roman" w:hAnsi="Times New Roman"/>
                <w:sz w:val="20"/>
              </w:rPr>
              <w:t>)</w:t>
            </w:r>
          </w:p>
        </w:tc>
      </w:tr>
      <w:tr>
        <w:trPr/>
        <w:tc>
          <w:tcPr>
            <w:tcW w:w="1026"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Assignment of interest</w:t>
            </w:r>
          </w:p>
        </w:tc>
        <w:tc>
          <w:tcPr>
            <w:tcW w:w="61" w:type="dxa"/>
            <w:tcBorders/>
            <w:shd w:fill="FFFFFF" w:val="clear"/>
            <w:tcMar>
              <w:bottom w:w="0" w:type="dxa"/>
            </w:tcMar>
            <w:vAlign w:val="center"/>
          </w:tcPr>
          <w:p>
            <w:pPr>
              <w:pStyle w:val="TableContents"/>
              <w:spacing w:before="0" w:after="283"/>
              <w:rPr/>
            </w:pPr>
            <w:r>
              <w:rPr/>
              <w:t> </w:t>
            </w:r>
          </w:p>
        </w:tc>
        <w:tc>
          <w:tcPr>
            <w:tcW w:w="272" w:type="dxa"/>
            <w:tcBorders/>
            <w:shd w:fill="FFFFFF" w:val="clear"/>
            <w:tcMar>
              <w:bottom w:w="0" w:type="dxa"/>
            </w:tcMar>
            <w:vAlign w:val="bottom"/>
          </w:tcPr>
          <w:p>
            <w:pPr>
              <w:pStyle w:val="TableContents"/>
              <w:spacing w:before="0" w:after="283"/>
              <w:jc w:val="left"/>
              <w:rPr/>
            </w:pPr>
            <w:r>
              <w:rPr/>
              <w:t> </w:t>
            </w:r>
          </w:p>
        </w:tc>
        <w:tc>
          <w:tcPr>
            <w:tcW w:w="640"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4502" w:name="TAB12197"/>
            <w:bookmarkEnd w:id="4502"/>
            <w:r>
              <w:rPr>
                <w:rFonts w:ascii="Times New Roman" w:hAnsi="Times New Roman"/>
                <w:sz w:val="20"/>
              </w:rPr>
              <w:t>--</w:t>
            </w:r>
          </w:p>
        </w:tc>
        <w:tc>
          <w:tcPr>
            <w:tcW w:w="81" w:type="dxa"/>
            <w:tcBorders/>
            <w:shd w:fill="FFFFFF" w:val="clear"/>
            <w:tcMar>
              <w:bottom w:w="0" w:type="dxa"/>
            </w:tcMar>
            <w:vAlign w:val="bottom"/>
          </w:tcPr>
          <w:p>
            <w:pPr>
              <w:pStyle w:val="TableContents"/>
              <w:spacing w:before="0" w:after="283"/>
              <w:jc w:val="left"/>
              <w:rPr/>
            </w:pPr>
            <w:r>
              <w:rPr/>
              <w:t> </w:t>
            </w:r>
          </w:p>
        </w:tc>
        <w:tc>
          <w:tcPr>
            <w:tcW w:w="168" w:type="dxa"/>
            <w:tcBorders/>
            <w:shd w:fill="FFFFFF" w:val="clear"/>
            <w:tcMar>
              <w:bottom w:w="0" w:type="dxa"/>
            </w:tcMar>
            <w:vAlign w:val="bottom"/>
          </w:tcPr>
          <w:p>
            <w:pPr>
              <w:pStyle w:val="TableContents"/>
              <w:spacing w:before="0" w:after="283"/>
              <w:jc w:val="left"/>
              <w:rPr/>
            </w:pPr>
            <w:r>
              <w:rPr/>
              <w:t> </w:t>
            </w:r>
          </w:p>
        </w:tc>
        <w:tc>
          <w:tcPr>
            <w:tcW w:w="741"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4503" w:name="TAB12198"/>
            <w:bookmarkEnd w:id="4503"/>
            <w:r>
              <w:rPr>
                <w:rFonts w:ascii="Times New Roman" w:hAnsi="Times New Roman"/>
                <w:sz w:val="20"/>
              </w:rPr>
              <w:t>(557</w:t>
            </w:r>
          </w:p>
        </w:tc>
        <w:tc>
          <w:tcPr>
            <w:tcW w:w="81"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4504" w:name="TAB12199"/>
            <w:bookmarkEnd w:id="4504"/>
            <w:r>
              <w:rPr>
                <w:rFonts w:ascii="Times New Roman" w:hAnsi="Times New Roman"/>
                <w:sz w:val="20"/>
              </w:rPr>
              <w:t>)</w:t>
            </w:r>
          </w:p>
        </w:tc>
        <w:tc>
          <w:tcPr>
            <w:tcW w:w="168" w:type="dxa"/>
            <w:tcBorders/>
            <w:shd w:fill="FFFFFF" w:val="clear"/>
            <w:tcMar>
              <w:bottom w:w="0" w:type="dxa"/>
            </w:tcMar>
            <w:vAlign w:val="bottom"/>
          </w:tcPr>
          <w:p>
            <w:pPr>
              <w:pStyle w:val="TableContents"/>
              <w:spacing w:before="0" w:after="283"/>
              <w:jc w:val="left"/>
              <w:rPr/>
            </w:pPr>
            <w:r>
              <w:rPr/>
              <w:t> </w:t>
            </w:r>
          </w:p>
        </w:tc>
        <w:tc>
          <w:tcPr>
            <w:tcW w:w="741"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4505" w:name="TAB12200"/>
            <w:bookmarkEnd w:id="4505"/>
            <w:r>
              <w:rPr>
                <w:rFonts w:ascii="Times New Roman" w:hAnsi="Times New Roman"/>
                <w:sz w:val="20"/>
              </w:rPr>
              <w:t>--</w:t>
            </w:r>
          </w:p>
        </w:tc>
        <w:tc>
          <w:tcPr>
            <w:tcW w:w="81" w:type="dxa"/>
            <w:tcBorders/>
            <w:shd w:fill="FFFFFF" w:val="clear"/>
            <w:tcMar>
              <w:bottom w:w="0" w:type="dxa"/>
            </w:tcMar>
            <w:vAlign w:val="bottom"/>
          </w:tcPr>
          <w:p>
            <w:pPr>
              <w:pStyle w:val="TableContents"/>
              <w:spacing w:before="0" w:after="283"/>
              <w:jc w:val="left"/>
              <w:rPr/>
            </w:pPr>
            <w:r>
              <w:rPr/>
              <w:t> </w:t>
            </w:r>
          </w:p>
        </w:tc>
        <w:tc>
          <w:tcPr>
            <w:tcW w:w="216" w:type="dxa"/>
            <w:tcBorders/>
            <w:shd w:fill="FFFFFF" w:val="clear"/>
            <w:tcMar>
              <w:bottom w:w="0" w:type="dxa"/>
            </w:tcMar>
            <w:vAlign w:val="bottom"/>
          </w:tcPr>
          <w:p>
            <w:pPr>
              <w:pStyle w:val="TableContents"/>
              <w:spacing w:before="0" w:after="283"/>
              <w:jc w:val="left"/>
              <w:rPr/>
            </w:pPr>
            <w:r>
              <w:rPr/>
              <w:t> </w:t>
            </w:r>
          </w:p>
        </w:tc>
        <w:tc>
          <w:tcPr>
            <w:tcW w:w="693"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4506" w:name="TAB12201"/>
            <w:bookmarkEnd w:id="4506"/>
            <w:r>
              <w:rPr>
                <w:rFonts w:ascii="Times New Roman" w:hAnsi="Times New Roman"/>
                <w:sz w:val="20"/>
              </w:rPr>
              <w:t>(603</w:t>
            </w:r>
          </w:p>
        </w:tc>
        <w:tc>
          <w:tcPr>
            <w:tcW w:w="81"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4507" w:name="TAB12202"/>
            <w:bookmarkEnd w:id="4507"/>
            <w:r>
              <w:rPr>
                <w:rFonts w:ascii="Times New Roman" w:hAnsi="Times New Roman"/>
                <w:sz w:val="20"/>
              </w:rPr>
              <w:t>)</w:t>
            </w:r>
          </w:p>
        </w:tc>
        <w:tc>
          <w:tcPr>
            <w:tcW w:w="168" w:type="dxa"/>
            <w:tcBorders/>
            <w:shd w:fill="FFFFFF" w:val="clear"/>
            <w:tcMar>
              <w:bottom w:w="0" w:type="dxa"/>
            </w:tcMar>
            <w:vAlign w:val="bottom"/>
          </w:tcPr>
          <w:p>
            <w:pPr>
              <w:pStyle w:val="TableContents"/>
              <w:spacing w:before="0" w:after="283"/>
              <w:jc w:val="left"/>
              <w:rPr/>
            </w:pPr>
            <w:r>
              <w:rPr/>
              <w:t> </w:t>
            </w:r>
          </w:p>
        </w:tc>
        <w:tc>
          <w:tcPr>
            <w:tcW w:w="741"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4508" w:name="TAB12203"/>
            <w:bookmarkEnd w:id="4508"/>
            <w:r>
              <w:rPr>
                <w:rFonts w:ascii="Times New Roman" w:hAnsi="Times New Roman"/>
                <w:sz w:val="20"/>
              </w:rPr>
              <w:t>1,160</w:t>
            </w:r>
          </w:p>
        </w:tc>
        <w:tc>
          <w:tcPr>
            <w:tcW w:w="81" w:type="dxa"/>
            <w:tcBorders/>
            <w:shd w:fill="FFFFFF" w:val="clear"/>
            <w:tcMar>
              <w:bottom w:w="0" w:type="dxa"/>
            </w:tcMar>
            <w:vAlign w:val="bottom"/>
          </w:tcPr>
          <w:p>
            <w:pPr>
              <w:pStyle w:val="TableContents"/>
              <w:spacing w:before="0" w:after="283"/>
              <w:jc w:val="left"/>
              <w:rPr/>
            </w:pPr>
            <w:r>
              <w:rPr/>
              <w:t> </w:t>
            </w:r>
          </w:p>
        </w:tc>
        <w:tc>
          <w:tcPr>
            <w:tcW w:w="184" w:type="dxa"/>
            <w:tcBorders/>
            <w:shd w:fill="FFFFFF" w:val="clear"/>
            <w:tcMar>
              <w:bottom w:w="0" w:type="dxa"/>
            </w:tcMar>
            <w:vAlign w:val="bottom"/>
          </w:tcPr>
          <w:p>
            <w:pPr>
              <w:pStyle w:val="TableContents"/>
              <w:spacing w:before="0" w:after="283"/>
              <w:jc w:val="left"/>
              <w:rPr/>
            </w:pPr>
            <w:r>
              <w:rPr/>
              <w:t> </w:t>
            </w:r>
          </w:p>
        </w:tc>
        <w:tc>
          <w:tcPr>
            <w:tcW w:w="874"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4509" w:name="TAB12204"/>
            <w:bookmarkEnd w:id="4509"/>
            <w:r>
              <w:rPr>
                <w:rFonts w:ascii="Times New Roman" w:hAnsi="Times New Roman"/>
                <w:sz w:val="20"/>
              </w:rPr>
              <w:t>--</w:t>
            </w:r>
          </w:p>
        </w:tc>
        <w:tc>
          <w:tcPr>
            <w:tcW w:w="81" w:type="dxa"/>
            <w:tcBorders/>
            <w:shd w:fill="FFFFFF" w:val="clear"/>
            <w:tcMar>
              <w:bottom w:w="0" w:type="dxa"/>
            </w:tcMar>
            <w:vAlign w:val="bottom"/>
          </w:tcPr>
          <w:p>
            <w:pPr>
              <w:pStyle w:val="TableContents"/>
              <w:spacing w:before="0" w:after="283"/>
              <w:jc w:val="left"/>
              <w:rPr/>
            </w:pPr>
            <w:r>
              <w:rPr/>
              <w:t> </w:t>
            </w:r>
          </w:p>
        </w:tc>
        <w:tc>
          <w:tcPr>
            <w:tcW w:w="194" w:type="dxa"/>
            <w:tcBorders/>
            <w:shd w:fill="FFFFFF" w:val="clear"/>
            <w:tcMar>
              <w:bottom w:w="0" w:type="dxa"/>
            </w:tcMar>
            <w:vAlign w:val="bottom"/>
          </w:tcPr>
          <w:p>
            <w:pPr>
              <w:pStyle w:val="TableContents"/>
              <w:spacing w:before="0" w:after="283"/>
              <w:jc w:val="left"/>
              <w:rPr/>
            </w:pPr>
            <w:r>
              <w:rPr/>
              <w:t> </w:t>
            </w:r>
          </w:p>
        </w:tc>
        <w:tc>
          <w:tcPr>
            <w:tcW w:w="850"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4510" w:name="TAB12205"/>
            <w:bookmarkEnd w:id="4510"/>
            <w:r>
              <w:rPr>
                <w:rFonts w:ascii="Times New Roman" w:hAnsi="Times New Roman"/>
                <w:sz w:val="20"/>
              </w:rPr>
              <w:t>--</w:t>
            </w:r>
          </w:p>
        </w:tc>
        <w:tc>
          <w:tcPr>
            <w:tcW w:w="81" w:type="dxa"/>
            <w:tcBorders/>
            <w:shd w:fill="FFFFFF" w:val="clear"/>
            <w:tcMar>
              <w:bottom w:w="0" w:type="dxa"/>
            </w:tcMar>
            <w:vAlign w:val="bottom"/>
          </w:tcPr>
          <w:p>
            <w:pPr>
              <w:pStyle w:val="TableContents"/>
              <w:spacing w:before="0" w:after="283"/>
              <w:jc w:val="left"/>
              <w:rPr/>
            </w:pPr>
            <w:r>
              <w:rPr/>
              <w:t> </w:t>
            </w:r>
          </w:p>
        </w:tc>
        <w:tc>
          <w:tcPr>
            <w:tcW w:w="174" w:type="dxa"/>
            <w:tcBorders/>
            <w:shd w:fill="FFFFFF" w:val="clear"/>
            <w:tcMar>
              <w:bottom w:w="0" w:type="dxa"/>
            </w:tcMar>
            <w:vAlign w:val="bottom"/>
          </w:tcPr>
          <w:p>
            <w:pPr>
              <w:pStyle w:val="TableContents"/>
              <w:spacing w:before="0" w:after="283"/>
              <w:jc w:val="left"/>
              <w:rPr/>
            </w:pPr>
            <w:r>
              <w:rPr/>
              <w:t> </w:t>
            </w:r>
          </w:p>
        </w:tc>
        <w:tc>
          <w:tcPr>
            <w:tcW w:w="764"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4511" w:name="TAB12206"/>
            <w:bookmarkEnd w:id="4511"/>
            <w:r>
              <w:rPr>
                <w:rFonts w:ascii="Times New Roman" w:hAnsi="Times New Roman"/>
                <w:sz w:val="20"/>
              </w:rPr>
              <w:t>--</w:t>
            </w:r>
          </w:p>
        </w:tc>
        <w:tc>
          <w:tcPr>
            <w:tcW w:w="81" w:type="dxa"/>
            <w:tcBorders/>
            <w:shd w:fill="FFFFFF" w:val="clear"/>
            <w:tcMar>
              <w:bottom w:w="0" w:type="dxa"/>
            </w:tcMar>
            <w:vAlign w:val="bottom"/>
          </w:tcPr>
          <w:p>
            <w:pPr>
              <w:pStyle w:val="TableContents"/>
              <w:spacing w:before="0" w:after="283"/>
              <w:jc w:val="left"/>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655"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4512" w:name="TAB12207"/>
            <w:bookmarkEnd w:id="4512"/>
            <w:r>
              <w:rPr>
                <w:rFonts w:ascii="Times New Roman" w:hAnsi="Times New Roman"/>
                <w:sz w:val="20"/>
              </w:rPr>
              <w:t>--</w:t>
            </w:r>
          </w:p>
        </w:tc>
        <w:tc>
          <w:tcPr>
            <w:tcW w:w="101" w:type="dxa"/>
            <w:tcBorders/>
            <w:shd w:fill="FFFFFF" w:val="clear"/>
            <w:tcMar>
              <w:bottom w:w="0" w:type="dxa"/>
            </w:tcMar>
            <w:vAlign w:val="bottom"/>
          </w:tcPr>
          <w:p>
            <w:pPr>
              <w:pStyle w:val="TableContents"/>
              <w:spacing w:before="0" w:after="283"/>
              <w:jc w:val="left"/>
              <w:rPr/>
            </w:pPr>
            <w:r>
              <w:rPr/>
              <w:t> </w:t>
            </w:r>
          </w:p>
        </w:tc>
      </w:tr>
      <w:tr>
        <w:trPr/>
        <w:tc>
          <w:tcPr>
            <w:tcW w:w="1026" w:type="dxa"/>
            <w:tcBorders>
              <w:bottom w:val="single" w:sz="2" w:space="0" w:color="000000"/>
            </w:tcBorders>
            <w:shd w:fill="CCEEFF" w:val="clear"/>
            <w:vAlign w:val="bottom"/>
          </w:tcPr>
          <w:p>
            <w:pPr>
              <w:pStyle w:val="TableContents"/>
              <w:spacing w:lineRule="auto" w:line="300" w:before="0" w:after="0"/>
              <w:ind w:left="180" w:right="0" w:hanging="180"/>
              <w:jc w:val="left"/>
              <w:rPr>
                <w:rFonts w:ascii="Times New Roman" w:hAnsi="Times New Roman"/>
                <w:sz w:val="20"/>
              </w:rPr>
            </w:pPr>
            <w:r>
              <w:rPr>
                <w:rFonts w:ascii="Times New Roman" w:hAnsi="Times New Roman"/>
                <w:sz w:val="20"/>
              </w:rPr>
              <w:t>Net loss</w:t>
            </w:r>
          </w:p>
        </w:tc>
        <w:tc>
          <w:tcPr>
            <w:tcW w:w="61" w:type="dxa"/>
            <w:tcBorders>
              <w:bottom w:val="single" w:sz="2" w:space="0" w:color="CCEEFF"/>
            </w:tcBorders>
            <w:shd w:fill="CCEEFF" w:val="clear"/>
            <w:vAlign w:val="center"/>
          </w:tcPr>
          <w:p>
            <w:pPr>
              <w:pStyle w:val="TableContents"/>
              <w:spacing w:before="0" w:after="283"/>
              <w:rPr/>
            </w:pPr>
            <w:r>
              <w:rPr/>
              <w:t> </w:t>
            </w:r>
          </w:p>
        </w:tc>
        <w:tc>
          <w:tcPr>
            <w:tcW w:w="272" w:type="dxa"/>
            <w:tcBorders>
              <w:bottom w:val="single" w:sz="2" w:space="0" w:color="000000"/>
            </w:tcBorders>
            <w:shd w:fill="CCEEFF" w:val="clear"/>
            <w:vAlign w:val="bottom"/>
          </w:tcPr>
          <w:p>
            <w:pPr>
              <w:pStyle w:val="TableContents"/>
              <w:spacing w:before="0" w:after="283"/>
              <w:jc w:val="left"/>
              <w:rPr/>
            </w:pPr>
            <w:r>
              <w:rPr/>
              <w:t> </w:t>
            </w:r>
          </w:p>
        </w:tc>
        <w:tc>
          <w:tcPr>
            <w:tcW w:w="640"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4513" w:name="TAB12208"/>
            <w:bookmarkEnd w:id="4513"/>
            <w:r>
              <w:rPr>
                <w:rFonts w:ascii="Times New Roman" w:hAnsi="Times New Roman"/>
                <w:sz w:val="20"/>
              </w:rPr>
              <w:t>--</w:t>
            </w:r>
          </w:p>
        </w:tc>
        <w:tc>
          <w:tcPr>
            <w:tcW w:w="81" w:type="dxa"/>
            <w:tcBorders>
              <w:bottom w:val="single" w:sz="2" w:space="0" w:color="CCEEFF"/>
            </w:tcBorders>
            <w:shd w:fill="CCEEFF" w:val="clear"/>
            <w:vAlign w:val="bottom"/>
          </w:tcPr>
          <w:p>
            <w:pPr>
              <w:pStyle w:val="TableContents"/>
              <w:spacing w:before="0" w:after="283"/>
              <w:jc w:val="left"/>
              <w:rPr/>
            </w:pPr>
            <w:r>
              <w:rPr/>
              <w:t> </w:t>
            </w:r>
          </w:p>
        </w:tc>
        <w:tc>
          <w:tcPr>
            <w:tcW w:w="168" w:type="dxa"/>
            <w:tcBorders>
              <w:bottom w:val="single" w:sz="2" w:space="0" w:color="000000"/>
            </w:tcBorders>
            <w:shd w:fill="CCEEFF" w:val="clear"/>
            <w:vAlign w:val="bottom"/>
          </w:tcPr>
          <w:p>
            <w:pPr>
              <w:pStyle w:val="TableContents"/>
              <w:spacing w:before="0" w:after="283"/>
              <w:jc w:val="left"/>
              <w:rPr/>
            </w:pPr>
            <w:r>
              <w:rPr/>
              <w:t> </w:t>
            </w:r>
          </w:p>
        </w:tc>
        <w:tc>
          <w:tcPr>
            <w:tcW w:w="741"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4514" w:name="TAB12209"/>
            <w:bookmarkEnd w:id="4514"/>
            <w:r>
              <w:rPr>
                <w:rFonts w:ascii="Times New Roman" w:hAnsi="Times New Roman"/>
                <w:sz w:val="20"/>
              </w:rPr>
              <w:t>(35</w:t>
            </w:r>
          </w:p>
        </w:tc>
        <w:tc>
          <w:tcPr>
            <w:tcW w:w="81" w:type="dxa"/>
            <w:tcBorders>
              <w:bottom w:val="single" w:sz="2" w:space="0" w:color="CCEEFF"/>
            </w:tcBorders>
            <w:shd w:fill="CCEEFF" w:val="clear"/>
            <w:vAlign w:val="bottom"/>
          </w:tcPr>
          <w:p>
            <w:pPr>
              <w:pStyle w:val="TableContents"/>
              <w:spacing w:lineRule="auto" w:line="300" w:before="0" w:after="0"/>
              <w:ind w:left="0" w:right="0" w:hanging="0"/>
              <w:jc w:val="left"/>
              <w:rPr>
                <w:rFonts w:ascii="Times New Roman" w:hAnsi="Times New Roman"/>
                <w:sz w:val="20"/>
              </w:rPr>
            </w:pPr>
            <w:bookmarkStart w:id="4515" w:name="TAB12210"/>
            <w:bookmarkEnd w:id="4515"/>
            <w:r>
              <w:rPr>
                <w:rFonts w:ascii="Times New Roman" w:hAnsi="Times New Roman"/>
                <w:sz w:val="20"/>
              </w:rPr>
              <w:t>)</w:t>
            </w:r>
          </w:p>
        </w:tc>
        <w:tc>
          <w:tcPr>
            <w:tcW w:w="168" w:type="dxa"/>
            <w:tcBorders>
              <w:bottom w:val="single" w:sz="2" w:space="0" w:color="000000"/>
            </w:tcBorders>
            <w:shd w:fill="CCEEFF" w:val="clear"/>
            <w:vAlign w:val="bottom"/>
          </w:tcPr>
          <w:p>
            <w:pPr>
              <w:pStyle w:val="TableContents"/>
              <w:spacing w:before="0" w:after="283"/>
              <w:jc w:val="left"/>
              <w:rPr/>
            </w:pPr>
            <w:r>
              <w:rPr/>
              <w:t> </w:t>
            </w:r>
          </w:p>
        </w:tc>
        <w:tc>
          <w:tcPr>
            <w:tcW w:w="741"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4516" w:name="TAB12211"/>
            <w:bookmarkEnd w:id="4516"/>
            <w:r>
              <w:rPr>
                <w:rFonts w:ascii="Times New Roman" w:hAnsi="Times New Roman"/>
                <w:sz w:val="20"/>
              </w:rPr>
              <w:t>(34</w:t>
            </w:r>
          </w:p>
        </w:tc>
        <w:tc>
          <w:tcPr>
            <w:tcW w:w="81" w:type="dxa"/>
            <w:tcBorders>
              <w:bottom w:val="single" w:sz="2" w:space="0" w:color="CCEEFF"/>
            </w:tcBorders>
            <w:shd w:fill="CCEEFF" w:val="clear"/>
            <w:vAlign w:val="bottom"/>
          </w:tcPr>
          <w:p>
            <w:pPr>
              <w:pStyle w:val="TableContents"/>
              <w:spacing w:lineRule="auto" w:line="300" w:before="0" w:after="0"/>
              <w:ind w:left="0" w:right="0" w:hanging="0"/>
              <w:jc w:val="left"/>
              <w:rPr>
                <w:rFonts w:ascii="Times New Roman" w:hAnsi="Times New Roman"/>
                <w:sz w:val="20"/>
              </w:rPr>
            </w:pPr>
            <w:bookmarkStart w:id="4517" w:name="TAB12212"/>
            <w:bookmarkEnd w:id="4517"/>
            <w:r>
              <w:rPr>
                <w:rFonts w:ascii="Times New Roman" w:hAnsi="Times New Roman"/>
                <w:sz w:val="20"/>
              </w:rPr>
              <w:t>)</w:t>
            </w:r>
          </w:p>
        </w:tc>
        <w:tc>
          <w:tcPr>
            <w:tcW w:w="216" w:type="dxa"/>
            <w:tcBorders>
              <w:bottom w:val="single" w:sz="2" w:space="0" w:color="000000"/>
            </w:tcBorders>
            <w:shd w:fill="CCEEFF" w:val="clear"/>
            <w:vAlign w:val="bottom"/>
          </w:tcPr>
          <w:p>
            <w:pPr>
              <w:pStyle w:val="TableContents"/>
              <w:spacing w:before="0" w:after="283"/>
              <w:jc w:val="left"/>
              <w:rPr/>
            </w:pPr>
            <w:r>
              <w:rPr/>
              <w:t> </w:t>
            </w:r>
          </w:p>
        </w:tc>
        <w:tc>
          <w:tcPr>
            <w:tcW w:w="693"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4518" w:name="TAB12213"/>
            <w:bookmarkEnd w:id="4518"/>
            <w:r>
              <w:rPr>
                <w:rFonts w:ascii="Times New Roman" w:hAnsi="Times New Roman"/>
                <w:sz w:val="20"/>
              </w:rPr>
              <w:t>(4</w:t>
            </w:r>
          </w:p>
        </w:tc>
        <w:tc>
          <w:tcPr>
            <w:tcW w:w="81" w:type="dxa"/>
            <w:tcBorders>
              <w:bottom w:val="single" w:sz="2" w:space="0" w:color="CCEEFF"/>
            </w:tcBorders>
            <w:shd w:fill="CCEEFF" w:val="clear"/>
            <w:vAlign w:val="bottom"/>
          </w:tcPr>
          <w:p>
            <w:pPr>
              <w:pStyle w:val="TableContents"/>
              <w:spacing w:lineRule="auto" w:line="300" w:before="0" w:after="0"/>
              <w:ind w:left="0" w:right="0" w:hanging="0"/>
              <w:jc w:val="left"/>
              <w:rPr>
                <w:rFonts w:ascii="Times New Roman" w:hAnsi="Times New Roman"/>
                <w:sz w:val="20"/>
              </w:rPr>
            </w:pPr>
            <w:bookmarkStart w:id="4519" w:name="TAB12214"/>
            <w:bookmarkEnd w:id="4519"/>
            <w:r>
              <w:rPr>
                <w:rFonts w:ascii="Times New Roman" w:hAnsi="Times New Roman"/>
                <w:sz w:val="20"/>
              </w:rPr>
              <w:t>)</w:t>
            </w:r>
          </w:p>
        </w:tc>
        <w:tc>
          <w:tcPr>
            <w:tcW w:w="168" w:type="dxa"/>
            <w:tcBorders>
              <w:bottom w:val="single" w:sz="2" w:space="0" w:color="000000"/>
            </w:tcBorders>
            <w:shd w:fill="CCEEFF" w:val="clear"/>
            <w:vAlign w:val="bottom"/>
          </w:tcPr>
          <w:p>
            <w:pPr>
              <w:pStyle w:val="TableContents"/>
              <w:spacing w:before="0" w:after="283"/>
              <w:jc w:val="left"/>
              <w:rPr/>
            </w:pPr>
            <w:r>
              <w:rPr/>
              <w:t> </w:t>
            </w:r>
          </w:p>
        </w:tc>
        <w:tc>
          <w:tcPr>
            <w:tcW w:w="741"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4520" w:name="TAB12215"/>
            <w:bookmarkEnd w:id="4520"/>
            <w:r>
              <w:rPr>
                <w:rFonts w:ascii="Times New Roman" w:hAnsi="Times New Roman"/>
                <w:sz w:val="20"/>
              </w:rPr>
              <w:t>(29</w:t>
            </w:r>
          </w:p>
        </w:tc>
        <w:tc>
          <w:tcPr>
            <w:tcW w:w="81" w:type="dxa"/>
            <w:tcBorders>
              <w:bottom w:val="single" w:sz="2" w:space="0" w:color="CCEEFF"/>
            </w:tcBorders>
            <w:shd w:fill="CCEEFF" w:val="clear"/>
            <w:vAlign w:val="bottom"/>
          </w:tcPr>
          <w:p>
            <w:pPr>
              <w:pStyle w:val="TableContents"/>
              <w:spacing w:lineRule="auto" w:line="300" w:before="0" w:after="0"/>
              <w:ind w:left="0" w:right="0" w:hanging="0"/>
              <w:jc w:val="left"/>
              <w:rPr>
                <w:rFonts w:ascii="Times New Roman" w:hAnsi="Times New Roman"/>
                <w:sz w:val="20"/>
              </w:rPr>
            </w:pPr>
            <w:bookmarkStart w:id="4521" w:name="TAB12216"/>
            <w:bookmarkEnd w:id="4521"/>
            <w:r>
              <w:rPr>
                <w:rFonts w:ascii="Times New Roman" w:hAnsi="Times New Roman"/>
                <w:sz w:val="20"/>
              </w:rPr>
              <w:t>)</w:t>
            </w:r>
          </w:p>
        </w:tc>
        <w:tc>
          <w:tcPr>
            <w:tcW w:w="184" w:type="dxa"/>
            <w:tcBorders>
              <w:bottom w:val="single" w:sz="2" w:space="0" w:color="000000"/>
            </w:tcBorders>
            <w:shd w:fill="CCEEFF" w:val="clear"/>
            <w:vAlign w:val="bottom"/>
          </w:tcPr>
          <w:p>
            <w:pPr>
              <w:pStyle w:val="TableContents"/>
              <w:spacing w:before="0" w:after="283"/>
              <w:jc w:val="left"/>
              <w:rPr/>
            </w:pPr>
            <w:r>
              <w:rPr/>
              <w:t> </w:t>
            </w:r>
          </w:p>
        </w:tc>
        <w:tc>
          <w:tcPr>
            <w:tcW w:w="874"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4522" w:name="TAB12217"/>
            <w:bookmarkEnd w:id="4522"/>
            <w:r>
              <w:rPr>
                <w:rFonts w:ascii="Times New Roman" w:hAnsi="Times New Roman"/>
                <w:sz w:val="20"/>
              </w:rPr>
              <w:t>(2</w:t>
            </w:r>
          </w:p>
        </w:tc>
        <w:tc>
          <w:tcPr>
            <w:tcW w:w="81" w:type="dxa"/>
            <w:tcBorders>
              <w:bottom w:val="single" w:sz="2" w:space="0" w:color="CCEEFF"/>
            </w:tcBorders>
            <w:shd w:fill="CCEEFF" w:val="clear"/>
            <w:vAlign w:val="bottom"/>
          </w:tcPr>
          <w:p>
            <w:pPr>
              <w:pStyle w:val="TableContents"/>
              <w:spacing w:lineRule="auto" w:line="300" w:before="0" w:after="0"/>
              <w:ind w:left="0" w:right="0" w:hanging="0"/>
              <w:jc w:val="left"/>
              <w:rPr>
                <w:rFonts w:ascii="Times New Roman" w:hAnsi="Times New Roman"/>
                <w:sz w:val="20"/>
              </w:rPr>
            </w:pPr>
            <w:bookmarkStart w:id="4523" w:name="TAB12218"/>
            <w:bookmarkEnd w:id="4523"/>
            <w:r>
              <w:rPr>
                <w:rFonts w:ascii="Times New Roman" w:hAnsi="Times New Roman"/>
                <w:sz w:val="20"/>
              </w:rPr>
              <w:t>)</w:t>
            </w:r>
          </w:p>
        </w:tc>
        <w:tc>
          <w:tcPr>
            <w:tcW w:w="194" w:type="dxa"/>
            <w:tcBorders>
              <w:bottom w:val="single" w:sz="2" w:space="0" w:color="000000"/>
            </w:tcBorders>
            <w:shd w:fill="CCEEFF" w:val="clear"/>
            <w:vAlign w:val="bottom"/>
          </w:tcPr>
          <w:p>
            <w:pPr>
              <w:pStyle w:val="TableContents"/>
              <w:spacing w:before="0" w:after="283"/>
              <w:jc w:val="left"/>
              <w:rPr/>
            </w:pPr>
            <w:r>
              <w:rPr/>
              <w:t> </w:t>
            </w:r>
          </w:p>
        </w:tc>
        <w:tc>
          <w:tcPr>
            <w:tcW w:w="850"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4524" w:name="TAB12219"/>
            <w:bookmarkEnd w:id="4524"/>
            <w:r>
              <w:rPr>
                <w:rFonts w:ascii="Times New Roman" w:hAnsi="Times New Roman"/>
                <w:sz w:val="20"/>
              </w:rPr>
              <w:t>(65</w:t>
            </w:r>
          </w:p>
        </w:tc>
        <w:tc>
          <w:tcPr>
            <w:tcW w:w="81" w:type="dxa"/>
            <w:tcBorders>
              <w:bottom w:val="single" w:sz="2" w:space="0" w:color="CCEEFF"/>
            </w:tcBorders>
            <w:shd w:fill="CCEEFF" w:val="clear"/>
            <w:vAlign w:val="bottom"/>
          </w:tcPr>
          <w:p>
            <w:pPr>
              <w:pStyle w:val="TableContents"/>
              <w:spacing w:lineRule="auto" w:line="300" w:before="0" w:after="0"/>
              <w:ind w:left="0" w:right="0" w:hanging="0"/>
              <w:jc w:val="left"/>
              <w:rPr>
                <w:rFonts w:ascii="Times New Roman" w:hAnsi="Times New Roman"/>
                <w:sz w:val="20"/>
              </w:rPr>
            </w:pPr>
            <w:bookmarkStart w:id="4525" w:name="TAB12220"/>
            <w:bookmarkEnd w:id="4525"/>
            <w:r>
              <w:rPr>
                <w:rFonts w:ascii="Times New Roman" w:hAnsi="Times New Roman"/>
                <w:sz w:val="20"/>
              </w:rPr>
              <w:t>)</w:t>
            </w:r>
          </w:p>
        </w:tc>
        <w:tc>
          <w:tcPr>
            <w:tcW w:w="174" w:type="dxa"/>
            <w:tcBorders>
              <w:bottom w:val="single" w:sz="2" w:space="0" w:color="000000"/>
            </w:tcBorders>
            <w:shd w:fill="CCEEFF" w:val="clear"/>
            <w:vAlign w:val="bottom"/>
          </w:tcPr>
          <w:p>
            <w:pPr>
              <w:pStyle w:val="TableContents"/>
              <w:spacing w:before="0" w:after="283"/>
              <w:jc w:val="left"/>
              <w:rPr/>
            </w:pPr>
            <w:r>
              <w:rPr/>
              <w:t> </w:t>
            </w:r>
          </w:p>
        </w:tc>
        <w:tc>
          <w:tcPr>
            <w:tcW w:w="764"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4526" w:name="TAB12221"/>
            <w:bookmarkEnd w:id="4526"/>
            <w:r>
              <w:rPr>
                <w:rFonts w:ascii="Times New Roman" w:hAnsi="Times New Roman"/>
                <w:sz w:val="20"/>
              </w:rPr>
              <w:t>(56</w:t>
            </w:r>
          </w:p>
        </w:tc>
        <w:tc>
          <w:tcPr>
            <w:tcW w:w="81" w:type="dxa"/>
            <w:tcBorders>
              <w:bottom w:val="single" w:sz="2" w:space="0" w:color="CCEEFF"/>
            </w:tcBorders>
            <w:shd w:fill="CCEEFF" w:val="clear"/>
            <w:vAlign w:val="bottom"/>
          </w:tcPr>
          <w:p>
            <w:pPr>
              <w:pStyle w:val="TableContents"/>
              <w:spacing w:lineRule="auto" w:line="300" w:before="0" w:after="0"/>
              <w:ind w:left="0" w:right="0" w:hanging="0"/>
              <w:jc w:val="left"/>
              <w:rPr>
                <w:rFonts w:ascii="Times New Roman" w:hAnsi="Times New Roman"/>
                <w:sz w:val="20"/>
              </w:rPr>
            </w:pPr>
            <w:bookmarkStart w:id="4527" w:name="TAB12222"/>
            <w:bookmarkEnd w:id="4527"/>
            <w:r>
              <w:rPr>
                <w:rFonts w:ascii="Times New Roman" w:hAnsi="Times New Roman"/>
                <w:sz w:val="20"/>
              </w:rPr>
              <w:t>)</w:t>
            </w:r>
          </w:p>
        </w:tc>
        <w:tc>
          <w:tcPr>
            <w:tcW w:w="126" w:type="dxa"/>
            <w:tcBorders>
              <w:bottom w:val="single" w:sz="2" w:space="0" w:color="000000"/>
            </w:tcBorders>
            <w:shd w:fill="CCEEFF" w:val="clear"/>
            <w:vAlign w:val="bottom"/>
          </w:tcPr>
          <w:p>
            <w:pPr>
              <w:pStyle w:val="TableContents"/>
              <w:spacing w:before="0" w:after="283"/>
              <w:jc w:val="left"/>
              <w:rPr/>
            </w:pPr>
            <w:r>
              <w:rPr/>
              <w:t> </w:t>
            </w:r>
          </w:p>
        </w:tc>
        <w:tc>
          <w:tcPr>
            <w:tcW w:w="655"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4528" w:name="TAB12223"/>
            <w:bookmarkEnd w:id="4528"/>
            <w:r>
              <w:rPr>
                <w:rFonts w:ascii="Times New Roman" w:hAnsi="Times New Roman"/>
                <w:sz w:val="20"/>
              </w:rPr>
              <w:t>(225</w:t>
            </w:r>
          </w:p>
        </w:tc>
        <w:tc>
          <w:tcPr>
            <w:tcW w:w="101" w:type="dxa"/>
            <w:tcBorders>
              <w:bottom w:val="single" w:sz="2" w:space="0" w:color="CCEEFF"/>
            </w:tcBorders>
            <w:shd w:fill="CCEEFF" w:val="clear"/>
            <w:vAlign w:val="bottom"/>
          </w:tcPr>
          <w:p>
            <w:pPr>
              <w:pStyle w:val="TableContents"/>
              <w:spacing w:lineRule="auto" w:line="300" w:before="0" w:after="0"/>
              <w:ind w:left="0" w:right="0" w:hanging="0"/>
              <w:jc w:val="left"/>
              <w:rPr>
                <w:rFonts w:ascii="Times New Roman" w:hAnsi="Times New Roman"/>
                <w:sz w:val="20"/>
              </w:rPr>
            </w:pPr>
            <w:bookmarkStart w:id="4529" w:name="TAB12224"/>
            <w:bookmarkEnd w:id="4529"/>
            <w:r>
              <w:rPr>
                <w:rFonts w:ascii="Times New Roman" w:hAnsi="Times New Roman"/>
                <w:sz w:val="20"/>
              </w:rPr>
              <w:t>)</w:t>
            </w:r>
          </w:p>
        </w:tc>
      </w:tr>
      <w:tr>
        <w:trPr/>
        <w:tc>
          <w:tcPr>
            <w:tcW w:w="1026" w:type="dxa"/>
            <w:tcBorders>
              <w:bottom w:val="double" w:sz="2" w:space="0" w:color="000000"/>
            </w:tcBorders>
            <w:shd w:fill="FFFFFF" w:val="clear"/>
            <w:vAlign w:val="bottom"/>
          </w:tcPr>
          <w:p>
            <w:pPr>
              <w:pStyle w:val="TableContents"/>
              <w:spacing w:lineRule="auto" w:line="300" w:before="0" w:after="0"/>
              <w:ind w:left="180" w:right="0" w:hanging="180"/>
              <w:jc w:val="left"/>
              <w:rPr>
                <w:rFonts w:ascii="Times New Roman" w:hAnsi="Times New Roman"/>
                <w:sz w:val="20"/>
              </w:rPr>
            </w:pPr>
            <w:r>
              <w:rPr>
                <w:rFonts w:ascii="Times New Roman" w:hAnsi="Times New Roman"/>
                <w:sz w:val="20"/>
              </w:rPr>
              <w:t>MEMBERS’ EQUITY - December 31, 2004 (Unaudited)</w:t>
            </w:r>
          </w:p>
        </w:tc>
        <w:tc>
          <w:tcPr>
            <w:tcW w:w="61" w:type="dxa"/>
            <w:tcBorders>
              <w:bottom w:val="single" w:sz="4" w:space="0" w:color="FFFFFF"/>
            </w:tcBorders>
            <w:shd w:fill="FFFFFF" w:val="clear"/>
            <w:vAlign w:val="center"/>
          </w:tcPr>
          <w:p>
            <w:pPr>
              <w:pStyle w:val="TableContents"/>
              <w:spacing w:before="0" w:after="283"/>
              <w:rPr/>
            </w:pPr>
            <w:r>
              <w:rPr/>
              <w:t> </w:t>
            </w:r>
          </w:p>
        </w:tc>
        <w:tc>
          <w:tcPr>
            <w:tcW w:w="272" w:type="dxa"/>
            <w:tcBorders>
              <w:bottom w:val="double" w:sz="2" w:space="0" w:color="000000"/>
            </w:tcBorders>
            <w:shd w:fill="FFFFFF" w:val="clear"/>
            <w:vAlign w:val="bottom"/>
          </w:tcPr>
          <w:p>
            <w:pPr>
              <w:pStyle w:val="TableContents"/>
              <w:spacing w:before="0" w:after="283"/>
              <w:jc w:val="left"/>
              <w:rPr/>
            </w:pPr>
            <w:r>
              <w:rPr/>
              <w:t> </w:t>
            </w:r>
          </w:p>
        </w:tc>
        <w:tc>
          <w:tcPr>
            <w:tcW w:w="640"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81" w:type="dxa"/>
            <w:tcBorders>
              <w:bottom w:val="single" w:sz="4" w:space="0" w:color="FFFFFF"/>
            </w:tcBorders>
            <w:shd w:fill="FFFFFF" w:val="clear"/>
            <w:vAlign w:val="bottom"/>
          </w:tcPr>
          <w:p>
            <w:pPr>
              <w:pStyle w:val="TableContents"/>
              <w:spacing w:before="0" w:after="283"/>
              <w:jc w:val="left"/>
              <w:rPr/>
            </w:pPr>
            <w:r>
              <w:rPr/>
              <w:t> </w:t>
            </w:r>
          </w:p>
        </w:tc>
        <w:tc>
          <w:tcPr>
            <w:tcW w:w="168" w:type="dxa"/>
            <w:tcBorders>
              <w:bottom w:val="double" w:sz="2" w:space="0" w:color="000000"/>
            </w:tcBorders>
            <w:shd w:fill="FFFFFF" w:val="clear"/>
            <w:vAlign w:val="bottom"/>
          </w:tcPr>
          <w:p>
            <w:pPr>
              <w:pStyle w:val="TableContents"/>
              <w:spacing w:before="0" w:after="283"/>
              <w:jc w:val="left"/>
              <w:rPr/>
            </w:pPr>
            <w:r>
              <w:rPr/>
              <w:t> </w:t>
            </w:r>
          </w:p>
        </w:tc>
        <w:tc>
          <w:tcPr>
            <w:tcW w:w="741"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1,341</w:t>
            </w:r>
          </w:p>
        </w:tc>
        <w:tc>
          <w:tcPr>
            <w:tcW w:w="81" w:type="dxa"/>
            <w:tcBorders>
              <w:bottom w:val="single" w:sz="4" w:space="0" w:color="FFFFFF"/>
            </w:tcBorders>
            <w:shd w:fill="FFFFFF" w:val="clear"/>
            <w:vAlign w:val="bottom"/>
          </w:tcPr>
          <w:p>
            <w:pPr>
              <w:pStyle w:val="TableContents"/>
              <w:spacing w:before="0" w:after="283"/>
              <w:jc w:val="left"/>
              <w:rPr/>
            </w:pPr>
            <w:r>
              <w:rPr/>
              <w:t> </w:t>
            </w:r>
          </w:p>
        </w:tc>
        <w:tc>
          <w:tcPr>
            <w:tcW w:w="168" w:type="dxa"/>
            <w:tcBorders>
              <w:bottom w:val="double" w:sz="2" w:space="0" w:color="000000"/>
            </w:tcBorders>
            <w:shd w:fill="FFFFFF" w:val="clear"/>
            <w:vAlign w:val="bottom"/>
          </w:tcPr>
          <w:p>
            <w:pPr>
              <w:pStyle w:val="TableContents"/>
              <w:spacing w:before="0" w:after="283"/>
              <w:jc w:val="left"/>
              <w:rPr/>
            </w:pPr>
            <w:r>
              <w:rPr/>
              <w:t> </w:t>
            </w:r>
          </w:p>
        </w:tc>
        <w:tc>
          <w:tcPr>
            <w:tcW w:w="741"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4530" w:name="TAB12225"/>
            <w:bookmarkEnd w:id="4530"/>
            <w:r>
              <w:rPr>
                <w:rFonts w:ascii="Times New Roman" w:hAnsi="Times New Roman"/>
                <w:sz w:val="20"/>
              </w:rPr>
              <w:t>1,306</w:t>
            </w:r>
          </w:p>
        </w:tc>
        <w:tc>
          <w:tcPr>
            <w:tcW w:w="81" w:type="dxa"/>
            <w:tcBorders>
              <w:bottom w:val="single" w:sz="4" w:space="0" w:color="FFFFFF"/>
            </w:tcBorders>
            <w:shd w:fill="FFFFFF" w:val="clear"/>
            <w:vAlign w:val="bottom"/>
          </w:tcPr>
          <w:p>
            <w:pPr>
              <w:pStyle w:val="TableContents"/>
              <w:spacing w:before="0" w:after="283"/>
              <w:jc w:val="left"/>
              <w:rPr/>
            </w:pPr>
            <w:r>
              <w:rPr/>
              <w:t> </w:t>
            </w:r>
          </w:p>
        </w:tc>
        <w:tc>
          <w:tcPr>
            <w:tcW w:w="216" w:type="dxa"/>
            <w:tcBorders>
              <w:bottom w:val="double" w:sz="2" w:space="0" w:color="000000"/>
            </w:tcBorders>
            <w:shd w:fill="FFFFFF" w:val="clear"/>
            <w:vAlign w:val="bottom"/>
          </w:tcPr>
          <w:p>
            <w:pPr>
              <w:pStyle w:val="TableContents"/>
              <w:spacing w:before="0" w:after="283"/>
              <w:jc w:val="left"/>
              <w:rPr/>
            </w:pPr>
            <w:r>
              <w:rPr/>
              <w:t> </w:t>
            </w:r>
          </w:p>
        </w:tc>
        <w:tc>
          <w:tcPr>
            <w:tcW w:w="693"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4531" w:name="TAB12226"/>
            <w:bookmarkEnd w:id="4531"/>
            <w:r>
              <w:rPr>
                <w:rFonts w:ascii="Times New Roman" w:hAnsi="Times New Roman"/>
                <w:sz w:val="20"/>
              </w:rPr>
              <w:t>139</w:t>
            </w:r>
          </w:p>
        </w:tc>
        <w:tc>
          <w:tcPr>
            <w:tcW w:w="81" w:type="dxa"/>
            <w:tcBorders>
              <w:bottom w:val="single" w:sz="4" w:space="0" w:color="FFFFFF"/>
            </w:tcBorders>
            <w:shd w:fill="FFFFFF" w:val="clear"/>
            <w:vAlign w:val="bottom"/>
          </w:tcPr>
          <w:p>
            <w:pPr>
              <w:pStyle w:val="TableContents"/>
              <w:spacing w:before="0" w:after="283"/>
              <w:jc w:val="left"/>
              <w:rPr/>
            </w:pPr>
            <w:r>
              <w:rPr/>
              <w:t> </w:t>
            </w:r>
          </w:p>
        </w:tc>
        <w:tc>
          <w:tcPr>
            <w:tcW w:w="168" w:type="dxa"/>
            <w:tcBorders>
              <w:bottom w:val="double" w:sz="2" w:space="0" w:color="000000"/>
            </w:tcBorders>
            <w:shd w:fill="FFFFFF" w:val="clear"/>
            <w:vAlign w:val="bottom"/>
          </w:tcPr>
          <w:p>
            <w:pPr>
              <w:pStyle w:val="TableContents"/>
              <w:spacing w:before="0" w:after="283"/>
              <w:jc w:val="left"/>
              <w:rPr/>
            </w:pPr>
            <w:r>
              <w:rPr/>
              <w:t> </w:t>
            </w:r>
          </w:p>
        </w:tc>
        <w:tc>
          <w:tcPr>
            <w:tcW w:w="741"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4532" w:name="TAB12227"/>
            <w:bookmarkEnd w:id="4532"/>
            <w:r>
              <w:rPr>
                <w:rFonts w:ascii="Times New Roman" w:hAnsi="Times New Roman"/>
                <w:sz w:val="20"/>
              </w:rPr>
              <w:t>1,131</w:t>
            </w:r>
          </w:p>
        </w:tc>
        <w:tc>
          <w:tcPr>
            <w:tcW w:w="81" w:type="dxa"/>
            <w:tcBorders>
              <w:bottom w:val="single" w:sz="4" w:space="0" w:color="FFFFFF"/>
            </w:tcBorders>
            <w:shd w:fill="FFFFFF" w:val="clear"/>
            <w:vAlign w:val="bottom"/>
          </w:tcPr>
          <w:p>
            <w:pPr>
              <w:pStyle w:val="TableContents"/>
              <w:spacing w:before="0" w:after="283"/>
              <w:jc w:val="left"/>
              <w:rPr/>
            </w:pPr>
            <w:r>
              <w:rPr/>
              <w:t> </w:t>
            </w:r>
          </w:p>
        </w:tc>
        <w:tc>
          <w:tcPr>
            <w:tcW w:w="184" w:type="dxa"/>
            <w:tcBorders>
              <w:bottom w:val="double" w:sz="2" w:space="0" w:color="000000"/>
            </w:tcBorders>
            <w:shd w:fill="FFFFFF" w:val="clear"/>
            <w:vAlign w:val="bottom"/>
          </w:tcPr>
          <w:p>
            <w:pPr>
              <w:pStyle w:val="TableContents"/>
              <w:spacing w:before="0" w:after="283"/>
              <w:jc w:val="left"/>
              <w:rPr/>
            </w:pPr>
            <w:r>
              <w:rPr/>
              <w:t> </w:t>
            </w:r>
          </w:p>
        </w:tc>
        <w:tc>
          <w:tcPr>
            <w:tcW w:w="874"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4533" w:name="TAB12228"/>
            <w:bookmarkEnd w:id="4533"/>
            <w:r>
              <w:rPr>
                <w:rFonts w:ascii="Times New Roman" w:hAnsi="Times New Roman"/>
                <w:sz w:val="20"/>
              </w:rPr>
              <w:t>65</w:t>
            </w:r>
          </w:p>
        </w:tc>
        <w:tc>
          <w:tcPr>
            <w:tcW w:w="81" w:type="dxa"/>
            <w:tcBorders>
              <w:bottom w:val="single" w:sz="4" w:space="0" w:color="FFFFFF"/>
            </w:tcBorders>
            <w:shd w:fill="FFFFFF" w:val="clear"/>
            <w:vAlign w:val="bottom"/>
          </w:tcPr>
          <w:p>
            <w:pPr>
              <w:pStyle w:val="TableContents"/>
              <w:spacing w:before="0" w:after="283"/>
              <w:jc w:val="left"/>
              <w:rPr/>
            </w:pPr>
            <w:r>
              <w:rPr/>
              <w:t> </w:t>
            </w:r>
          </w:p>
        </w:tc>
        <w:tc>
          <w:tcPr>
            <w:tcW w:w="194" w:type="dxa"/>
            <w:tcBorders>
              <w:bottom w:val="double" w:sz="2" w:space="0" w:color="000000"/>
            </w:tcBorders>
            <w:shd w:fill="FFFFFF" w:val="clear"/>
            <w:vAlign w:val="bottom"/>
          </w:tcPr>
          <w:p>
            <w:pPr>
              <w:pStyle w:val="TableContents"/>
              <w:spacing w:before="0" w:after="283"/>
              <w:jc w:val="left"/>
              <w:rPr/>
            </w:pPr>
            <w:r>
              <w:rPr/>
              <w:t> </w:t>
            </w:r>
          </w:p>
        </w:tc>
        <w:tc>
          <w:tcPr>
            <w:tcW w:w="850"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4534" w:name="TAB12229"/>
            <w:bookmarkEnd w:id="4534"/>
            <w:r>
              <w:rPr>
                <w:rFonts w:ascii="Times New Roman" w:hAnsi="Times New Roman"/>
                <w:sz w:val="20"/>
              </w:rPr>
              <w:t>2,546</w:t>
            </w:r>
          </w:p>
        </w:tc>
        <w:tc>
          <w:tcPr>
            <w:tcW w:w="81" w:type="dxa"/>
            <w:tcBorders>
              <w:bottom w:val="single" w:sz="4" w:space="0" w:color="FFFFFF"/>
            </w:tcBorders>
            <w:shd w:fill="FFFFFF" w:val="clear"/>
            <w:vAlign w:val="bottom"/>
          </w:tcPr>
          <w:p>
            <w:pPr>
              <w:pStyle w:val="TableContents"/>
              <w:spacing w:before="0" w:after="283"/>
              <w:jc w:val="left"/>
              <w:rPr/>
            </w:pPr>
            <w:r>
              <w:rPr/>
              <w:t> </w:t>
            </w:r>
          </w:p>
        </w:tc>
        <w:tc>
          <w:tcPr>
            <w:tcW w:w="174" w:type="dxa"/>
            <w:tcBorders>
              <w:bottom w:val="double" w:sz="2" w:space="0" w:color="000000"/>
            </w:tcBorders>
            <w:shd w:fill="FFFFFF" w:val="clear"/>
            <w:vAlign w:val="bottom"/>
          </w:tcPr>
          <w:p>
            <w:pPr>
              <w:pStyle w:val="TableContents"/>
              <w:spacing w:before="0" w:after="283"/>
              <w:jc w:val="left"/>
              <w:rPr/>
            </w:pPr>
            <w:r>
              <w:rPr/>
              <w:t> </w:t>
            </w:r>
          </w:p>
        </w:tc>
        <w:tc>
          <w:tcPr>
            <w:tcW w:w="764"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4535" w:name="TAB12230"/>
            <w:bookmarkEnd w:id="4535"/>
            <w:r>
              <w:rPr>
                <w:rFonts w:ascii="Times New Roman" w:hAnsi="Times New Roman"/>
                <w:sz w:val="20"/>
              </w:rPr>
              <w:t>2,177</w:t>
            </w:r>
          </w:p>
        </w:tc>
        <w:tc>
          <w:tcPr>
            <w:tcW w:w="81" w:type="dxa"/>
            <w:tcBorders>
              <w:bottom w:val="single" w:sz="4" w:space="0" w:color="FFFFFF"/>
            </w:tcBorders>
            <w:shd w:fill="FFFFFF" w:val="clear"/>
            <w:vAlign w:val="bottom"/>
          </w:tcPr>
          <w:p>
            <w:pPr>
              <w:pStyle w:val="TableContents"/>
              <w:spacing w:before="0" w:after="283"/>
              <w:jc w:val="left"/>
              <w:rPr/>
            </w:pPr>
            <w:r>
              <w:rPr/>
              <w:t> </w:t>
            </w:r>
          </w:p>
        </w:tc>
        <w:tc>
          <w:tcPr>
            <w:tcW w:w="126" w:type="dxa"/>
            <w:tcBorders>
              <w:bottom w:val="double" w:sz="2" w:space="0" w:color="000000"/>
            </w:tcBorders>
            <w:shd w:fill="FFFFFF" w:val="clear"/>
            <w:vAlign w:val="bottom"/>
          </w:tcPr>
          <w:p>
            <w:pPr>
              <w:pStyle w:val="TableContents"/>
              <w:spacing w:before="0" w:after="283"/>
              <w:jc w:val="left"/>
              <w:rPr/>
            </w:pPr>
            <w:r>
              <w:rPr/>
              <w:t> </w:t>
            </w:r>
          </w:p>
        </w:tc>
        <w:tc>
          <w:tcPr>
            <w:tcW w:w="655"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4536" w:name="TAB12231"/>
            <w:bookmarkEnd w:id="4536"/>
            <w:r>
              <w:rPr>
                <w:rFonts w:ascii="Times New Roman" w:hAnsi="Times New Roman"/>
                <w:sz w:val="20"/>
              </w:rPr>
              <w:t>8,705</w:t>
            </w:r>
          </w:p>
        </w:tc>
        <w:tc>
          <w:tcPr>
            <w:tcW w:w="101" w:type="dxa"/>
            <w:tcBorders>
              <w:bottom w:val="single" w:sz="4" w:space="0" w:color="FFFFFF"/>
            </w:tcBorders>
            <w:shd w:fill="FFFFFF" w:val="clear"/>
            <w:vAlign w:val="bottom"/>
          </w:tcPr>
          <w:p>
            <w:pPr>
              <w:pStyle w:val="TableContents"/>
              <w:spacing w:before="0" w:after="283"/>
              <w:jc w:val="left"/>
              <w:rPr/>
            </w:pPr>
            <w:r>
              <w:rPr/>
              <w:t> </w:t>
            </w:r>
          </w:p>
        </w:tc>
      </w:tr>
      <w:tr>
        <w:trPr/>
        <w:tc>
          <w:tcPr>
            <w:tcW w:w="1026" w:type="dxa"/>
            <w:tcBorders/>
            <w:shd w:fill="CCEEFF" w:val="clear"/>
            <w:tcMar>
              <w:bottom w:w="0" w:type="dxa"/>
            </w:tcMar>
            <w:vAlign w:val="bottom"/>
          </w:tcPr>
          <w:p>
            <w:pPr>
              <w:pStyle w:val="TableContents"/>
              <w:spacing w:lineRule="auto" w:line="300" w:before="0" w:after="0"/>
              <w:ind w:left="180" w:right="0" w:hanging="180"/>
              <w:jc w:val="left"/>
              <w:rPr/>
            </w:pPr>
            <w:r>
              <w:rPr/>
              <w:t> </w:t>
            </w:r>
          </w:p>
          <w:p>
            <w:pPr>
              <w:pStyle w:val="TableContents"/>
              <w:spacing w:lineRule="auto" w:line="300" w:before="0" w:after="0"/>
              <w:ind w:left="180" w:right="0" w:hanging="180"/>
              <w:jc w:val="left"/>
              <w:rPr>
                <w:rFonts w:ascii="Times New Roman" w:hAnsi="Times New Roman"/>
                <w:sz w:val="20"/>
              </w:rPr>
            </w:pPr>
            <w:r>
              <w:rPr>
                <w:rFonts w:ascii="Times New Roman" w:hAnsi="Times New Roman"/>
                <w:sz w:val="20"/>
              </w:rPr>
              <w:t>Member contributions</w:t>
            </w:r>
          </w:p>
        </w:tc>
        <w:tc>
          <w:tcPr>
            <w:tcW w:w="61" w:type="dxa"/>
            <w:tcBorders/>
            <w:shd w:fill="CCEEFF" w:val="clear"/>
            <w:tcMar>
              <w:bottom w:w="0" w:type="dxa"/>
            </w:tcMar>
            <w:vAlign w:val="center"/>
          </w:tcPr>
          <w:p>
            <w:pPr>
              <w:pStyle w:val="TableContents"/>
              <w:spacing w:before="0" w:after="283"/>
              <w:rPr/>
            </w:pPr>
            <w:r>
              <w:rPr/>
              <w:t> </w:t>
            </w:r>
          </w:p>
        </w:tc>
        <w:tc>
          <w:tcPr>
            <w:tcW w:w="272" w:type="dxa"/>
            <w:tcBorders/>
            <w:shd w:fill="CCEEFF" w:val="clear"/>
            <w:tcMar>
              <w:bottom w:w="0" w:type="dxa"/>
            </w:tcMar>
            <w:vAlign w:val="bottom"/>
          </w:tcPr>
          <w:p>
            <w:pPr>
              <w:pStyle w:val="TableContents"/>
              <w:spacing w:before="0" w:after="283"/>
              <w:jc w:val="left"/>
              <w:rPr/>
            </w:pPr>
            <w:r>
              <w:rPr/>
              <w:t> </w:t>
            </w:r>
          </w:p>
        </w:tc>
        <w:tc>
          <w:tcPr>
            <w:tcW w:w="640"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4537" w:name="TAB12232"/>
            <w:bookmarkEnd w:id="4537"/>
            <w:r>
              <w:rPr>
                <w:rFonts w:ascii="Times New Roman" w:hAnsi="Times New Roman"/>
                <w:sz w:val="20"/>
              </w:rPr>
              <w:t>--</w:t>
            </w:r>
          </w:p>
        </w:tc>
        <w:tc>
          <w:tcPr>
            <w:tcW w:w="81" w:type="dxa"/>
            <w:tcBorders/>
            <w:shd w:fill="CCEEFF" w:val="clear"/>
            <w:tcMar>
              <w:bottom w:w="0" w:type="dxa"/>
            </w:tcMar>
            <w:vAlign w:val="bottom"/>
          </w:tcPr>
          <w:p>
            <w:pPr>
              <w:pStyle w:val="TableContents"/>
              <w:spacing w:before="0" w:after="283"/>
              <w:jc w:val="left"/>
              <w:rPr/>
            </w:pPr>
            <w:r>
              <w:rPr/>
              <w:t> </w:t>
            </w:r>
          </w:p>
        </w:tc>
        <w:tc>
          <w:tcPr>
            <w:tcW w:w="168" w:type="dxa"/>
            <w:tcBorders/>
            <w:shd w:fill="CCEEFF" w:val="clear"/>
            <w:tcMar>
              <w:bottom w:w="0" w:type="dxa"/>
            </w:tcMar>
            <w:vAlign w:val="bottom"/>
          </w:tcPr>
          <w:p>
            <w:pPr>
              <w:pStyle w:val="TableContents"/>
              <w:spacing w:before="0" w:after="283"/>
              <w:jc w:val="left"/>
              <w:rPr/>
            </w:pPr>
            <w:r>
              <w:rPr/>
              <w:t> </w:t>
            </w:r>
          </w:p>
        </w:tc>
        <w:tc>
          <w:tcPr>
            <w:tcW w:w="741"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4538" w:name="TAB12233"/>
            <w:bookmarkEnd w:id="4538"/>
            <w:r>
              <w:rPr>
                <w:rFonts w:ascii="Times New Roman" w:hAnsi="Times New Roman"/>
                <w:sz w:val="20"/>
              </w:rPr>
              <w:t>323</w:t>
            </w:r>
          </w:p>
        </w:tc>
        <w:tc>
          <w:tcPr>
            <w:tcW w:w="81" w:type="dxa"/>
            <w:tcBorders/>
            <w:shd w:fill="CCEEFF" w:val="clear"/>
            <w:tcMar>
              <w:bottom w:w="0" w:type="dxa"/>
            </w:tcMar>
            <w:vAlign w:val="bottom"/>
          </w:tcPr>
          <w:p>
            <w:pPr>
              <w:pStyle w:val="TableContents"/>
              <w:spacing w:before="0" w:after="283"/>
              <w:jc w:val="left"/>
              <w:rPr/>
            </w:pPr>
            <w:r>
              <w:rPr/>
              <w:t> </w:t>
            </w:r>
          </w:p>
        </w:tc>
        <w:tc>
          <w:tcPr>
            <w:tcW w:w="168" w:type="dxa"/>
            <w:tcBorders/>
            <w:shd w:fill="CCEEFF" w:val="clear"/>
            <w:tcMar>
              <w:bottom w:w="0" w:type="dxa"/>
            </w:tcMar>
            <w:vAlign w:val="bottom"/>
          </w:tcPr>
          <w:p>
            <w:pPr>
              <w:pStyle w:val="TableContents"/>
              <w:spacing w:before="0" w:after="283"/>
              <w:jc w:val="left"/>
              <w:rPr/>
            </w:pPr>
            <w:r>
              <w:rPr/>
              <w:t> </w:t>
            </w:r>
          </w:p>
        </w:tc>
        <w:tc>
          <w:tcPr>
            <w:tcW w:w="741"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4539" w:name="TAB12234"/>
            <w:bookmarkEnd w:id="4539"/>
            <w:r>
              <w:rPr>
                <w:rFonts w:ascii="Times New Roman" w:hAnsi="Times New Roman"/>
                <w:sz w:val="20"/>
              </w:rPr>
              <w:t>432</w:t>
            </w:r>
          </w:p>
        </w:tc>
        <w:tc>
          <w:tcPr>
            <w:tcW w:w="81" w:type="dxa"/>
            <w:tcBorders/>
            <w:shd w:fill="CCEEFF" w:val="clear"/>
            <w:tcMar>
              <w:bottom w:w="0" w:type="dxa"/>
            </w:tcMar>
            <w:vAlign w:val="bottom"/>
          </w:tcPr>
          <w:p>
            <w:pPr>
              <w:pStyle w:val="TableContents"/>
              <w:spacing w:before="0" w:after="283"/>
              <w:jc w:val="left"/>
              <w:rPr/>
            </w:pPr>
            <w:r>
              <w:rPr/>
              <w:t> </w:t>
            </w:r>
          </w:p>
        </w:tc>
        <w:tc>
          <w:tcPr>
            <w:tcW w:w="216" w:type="dxa"/>
            <w:tcBorders/>
            <w:shd w:fill="CCEEFF" w:val="clear"/>
            <w:tcMar>
              <w:bottom w:w="0" w:type="dxa"/>
            </w:tcMar>
            <w:vAlign w:val="bottom"/>
          </w:tcPr>
          <w:p>
            <w:pPr>
              <w:pStyle w:val="TableContents"/>
              <w:spacing w:before="0" w:after="283"/>
              <w:jc w:val="left"/>
              <w:rPr/>
            </w:pPr>
            <w:r>
              <w:rPr/>
              <w:t> </w:t>
            </w:r>
          </w:p>
        </w:tc>
        <w:tc>
          <w:tcPr>
            <w:tcW w:w="693"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4540" w:name="TAB12235"/>
            <w:bookmarkEnd w:id="4540"/>
            <w:r>
              <w:rPr>
                <w:rFonts w:ascii="Times New Roman" w:hAnsi="Times New Roman"/>
                <w:sz w:val="20"/>
              </w:rPr>
              <w:t>387</w:t>
            </w:r>
          </w:p>
        </w:tc>
        <w:tc>
          <w:tcPr>
            <w:tcW w:w="81" w:type="dxa"/>
            <w:tcBorders/>
            <w:shd w:fill="CCEEFF" w:val="clear"/>
            <w:tcMar>
              <w:bottom w:w="0" w:type="dxa"/>
            </w:tcMar>
            <w:vAlign w:val="bottom"/>
          </w:tcPr>
          <w:p>
            <w:pPr>
              <w:pStyle w:val="TableContents"/>
              <w:spacing w:before="0" w:after="283"/>
              <w:jc w:val="left"/>
              <w:rPr/>
            </w:pPr>
            <w:r>
              <w:rPr/>
              <w:t> </w:t>
            </w:r>
          </w:p>
        </w:tc>
        <w:tc>
          <w:tcPr>
            <w:tcW w:w="168" w:type="dxa"/>
            <w:tcBorders/>
            <w:shd w:fill="CCEEFF" w:val="clear"/>
            <w:tcMar>
              <w:bottom w:w="0" w:type="dxa"/>
            </w:tcMar>
            <w:vAlign w:val="bottom"/>
          </w:tcPr>
          <w:p>
            <w:pPr>
              <w:pStyle w:val="TableContents"/>
              <w:spacing w:before="0" w:after="283"/>
              <w:jc w:val="left"/>
              <w:rPr/>
            </w:pPr>
            <w:r>
              <w:rPr/>
              <w:t> </w:t>
            </w:r>
          </w:p>
        </w:tc>
        <w:tc>
          <w:tcPr>
            <w:tcW w:w="741"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4541" w:name="TAB12236"/>
            <w:bookmarkEnd w:id="4541"/>
            <w:r>
              <w:rPr>
                <w:rFonts w:ascii="Times New Roman" w:hAnsi="Times New Roman"/>
                <w:sz w:val="20"/>
              </w:rPr>
              <w:t>153</w:t>
            </w:r>
          </w:p>
        </w:tc>
        <w:tc>
          <w:tcPr>
            <w:tcW w:w="81" w:type="dxa"/>
            <w:tcBorders/>
            <w:shd w:fill="CCEEFF" w:val="clear"/>
            <w:tcMar>
              <w:bottom w:w="0" w:type="dxa"/>
            </w:tcMar>
            <w:vAlign w:val="bottom"/>
          </w:tcPr>
          <w:p>
            <w:pPr>
              <w:pStyle w:val="TableContents"/>
              <w:spacing w:before="0" w:after="283"/>
              <w:jc w:val="left"/>
              <w:rPr/>
            </w:pPr>
            <w:r>
              <w:rPr/>
              <w:t> </w:t>
            </w:r>
          </w:p>
        </w:tc>
        <w:tc>
          <w:tcPr>
            <w:tcW w:w="184" w:type="dxa"/>
            <w:tcBorders/>
            <w:shd w:fill="CCEEFF" w:val="clear"/>
            <w:tcMar>
              <w:bottom w:w="0" w:type="dxa"/>
            </w:tcMar>
            <w:vAlign w:val="bottom"/>
          </w:tcPr>
          <w:p>
            <w:pPr>
              <w:pStyle w:val="TableContents"/>
              <w:spacing w:before="0" w:after="283"/>
              <w:jc w:val="left"/>
              <w:rPr/>
            </w:pPr>
            <w:r>
              <w:rPr/>
              <w:t> </w:t>
            </w:r>
          </w:p>
        </w:tc>
        <w:tc>
          <w:tcPr>
            <w:tcW w:w="874"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4542" w:name="TAB12237"/>
            <w:bookmarkEnd w:id="4542"/>
            <w:r>
              <w:rPr>
                <w:rFonts w:ascii="Times New Roman" w:hAnsi="Times New Roman"/>
                <w:sz w:val="20"/>
              </w:rPr>
              <w:t>22</w:t>
            </w:r>
          </w:p>
        </w:tc>
        <w:tc>
          <w:tcPr>
            <w:tcW w:w="81" w:type="dxa"/>
            <w:tcBorders/>
            <w:shd w:fill="CCEEFF" w:val="clear"/>
            <w:tcMar>
              <w:bottom w:w="0" w:type="dxa"/>
            </w:tcMar>
            <w:vAlign w:val="bottom"/>
          </w:tcPr>
          <w:p>
            <w:pPr>
              <w:pStyle w:val="TableContents"/>
              <w:spacing w:before="0" w:after="283"/>
              <w:jc w:val="left"/>
              <w:rPr/>
            </w:pPr>
            <w:r>
              <w:rPr/>
              <w:t> </w:t>
            </w:r>
          </w:p>
        </w:tc>
        <w:tc>
          <w:tcPr>
            <w:tcW w:w="194" w:type="dxa"/>
            <w:tcBorders/>
            <w:shd w:fill="CCEEFF" w:val="clear"/>
            <w:tcMar>
              <w:bottom w:w="0" w:type="dxa"/>
            </w:tcMar>
            <w:vAlign w:val="bottom"/>
          </w:tcPr>
          <w:p>
            <w:pPr>
              <w:pStyle w:val="TableContents"/>
              <w:spacing w:before="0" w:after="283"/>
              <w:jc w:val="left"/>
              <w:rPr/>
            </w:pPr>
            <w:r>
              <w:rPr/>
              <w:t> </w:t>
            </w:r>
          </w:p>
        </w:tc>
        <w:tc>
          <w:tcPr>
            <w:tcW w:w="850"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4543" w:name="TAB12238"/>
            <w:bookmarkEnd w:id="4543"/>
            <w:r>
              <w:rPr>
                <w:rFonts w:ascii="Times New Roman" w:hAnsi="Times New Roman"/>
                <w:sz w:val="20"/>
              </w:rPr>
              <w:t>842</w:t>
            </w:r>
          </w:p>
        </w:tc>
        <w:tc>
          <w:tcPr>
            <w:tcW w:w="81" w:type="dxa"/>
            <w:tcBorders/>
            <w:shd w:fill="CCEEFF" w:val="clear"/>
            <w:tcMar>
              <w:bottom w:w="0" w:type="dxa"/>
            </w:tcMar>
            <w:vAlign w:val="bottom"/>
          </w:tcPr>
          <w:p>
            <w:pPr>
              <w:pStyle w:val="TableContents"/>
              <w:spacing w:before="0" w:after="283"/>
              <w:jc w:val="left"/>
              <w:rPr/>
            </w:pPr>
            <w:r>
              <w:rPr/>
              <w:t> </w:t>
            </w:r>
          </w:p>
        </w:tc>
        <w:tc>
          <w:tcPr>
            <w:tcW w:w="174" w:type="dxa"/>
            <w:tcBorders/>
            <w:shd w:fill="CCEEFF" w:val="clear"/>
            <w:tcMar>
              <w:bottom w:w="0" w:type="dxa"/>
            </w:tcMar>
            <w:vAlign w:val="bottom"/>
          </w:tcPr>
          <w:p>
            <w:pPr>
              <w:pStyle w:val="TableContents"/>
              <w:spacing w:before="0" w:after="283"/>
              <w:jc w:val="left"/>
              <w:rPr/>
            </w:pPr>
            <w:r>
              <w:rPr/>
              <w:t> </w:t>
            </w:r>
          </w:p>
        </w:tc>
        <w:tc>
          <w:tcPr>
            <w:tcW w:w="764"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4544" w:name="TAB12239"/>
            <w:bookmarkEnd w:id="4544"/>
            <w:r>
              <w:rPr>
                <w:rFonts w:ascii="Times New Roman" w:hAnsi="Times New Roman"/>
                <w:sz w:val="20"/>
              </w:rPr>
              <w:t>719</w:t>
            </w:r>
          </w:p>
        </w:tc>
        <w:tc>
          <w:tcPr>
            <w:tcW w:w="81" w:type="dxa"/>
            <w:tcBorders/>
            <w:shd w:fill="CCEEFF" w:val="clear"/>
            <w:tcMar>
              <w:bottom w:w="0" w:type="dxa"/>
            </w:tcMar>
            <w:vAlign w:val="bottom"/>
          </w:tcPr>
          <w:p>
            <w:pPr>
              <w:pStyle w:val="TableContents"/>
              <w:spacing w:before="0" w:after="283"/>
              <w:jc w:val="left"/>
              <w:rPr/>
            </w:pPr>
            <w:r>
              <w:rPr/>
              <w:t> </w:t>
            </w:r>
          </w:p>
        </w:tc>
        <w:tc>
          <w:tcPr>
            <w:tcW w:w="126" w:type="dxa"/>
            <w:tcBorders/>
            <w:shd w:fill="CCEEFF" w:val="clear"/>
            <w:tcMar>
              <w:bottom w:w="0" w:type="dxa"/>
            </w:tcMar>
            <w:vAlign w:val="bottom"/>
          </w:tcPr>
          <w:p>
            <w:pPr>
              <w:pStyle w:val="TableContents"/>
              <w:spacing w:before="0" w:after="283"/>
              <w:jc w:val="left"/>
              <w:rPr/>
            </w:pPr>
            <w:r>
              <w:rPr/>
              <w:t> </w:t>
            </w:r>
          </w:p>
        </w:tc>
        <w:tc>
          <w:tcPr>
            <w:tcW w:w="655"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4545" w:name="TAB12240"/>
            <w:bookmarkEnd w:id="4545"/>
            <w:r>
              <w:rPr>
                <w:rFonts w:ascii="Times New Roman" w:hAnsi="Times New Roman"/>
                <w:sz w:val="20"/>
              </w:rPr>
              <w:t>2,878</w:t>
            </w:r>
          </w:p>
        </w:tc>
        <w:tc>
          <w:tcPr>
            <w:tcW w:w="101" w:type="dxa"/>
            <w:tcBorders/>
            <w:shd w:fill="CCEEFF" w:val="clear"/>
            <w:tcMar>
              <w:bottom w:w="0" w:type="dxa"/>
            </w:tcMar>
            <w:vAlign w:val="bottom"/>
          </w:tcPr>
          <w:p>
            <w:pPr>
              <w:pStyle w:val="TableContents"/>
              <w:spacing w:before="0" w:after="283"/>
              <w:jc w:val="left"/>
              <w:rPr/>
            </w:pPr>
            <w:r>
              <w:rPr/>
              <w:t> </w:t>
            </w:r>
          </w:p>
        </w:tc>
      </w:tr>
      <w:tr>
        <w:trPr/>
        <w:tc>
          <w:tcPr>
            <w:tcW w:w="1026"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Assignment of interest</w:t>
            </w:r>
          </w:p>
        </w:tc>
        <w:tc>
          <w:tcPr>
            <w:tcW w:w="61" w:type="dxa"/>
            <w:tcBorders/>
            <w:shd w:fill="FFFFFF" w:val="clear"/>
            <w:tcMar>
              <w:bottom w:w="0" w:type="dxa"/>
            </w:tcMar>
            <w:vAlign w:val="center"/>
          </w:tcPr>
          <w:p>
            <w:pPr>
              <w:pStyle w:val="TableContents"/>
              <w:spacing w:before="0" w:after="283"/>
              <w:rPr/>
            </w:pPr>
            <w:r>
              <w:rPr/>
              <w:t> </w:t>
            </w:r>
          </w:p>
        </w:tc>
        <w:tc>
          <w:tcPr>
            <w:tcW w:w="272" w:type="dxa"/>
            <w:tcBorders/>
            <w:shd w:fill="FFFFFF" w:val="clear"/>
            <w:tcMar>
              <w:bottom w:w="0" w:type="dxa"/>
            </w:tcMar>
            <w:vAlign w:val="bottom"/>
          </w:tcPr>
          <w:p>
            <w:pPr>
              <w:pStyle w:val="TableContents"/>
              <w:spacing w:before="0" w:after="283"/>
              <w:jc w:val="left"/>
              <w:rPr/>
            </w:pPr>
            <w:r>
              <w:rPr/>
              <w:t> </w:t>
            </w:r>
          </w:p>
        </w:tc>
        <w:tc>
          <w:tcPr>
            <w:tcW w:w="640"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4546" w:name="TAB12241"/>
            <w:bookmarkEnd w:id="4546"/>
            <w:r>
              <w:rPr>
                <w:rFonts w:ascii="Times New Roman" w:hAnsi="Times New Roman"/>
                <w:sz w:val="20"/>
              </w:rPr>
              <w:t>--</w:t>
            </w:r>
          </w:p>
        </w:tc>
        <w:tc>
          <w:tcPr>
            <w:tcW w:w="81" w:type="dxa"/>
            <w:tcBorders/>
            <w:shd w:fill="FFFFFF" w:val="clear"/>
            <w:tcMar>
              <w:bottom w:w="0" w:type="dxa"/>
            </w:tcMar>
            <w:vAlign w:val="bottom"/>
          </w:tcPr>
          <w:p>
            <w:pPr>
              <w:pStyle w:val="TableContents"/>
              <w:spacing w:before="0" w:after="283"/>
              <w:jc w:val="left"/>
              <w:rPr/>
            </w:pPr>
            <w:r>
              <w:rPr/>
              <w:t> </w:t>
            </w:r>
          </w:p>
        </w:tc>
        <w:tc>
          <w:tcPr>
            <w:tcW w:w="168" w:type="dxa"/>
            <w:tcBorders/>
            <w:shd w:fill="FFFFFF" w:val="clear"/>
            <w:tcMar>
              <w:bottom w:w="0" w:type="dxa"/>
            </w:tcMar>
            <w:vAlign w:val="bottom"/>
          </w:tcPr>
          <w:p>
            <w:pPr>
              <w:pStyle w:val="TableContents"/>
              <w:spacing w:before="0" w:after="283"/>
              <w:jc w:val="left"/>
              <w:rPr/>
            </w:pPr>
            <w:r>
              <w:rPr/>
              <w:t> </w:t>
            </w:r>
          </w:p>
        </w:tc>
        <w:tc>
          <w:tcPr>
            <w:tcW w:w="741"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4547" w:name="TAB12242"/>
            <w:bookmarkEnd w:id="4547"/>
            <w:r>
              <w:rPr>
                <w:rFonts w:ascii="Times New Roman" w:hAnsi="Times New Roman"/>
                <w:sz w:val="20"/>
              </w:rPr>
              <w:t>115</w:t>
            </w:r>
          </w:p>
        </w:tc>
        <w:tc>
          <w:tcPr>
            <w:tcW w:w="81" w:type="dxa"/>
            <w:tcBorders/>
            <w:shd w:fill="FFFFFF" w:val="clear"/>
            <w:tcMar>
              <w:bottom w:w="0" w:type="dxa"/>
            </w:tcMar>
            <w:vAlign w:val="bottom"/>
          </w:tcPr>
          <w:p>
            <w:pPr>
              <w:pStyle w:val="TableContents"/>
              <w:spacing w:before="0" w:after="283"/>
              <w:jc w:val="left"/>
              <w:rPr/>
            </w:pPr>
            <w:r>
              <w:rPr/>
              <w:t> </w:t>
            </w:r>
          </w:p>
        </w:tc>
        <w:tc>
          <w:tcPr>
            <w:tcW w:w="168" w:type="dxa"/>
            <w:tcBorders/>
            <w:shd w:fill="FFFFFF" w:val="clear"/>
            <w:tcMar>
              <w:bottom w:w="0" w:type="dxa"/>
            </w:tcMar>
            <w:vAlign w:val="bottom"/>
          </w:tcPr>
          <w:p>
            <w:pPr>
              <w:pStyle w:val="TableContents"/>
              <w:spacing w:before="0" w:after="283"/>
              <w:jc w:val="left"/>
              <w:rPr/>
            </w:pPr>
            <w:r>
              <w:rPr/>
              <w:t> </w:t>
            </w:r>
          </w:p>
        </w:tc>
        <w:tc>
          <w:tcPr>
            <w:tcW w:w="741"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4548" w:name="TAB12243"/>
            <w:bookmarkEnd w:id="4548"/>
            <w:r>
              <w:rPr>
                <w:rFonts w:ascii="Times New Roman" w:hAnsi="Times New Roman"/>
                <w:sz w:val="20"/>
              </w:rPr>
              <w:t>--</w:t>
            </w:r>
          </w:p>
        </w:tc>
        <w:tc>
          <w:tcPr>
            <w:tcW w:w="81" w:type="dxa"/>
            <w:tcBorders/>
            <w:shd w:fill="FFFFFF" w:val="clear"/>
            <w:tcMar>
              <w:bottom w:w="0" w:type="dxa"/>
            </w:tcMar>
            <w:vAlign w:val="bottom"/>
          </w:tcPr>
          <w:p>
            <w:pPr>
              <w:pStyle w:val="TableContents"/>
              <w:spacing w:before="0" w:after="283"/>
              <w:jc w:val="left"/>
              <w:rPr/>
            </w:pPr>
            <w:r>
              <w:rPr/>
              <w:t> </w:t>
            </w:r>
          </w:p>
        </w:tc>
        <w:tc>
          <w:tcPr>
            <w:tcW w:w="216" w:type="dxa"/>
            <w:tcBorders/>
            <w:shd w:fill="FFFFFF" w:val="clear"/>
            <w:tcMar>
              <w:bottom w:w="0" w:type="dxa"/>
            </w:tcMar>
            <w:vAlign w:val="bottom"/>
          </w:tcPr>
          <w:p>
            <w:pPr>
              <w:pStyle w:val="TableContents"/>
              <w:spacing w:before="0" w:after="283"/>
              <w:jc w:val="left"/>
              <w:rPr/>
            </w:pPr>
            <w:r>
              <w:rPr/>
              <w:t> </w:t>
            </w:r>
          </w:p>
        </w:tc>
        <w:tc>
          <w:tcPr>
            <w:tcW w:w="693"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4549" w:name="TAB12244"/>
            <w:bookmarkEnd w:id="4549"/>
            <w:r>
              <w:rPr>
                <w:rFonts w:ascii="Times New Roman" w:hAnsi="Times New Roman"/>
                <w:sz w:val="20"/>
              </w:rPr>
              <w:t>(325</w:t>
            </w:r>
          </w:p>
        </w:tc>
        <w:tc>
          <w:tcPr>
            <w:tcW w:w="81"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4550" w:name="TAB12245"/>
            <w:bookmarkEnd w:id="4550"/>
            <w:r>
              <w:rPr>
                <w:rFonts w:ascii="Times New Roman" w:hAnsi="Times New Roman"/>
                <w:sz w:val="20"/>
              </w:rPr>
              <w:t>)</w:t>
            </w:r>
          </w:p>
        </w:tc>
        <w:tc>
          <w:tcPr>
            <w:tcW w:w="168" w:type="dxa"/>
            <w:tcBorders/>
            <w:shd w:fill="FFFFFF" w:val="clear"/>
            <w:tcMar>
              <w:bottom w:w="0" w:type="dxa"/>
            </w:tcMar>
            <w:vAlign w:val="bottom"/>
          </w:tcPr>
          <w:p>
            <w:pPr>
              <w:pStyle w:val="TableContents"/>
              <w:spacing w:before="0" w:after="283"/>
              <w:jc w:val="left"/>
              <w:rPr/>
            </w:pPr>
            <w:r>
              <w:rPr/>
              <w:t> </w:t>
            </w:r>
          </w:p>
        </w:tc>
        <w:tc>
          <w:tcPr>
            <w:tcW w:w="741"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4551" w:name="TAB12246"/>
            <w:bookmarkEnd w:id="4551"/>
            <w:r>
              <w:rPr>
                <w:rFonts w:ascii="Times New Roman" w:hAnsi="Times New Roman"/>
                <w:sz w:val="20"/>
              </w:rPr>
              <w:t>210</w:t>
            </w:r>
          </w:p>
        </w:tc>
        <w:tc>
          <w:tcPr>
            <w:tcW w:w="81" w:type="dxa"/>
            <w:tcBorders/>
            <w:shd w:fill="FFFFFF" w:val="clear"/>
            <w:tcMar>
              <w:bottom w:w="0" w:type="dxa"/>
            </w:tcMar>
            <w:vAlign w:val="bottom"/>
          </w:tcPr>
          <w:p>
            <w:pPr>
              <w:pStyle w:val="TableContents"/>
              <w:spacing w:before="0" w:after="283"/>
              <w:jc w:val="left"/>
              <w:rPr/>
            </w:pPr>
            <w:r>
              <w:rPr/>
              <w:t> </w:t>
            </w:r>
          </w:p>
        </w:tc>
        <w:tc>
          <w:tcPr>
            <w:tcW w:w="184" w:type="dxa"/>
            <w:tcBorders/>
            <w:shd w:fill="FFFFFF" w:val="clear"/>
            <w:tcMar>
              <w:bottom w:w="0" w:type="dxa"/>
            </w:tcMar>
            <w:vAlign w:val="bottom"/>
          </w:tcPr>
          <w:p>
            <w:pPr>
              <w:pStyle w:val="TableContents"/>
              <w:spacing w:before="0" w:after="283"/>
              <w:jc w:val="left"/>
              <w:rPr/>
            </w:pPr>
            <w:r>
              <w:rPr/>
              <w:t> </w:t>
            </w:r>
          </w:p>
        </w:tc>
        <w:tc>
          <w:tcPr>
            <w:tcW w:w="874"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4552" w:name="TAB12247"/>
            <w:bookmarkEnd w:id="4552"/>
            <w:r>
              <w:rPr>
                <w:rFonts w:ascii="Times New Roman" w:hAnsi="Times New Roman"/>
                <w:sz w:val="20"/>
              </w:rPr>
              <w:t>--</w:t>
            </w:r>
          </w:p>
        </w:tc>
        <w:tc>
          <w:tcPr>
            <w:tcW w:w="81" w:type="dxa"/>
            <w:tcBorders/>
            <w:shd w:fill="FFFFFF" w:val="clear"/>
            <w:tcMar>
              <w:bottom w:w="0" w:type="dxa"/>
            </w:tcMar>
            <w:vAlign w:val="bottom"/>
          </w:tcPr>
          <w:p>
            <w:pPr>
              <w:pStyle w:val="TableContents"/>
              <w:spacing w:before="0" w:after="283"/>
              <w:jc w:val="left"/>
              <w:rPr/>
            </w:pPr>
            <w:r>
              <w:rPr/>
              <w:t> </w:t>
            </w:r>
          </w:p>
        </w:tc>
        <w:tc>
          <w:tcPr>
            <w:tcW w:w="194" w:type="dxa"/>
            <w:tcBorders/>
            <w:shd w:fill="FFFFFF" w:val="clear"/>
            <w:tcMar>
              <w:bottom w:w="0" w:type="dxa"/>
            </w:tcMar>
            <w:vAlign w:val="bottom"/>
          </w:tcPr>
          <w:p>
            <w:pPr>
              <w:pStyle w:val="TableContents"/>
              <w:spacing w:before="0" w:after="283"/>
              <w:jc w:val="left"/>
              <w:rPr/>
            </w:pPr>
            <w:r>
              <w:rPr/>
              <w:t> </w:t>
            </w:r>
          </w:p>
        </w:tc>
        <w:tc>
          <w:tcPr>
            <w:tcW w:w="850"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4553" w:name="TAB12248"/>
            <w:bookmarkEnd w:id="4553"/>
            <w:r>
              <w:rPr>
                <w:rFonts w:ascii="Times New Roman" w:hAnsi="Times New Roman"/>
                <w:sz w:val="20"/>
              </w:rPr>
              <w:t>--</w:t>
            </w:r>
          </w:p>
        </w:tc>
        <w:tc>
          <w:tcPr>
            <w:tcW w:w="81" w:type="dxa"/>
            <w:tcBorders/>
            <w:shd w:fill="FFFFFF" w:val="clear"/>
            <w:tcMar>
              <w:bottom w:w="0" w:type="dxa"/>
            </w:tcMar>
            <w:vAlign w:val="bottom"/>
          </w:tcPr>
          <w:p>
            <w:pPr>
              <w:pStyle w:val="TableContents"/>
              <w:spacing w:before="0" w:after="283"/>
              <w:jc w:val="left"/>
              <w:rPr/>
            </w:pPr>
            <w:r>
              <w:rPr/>
              <w:t> </w:t>
            </w:r>
          </w:p>
        </w:tc>
        <w:tc>
          <w:tcPr>
            <w:tcW w:w="174" w:type="dxa"/>
            <w:tcBorders/>
            <w:shd w:fill="FFFFFF" w:val="clear"/>
            <w:tcMar>
              <w:bottom w:w="0" w:type="dxa"/>
            </w:tcMar>
            <w:vAlign w:val="bottom"/>
          </w:tcPr>
          <w:p>
            <w:pPr>
              <w:pStyle w:val="TableContents"/>
              <w:spacing w:before="0" w:after="283"/>
              <w:jc w:val="left"/>
              <w:rPr/>
            </w:pPr>
            <w:r>
              <w:rPr/>
              <w:t> </w:t>
            </w:r>
          </w:p>
        </w:tc>
        <w:tc>
          <w:tcPr>
            <w:tcW w:w="764"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4554" w:name="TAB12249"/>
            <w:bookmarkEnd w:id="4554"/>
            <w:r>
              <w:rPr>
                <w:rFonts w:ascii="Times New Roman" w:hAnsi="Times New Roman"/>
                <w:sz w:val="20"/>
              </w:rPr>
              <w:t>--</w:t>
            </w:r>
          </w:p>
        </w:tc>
        <w:tc>
          <w:tcPr>
            <w:tcW w:w="81" w:type="dxa"/>
            <w:tcBorders/>
            <w:shd w:fill="FFFFFF" w:val="clear"/>
            <w:tcMar>
              <w:bottom w:w="0" w:type="dxa"/>
            </w:tcMar>
            <w:vAlign w:val="bottom"/>
          </w:tcPr>
          <w:p>
            <w:pPr>
              <w:pStyle w:val="TableContents"/>
              <w:spacing w:before="0" w:after="283"/>
              <w:jc w:val="left"/>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655"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4555" w:name="TAB12250"/>
            <w:bookmarkEnd w:id="4555"/>
            <w:r>
              <w:rPr>
                <w:rFonts w:ascii="Times New Roman" w:hAnsi="Times New Roman"/>
                <w:sz w:val="20"/>
              </w:rPr>
              <w:t>--</w:t>
            </w:r>
          </w:p>
        </w:tc>
        <w:tc>
          <w:tcPr>
            <w:tcW w:w="101" w:type="dxa"/>
            <w:tcBorders/>
            <w:shd w:fill="FFFFFF" w:val="clear"/>
            <w:tcMar>
              <w:bottom w:w="0" w:type="dxa"/>
            </w:tcMar>
            <w:vAlign w:val="bottom"/>
          </w:tcPr>
          <w:p>
            <w:pPr>
              <w:pStyle w:val="TableContents"/>
              <w:spacing w:before="0" w:after="283"/>
              <w:jc w:val="left"/>
              <w:rPr/>
            </w:pPr>
            <w:r>
              <w:rPr/>
              <w:t> </w:t>
            </w:r>
          </w:p>
        </w:tc>
      </w:tr>
      <w:tr>
        <w:trPr/>
        <w:tc>
          <w:tcPr>
            <w:tcW w:w="1026" w:type="dxa"/>
            <w:tcBorders>
              <w:bottom w:val="single" w:sz="2" w:space="0" w:color="000000"/>
            </w:tcBorders>
            <w:shd w:fill="CCEEFF" w:val="clear"/>
            <w:vAlign w:val="bottom"/>
          </w:tcPr>
          <w:p>
            <w:pPr>
              <w:pStyle w:val="TableContents"/>
              <w:spacing w:lineRule="auto" w:line="300" w:before="0" w:after="0"/>
              <w:ind w:left="180" w:right="0" w:hanging="180"/>
              <w:jc w:val="left"/>
              <w:rPr>
                <w:rFonts w:ascii="Times New Roman" w:hAnsi="Times New Roman"/>
                <w:sz w:val="20"/>
              </w:rPr>
            </w:pPr>
            <w:r>
              <w:rPr>
                <w:rFonts w:ascii="Times New Roman" w:hAnsi="Times New Roman"/>
                <w:sz w:val="20"/>
              </w:rPr>
              <w:t>Net loss</w:t>
            </w:r>
          </w:p>
        </w:tc>
        <w:tc>
          <w:tcPr>
            <w:tcW w:w="61" w:type="dxa"/>
            <w:tcBorders>
              <w:bottom w:val="single" w:sz="4" w:space="0" w:color="CCEEFF"/>
            </w:tcBorders>
            <w:shd w:fill="CCEEFF" w:val="clear"/>
            <w:vAlign w:val="center"/>
          </w:tcPr>
          <w:p>
            <w:pPr>
              <w:pStyle w:val="TableContents"/>
              <w:spacing w:before="0" w:after="283"/>
              <w:rPr/>
            </w:pPr>
            <w:r>
              <w:rPr/>
              <w:t> </w:t>
            </w:r>
          </w:p>
        </w:tc>
        <w:tc>
          <w:tcPr>
            <w:tcW w:w="272" w:type="dxa"/>
            <w:tcBorders>
              <w:bottom w:val="single" w:sz="2" w:space="0" w:color="000000"/>
            </w:tcBorders>
            <w:shd w:fill="CCEEFF" w:val="clear"/>
            <w:vAlign w:val="bottom"/>
          </w:tcPr>
          <w:p>
            <w:pPr>
              <w:pStyle w:val="TableContents"/>
              <w:spacing w:before="0" w:after="283"/>
              <w:jc w:val="left"/>
              <w:rPr/>
            </w:pPr>
            <w:r>
              <w:rPr/>
              <w:t> </w:t>
            </w:r>
          </w:p>
        </w:tc>
        <w:tc>
          <w:tcPr>
            <w:tcW w:w="640"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4556" w:name="TAB12251"/>
            <w:bookmarkEnd w:id="4556"/>
            <w:r>
              <w:rPr>
                <w:rFonts w:ascii="Times New Roman" w:hAnsi="Times New Roman"/>
                <w:sz w:val="20"/>
              </w:rPr>
              <w:t>--</w:t>
            </w:r>
          </w:p>
        </w:tc>
        <w:tc>
          <w:tcPr>
            <w:tcW w:w="81" w:type="dxa"/>
            <w:tcBorders>
              <w:bottom w:val="single" w:sz="4" w:space="0" w:color="CCEEFF"/>
            </w:tcBorders>
            <w:shd w:fill="CCEEFF" w:val="clear"/>
            <w:vAlign w:val="bottom"/>
          </w:tcPr>
          <w:p>
            <w:pPr>
              <w:pStyle w:val="TableContents"/>
              <w:spacing w:before="0" w:after="283"/>
              <w:jc w:val="left"/>
              <w:rPr/>
            </w:pPr>
            <w:r>
              <w:rPr/>
              <w:t> </w:t>
            </w:r>
          </w:p>
        </w:tc>
        <w:tc>
          <w:tcPr>
            <w:tcW w:w="168" w:type="dxa"/>
            <w:tcBorders>
              <w:bottom w:val="single" w:sz="2" w:space="0" w:color="000000"/>
            </w:tcBorders>
            <w:shd w:fill="CCEEFF" w:val="clear"/>
            <w:vAlign w:val="bottom"/>
          </w:tcPr>
          <w:p>
            <w:pPr>
              <w:pStyle w:val="TableContents"/>
              <w:spacing w:before="0" w:after="283"/>
              <w:jc w:val="left"/>
              <w:rPr/>
            </w:pPr>
            <w:r>
              <w:rPr/>
              <w:t> </w:t>
            </w:r>
          </w:p>
        </w:tc>
        <w:tc>
          <w:tcPr>
            <w:tcW w:w="741"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4557" w:name="TAB12252"/>
            <w:bookmarkEnd w:id="4557"/>
            <w:r>
              <w:rPr>
                <w:rFonts w:ascii="Times New Roman" w:hAnsi="Times New Roman"/>
                <w:sz w:val="20"/>
              </w:rPr>
              <w:t>(72</w:t>
            </w:r>
          </w:p>
        </w:tc>
        <w:tc>
          <w:tcPr>
            <w:tcW w:w="81" w:type="dxa"/>
            <w:tcBorders>
              <w:bottom w:val="single" w:sz="4" w:space="0" w:color="CCEEFF"/>
            </w:tcBorders>
            <w:shd w:fill="CCEEFF" w:val="clear"/>
            <w:vAlign w:val="bottom"/>
          </w:tcPr>
          <w:p>
            <w:pPr>
              <w:pStyle w:val="TableContents"/>
              <w:spacing w:lineRule="auto" w:line="300" w:before="0" w:after="0"/>
              <w:ind w:left="0" w:right="0" w:hanging="0"/>
              <w:jc w:val="left"/>
              <w:rPr>
                <w:rFonts w:ascii="Times New Roman" w:hAnsi="Times New Roman"/>
                <w:sz w:val="20"/>
              </w:rPr>
            </w:pPr>
            <w:bookmarkStart w:id="4558" w:name="TAB12253"/>
            <w:bookmarkEnd w:id="4558"/>
            <w:r>
              <w:rPr>
                <w:rFonts w:ascii="Times New Roman" w:hAnsi="Times New Roman"/>
                <w:sz w:val="20"/>
              </w:rPr>
              <w:t>)</w:t>
            </w:r>
          </w:p>
        </w:tc>
        <w:tc>
          <w:tcPr>
            <w:tcW w:w="168" w:type="dxa"/>
            <w:tcBorders>
              <w:bottom w:val="single" w:sz="2" w:space="0" w:color="000000"/>
            </w:tcBorders>
            <w:shd w:fill="CCEEFF" w:val="clear"/>
            <w:vAlign w:val="bottom"/>
          </w:tcPr>
          <w:p>
            <w:pPr>
              <w:pStyle w:val="TableContents"/>
              <w:spacing w:before="0" w:after="283"/>
              <w:jc w:val="left"/>
              <w:rPr/>
            </w:pPr>
            <w:r>
              <w:rPr/>
              <w:t> </w:t>
            </w:r>
          </w:p>
        </w:tc>
        <w:tc>
          <w:tcPr>
            <w:tcW w:w="741"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4559" w:name="TAB12254"/>
            <w:bookmarkEnd w:id="4559"/>
            <w:r>
              <w:rPr>
                <w:rFonts w:ascii="Times New Roman" w:hAnsi="Times New Roman"/>
                <w:sz w:val="20"/>
              </w:rPr>
              <w:t>(75</w:t>
            </w:r>
          </w:p>
        </w:tc>
        <w:tc>
          <w:tcPr>
            <w:tcW w:w="81" w:type="dxa"/>
            <w:tcBorders>
              <w:bottom w:val="single" w:sz="4" w:space="0" w:color="CCEEFF"/>
            </w:tcBorders>
            <w:shd w:fill="CCEEFF" w:val="clear"/>
            <w:vAlign w:val="bottom"/>
          </w:tcPr>
          <w:p>
            <w:pPr>
              <w:pStyle w:val="TableContents"/>
              <w:spacing w:lineRule="auto" w:line="300" w:before="0" w:after="0"/>
              <w:ind w:left="0" w:right="0" w:hanging="0"/>
              <w:jc w:val="left"/>
              <w:rPr>
                <w:rFonts w:ascii="Times New Roman" w:hAnsi="Times New Roman"/>
                <w:sz w:val="20"/>
              </w:rPr>
            </w:pPr>
            <w:bookmarkStart w:id="4560" w:name="TAB12255"/>
            <w:bookmarkEnd w:id="4560"/>
            <w:r>
              <w:rPr>
                <w:rFonts w:ascii="Times New Roman" w:hAnsi="Times New Roman"/>
                <w:sz w:val="20"/>
              </w:rPr>
              <w:t>)</w:t>
            </w:r>
          </w:p>
        </w:tc>
        <w:tc>
          <w:tcPr>
            <w:tcW w:w="216" w:type="dxa"/>
            <w:tcBorders>
              <w:bottom w:val="single" w:sz="2" w:space="0" w:color="000000"/>
            </w:tcBorders>
            <w:shd w:fill="CCEEFF" w:val="clear"/>
            <w:vAlign w:val="bottom"/>
          </w:tcPr>
          <w:p>
            <w:pPr>
              <w:pStyle w:val="TableContents"/>
              <w:spacing w:before="0" w:after="283"/>
              <w:jc w:val="left"/>
              <w:rPr/>
            </w:pPr>
            <w:r>
              <w:rPr/>
              <w:t> </w:t>
            </w:r>
          </w:p>
        </w:tc>
        <w:tc>
          <w:tcPr>
            <w:tcW w:w="693"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4561" w:name="TAB12256"/>
            <w:bookmarkEnd w:id="4561"/>
            <w:r>
              <w:rPr>
                <w:rFonts w:ascii="Times New Roman" w:hAnsi="Times New Roman"/>
                <w:sz w:val="20"/>
              </w:rPr>
              <w:t>(23</w:t>
            </w:r>
          </w:p>
        </w:tc>
        <w:tc>
          <w:tcPr>
            <w:tcW w:w="81" w:type="dxa"/>
            <w:tcBorders>
              <w:bottom w:val="single" w:sz="4" w:space="0" w:color="CCEEFF"/>
            </w:tcBorders>
            <w:shd w:fill="CCEEFF" w:val="clear"/>
            <w:vAlign w:val="bottom"/>
          </w:tcPr>
          <w:p>
            <w:pPr>
              <w:pStyle w:val="TableContents"/>
              <w:spacing w:lineRule="auto" w:line="300" w:before="0" w:after="0"/>
              <w:ind w:left="0" w:right="0" w:hanging="0"/>
              <w:jc w:val="left"/>
              <w:rPr>
                <w:rFonts w:ascii="Times New Roman" w:hAnsi="Times New Roman"/>
                <w:sz w:val="20"/>
              </w:rPr>
            </w:pPr>
            <w:bookmarkStart w:id="4562" w:name="TAB12257"/>
            <w:bookmarkEnd w:id="4562"/>
            <w:r>
              <w:rPr>
                <w:rFonts w:ascii="Times New Roman" w:hAnsi="Times New Roman"/>
                <w:sz w:val="20"/>
              </w:rPr>
              <w:t>)</w:t>
            </w:r>
          </w:p>
        </w:tc>
        <w:tc>
          <w:tcPr>
            <w:tcW w:w="168" w:type="dxa"/>
            <w:tcBorders>
              <w:bottom w:val="single" w:sz="2" w:space="0" w:color="000000"/>
            </w:tcBorders>
            <w:shd w:fill="CCEEFF" w:val="clear"/>
            <w:vAlign w:val="bottom"/>
          </w:tcPr>
          <w:p>
            <w:pPr>
              <w:pStyle w:val="TableContents"/>
              <w:spacing w:before="0" w:after="283"/>
              <w:jc w:val="left"/>
              <w:rPr/>
            </w:pPr>
            <w:r>
              <w:rPr/>
              <w:t> </w:t>
            </w:r>
          </w:p>
        </w:tc>
        <w:tc>
          <w:tcPr>
            <w:tcW w:w="741"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4563" w:name="TAB12258"/>
            <w:bookmarkEnd w:id="4563"/>
            <w:r>
              <w:rPr>
                <w:rFonts w:ascii="Times New Roman" w:hAnsi="Times New Roman"/>
                <w:sz w:val="20"/>
              </w:rPr>
              <w:t>(55</w:t>
            </w:r>
          </w:p>
        </w:tc>
        <w:tc>
          <w:tcPr>
            <w:tcW w:w="81" w:type="dxa"/>
            <w:tcBorders>
              <w:bottom w:val="single" w:sz="4" w:space="0" w:color="CCEEFF"/>
            </w:tcBorders>
            <w:shd w:fill="CCEEFF" w:val="clear"/>
            <w:vAlign w:val="bottom"/>
          </w:tcPr>
          <w:p>
            <w:pPr>
              <w:pStyle w:val="TableContents"/>
              <w:spacing w:lineRule="auto" w:line="300" w:before="0" w:after="0"/>
              <w:ind w:left="0" w:right="0" w:hanging="0"/>
              <w:jc w:val="left"/>
              <w:rPr>
                <w:rFonts w:ascii="Times New Roman" w:hAnsi="Times New Roman"/>
                <w:sz w:val="20"/>
              </w:rPr>
            </w:pPr>
            <w:bookmarkStart w:id="4564" w:name="TAB12259"/>
            <w:bookmarkEnd w:id="4564"/>
            <w:r>
              <w:rPr>
                <w:rFonts w:ascii="Times New Roman" w:hAnsi="Times New Roman"/>
                <w:sz w:val="20"/>
              </w:rPr>
              <w:t>)</w:t>
            </w:r>
          </w:p>
        </w:tc>
        <w:tc>
          <w:tcPr>
            <w:tcW w:w="184" w:type="dxa"/>
            <w:tcBorders>
              <w:bottom w:val="single" w:sz="2" w:space="0" w:color="000000"/>
            </w:tcBorders>
            <w:shd w:fill="CCEEFF" w:val="clear"/>
            <w:vAlign w:val="bottom"/>
          </w:tcPr>
          <w:p>
            <w:pPr>
              <w:pStyle w:val="TableContents"/>
              <w:spacing w:before="0" w:after="283"/>
              <w:jc w:val="left"/>
              <w:rPr/>
            </w:pPr>
            <w:r>
              <w:rPr/>
              <w:t> </w:t>
            </w:r>
          </w:p>
        </w:tc>
        <w:tc>
          <w:tcPr>
            <w:tcW w:w="874"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4565" w:name="TAB12260"/>
            <w:bookmarkEnd w:id="4565"/>
            <w:r>
              <w:rPr>
                <w:rFonts w:ascii="Times New Roman" w:hAnsi="Times New Roman"/>
                <w:sz w:val="20"/>
              </w:rPr>
              <w:t>(4</w:t>
            </w:r>
          </w:p>
        </w:tc>
        <w:tc>
          <w:tcPr>
            <w:tcW w:w="81" w:type="dxa"/>
            <w:tcBorders>
              <w:bottom w:val="single" w:sz="4" w:space="0" w:color="CCEEFF"/>
            </w:tcBorders>
            <w:shd w:fill="CCEEFF" w:val="clear"/>
            <w:vAlign w:val="bottom"/>
          </w:tcPr>
          <w:p>
            <w:pPr>
              <w:pStyle w:val="TableContents"/>
              <w:spacing w:lineRule="auto" w:line="300" w:before="0" w:after="0"/>
              <w:ind w:left="0" w:right="0" w:hanging="0"/>
              <w:jc w:val="left"/>
              <w:rPr>
                <w:rFonts w:ascii="Times New Roman" w:hAnsi="Times New Roman"/>
                <w:sz w:val="20"/>
              </w:rPr>
            </w:pPr>
            <w:bookmarkStart w:id="4566" w:name="TAB12261"/>
            <w:bookmarkEnd w:id="4566"/>
            <w:r>
              <w:rPr>
                <w:rFonts w:ascii="Times New Roman" w:hAnsi="Times New Roman"/>
                <w:sz w:val="20"/>
              </w:rPr>
              <w:t>)</w:t>
            </w:r>
          </w:p>
        </w:tc>
        <w:tc>
          <w:tcPr>
            <w:tcW w:w="194" w:type="dxa"/>
            <w:tcBorders>
              <w:bottom w:val="single" w:sz="2" w:space="0" w:color="000000"/>
            </w:tcBorders>
            <w:shd w:fill="CCEEFF" w:val="clear"/>
            <w:vAlign w:val="bottom"/>
          </w:tcPr>
          <w:p>
            <w:pPr>
              <w:pStyle w:val="TableContents"/>
              <w:spacing w:before="0" w:after="283"/>
              <w:jc w:val="left"/>
              <w:rPr/>
            </w:pPr>
            <w:r>
              <w:rPr/>
              <w:t> </w:t>
            </w:r>
          </w:p>
        </w:tc>
        <w:tc>
          <w:tcPr>
            <w:tcW w:w="850"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4567" w:name="TAB12262"/>
            <w:bookmarkEnd w:id="4567"/>
            <w:r>
              <w:rPr>
                <w:rFonts w:ascii="Times New Roman" w:hAnsi="Times New Roman"/>
                <w:sz w:val="20"/>
              </w:rPr>
              <w:t>(146</w:t>
            </w:r>
          </w:p>
        </w:tc>
        <w:tc>
          <w:tcPr>
            <w:tcW w:w="81" w:type="dxa"/>
            <w:tcBorders>
              <w:bottom w:val="single" w:sz="4" w:space="0" w:color="CCEEFF"/>
            </w:tcBorders>
            <w:shd w:fill="CCEEFF" w:val="clear"/>
            <w:vAlign w:val="bottom"/>
          </w:tcPr>
          <w:p>
            <w:pPr>
              <w:pStyle w:val="TableContents"/>
              <w:spacing w:lineRule="auto" w:line="300" w:before="0" w:after="0"/>
              <w:ind w:left="0" w:right="0" w:hanging="0"/>
              <w:jc w:val="left"/>
              <w:rPr>
                <w:rFonts w:ascii="Times New Roman" w:hAnsi="Times New Roman"/>
                <w:sz w:val="20"/>
              </w:rPr>
            </w:pPr>
            <w:bookmarkStart w:id="4568" w:name="TAB12263"/>
            <w:bookmarkEnd w:id="4568"/>
            <w:r>
              <w:rPr>
                <w:rFonts w:ascii="Times New Roman" w:hAnsi="Times New Roman"/>
                <w:sz w:val="20"/>
              </w:rPr>
              <w:t>)</w:t>
            </w:r>
          </w:p>
        </w:tc>
        <w:tc>
          <w:tcPr>
            <w:tcW w:w="174" w:type="dxa"/>
            <w:tcBorders>
              <w:bottom w:val="single" w:sz="2" w:space="0" w:color="000000"/>
            </w:tcBorders>
            <w:shd w:fill="CCEEFF" w:val="clear"/>
            <w:vAlign w:val="bottom"/>
          </w:tcPr>
          <w:p>
            <w:pPr>
              <w:pStyle w:val="TableContents"/>
              <w:spacing w:before="0" w:after="283"/>
              <w:jc w:val="left"/>
              <w:rPr/>
            </w:pPr>
            <w:r>
              <w:rPr/>
              <w:t> </w:t>
            </w:r>
          </w:p>
        </w:tc>
        <w:tc>
          <w:tcPr>
            <w:tcW w:w="764"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4569" w:name="TAB12264"/>
            <w:bookmarkEnd w:id="4569"/>
            <w:r>
              <w:rPr>
                <w:rFonts w:ascii="Times New Roman" w:hAnsi="Times New Roman"/>
                <w:sz w:val="20"/>
              </w:rPr>
              <w:t>(125</w:t>
            </w:r>
          </w:p>
        </w:tc>
        <w:tc>
          <w:tcPr>
            <w:tcW w:w="81" w:type="dxa"/>
            <w:tcBorders>
              <w:bottom w:val="single" w:sz="4" w:space="0" w:color="CCEEFF"/>
            </w:tcBorders>
            <w:shd w:fill="CCEEFF" w:val="clear"/>
            <w:vAlign w:val="bottom"/>
          </w:tcPr>
          <w:p>
            <w:pPr>
              <w:pStyle w:val="TableContents"/>
              <w:spacing w:lineRule="auto" w:line="300" w:before="0" w:after="0"/>
              <w:ind w:left="0" w:right="0" w:hanging="0"/>
              <w:jc w:val="left"/>
              <w:rPr>
                <w:rFonts w:ascii="Times New Roman" w:hAnsi="Times New Roman"/>
                <w:sz w:val="20"/>
              </w:rPr>
            </w:pPr>
            <w:bookmarkStart w:id="4570" w:name="TAB12265"/>
            <w:bookmarkEnd w:id="4570"/>
            <w:r>
              <w:rPr>
                <w:rFonts w:ascii="Times New Roman" w:hAnsi="Times New Roman"/>
                <w:sz w:val="20"/>
              </w:rPr>
              <w:t>)</w:t>
            </w:r>
          </w:p>
        </w:tc>
        <w:tc>
          <w:tcPr>
            <w:tcW w:w="126" w:type="dxa"/>
            <w:tcBorders>
              <w:bottom w:val="single" w:sz="2" w:space="0" w:color="000000"/>
            </w:tcBorders>
            <w:shd w:fill="CCEEFF" w:val="clear"/>
            <w:vAlign w:val="bottom"/>
          </w:tcPr>
          <w:p>
            <w:pPr>
              <w:pStyle w:val="TableContents"/>
              <w:spacing w:before="0" w:after="283"/>
              <w:jc w:val="left"/>
              <w:rPr/>
            </w:pPr>
            <w:r>
              <w:rPr/>
              <w:t> </w:t>
            </w:r>
          </w:p>
        </w:tc>
        <w:tc>
          <w:tcPr>
            <w:tcW w:w="655"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4571" w:name="TAB12266"/>
            <w:bookmarkEnd w:id="4571"/>
            <w:r>
              <w:rPr>
                <w:rFonts w:ascii="Times New Roman" w:hAnsi="Times New Roman"/>
                <w:sz w:val="20"/>
              </w:rPr>
              <w:t>(500</w:t>
            </w:r>
          </w:p>
        </w:tc>
        <w:tc>
          <w:tcPr>
            <w:tcW w:w="101" w:type="dxa"/>
            <w:tcBorders>
              <w:bottom w:val="single" w:sz="4" w:space="0" w:color="CCEEFF"/>
            </w:tcBorders>
            <w:shd w:fill="CCEEFF" w:val="clear"/>
            <w:vAlign w:val="bottom"/>
          </w:tcPr>
          <w:p>
            <w:pPr>
              <w:pStyle w:val="TableContents"/>
              <w:spacing w:lineRule="auto" w:line="300" w:before="0" w:after="0"/>
              <w:ind w:left="0" w:right="0" w:hanging="0"/>
              <w:jc w:val="left"/>
              <w:rPr>
                <w:rFonts w:ascii="Times New Roman" w:hAnsi="Times New Roman"/>
                <w:sz w:val="20"/>
              </w:rPr>
            </w:pPr>
            <w:bookmarkStart w:id="4572" w:name="TAB12267"/>
            <w:bookmarkEnd w:id="4572"/>
            <w:r>
              <w:rPr>
                <w:rFonts w:ascii="Times New Roman" w:hAnsi="Times New Roman"/>
                <w:sz w:val="20"/>
              </w:rPr>
              <w:t>)</w:t>
            </w:r>
          </w:p>
        </w:tc>
      </w:tr>
      <w:tr>
        <w:trPr/>
        <w:tc>
          <w:tcPr>
            <w:tcW w:w="1026" w:type="dxa"/>
            <w:tcBorders>
              <w:bottom w:val="double" w:sz="2" w:space="0" w:color="000000"/>
            </w:tcBorders>
            <w:shd w:fill="FFFFFF" w:val="clear"/>
            <w:vAlign w:val="bottom"/>
          </w:tcPr>
          <w:p>
            <w:pPr>
              <w:pStyle w:val="TableContents"/>
              <w:spacing w:lineRule="auto" w:line="300" w:before="0" w:after="0"/>
              <w:ind w:left="180" w:right="0" w:hanging="180"/>
              <w:jc w:val="left"/>
              <w:rPr>
                <w:rFonts w:ascii="Times New Roman" w:hAnsi="Times New Roman"/>
                <w:sz w:val="20"/>
              </w:rPr>
            </w:pPr>
            <w:r>
              <w:rPr>
                <w:rFonts w:ascii="Times New Roman" w:hAnsi="Times New Roman"/>
                <w:sz w:val="20"/>
              </w:rPr>
              <w:t>MEMBERS’ EQUITY - December 31, 2005 (Unaudited)</w:t>
            </w:r>
          </w:p>
        </w:tc>
        <w:tc>
          <w:tcPr>
            <w:tcW w:w="61" w:type="dxa"/>
            <w:tcBorders>
              <w:bottom w:val="single" w:sz="4" w:space="0" w:color="FFFFFF"/>
            </w:tcBorders>
            <w:shd w:fill="FFFFFF" w:val="clear"/>
            <w:vAlign w:val="center"/>
          </w:tcPr>
          <w:p>
            <w:pPr>
              <w:pStyle w:val="TableContents"/>
              <w:spacing w:before="0" w:after="283"/>
              <w:rPr/>
            </w:pPr>
            <w:r>
              <w:rPr/>
              <w:t> </w:t>
            </w:r>
          </w:p>
        </w:tc>
        <w:tc>
          <w:tcPr>
            <w:tcW w:w="272" w:type="dxa"/>
            <w:tcBorders>
              <w:bottom w:val="double" w:sz="2" w:space="0" w:color="000000"/>
            </w:tcBorders>
            <w:shd w:fill="FFFFFF" w:val="clear"/>
            <w:vAlign w:val="bottom"/>
          </w:tcPr>
          <w:p>
            <w:pPr>
              <w:pStyle w:val="TableContents"/>
              <w:spacing w:before="0" w:after="283"/>
              <w:jc w:val="left"/>
              <w:rPr/>
            </w:pPr>
            <w:r>
              <w:rPr/>
              <w:t> </w:t>
            </w:r>
          </w:p>
        </w:tc>
        <w:tc>
          <w:tcPr>
            <w:tcW w:w="640"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81" w:type="dxa"/>
            <w:tcBorders>
              <w:bottom w:val="single" w:sz="4" w:space="0" w:color="FFFFFF"/>
            </w:tcBorders>
            <w:shd w:fill="FFFFFF" w:val="clear"/>
            <w:vAlign w:val="bottom"/>
          </w:tcPr>
          <w:p>
            <w:pPr>
              <w:pStyle w:val="TableContents"/>
              <w:spacing w:before="0" w:after="283"/>
              <w:jc w:val="left"/>
              <w:rPr/>
            </w:pPr>
            <w:r>
              <w:rPr/>
              <w:t> </w:t>
            </w:r>
          </w:p>
        </w:tc>
        <w:tc>
          <w:tcPr>
            <w:tcW w:w="168" w:type="dxa"/>
            <w:tcBorders>
              <w:bottom w:val="double" w:sz="2" w:space="0" w:color="000000"/>
            </w:tcBorders>
            <w:shd w:fill="FFFFFF" w:val="clear"/>
            <w:vAlign w:val="bottom"/>
          </w:tcPr>
          <w:p>
            <w:pPr>
              <w:pStyle w:val="TableContents"/>
              <w:spacing w:before="0" w:after="283"/>
              <w:jc w:val="left"/>
              <w:rPr/>
            </w:pPr>
            <w:r>
              <w:rPr/>
              <w:t> </w:t>
            </w:r>
          </w:p>
        </w:tc>
        <w:tc>
          <w:tcPr>
            <w:tcW w:w="741"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1,707</w:t>
            </w:r>
          </w:p>
        </w:tc>
        <w:tc>
          <w:tcPr>
            <w:tcW w:w="81" w:type="dxa"/>
            <w:tcBorders>
              <w:bottom w:val="single" w:sz="4" w:space="0" w:color="FFFFFF"/>
            </w:tcBorders>
            <w:shd w:fill="FFFFFF" w:val="clear"/>
            <w:vAlign w:val="bottom"/>
          </w:tcPr>
          <w:p>
            <w:pPr>
              <w:pStyle w:val="TableContents"/>
              <w:spacing w:before="0" w:after="283"/>
              <w:jc w:val="left"/>
              <w:rPr/>
            </w:pPr>
            <w:r>
              <w:rPr/>
              <w:t> </w:t>
            </w:r>
          </w:p>
        </w:tc>
        <w:tc>
          <w:tcPr>
            <w:tcW w:w="168" w:type="dxa"/>
            <w:tcBorders>
              <w:bottom w:val="double" w:sz="2" w:space="0" w:color="000000"/>
            </w:tcBorders>
            <w:shd w:fill="FFFFFF" w:val="clear"/>
            <w:vAlign w:val="bottom"/>
          </w:tcPr>
          <w:p>
            <w:pPr>
              <w:pStyle w:val="TableContents"/>
              <w:spacing w:before="0" w:after="283"/>
              <w:jc w:val="left"/>
              <w:rPr/>
            </w:pPr>
            <w:r>
              <w:rPr/>
              <w:t> </w:t>
            </w:r>
          </w:p>
        </w:tc>
        <w:tc>
          <w:tcPr>
            <w:tcW w:w="741"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4573" w:name="TAB12268"/>
            <w:bookmarkEnd w:id="4573"/>
            <w:r>
              <w:rPr>
                <w:rFonts w:ascii="Times New Roman" w:hAnsi="Times New Roman"/>
                <w:sz w:val="20"/>
              </w:rPr>
              <w:t>1,663</w:t>
            </w:r>
          </w:p>
        </w:tc>
        <w:tc>
          <w:tcPr>
            <w:tcW w:w="81" w:type="dxa"/>
            <w:tcBorders>
              <w:bottom w:val="single" w:sz="4" w:space="0" w:color="FFFFFF"/>
            </w:tcBorders>
            <w:shd w:fill="FFFFFF" w:val="clear"/>
            <w:vAlign w:val="bottom"/>
          </w:tcPr>
          <w:p>
            <w:pPr>
              <w:pStyle w:val="TableContents"/>
              <w:spacing w:before="0" w:after="283"/>
              <w:jc w:val="left"/>
              <w:rPr/>
            </w:pPr>
            <w:r>
              <w:rPr/>
              <w:t> </w:t>
            </w:r>
          </w:p>
        </w:tc>
        <w:tc>
          <w:tcPr>
            <w:tcW w:w="216" w:type="dxa"/>
            <w:tcBorders>
              <w:bottom w:val="double" w:sz="2" w:space="0" w:color="000000"/>
            </w:tcBorders>
            <w:shd w:fill="FFFFFF" w:val="clear"/>
            <w:vAlign w:val="bottom"/>
          </w:tcPr>
          <w:p>
            <w:pPr>
              <w:pStyle w:val="TableContents"/>
              <w:spacing w:before="0" w:after="283"/>
              <w:jc w:val="left"/>
              <w:rPr/>
            </w:pPr>
            <w:r>
              <w:rPr/>
              <w:t> </w:t>
            </w:r>
          </w:p>
        </w:tc>
        <w:tc>
          <w:tcPr>
            <w:tcW w:w="693"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4574" w:name="TAB12269"/>
            <w:bookmarkEnd w:id="4574"/>
            <w:r>
              <w:rPr>
                <w:rFonts w:ascii="Times New Roman" w:hAnsi="Times New Roman"/>
                <w:sz w:val="20"/>
              </w:rPr>
              <w:t>178</w:t>
            </w:r>
          </w:p>
        </w:tc>
        <w:tc>
          <w:tcPr>
            <w:tcW w:w="81" w:type="dxa"/>
            <w:tcBorders>
              <w:bottom w:val="single" w:sz="4" w:space="0" w:color="FFFFFF"/>
            </w:tcBorders>
            <w:shd w:fill="FFFFFF" w:val="clear"/>
            <w:vAlign w:val="bottom"/>
          </w:tcPr>
          <w:p>
            <w:pPr>
              <w:pStyle w:val="TableContents"/>
              <w:spacing w:before="0" w:after="283"/>
              <w:jc w:val="left"/>
              <w:rPr/>
            </w:pPr>
            <w:r>
              <w:rPr/>
              <w:t> </w:t>
            </w:r>
          </w:p>
        </w:tc>
        <w:tc>
          <w:tcPr>
            <w:tcW w:w="168" w:type="dxa"/>
            <w:tcBorders>
              <w:bottom w:val="double" w:sz="2" w:space="0" w:color="000000"/>
            </w:tcBorders>
            <w:shd w:fill="FFFFFF" w:val="clear"/>
            <w:vAlign w:val="bottom"/>
          </w:tcPr>
          <w:p>
            <w:pPr>
              <w:pStyle w:val="TableContents"/>
              <w:spacing w:before="0" w:after="283"/>
              <w:jc w:val="left"/>
              <w:rPr/>
            </w:pPr>
            <w:r>
              <w:rPr/>
              <w:t> </w:t>
            </w:r>
          </w:p>
        </w:tc>
        <w:tc>
          <w:tcPr>
            <w:tcW w:w="741"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4575" w:name="TAB12270"/>
            <w:bookmarkEnd w:id="4575"/>
            <w:r>
              <w:rPr>
                <w:rFonts w:ascii="Times New Roman" w:hAnsi="Times New Roman"/>
                <w:sz w:val="20"/>
              </w:rPr>
              <w:t>1,439</w:t>
            </w:r>
          </w:p>
        </w:tc>
        <w:tc>
          <w:tcPr>
            <w:tcW w:w="81" w:type="dxa"/>
            <w:tcBorders>
              <w:bottom w:val="single" w:sz="4" w:space="0" w:color="FFFFFF"/>
            </w:tcBorders>
            <w:shd w:fill="FFFFFF" w:val="clear"/>
            <w:vAlign w:val="bottom"/>
          </w:tcPr>
          <w:p>
            <w:pPr>
              <w:pStyle w:val="TableContents"/>
              <w:spacing w:before="0" w:after="283"/>
              <w:jc w:val="left"/>
              <w:rPr/>
            </w:pPr>
            <w:r>
              <w:rPr/>
              <w:t> </w:t>
            </w:r>
          </w:p>
        </w:tc>
        <w:tc>
          <w:tcPr>
            <w:tcW w:w="184" w:type="dxa"/>
            <w:tcBorders>
              <w:bottom w:val="double" w:sz="2" w:space="0" w:color="000000"/>
            </w:tcBorders>
            <w:shd w:fill="FFFFFF" w:val="clear"/>
            <w:vAlign w:val="bottom"/>
          </w:tcPr>
          <w:p>
            <w:pPr>
              <w:pStyle w:val="TableContents"/>
              <w:spacing w:before="0" w:after="283"/>
              <w:jc w:val="left"/>
              <w:rPr/>
            </w:pPr>
            <w:r>
              <w:rPr/>
              <w:t> </w:t>
            </w:r>
          </w:p>
        </w:tc>
        <w:tc>
          <w:tcPr>
            <w:tcW w:w="874"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4576" w:name="TAB12271"/>
            <w:bookmarkEnd w:id="4576"/>
            <w:r>
              <w:rPr>
                <w:rFonts w:ascii="Times New Roman" w:hAnsi="Times New Roman"/>
                <w:sz w:val="20"/>
              </w:rPr>
              <w:t>83</w:t>
            </w:r>
          </w:p>
        </w:tc>
        <w:tc>
          <w:tcPr>
            <w:tcW w:w="81" w:type="dxa"/>
            <w:tcBorders>
              <w:bottom w:val="single" w:sz="4" w:space="0" w:color="FFFFFF"/>
            </w:tcBorders>
            <w:shd w:fill="FFFFFF" w:val="clear"/>
            <w:vAlign w:val="bottom"/>
          </w:tcPr>
          <w:p>
            <w:pPr>
              <w:pStyle w:val="TableContents"/>
              <w:spacing w:before="0" w:after="283"/>
              <w:jc w:val="left"/>
              <w:rPr/>
            </w:pPr>
            <w:r>
              <w:rPr/>
              <w:t> </w:t>
            </w:r>
          </w:p>
        </w:tc>
        <w:tc>
          <w:tcPr>
            <w:tcW w:w="194" w:type="dxa"/>
            <w:tcBorders>
              <w:bottom w:val="double" w:sz="2" w:space="0" w:color="000000"/>
            </w:tcBorders>
            <w:shd w:fill="FFFFFF" w:val="clear"/>
            <w:vAlign w:val="bottom"/>
          </w:tcPr>
          <w:p>
            <w:pPr>
              <w:pStyle w:val="TableContents"/>
              <w:spacing w:before="0" w:after="283"/>
              <w:jc w:val="left"/>
              <w:rPr/>
            </w:pPr>
            <w:r>
              <w:rPr/>
              <w:t> </w:t>
            </w:r>
          </w:p>
        </w:tc>
        <w:tc>
          <w:tcPr>
            <w:tcW w:w="850"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4577" w:name="TAB12272"/>
            <w:bookmarkEnd w:id="4577"/>
            <w:r>
              <w:rPr>
                <w:rFonts w:ascii="Times New Roman" w:hAnsi="Times New Roman"/>
                <w:sz w:val="20"/>
              </w:rPr>
              <w:t>3,242</w:t>
            </w:r>
          </w:p>
        </w:tc>
        <w:tc>
          <w:tcPr>
            <w:tcW w:w="81" w:type="dxa"/>
            <w:tcBorders>
              <w:bottom w:val="single" w:sz="4" w:space="0" w:color="FFFFFF"/>
            </w:tcBorders>
            <w:shd w:fill="FFFFFF" w:val="clear"/>
            <w:vAlign w:val="bottom"/>
          </w:tcPr>
          <w:p>
            <w:pPr>
              <w:pStyle w:val="TableContents"/>
              <w:spacing w:before="0" w:after="283"/>
              <w:jc w:val="left"/>
              <w:rPr/>
            </w:pPr>
            <w:r>
              <w:rPr/>
              <w:t> </w:t>
            </w:r>
          </w:p>
        </w:tc>
        <w:tc>
          <w:tcPr>
            <w:tcW w:w="174" w:type="dxa"/>
            <w:tcBorders>
              <w:bottom w:val="double" w:sz="2" w:space="0" w:color="000000"/>
            </w:tcBorders>
            <w:shd w:fill="FFFFFF" w:val="clear"/>
            <w:vAlign w:val="bottom"/>
          </w:tcPr>
          <w:p>
            <w:pPr>
              <w:pStyle w:val="TableContents"/>
              <w:spacing w:before="0" w:after="283"/>
              <w:jc w:val="left"/>
              <w:rPr/>
            </w:pPr>
            <w:r>
              <w:rPr/>
              <w:t> </w:t>
            </w:r>
          </w:p>
        </w:tc>
        <w:tc>
          <w:tcPr>
            <w:tcW w:w="764"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4578" w:name="TAB12273"/>
            <w:bookmarkEnd w:id="4578"/>
            <w:r>
              <w:rPr>
                <w:rFonts w:ascii="Times New Roman" w:hAnsi="Times New Roman"/>
                <w:sz w:val="20"/>
              </w:rPr>
              <w:t>2,771</w:t>
            </w:r>
          </w:p>
        </w:tc>
        <w:tc>
          <w:tcPr>
            <w:tcW w:w="81" w:type="dxa"/>
            <w:tcBorders>
              <w:bottom w:val="single" w:sz="4" w:space="0" w:color="FFFFFF"/>
            </w:tcBorders>
            <w:shd w:fill="FFFFFF" w:val="clear"/>
            <w:vAlign w:val="bottom"/>
          </w:tcPr>
          <w:p>
            <w:pPr>
              <w:pStyle w:val="TableContents"/>
              <w:spacing w:before="0" w:after="283"/>
              <w:jc w:val="left"/>
              <w:rPr/>
            </w:pPr>
            <w:r>
              <w:rPr/>
              <w:t> </w:t>
            </w:r>
          </w:p>
        </w:tc>
        <w:tc>
          <w:tcPr>
            <w:tcW w:w="126" w:type="dxa"/>
            <w:tcBorders>
              <w:bottom w:val="double" w:sz="2" w:space="0" w:color="000000"/>
            </w:tcBorders>
            <w:shd w:fill="FFFFFF" w:val="clear"/>
            <w:vAlign w:val="bottom"/>
          </w:tcPr>
          <w:p>
            <w:pPr>
              <w:pStyle w:val="TableContents"/>
              <w:spacing w:before="0" w:after="283"/>
              <w:jc w:val="left"/>
              <w:rPr/>
            </w:pPr>
            <w:r>
              <w:rPr/>
              <w:t> </w:t>
            </w:r>
          </w:p>
        </w:tc>
        <w:tc>
          <w:tcPr>
            <w:tcW w:w="655"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4579" w:name="TAB12274"/>
            <w:bookmarkEnd w:id="4579"/>
            <w:r>
              <w:rPr>
                <w:rFonts w:ascii="Times New Roman" w:hAnsi="Times New Roman"/>
                <w:sz w:val="20"/>
              </w:rPr>
              <w:t>11,083</w:t>
            </w:r>
          </w:p>
        </w:tc>
        <w:tc>
          <w:tcPr>
            <w:tcW w:w="101" w:type="dxa"/>
            <w:tcBorders>
              <w:bottom w:val="single" w:sz="4" w:space="0" w:color="FFFFFF"/>
            </w:tcBorders>
            <w:shd w:fill="FFFFFF" w:val="clear"/>
            <w:vAlign w:val="bottom"/>
          </w:tcPr>
          <w:p>
            <w:pPr>
              <w:pStyle w:val="TableContents"/>
              <w:spacing w:before="0" w:after="283"/>
              <w:jc w:val="left"/>
              <w:rPr/>
            </w:pPr>
            <w:r>
              <w:rPr/>
              <w:t> </w:t>
            </w:r>
          </w:p>
        </w:tc>
      </w:tr>
      <w:tr>
        <w:trPr/>
        <w:tc>
          <w:tcPr>
            <w:tcW w:w="1026" w:type="dxa"/>
            <w:tcBorders/>
            <w:shd w:fill="CCEEFF" w:val="clear"/>
            <w:tcMar>
              <w:bottom w:w="0" w:type="dxa"/>
            </w:tcMar>
            <w:vAlign w:val="bottom"/>
          </w:tcPr>
          <w:p>
            <w:pPr>
              <w:pStyle w:val="TableContents"/>
              <w:spacing w:lineRule="auto" w:line="300" w:before="0" w:after="0"/>
              <w:ind w:left="180" w:right="0" w:hanging="180"/>
              <w:jc w:val="left"/>
              <w:rPr/>
            </w:pPr>
            <w:r>
              <w:rPr/>
              <w:t> </w:t>
            </w:r>
          </w:p>
          <w:p>
            <w:pPr>
              <w:pStyle w:val="TableContents"/>
              <w:spacing w:lineRule="auto" w:line="300" w:before="0" w:after="0"/>
              <w:ind w:left="180" w:right="0" w:hanging="180"/>
              <w:jc w:val="left"/>
              <w:rPr>
                <w:rFonts w:ascii="Times New Roman" w:hAnsi="Times New Roman"/>
                <w:sz w:val="20"/>
              </w:rPr>
            </w:pPr>
            <w:r>
              <w:rPr>
                <w:rFonts w:ascii="Times New Roman" w:hAnsi="Times New Roman"/>
                <w:sz w:val="20"/>
              </w:rPr>
              <w:t>Member distributions</w:t>
            </w:r>
          </w:p>
        </w:tc>
        <w:tc>
          <w:tcPr>
            <w:tcW w:w="61" w:type="dxa"/>
            <w:tcBorders/>
            <w:shd w:fill="CCEEFF" w:val="clear"/>
            <w:tcMar>
              <w:bottom w:w="0" w:type="dxa"/>
            </w:tcMar>
            <w:vAlign w:val="center"/>
          </w:tcPr>
          <w:p>
            <w:pPr>
              <w:pStyle w:val="TableContents"/>
              <w:spacing w:before="0" w:after="283"/>
              <w:rPr/>
            </w:pPr>
            <w:r>
              <w:rPr/>
              <w:t> </w:t>
            </w:r>
          </w:p>
        </w:tc>
        <w:tc>
          <w:tcPr>
            <w:tcW w:w="272" w:type="dxa"/>
            <w:tcBorders/>
            <w:shd w:fill="CCEEFF" w:val="clear"/>
            <w:tcMar>
              <w:bottom w:w="0" w:type="dxa"/>
            </w:tcMar>
            <w:vAlign w:val="bottom"/>
          </w:tcPr>
          <w:p>
            <w:pPr>
              <w:pStyle w:val="TableContents"/>
              <w:spacing w:before="0" w:after="283"/>
              <w:jc w:val="left"/>
              <w:rPr/>
            </w:pPr>
            <w:r>
              <w:rPr/>
              <w:t> </w:t>
            </w:r>
          </w:p>
        </w:tc>
        <w:tc>
          <w:tcPr>
            <w:tcW w:w="640"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4580" w:name="TAB12275"/>
            <w:bookmarkEnd w:id="4580"/>
            <w:r>
              <w:rPr>
                <w:rFonts w:ascii="Times New Roman" w:hAnsi="Times New Roman"/>
                <w:sz w:val="20"/>
              </w:rPr>
              <w:t>--</w:t>
            </w:r>
          </w:p>
        </w:tc>
        <w:tc>
          <w:tcPr>
            <w:tcW w:w="81" w:type="dxa"/>
            <w:tcBorders/>
            <w:shd w:fill="CCEEFF" w:val="clear"/>
            <w:tcMar>
              <w:bottom w:w="0" w:type="dxa"/>
            </w:tcMar>
            <w:vAlign w:val="bottom"/>
          </w:tcPr>
          <w:p>
            <w:pPr>
              <w:pStyle w:val="TableContents"/>
              <w:spacing w:before="0" w:after="283"/>
              <w:jc w:val="left"/>
              <w:rPr/>
            </w:pPr>
            <w:r>
              <w:rPr/>
              <w:t> </w:t>
            </w:r>
          </w:p>
        </w:tc>
        <w:tc>
          <w:tcPr>
            <w:tcW w:w="168" w:type="dxa"/>
            <w:tcBorders/>
            <w:shd w:fill="CCEEFF" w:val="clear"/>
            <w:tcMar>
              <w:bottom w:w="0" w:type="dxa"/>
            </w:tcMar>
            <w:vAlign w:val="bottom"/>
          </w:tcPr>
          <w:p>
            <w:pPr>
              <w:pStyle w:val="TableContents"/>
              <w:spacing w:before="0" w:after="283"/>
              <w:jc w:val="left"/>
              <w:rPr/>
            </w:pPr>
            <w:r>
              <w:rPr/>
              <w:t> </w:t>
            </w:r>
          </w:p>
        </w:tc>
        <w:tc>
          <w:tcPr>
            <w:tcW w:w="741"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4581" w:name="TAB12276"/>
            <w:bookmarkEnd w:id="4581"/>
            <w:r>
              <w:rPr>
                <w:rFonts w:ascii="Times New Roman" w:hAnsi="Times New Roman"/>
                <w:sz w:val="20"/>
              </w:rPr>
              <w:t>(2,813</w:t>
            </w:r>
          </w:p>
        </w:tc>
        <w:tc>
          <w:tcPr>
            <w:tcW w:w="81"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4582" w:name="TAB12277"/>
            <w:bookmarkEnd w:id="4582"/>
            <w:r>
              <w:rPr>
                <w:rFonts w:ascii="Times New Roman" w:hAnsi="Times New Roman"/>
                <w:sz w:val="20"/>
              </w:rPr>
              <w:t>)</w:t>
            </w:r>
          </w:p>
        </w:tc>
        <w:tc>
          <w:tcPr>
            <w:tcW w:w="168" w:type="dxa"/>
            <w:tcBorders/>
            <w:shd w:fill="CCEEFF" w:val="clear"/>
            <w:tcMar>
              <w:bottom w:w="0" w:type="dxa"/>
            </w:tcMar>
            <w:vAlign w:val="bottom"/>
          </w:tcPr>
          <w:p>
            <w:pPr>
              <w:pStyle w:val="TableContents"/>
              <w:spacing w:before="0" w:after="283"/>
              <w:jc w:val="left"/>
              <w:rPr/>
            </w:pPr>
            <w:r>
              <w:rPr/>
              <w:t> </w:t>
            </w:r>
          </w:p>
        </w:tc>
        <w:tc>
          <w:tcPr>
            <w:tcW w:w="741"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4583" w:name="TAB12278"/>
            <w:bookmarkEnd w:id="4583"/>
            <w:r>
              <w:rPr>
                <w:rFonts w:ascii="Times New Roman" w:hAnsi="Times New Roman"/>
                <w:sz w:val="20"/>
              </w:rPr>
              <w:t>(2,739</w:t>
            </w:r>
          </w:p>
        </w:tc>
        <w:tc>
          <w:tcPr>
            <w:tcW w:w="81"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4584" w:name="TAB12279"/>
            <w:bookmarkEnd w:id="4584"/>
            <w:r>
              <w:rPr>
                <w:rFonts w:ascii="Times New Roman" w:hAnsi="Times New Roman"/>
                <w:sz w:val="20"/>
              </w:rPr>
              <w:t>)</w:t>
            </w:r>
          </w:p>
        </w:tc>
        <w:tc>
          <w:tcPr>
            <w:tcW w:w="216" w:type="dxa"/>
            <w:tcBorders/>
            <w:shd w:fill="CCEEFF" w:val="clear"/>
            <w:tcMar>
              <w:bottom w:w="0" w:type="dxa"/>
            </w:tcMar>
            <w:vAlign w:val="bottom"/>
          </w:tcPr>
          <w:p>
            <w:pPr>
              <w:pStyle w:val="TableContents"/>
              <w:spacing w:before="0" w:after="283"/>
              <w:jc w:val="left"/>
              <w:rPr/>
            </w:pPr>
            <w:r>
              <w:rPr/>
              <w:t> </w:t>
            </w:r>
          </w:p>
        </w:tc>
        <w:tc>
          <w:tcPr>
            <w:tcW w:w="693"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4585" w:name="TAB12280"/>
            <w:bookmarkEnd w:id="4585"/>
            <w:r>
              <w:rPr>
                <w:rFonts w:ascii="Times New Roman" w:hAnsi="Times New Roman"/>
                <w:sz w:val="20"/>
              </w:rPr>
              <w:t>(293</w:t>
            </w:r>
          </w:p>
        </w:tc>
        <w:tc>
          <w:tcPr>
            <w:tcW w:w="81"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4586" w:name="TAB12281"/>
            <w:bookmarkEnd w:id="4586"/>
            <w:r>
              <w:rPr>
                <w:rFonts w:ascii="Times New Roman" w:hAnsi="Times New Roman"/>
                <w:sz w:val="20"/>
              </w:rPr>
              <w:t>)</w:t>
            </w:r>
          </w:p>
        </w:tc>
        <w:tc>
          <w:tcPr>
            <w:tcW w:w="168" w:type="dxa"/>
            <w:tcBorders/>
            <w:shd w:fill="CCEEFF" w:val="clear"/>
            <w:tcMar>
              <w:bottom w:w="0" w:type="dxa"/>
            </w:tcMar>
            <w:vAlign w:val="bottom"/>
          </w:tcPr>
          <w:p>
            <w:pPr>
              <w:pStyle w:val="TableContents"/>
              <w:spacing w:before="0" w:after="283"/>
              <w:jc w:val="left"/>
              <w:rPr/>
            </w:pPr>
            <w:r>
              <w:rPr/>
              <w:t> </w:t>
            </w:r>
          </w:p>
        </w:tc>
        <w:tc>
          <w:tcPr>
            <w:tcW w:w="741"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4587" w:name="TAB12282"/>
            <w:bookmarkEnd w:id="4587"/>
            <w:r>
              <w:rPr>
                <w:rFonts w:ascii="Times New Roman" w:hAnsi="Times New Roman"/>
                <w:sz w:val="20"/>
              </w:rPr>
              <w:t>(2,372</w:t>
            </w:r>
          </w:p>
        </w:tc>
        <w:tc>
          <w:tcPr>
            <w:tcW w:w="81"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4588" w:name="TAB12283"/>
            <w:bookmarkEnd w:id="4588"/>
            <w:r>
              <w:rPr>
                <w:rFonts w:ascii="Times New Roman" w:hAnsi="Times New Roman"/>
                <w:sz w:val="20"/>
              </w:rPr>
              <w:t>)</w:t>
            </w:r>
          </w:p>
        </w:tc>
        <w:tc>
          <w:tcPr>
            <w:tcW w:w="184" w:type="dxa"/>
            <w:tcBorders/>
            <w:shd w:fill="CCEEFF" w:val="clear"/>
            <w:tcMar>
              <w:bottom w:w="0" w:type="dxa"/>
            </w:tcMar>
            <w:vAlign w:val="bottom"/>
          </w:tcPr>
          <w:p>
            <w:pPr>
              <w:pStyle w:val="TableContents"/>
              <w:spacing w:before="0" w:after="283"/>
              <w:jc w:val="left"/>
              <w:rPr/>
            </w:pPr>
            <w:r>
              <w:rPr/>
              <w:t> </w:t>
            </w:r>
          </w:p>
        </w:tc>
        <w:tc>
          <w:tcPr>
            <w:tcW w:w="874"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4589" w:name="TAB12284"/>
            <w:bookmarkEnd w:id="4589"/>
            <w:r>
              <w:rPr>
                <w:rFonts w:ascii="Times New Roman" w:hAnsi="Times New Roman"/>
                <w:sz w:val="20"/>
              </w:rPr>
              <w:t>(2,503</w:t>
            </w:r>
          </w:p>
        </w:tc>
        <w:tc>
          <w:tcPr>
            <w:tcW w:w="81"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4590" w:name="TAB12285"/>
            <w:bookmarkEnd w:id="4590"/>
            <w:r>
              <w:rPr>
                <w:rFonts w:ascii="Times New Roman" w:hAnsi="Times New Roman"/>
                <w:sz w:val="20"/>
              </w:rPr>
              <w:t>)</w:t>
            </w:r>
          </w:p>
        </w:tc>
        <w:tc>
          <w:tcPr>
            <w:tcW w:w="194" w:type="dxa"/>
            <w:tcBorders/>
            <w:shd w:fill="CCEEFF" w:val="clear"/>
            <w:tcMar>
              <w:bottom w:w="0" w:type="dxa"/>
            </w:tcMar>
            <w:vAlign w:val="bottom"/>
          </w:tcPr>
          <w:p>
            <w:pPr>
              <w:pStyle w:val="TableContents"/>
              <w:spacing w:before="0" w:after="283"/>
              <w:jc w:val="left"/>
              <w:rPr/>
            </w:pPr>
            <w:r>
              <w:rPr/>
              <w:t> </w:t>
            </w:r>
          </w:p>
        </w:tc>
        <w:tc>
          <w:tcPr>
            <w:tcW w:w="850"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4591" w:name="TAB12286"/>
            <w:bookmarkEnd w:id="4591"/>
            <w:r>
              <w:rPr>
                <w:rFonts w:ascii="Times New Roman" w:hAnsi="Times New Roman"/>
                <w:sz w:val="20"/>
              </w:rPr>
              <w:t>(6,854</w:t>
            </w:r>
          </w:p>
        </w:tc>
        <w:tc>
          <w:tcPr>
            <w:tcW w:w="81"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4592" w:name="TAB12287"/>
            <w:bookmarkEnd w:id="4592"/>
            <w:r>
              <w:rPr>
                <w:rFonts w:ascii="Times New Roman" w:hAnsi="Times New Roman"/>
                <w:sz w:val="20"/>
              </w:rPr>
              <w:t>)</w:t>
            </w:r>
          </w:p>
        </w:tc>
        <w:tc>
          <w:tcPr>
            <w:tcW w:w="174" w:type="dxa"/>
            <w:tcBorders/>
            <w:shd w:fill="CCEEFF" w:val="clear"/>
            <w:tcMar>
              <w:bottom w:w="0" w:type="dxa"/>
            </w:tcMar>
            <w:vAlign w:val="bottom"/>
          </w:tcPr>
          <w:p>
            <w:pPr>
              <w:pStyle w:val="TableContents"/>
              <w:spacing w:before="0" w:after="283"/>
              <w:jc w:val="left"/>
              <w:rPr/>
            </w:pPr>
            <w:r>
              <w:rPr/>
              <w:t> </w:t>
            </w:r>
          </w:p>
        </w:tc>
        <w:tc>
          <w:tcPr>
            <w:tcW w:w="764"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4593" w:name="TAB12288"/>
            <w:bookmarkEnd w:id="4593"/>
            <w:r>
              <w:rPr>
                <w:rFonts w:ascii="Times New Roman" w:hAnsi="Times New Roman"/>
                <w:sz w:val="20"/>
              </w:rPr>
              <w:t>(5,858</w:t>
            </w:r>
          </w:p>
        </w:tc>
        <w:tc>
          <w:tcPr>
            <w:tcW w:w="81"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4594" w:name="TAB12289"/>
            <w:bookmarkEnd w:id="4594"/>
            <w:r>
              <w:rPr>
                <w:rFonts w:ascii="Times New Roman" w:hAnsi="Times New Roman"/>
                <w:sz w:val="20"/>
              </w:rPr>
              <w:t>)</w:t>
            </w:r>
          </w:p>
        </w:tc>
        <w:tc>
          <w:tcPr>
            <w:tcW w:w="126" w:type="dxa"/>
            <w:tcBorders/>
            <w:shd w:fill="CCEEFF" w:val="clear"/>
            <w:tcMar>
              <w:bottom w:w="0" w:type="dxa"/>
            </w:tcMar>
            <w:vAlign w:val="bottom"/>
          </w:tcPr>
          <w:p>
            <w:pPr>
              <w:pStyle w:val="TableContents"/>
              <w:spacing w:before="0" w:after="283"/>
              <w:jc w:val="left"/>
              <w:rPr/>
            </w:pPr>
            <w:r>
              <w:rPr/>
              <w:t> </w:t>
            </w:r>
          </w:p>
        </w:tc>
        <w:tc>
          <w:tcPr>
            <w:tcW w:w="655"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4595" w:name="TAB12290"/>
            <w:bookmarkEnd w:id="4595"/>
            <w:r>
              <w:rPr>
                <w:rFonts w:ascii="Times New Roman" w:hAnsi="Times New Roman"/>
                <w:sz w:val="20"/>
              </w:rPr>
              <w:t>(23,432</w:t>
            </w:r>
          </w:p>
        </w:tc>
        <w:tc>
          <w:tcPr>
            <w:tcW w:w="101"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4596" w:name="TAB12291"/>
            <w:bookmarkEnd w:id="4596"/>
            <w:r>
              <w:rPr>
                <w:rFonts w:ascii="Times New Roman" w:hAnsi="Times New Roman"/>
                <w:sz w:val="20"/>
              </w:rPr>
              <w:t>)</w:t>
            </w:r>
          </w:p>
        </w:tc>
      </w:tr>
      <w:tr>
        <w:trPr/>
        <w:tc>
          <w:tcPr>
            <w:tcW w:w="1026" w:type="dxa"/>
            <w:tcBorders>
              <w:bottom w:val="single" w:sz="2" w:space="0" w:color="000000"/>
            </w:tcBorders>
            <w:shd w:fill="FFFFFF" w:val="clear"/>
            <w:vAlign w:val="bottom"/>
          </w:tcPr>
          <w:p>
            <w:pPr>
              <w:pStyle w:val="TableContents"/>
              <w:spacing w:lineRule="auto" w:line="300" w:before="0" w:after="0"/>
              <w:ind w:left="180" w:right="0" w:hanging="180"/>
              <w:jc w:val="left"/>
              <w:rPr>
                <w:rFonts w:ascii="Times New Roman" w:hAnsi="Times New Roman"/>
                <w:sz w:val="20"/>
              </w:rPr>
            </w:pPr>
            <w:r>
              <w:rPr>
                <w:rFonts w:ascii="Times New Roman" w:hAnsi="Times New Roman"/>
                <w:sz w:val="20"/>
              </w:rPr>
              <w:t>Net income</w:t>
            </w:r>
          </w:p>
        </w:tc>
        <w:tc>
          <w:tcPr>
            <w:tcW w:w="61" w:type="dxa"/>
            <w:tcBorders>
              <w:bottom w:val="single" w:sz="4" w:space="0" w:color="FFFFFF"/>
            </w:tcBorders>
            <w:shd w:fill="FFFFFF" w:val="clear"/>
            <w:vAlign w:val="center"/>
          </w:tcPr>
          <w:p>
            <w:pPr>
              <w:pStyle w:val="TableContents"/>
              <w:spacing w:before="0" w:after="283"/>
              <w:rPr/>
            </w:pPr>
            <w:r>
              <w:rPr/>
              <w:t> </w:t>
            </w:r>
          </w:p>
        </w:tc>
        <w:tc>
          <w:tcPr>
            <w:tcW w:w="272" w:type="dxa"/>
            <w:tcBorders>
              <w:bottom w:val="single" w:sz="2" w:space="0" w:color="000000"/>
            </w:tcBorders>
            <w:shd w:fill="FFFFFF" w:val="clear"/>
            <w:vAlign w:val="bottom"/>
          </w:tcPr>
          <w:p>
            <w:pPr>
              <w:pStyle w:val="TableContents"/>
              <w:spacing w:before="0" w:after="283"/>
              <w:jc w:val="left"/>
              <w:rPr/>
            </w:pPr>
            <w:r>
              <w:rPr/>
              <w:t> </w:t>
            </w:r>
          </w:p>
        </w:tc>
        <w:tc>
          <w:tcPr>
            <w:tcW w:w="640"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4597" w:name="TAB12292"/>
            <w:bookmarkEnd w:id="4597"/>
            <w:r>
              <w:rPr>
                <w:rFonts w:ascii="Times New Roman" w:hAnsi="Times New Roman"/>
                <w:sz w:val="20"/>
              </w:rPr>
              <w:t>--</w:t>
            </w:r>
          </w:p>
        </w:tc>
        <w:tc>
          <w:tcPr>
            <w:tcW w:w="81" w:type="dxa"/>
            <w:tcBorders>
              <w:bottom w:val="single" w:sz="4" w:space="0" w:color="FFFFFF"/>
            </w:tcBorders>
            <w:shd w:fill="FFFFFF" w:val="clear"/>
            <w:vAlign w:val="bottom"/>
          </w:tcPr>
          <w:p>
            <w:pPr>
              <w:pStyle w:val="TableContents"/>
              <w:spacing w:before="0" w:after="283"/>
              <w:jc w:val="left"/>
              <w:rPr/>
            </w:pPr>
            <w:r>
              <w:rPr/>
              <w:t> </w:t>
            </w:r>
          </w:p>
        </w:tc>
        <w:tc>
          <w:tcPr>
            <w:tcW w:w="168" w:type="dxa"/>
            <w:tcBorders>
              <w:bottom w:val="single" w:sz="2" w:space="0" w:color="000000"/>
            </w:tcBorders>
            <w:shd w:fill="FFFFFF" w:val="clear"/>
            <w:vAlign w:val="bottom"/>
          </w:tcPr>
          <w:p>
            <w:pPr>
              <w:pStyle w:val="TableContents"/>
              <w:spacing w:before="0" w:after="283"/>
              <w:jc w:val="left"/>
              <w:rPr/>
            </w:pPr>
            <w:r>
              <w:rPr/>
              <w:t> </w:t>
            </w:r>
          </w:p>
        </w:tc>
        <w:tc>
          <w:tcPr>
            <w:tcW w:w="741"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4598" w:name="TAB12293"/>
            <w:bookmarkEnd w:id="4598"/>
            <w:r>
              <w:rPr>
                <w:rFonts w:ascii="Times New Roman" w:hAnsi="Times New Roman"/>
                <w:sz w:val="20"/>
              </w:rPr>
              <w:t>1,355</w:t>
            </w:r>
          </w:p>
        </w:tc>
        <w:tc>
          <w:tcPr>
            <w:tcW w:w="81" w:type="dxa"/>
            <w:tcBorders>
              <w:bottom w:val="single" w:sz="4" w:space="0" w:color="FFFFFF"/>
            </w:tcBorders>
            <w:shd w:fill="FFFFFF" w:val="clear"/>
            <w:vAlign w:val="bottom"/>
          </w:tcPr>
          <w:p>
            <w:pPr>
              <w:pStyle w:val="TableContents"/>
              <w:spacing w:before="0" w:after="283"/>
              <w:jc w:val="left"/>
              <w:rPr/>
            </w:pPr>
            <w:r>
              <w:rPr/>
              <w:t> </w:t>
            </w:r>
          </w:p>
        </w:tc>
        <w:tc>
          <w:tcPr>
            <w:tcW w:w="168" w:type="dxa"/>
            <w:tcBorders>
              <w:bottom w:val="single" w:sz="2" w:space="0" w:color="000000"/>
            </w:tcBorders>
            <w:shd w:fill="FFFFFF" w:val="clear"/>
            <w:vAlign w:val="bottom"/>
          </w:tcPr>
          <w:p>
            <w:pPr>
              <w:pStyle w:val="TableContents"/>
              <w:spacing w:before="0" w:after="283"/>
              <w:jc w:val="left"/>
              <w:rPr/>
            </w:pPr>
            <w:r>
              <w:rPr/>
              <w:t> </w:t>
            </w:r>
          </w:p>
        </w:tc>
        <w:tc>
          <w:tcPr>
            <w:tcW w:w="741"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4599" w:name="TAB12294"/>
            <w:bookmarkEnd w:id="4599"/>
            <w:r>
              <w:rPr>
                <w:rFonts w:ascii="Times New Roman" w:hAnsi="Times New Roman"/>
                <w:sz w:val="20"/>
              </w:rPr>
              <w:t>1,319</w:t>
            </w:r>
          </w:p>
        </w:tc>
        <w:tc>
          <w:tcPr>
            <w:tcW w:w="81" w:type="dxa"/>
            <w:tcBorders>
              <w:bottom w:val="single" w:sz="4" w:space="0" w:color="FFFFFF"/>
            </w:tcBorders>
            <w:shd w:fill="FFFFFF" w:val="clear"/>
            <w:vAlign w:val="bottom"/>
          </w:tcPr>
          <w:p>
            <w:pPr>
              <w:pStyle w:val="TableContents"/>
              <w:spacing w:before="0" w:after="283"/>
              <w:jc w:val="left"/>
              <w:rPr/>
            </w:pPr>
            <w:r>
              <w:rPr/>
              <w:t> </w:t>
            </w:r>
          </w:p>
        </w:tc>
        <w:tc>
          <w:tcPr>
            <w:tcW w:w="216" w:type="dxa"/>
            <w:tcBorders>
              <w:bottom w:val="single" w:sz="2" w:space="0" w:color="000000"/>
            </w:tcBorders>
            <w:shd w:fill="FFFFFF" w:val="clear"/>
            <w:vAlign w:val="bottom"/>
          </w:tcPr>
          <w:p>
            <w:pPr>
              <w:pStyle w:val="TableContents"/>
              <w:spacing w:before="0" w:after="283"/>
              <w:jc w:val="left"/>
              <w:rPr/>
            </w:pPr>
            <w:r>
              <w:rPr/>
              <w:t> </w:t>
            </w:r>
          </w:p>
        </w:tc>
        <w:tc>
          <w:tcPr>
            <w:tcW w:w="693"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4600" w:name="TAB12295"/>
            <w:bookmarkEnd w:id="4600"/>
            <w:r>
              <w:rPr>
                <w:rFonts w:ascii="Times New Roman" w:hAnsi="Times New Roman"/>
                <w:sz w:val="20"/>
              </w:rPr>
              <w:t>141</w:t>
            </w:r>
          </w:p>
        </w:tc>
        <w:tc>
          <w:tcPr>
            <w:tcW w:w="81" w:type="dxa"/>
            <w:tcBorders>
              <w:bottom w:val="single" w:sz="4" w:space="0" w:color="FFFFFF"/>
            </w:tcBorders>
            <w:shd w:fill="FFFFFF" w:val="clear"/>
            <w:vAlign w:val="bottom"/>
          </w:tcPr>
          <w:p>
            <w:pPr>
              <w:pStyle w:val="TableContents"/>
              <w:spacing w:before="0" w:after="283"/>
              <w:jc w:val="left"/>
              <w:rPr/>
            </w:pPr>
            <w:r>
              <w:rPr/>
              <w:t> </w:t>
            </w:r>
          </w:p>
        </w:tc>
        <w:tc>
          <w:tcPr>
            <w:tcW w:w="168" w:type="dxa"/>
            <w:tcBorders>
              <w:bottom w:val="single" w:sz="2" w:space="0" w:color="000000"/>
            </w:tcBorders>
            <w:shd w:fill="FFFFFF" w:val="clear"/>
            <w:vAlign w:val="bottom"/>
          </w:tcPr>
          <w:p>
            <w:pPr>
              <w:pStyle w:val="TableContents"/>
              <w:spacing w:before="0" w:after="283"/>
              <w:jc w:val="left"/>
              <w:rPr/>
            </w:pPr>
            <w:r>
              <w:rPr/>
              <w:t> </w:t>
            </w:r>
          </w:p>
        </w:tc>
        <w:tc>
          <w:tcPr>
            <w:tcW w:w="741"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4601" w:name="TAB12296"/>
            <w:bookmarkEnd w:id="4601"/>
            <w:r>
              <w:rPr>
                <w:rFonts w:ascii="Times New Roman" w:hAnsi="Times New Roman"/>
                <w:sz w:val="20"/>
              </w:rPr>
              <w:t>1,143</w:t>
            </w:r>
          </w:p>
        </w:tc>
        <w:tc>
          <w:tcPr>
            <w:tcW w:w="81" w:type="dxa"/>
            <w:tcBorders>
              <w:bottom w:val="single" w:sz="4" w:space="0" w:color="FFFFFF"/>
            </w:tcBorders>
            <w:shd w:fill="FFFFFF" w:val="clear"/>
            <w:vAlign w:val="bottom"/>
          </w:tcPr>
          <w:p>
            <w:pPr>
              <w:pStyle w:val="TableContents"/>
              <w:spacing w:before="0" w:after="283"/>
              <w:jc w:val="left"/>
              <w:rPr/>
            </w:pPr>
            <w:r>
              <w:rPr/>
              <w:t> </w:t>
            </w:r>
          </w:p>
        </w:tc>
        <w:tc>
          <w:tcPr>
            <w:tcW w:w="184" w:type="dxa"/>
            <w:tcBorders>
              <w:bottom w:val="single" w:sz="2" w:space="0" w:color="000000"/>
            </w:tcBorders>
            <w:shd w:fill="FFFFFF" w:val="clear"/>
            <w:vAlign w:val="bottom"/>
          </w:tcPr>
          <w:p>
            <w:pPr>
              <w:pStyle w:val="TableContents"/>
              <w:spacing w:before="0" w:after="283"/>
              <w:jc w:val="left"/>
              <w:rPr/>
            </w:pPr>
            <w:r>
              <w:rPr/>
              <w:t> </w:t>
            </w:r>
          </w:p>
        </w:tc>
        <w:tc>
          <w:tcPr>
            <w:tcW w:w="874"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4602" w:name="TAB12297"/>
            <w:bookmarkEnd w:id="4602"/>
            <w:r>
              <w:rPr>
                <w:rFonts w:ascii="Times New Roman" w:hAnsi="Times New Roman"/>
                <w:sz w:val="20"/>
              </w:rPr>
              <w:t>11,188</w:t>
            </w:r>
          </w:p>
        </w:tc>
        <w:tc>
          <w:tcPr>
            <w:tcW w:w="81" w:type="dxa"/>
            <w:tcBorders>
              <w:bottom w:val="single" w:sz="4" w:space="0" w:color="FFFFFF"/>
            </w:tcBorders>
            <w:shd w:fill="FFFFFF" w:val="clear"/>
            <w:vAlign w:val="bottom"/>
          </w:tcPr>
          <w:p>
            <w:pPr>
              <w:pStyle w:val="TableContents"/>
              <w:spacing w:before="0" w:after="283"/>
              <w:jc w:val="left"/>
              <w:rPr/>
            </w:pPr>
            <w:r>
              <w:rPr/>
              <w:t> </w:t>
            </w:r>
          </w:p>
        </w:tc>
        <w:tc>
          <w:tcPr>
            <w:tcW w:w="194" w:type="dxa"/>
            <w:tcBorders>
              <w:bottom w:val="single" w:sz="2" w:space="0" w:color="000000"/>
            </w:tcBorders>
            <w:shd w:fill="FFFFFF" w:val="clear"/>
            <w:vAlign w:val="bottom"/>
          </w:tcPr>
          <w:p>
            <w:pPr>
              <w:pStyle w:val="TableContents"/>
              <w:spacing w:before="0" w:after="283"/>
              <w:jc w:val="left"/>
              <w:rPr/>
            </w:pPr>
            <w:r>
              <w:rPr/>
              <w:t> </w:t>
            </w:r>
          </w:p>
        </w:tc>
        <w:tc>
          <w:tcPr>
            <w:tcW w:w="850"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4603" w:name="TAB12298"/>
            <w:bookmarkEnd w:id="4603"/>
            <w:r>
              <w:rPr>
                <w:rFonts w:ascii="Times New Roman" w:hAnsi="Times New Roman"/>
                <w:sz w:val="20"/>
              </w:rPr>
              <w:t>9,684</w:t>
            </w:r>
          </w:p>
        </w:tc>
        <w:tc>
          <w:tcPr>
            <w:tcW w:w="81" w:type="dxa"/>
            <w:tcBorders>
              <w:bottom w:val="single" w:sz="4" w:space="0" w:color="FFFFFF"/>
            </w:tcBorders>
            <w:shd w:fill="FFFFFF" w:val="clear"/>
            <w:vAlign w:val="bottom"/>
          </w:tcPr>
          <w:p>
            <w:pPr>
              <w:pStyle w:val="TableContents"/>
              <w:spacing w:before="0" w:after="283"/>
              <w:jc w:val="left"/>
              <w:rPr/>
            </w:pPr>
            <w:r>
              <w:rPr/>
              <w:t> </w:t>
            </w:r>
          </w:p>
        </w:tc>
        <w:tc>
          <w:tcPr>
            <w:tcW w:w="174" w:type="dxa"/>
            <w:tcBorders>
              <w:bottom w:val="single" w:sz="2" w:space="0" w:color="000000"/>
            </w:tcBorders>
            <w:shd w:fill="FFFFFF" w:val="clear"/>
            <w:vAlign w:val="bottom"/>
          </w:tcPr>
          <w:p>
            <w:pPr>
              <w:pStyle w:val="TableContents"/>
              <w:spacing w:before="0" w:after="283"/>
              <w:jc w:val="left"/>
              <w:rPr/>
            </w:pPr>
            <w:r>
              <w:rPr/>
              <w:t> </w:t>
            </w:r>
          </w:p>
        </w:tc>
        <w:tc>
          <w:tcPr>
            <w:tcW w:w="764"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4604" w:name="TAB12299"/>
            <w:bookmarkEnd w:id="4604"/>
            <w:r>
              <w:rPr>
                <w:rFonts w:ascii="Times New Roman" w:hAnsi="Times New Roman"/>
                <w:sz w:val="20"/>
              </w:rPr>
              <w:t>8,276</w:t>
            </w:r>
          </w:p>
        </w:tc>
        <w:tc>
          <w:tcPr>
            <w:tcW w:w="81" w:type="dxa"/>
            <w:tcBorders>
              <w:bottom w:val="single" w:sz="4" w:space="0" w:color="FFFFFF"/>
            </w:tcBorders>
            <w:shd w:fill="FFFFFF" w:val="clear"/>
            <w:vAlign w:val="bottom"/>
          </w:tcPr>
          <w:p>
            <w:pPr>
              <w:pStyle w:val="TableContents"/>
              <w:spacing w:before="0" w:after="283"/>
              <w:jc w:val="left"/>
              <w:rPr/>
            </w:pPr>
            <w:r>
              <w:rPr/>
              <w:t> </w:t>
            </w:r>
          </w:p>
        </w:tc>
        <w:tc>
          <w:tcPr>
            <w:tcW w:w="126" w:type="dxa"/>
            <w:tcBorders>
              <w:bottom w:val="single" w:sz="2" w:space="0" w:color="000000"/>
            </w:tcBorders>
            <w:shd w:fill="FFFFFF" w:val="clear"/>
            <w:vAlign w:val="bottom"/>
          </w:tcPr>
          <w:p>
            <w:pPr>
              <w:pStyle w:val="TableContents"/>
              <w:spacing w:before="0" w:after="283"/>
              <w:jc w:val="left"/>
              <w:rPr/>
            </w:pPr>
            <w:r>
              <w:rPr/>
              <w:t> </w:t>
            </w:r>
          </w:p>
        </w:tc>
        <w:tc>
          <w:tcPr>
            <w:tcW w:w="655"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4605" w:name="TAB12300"/>
            <w:bookmarkEnd w:id="4605"/>
            <w:r>
              <w:rPr>
                <w:rFonts w:ascii="Times New Roman" w:hAnsi="Times New Roman"/>
                <w:sz w:val="20"/>
              </w:rPr>
              <w:t>33,106</w:t>
            </w:r>
          </w:p>
        </w:tc>
        <w:tc>
          <w:tcPr>
            <w:tcW w:w="101" w:type="dxa"/>
            <w:tcBorders>
              <w:bottom w:val="single" w:sz="4" w:space="0" w:color="FFFFFF"/>
            </w:tcBorders>
            <w:shd w:fill="FFFFFF" w:val="clear"/>
            <w:vAlign w:val="bottom"/>
          </w:tcPr>
          <w:p>
            <w:pPr>
              <w:pStyle w:val="TableContents"/>
              <w:spacing w:before="0" w:after="283"/>
              <w:jc w:val="left"/>
              <w:rPr/>
            </w:pPr>
            <w:r>
              <w:rPr/>
              <w:t> </w:t>
            </w:r>
          </w:p>
        </w:tc>
      </w:tr>
      <w:tr>
        <w:trPr/>
        <w:tc>
          <w:tcPr>
            <w:tcW w:w="1026" w:type="dxa"/>
            <w:tcBorders>
              <w:bottom w:val="double" w:sz="2" w:space="0" w:color="000000"/>
            </w:tcBorders>
            <w:shd w:fill="CCEEFF" w:val="clear"/>
            <w:vAlign w:val="bottom"/>
          </w:tcPr>
          <w:p>
            <w:pPr>
              <w:pStyle w:val="TableContents"/>
              <w:spacing w:lineRule="auto" w:line="300" w:before="0" w:after="0"/>
              <w:ind w:left="180" w:right="0" w:hanging="180"/>
              <w:jc w:val="left"/>
              <w:rPr>
                <w:rFonts w:ascii="Times New Roman" w:hAnsi="Times New Roman"/>
                <w:sz w:val="20"/>
              </w:rPr>
            </w:pPr>
            <w:r>
              <w:rPr>
                <w:rFonts w:ascii="Times New Roman" w:hAnsi="Times New Roman"/>
                <w:sz w:val="20"/>
              </w:rPr>
              <w:t>At December 31, 2006</w:t>
            </w:r>
          </w:p>
        </w:tc>
        <w:tc>
          <w:tcPr>
            <w:tcW w:w="61" w:type="dxa"/>
            <w:tcBorders>
              <w:bottom w:val="single" w:sz="4" w:space="0" w:color="CCEEFF"/>
            </w:tcBorders>
            <w:shd w:fill="CCEEFF" w:val="clear"/>
            <w:vAlign w:val="center"/>
          </w:tcPr>
          <w:p>
            <w:pPr>
              <w:pStyle w:val="TableContents"/>
              <w:spacing w:before="0" w:after="283"/>
              <w:rPr/>
            </w:pPr>
            <w:r>
              <w:rPr/>
              <w:t> </w:t>
            </w:r>
          </w:p>
        </w:tc>
        <w:tc>
          <w:tcPr>
            <w:tcW w:w="272" w:type="dxa"/>
            <w:tcBorders>
              <w:bottom w:val="doub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640" w:type="dxa"/>
            <w:tcBorders>
              <w:bottom w:val="doub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81" w:type="dxa"/>
            <w:tcBorders>
              <w:bottom w:val="single" w:sz="4" w:space="0" w:color="CCEEFF"/>
            </w:tcBorders>
            <w:shd w:fill="CCEEFF" w:val="clear"/>
            <w:vAlign w:val="bottom"/>
          </w:tcPr>
          <w:p>
            <w:pPr>
              <w:pStyle w:val="TableContents"/>
              <w:spacing w:before="0" w:after="283"/>
              <w:jc w:val="left"/>
              <w:rPr/>
            </w:pPr>
            <w:r>
              <w:rPr/>
              <w:t> </w:t>
            </w:r>
          </w:p>
        </w:tc>
        <w:tc>
          <w:tcPr>
            <w:tcW w:w="168" w:type="dxa"/>
            <w:tcBorders>
              <w:bottom w:val="doub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741" w:type="dxa"/>
            <w:tcBorders>
              <w:bottom w:val="doub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249</w:t>
            </w:r>
          </w:p>
        </w:tc>
        <w:tc>
          <w:tcPr>
            <w:tcW w:w="81" w:type="dxa"/>
            <w:tcBorders>
              <w:bottom w:val="single" w:sz="4" w:space="0" w:color="CCEEFF"/>
            </w:tcBorders>
            <w:shd w:fill="CCEEFF" w:val="clear"/>
            <w:vAlign w:val="bottom"/>
          </w:tcPr>
          <w:p>
            <w:pPr>
              <w:pStyle w:val="TableContents"/>
              <w:spacing w:before="0" w:after="283"/>
              <w:jc w:val="left"/>
              <w:rPr/>
            </w:pPr>
            <w:r>
              <w:rPr/>
              <w:t> </w:t>
            </w:r>
          </w:p>
        </w:tc>
        <w:tc>
          <w:tcPr>
            <w:tcW w:w="168" w:type="dxa"/>
            <w:tcBorders>
              <w:bottom w:val="doub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741" w:type="dxa"/>
            <w:tcBorders>
              <w:bottom w:val="doub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243</w:t>
            </w:r>
          </w:p>
        </w:tc>
        <w:tc>
          <w:tcPr>
            <w:tcW w:w="81" w:type="dxa"/>
            <w:tcBorders>
              <w:bottom w:val="single" w:sz="4" w:space="0" w:color="CCEEFF"/>
            </w:tcBorders>
            <w:shd w:fill="CCEEFF" w:val="clear"/>
            <w:vAlign w:val="bottom"/>
          </w:tcPr>
          <w:p>
            <w:pPr>
              <w:pStyle w:val="TableContents"/>
              <w:spacing w:before="0" w:after="283"/>
              <w:jc w:val="left"/>
              <w:rPr/>
            </w:pPr>
            <w:r>
              <w:rPr/>
              <w:t> </w:t>
            </w:r>
          </w:p>
        </w:tc>
        <w:tc>
          <w:tcPr>
            <w:tcW w:w="216" w:type="dxa"/>
            <w:tcBorders>
              <w:bottom w:val="doub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693" w:type="dxa"/>
            <w:tcBorders>
              <w:bottom w:val="doub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26</w:t>
            </w:r>
          </w:p>
        </w:tc>
        <w:tc>
          <w:tcPr>
            <w:tcW w:w="81" w:type="dxa"/>
            <w:tcBorders>
              <w:bottom w:val="single" w:sz="4" w:space="0" w:color="CCEEFF"/>
            </w:tcBorders>
            <w:shd w:fill="CCEEFF" w:val="clear"/>
            <w:vAlign w:val="bottom"/>
          </w:tcPr>
          <w:p>
            <w:pPr>
              <w:pStyle w:val="TableContents"/>
              <w:spacing w:before="0" w:after="283"/>
              <w:jc w:val="left"/>
              <w:rPr/>
            </w:pPr>
            <w:r>
              <w:rPr/>
              <w:t> </w:t>
            </w:r>
          </w:p>
        </w:tc>
        <w:tc>
          <w:tcPr>
            <w:tcW w:w="168" w:type="dxa"/>
            <w:tcBorders>
              <w:bottom w:val="doub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741" w:type="dxa"/>
            <w:tcBorders>
              <w:bottom w:val="doub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210</w:t>
            </w:r>
          </w:p>
        </w:tc>
        <w:tc>
          <w:tcPr>
            <w:tcW w:w="81" w:type="dxa"/>
            <w:tcBorders>
              <w:bottom w:val="single" w:sz="4" w:space="0" w:color="CCEEFF"/>
            </w:tcBorders>
            <w:shd w:fill="CCEEFF" w:val="clear"/>
            <w:vAlign w:val="bottom"/>
          </w:tcPr>
          <w:p>
            <w:pPr>
              <w:pStyle w:val="TableContents"/>
              <w:spacing w:before="0" w:after="283"/>
              <w:jc w:val="left"/>
              <w:rPr/>
            </w:pPr>
            <w:r>
              <w:rPr/>
              <w:t> </w:t>
            </w:r>
          </w:p>
        </w:tc>
        <w:tc>
          <w:tcPr>
            <w:tcW w:w="184" w:type="dxa"/>
            <w:tcBorders>
              <w:bottom w:val="doub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874" w:type="dxa"/>
            <w:tcBorders>
              <w:bottom w:val="doub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8,768</w:t>
            </w:r>
          </w:p>
        </w:tc>
        <w:tc>
          <w:tcPr>
            <w:tcW w:w="81" w:type="dxa"/>
            <w:tcBorders>
              <w:bottom w:val="single" w:sz="4" w:space="0" w:color="CCEEFF"/>
            </w:tcBorders>
            <w:shd w:fill="CCEEFF" w:val="clear"/>
            <w:vAlign w:val="bottom"/>
          </w:tcPr>
          <w:p>
            <w:pPr>
              <w:pStyle w:val="TableContents"/>
              <w:spacing w:before="0" w:after="283"/>
              <w:jc w:val="left"/>
              <w:rPr/>
            </w:pPr>
            <w:r>
              <w:rPr/>
              <w:t> </w:t>
            </w:r>
          </w:p>
        </w:tc>
        <w:tc>
          <w:tcPr>
            <w:tcW w:w="194" w:type="dxa"/>
            <w:tcBorders>
              <w:bottom w:val="doub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850" w:type="dxa"/>
            <w:tcBorders>
              <w:bottom w:val="doub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6,072</w:t>
            </w:r>
          </w:p>
        </w:tc>
        <w:tc>
          <w:tcPr>
            <w:tcW w:w="81" w:type="dxa"/>
            <w:tcBorders>
              <w:bottom w:val="single" w:sz="4" w:space="0" w:color="CCEEFF"/>
            </w:tcBorders>
            <w:shd w:fill="CCEEFF" w:val="clear"/>
            <w:vAlign w:val="bottom"/>
          </w:tcPr>
          <w:p>
            <w:pPr>
              <w:pStyle w:val="TableContents"/>
              <w:spacing w:before="0" w:after="283"/>
              <w:jc w:val="left"/>
              <w:rPr/>
            </w:pPr>
            <w:r>
              <w:rPr/>
              <w:t> </w:t>
            </w:r>
          </w:p>
        </w:tc>
        <w:tc>
          <w:tcPr>
            <w:tcW w:w="174" w:type="dxa"/>
            <w:tcBorders>
              <w:bottom w:val="doub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764" w:type="dxa"/>
            <w:tcBorders>
              <w:bottom w:val="doub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5,189</w:t>
            </w:r>
          </w:p>
        </w:tc>
        <w:tc>
          <w:tcPr>
            <w:tcW w:w="81" w:type="dxa"/>
            <w:tcBorders>
              <w:bottom w:val="single" w:sz="4" w:space="0" w:color="CCEEFF"/>
            </w:tcBorders>
            <w:shd w:fill="CCEEFF" w:val="clear"/>
            <w:vAlign w:val="bottom"/>
          </w:tcPr>
          <w:p>
            <w:pPr>
              <w:pStyle w:val="TableContents"/>
              <w:spacing w:before="0" w:after="283"/>
              <w:jc w:val="left"/>
              <w:rPr/>
            </w:pPr>
            <w:r>
              <w:rPr/>
              <w:t> </w:t>
            </w:r>
          </w:p>
        </w:tc>
        <w:tc>
          <w:tcPr>
            <w:tcW w:w="126" w:type="dxa"/>
            <w:tcBorders>
              <w:bottom w:val="doub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655" w:type="dxa"/>
            <w:tcBorders>
              <w:bottom w:val="doub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20,757</w:t>
            </w:r>
          </w:p>
        </w:tc>
        <w:tc>
          <w:tcPr>
            <w:tcW w:w="101" w:type="dxa"/>
            <w:tcBorders>
              <w:bottom w:val="single" w:sz="4" w:space="0" w:color="CCEEFF"/>
            </w:tcBorders>
            <w:shd w:fill="CCEEFF" w:val="clear"/>
            <w:vAlign w:val="bottom"/>
          </w:tcPr>
          <w:p>
            <w:pPr>
              <w:pStyle w:val="TableContents"/>
              <w:spacing w:before="0" w:after="283"/>
              <w:jc w:val="left"/>
              <w:rPr/>
            </w:pPr>
            <w:r>
              <w:rPr/>
              <w:t> </w:t>
            </w:r>
          </w:p>
        </w:tc>
      </w:tr>
    </w:tbl>
    <w:p>
      <w:pPr>
        <w:pStyle w:val="TextBody"/>
        <w:spacing w:lineRule="auto" w:line="300" w:before="0" w:after="0"/>
        <w:ind w:left="0" w:right="0" w:hanging="0"/>
        <w:jc w:val="both"/>
        <w:rPr/>
      </w:pPr>
      <w:r>
        <w:rPr/>
        <w:t> </w:t>
      </w:r>
    </w:p>
    <w:p>
      <w:pPr>
        <w:pStyle w:val="TextBody"/>
        <w:spacing w:lineRule="auto" w:line="300" w:before="0" w:after="0"/>
        <w:ind w:left="0" w:right="0" w:hanging="0"/>
        <w:jc w:val="center"/>
        <w:rPr>
          <w:rFonts w:ascii="Times New Roman" w:hAnsi="Times New Roman"/>
          <w:sz w:val="20"/>
        </w:rPr>
      </w:pPr>
      <w:r>
        <w:rPr>
          <w:rFonts w:ascii="Times New Roman" w:hAnsi="Times New Roman"/>
          <w:sz w:val="20"/>
        </w:rPr>
        <w:t>The accompanying notes are an integral part of these financial statements.</w:t>
      </w:r>
    </w:p>
    <w:p>
      <w:pPr>
        <w:pStyle w:val="TextBody"/>
        <w:spacing w:lineRule="auto" w:line="300"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606" w:name="PGBRK125"/>
      <w:bookmarkStart w:id="4607" w:name="PGBRK125"/>
      <w:bookmarkEnd w:id="460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608" w:name="FTR125"/>
      <w:bookmarkStart w:id="4609" w:name="FTR125"/>
      <w:bookmarkEnd w:id="460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610" w:name="GLFTR125"/>
      <w:bookmarkStart w:id="4611" w:name="GLFTR125"/>
      <w:bookmarkEnd w:id="461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4612" w:name="PN125"/>
      <w:bookmarkEnd w:id="4612"/>
      <w:r>
        <w:rPr>
          <w:rFonts w:ascii="Times New Roman" w:hAnsi="Times New Roman"/>
          <w:sz w:val="16"/>
        </w:rPr>
        <w:t>-125-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613" w:name="HDR125"/>
      <w:bookmarkStart w:id="4614" w:name="HDR125"/>
      <w:bookmarkEnd w:id="461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4615" w:name="GLHDR125"/>
        <w:bookmarkEnd w:id="4615"/>
        <w:r>
          <w:rPr>
            <w:rStyle w:val="Emphasis"/>
            <w:rFonts w:ascii="Times New Roman" w:hAnsi="Times New Roman"/>
            <w:color w:val="000000"/>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pStyle w:val="TextBody"/>
        <w:spacing w:lineRule="auto" w:line="300" w:before="0" w:after="0"/>
        <w:ind w:left="0" w:right="0" w:hanging="0"/>
        <w:jc w:val="center"/>
        <w:rPr/>
      </w:pPr>
      <w:r>
        <w:rPr>
          <w:rStyle w:val="StrongEmphasis"/>
          <w:rFonts w:ascii="Times New Roman" w:hAnsi="Times New Roman"/>
          <w:sz w:val="20"/>
        </w:rPr>
        <w:t>205-209 EAST 57</w:t>
      </w:r>
      <w:r>
        <w:rPr>
          <w:rStyle w:val="StrongEmphasis"/>
          <w:rFonts w:ascii="Times New Roman" w:hAnsi="Times New Roman"/>
          <w:position w:val="7"/>
          <w:sz w:val="16"/>
          <w:sz w:val="20"/>
        </w:rPr>
        <w:t>th</w:t>
      </w:r>
      <w:r>
        <w:rPr>
          <w:rStyle w:val="StrongEmphasis"/>
        </w:rPr>
        <w:t xml:space="preserve"> </w:t>
      </w:r>
      <w:r>
        <w:rPr>
          <w:rStyle w:val="StrongEmphasis"/>
          <w:rFonts w:ascii="Times New Roman" w:hAnsi="Times New Roman"/>
          <w:sz w:val="20"/>
        </w:rPr>
        <w:t>STREET ASSOCIATES, LLC</w:t>
      </w:r>
    </w:p>
    <w:p>
      <w:pPr>
        <w:pStyle w:val="TextBody"/>
        <w:spacing w:lineRule="auto" w:line="300" w:before="0" w:after="0"/>
        <w:ind w:left="0" w:right="0" w:hanging="0"/>
        <w:jc w:val="center"/>
        <w:rPr/>
      </w:pPr>
      <w:r>
        <w:rPr/>
      </w:r>
    </w:p>
    <w:p>
      <w:pPr>
        <w:pStyle w:val="TextBody"/>
        <w:spacing w:lineRule="auto" w:line="300" w:before="0" w:after="0"/>
        <w:ind w:left="0" w:right="0" w:hanging="0"/>
        <w:jc w:val="center"/>
        <w:rPr/>
      </w:pPr>
      <w:r>
        <w:rPr>
          <w:rStyle w:val="StrongEmphasis"/>
          <w:rFonts w:ascii="Times New Roman" w:hAnsi="Times New Roman"/>
          <w:sz w:val="20"/>
        </w:rPr>
        <w:t>STATEMENTS OF CASH FLOWS</w:t>
      </w:r>
    </w:p>
    <w:p>
      <w:pPr>
        <w:pStyle w:val="TextBody"/>
        <w:spacing w:lineRule="auto" w:line="300" w:before="0" w:after="0"/>
        <w:ind w:left="0" w:right="0" w:hanging="0"/>
        <w:jc w:val="center"/>
        <w:rPr/>
      </w:pPr>
      <w:r>
        <w:rPr/>
      </w:r>
    </w:p>
    <w:p>
      <w:pPr>
        <w:pStyle w:val="TextBody"/>
        <w:spacing w:lineRule="auto" w:line="300" w:before="0" w:after="0"/>
        <w:ind w:left="0" w:right="0" w:hanging="0"/>
        <w:jc w:val="center"/>
        <w:rPr/>
      </w:pPr>
      <w:r>
        <w:rPr>
          <w:rStyle w:val="StrongEmphasis"/>
          <w:rFonts w:ascii="Times New Roman" w:hAnsi="Times New Roman"/>
          <w:sz w:val="20"/>
        </w:rPr>
        <w:t>FOR THE THREE YEARS ENDED DECEMBER 31, 2006, 2005 and 2004</w:t>
      </w:r>
    </w:p>
    <w:p>
      <w:pPr>
        <w:pStyle w:val="TextBody"/>
        <w:spacing w:lineRule="auto" w:line="300" w:before="0" w:after="0"/>
        <w:ind w:left="0" w:right="0" w:hanging="540"/>
        <w:jc w:val="center"/>
        <w:rPr/>
      </w:pPr>
      <w:r>
        <w:rPr/>
      </w:r>
    </w:p>
    <w:p>
      <w:pPr>
        <w:pStyle w:val="TextBody"/>
        <w:spacing w:lineRule="auto" w:line="300" w:before="0" w:after="0"/>
        <w:ind w:left="0" w:right="0" w:hanging="0"/>
        <w:jc w:val="center"/>
        <w:rPr/>
      </w:pPr>
      <w:r>
        <w:rPr>
          <w:rStyle w:val="StrongEmphasis"/>
          <w:rFonts w:ascii="Times New Roman" w:hAnsi="Times New Roman"/>
          <w:sz w:val="20"/>
        </w:rPr>
        <w:t>(U.S. dollars in thousands)</w:t>
      </w:r>
    </w:p>
    <w:p>
      <w:pPr>
        <w:pStyle w:val="TextBody"/>
        <w:spacing w:lineRule="auto" w:line="300" w:before="0" w:after="0"/>
        <w:ind w:left="0" w:right="0" w:hanging="0"/>
        <w:jc w:val="center"/>
        <w:rPr/>
      </w:pPr>
      <w:r>
        <w:rPr/>
      </w:r>
    </w:p>
    <w:p>
      <w:pPr>
        <w:pStyle w:val="Normal"/>
        <w:spacing w:before="0" w:after="0"/>
        <w:rPr>
          <w:sz w:val="4"/>
          <w:szCs w:val="4"/>
        </w:rPr>
      </w:pPr>
      <w:r>
        <w:rPr>
          <w:sz w:val="4"/>
          <w:szCs w:val="4"/>
        </w:rPr>
      </w:r>
      <w:bookmarkStart w:id="4616" w:name="ftable66"/>
      <w:bookmarkStart w:id="4617" w:name="ftable66"/>
      <w:bookmarkEnd w:id="4617"/>
    </w:p>
    <w:tbl>
      <w:tblPr>
        <w:tblW w:w="5000" w:type="pct"/>
        <w:jc w:val="left"/>
        <w:tblInd w:w="0" w:type="dxa"/>
        <w:tblCellMar>
          <w:top w:w="0" w:type="dxa"/>
          <w:left w:w="0" w:type="dxa"/>
          <w:bottom w:w="28" w:type="dxa"/>
          <w:right w:w="0" w:type="dxa"/>
        </w:tblCellMar>
      </w:tblPr>
      <w:tblGrid>
        <w:gridCol w:w="5257"/>
        <w:gridCol w:w="191"/>
        <w:gridCol w:w="141"/>
        <w:gridCol w:w="1210"/>
        <w:gridCol w:w="201"/>
        <w:gridCol w:w="155"/>
        <w:gridCol w:w="1281"/>
        <w:gridCol w:w="201"/>
        <w:gridCol w:w="155"/>
        <w:gridCol w:w="1281"/>
        <w:gridCol w:w="132"/>
      </w:tblGrid>
      <w:tr>
        <w:trPr/>
        <w:tc>
          <w:tcPr>
            <w:tcW w:w="5257" w:type="dxa"/>
            <w:tcBorders>
              <w:bottom w:val="single" w:sz="4" w:space="0" w:color="FFFFFF"/>
            </w:tcBorders>
            <w:shd w:fill="auto" w:val="clear"/>
            <w:vAlign w:val="bottom"/>
          </w:tcPr>
          <w:p>
            <w:pPr>
              <w:pStyle w:val="TableContents"/>
              <w:spacing w:before="0" w:after="283"/>
              <w:jc w:val="left"/>
              <w:rPr/>
            </w:pPr>
            <w:r>
              <w:rPr/>
              <w:t> </w:t>
            </w:r>
          </w:p>
        </w:tc>
        <w:tc>
          <w:tcPr>
            <w:tcW w:w="191" w:type="dxa"/>
            <w:tcBorders>
              <w:bottom w:val="single" w:sz="2" w:space="0" w:color="FFFFFF"/>
            </w:tcBorders>
            <w:shd w:fill="auto" w:val="clear"/>
            <w:vAlign w:val="center"/>
          </w:tcPr>
          <w:p>
            <w:pPr>
              <w:pStyle w:val="TableContents"/>
              <w:spacing w:before="0" w:after="283"/>
              <w:rPr/>
            </w:pPr>
            <w:r>
              <w:rPr/>
              <w:t> </w:t>
            </w:r>
          </w:p>
        </w:tc>
        <w:tc>
          <w:tcPr>
            <w:tcW w:w="4625" w:type="dxa"/>
            <w:gridSpan w:val="8"/>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Year Ended December 31,</w:t>
            </w:r>
          </w:p>
        </w:tc>
        <w:tc>
          <w:tcPr>
            <w:tcW w:w="132" w:type="dxa"/>
            <w:tcBorders>
              <w:bottom w:val="single" w:sz="2" w:space="0" w:color="FFFFFF"/>
            </w:tcBorders>
            <w:shd w:fill="auto" w:val="clear"/>
            <w:vAlign w:val="bottom"/>
          </w:tcPr>
          <w:p>
            <w:pPr>
              <w:pStyle w:val="TableContents"/>
              <w:spacing w:before="0" w:after="283"/>
              <w:jc w:val="left"/>
              <w:rPr/>
            </w:pPr>
            <w:r>
              <w:rPr/>
              <w:t> </w:t>
            </w:r>
          </w:p>
        </w:tc>
      </w:tr>
      <w:tr>
        <w:trPr/>
        <w:tc>
          <w:tcPr>
            <w:tcW w:w="5257" w:type="dxa"/>
            <w:tcBorders>
              <w:bottom w:val="double" w:sz="2" w:space="0" w:color="000000"/>
            </w:tcBorders>
            <w:shd w:fill="auto" w:val="clear"/>
            <w:vAlign w:val="bottom"/>
          </w:tcPr>
          <w:p>
            <w:pPr>
              <w:pStyle w:val="TableContents"/>
              <w:spacing w:before="0" w:after="283"/>
              <w:jc w:val="left"/>
              <w:rPr/>
            </w:pPr>
            <w:r>
              <w:rPr/>
              <w:t> </w:t>
            </w:r>
          </w:p>
        </w:tc>
        <w:tc>
          <w:tcPr>
            <w:tcW w:w="191" w:type="dxa"/>
            <w:tcBorders>
              <w:bottom w:val="single" w:sz="4" w:space="0" w:color="FFFFFF"/>
            </w:tcBorders>
            <w:shd w:fill="auto" w:val="clear"/>
            <w:vAlign w:val="center"/>
          </w:tcPr>
          <w:p>
            <w:pPr>
              <w:pStyle w:val="TableContents"/>
              <w:spacing w:before="0" w:after="283"/>
              <w:rPr/>
            </w:pPr>
            <w:r>
              <w:rPr/>
              <w:t> </w:t>
            </w:r>
          </w:p>
        </w:tc>
        <w:tc>
          <w:tcPr>
            <w:tcW w:w="1351"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2006</w:t>
            </w:r>
          </w:p>
          <w:p>
            <w:pPr>
              <w:pStyle w:val="TableContents"/>
              <w:spacing w:lineRule="auto" w:line="300" w:before="0" w:after="0"/>
              <w:ind w:left="0" w:right="0" w:hanging="0"/>
              <w:jc w:val="center"/>
              <w:rPr/>
            </w:pPr>
            <w:r>
              <w:rPr>
                <w:rStyle w:val="StrongEmphasis"/>
                <w:rFonts w:ascii="Times New Roman" w:hAnsi="Times New Roman"/>
                <w:sz w:val="20"/>
              </w:rPr>
              <w:t>(Audited)</w:t>
            </w:r>
          </w:p>
        </w:tc>
        <w:tc>
          <w:tcPr>
            <w:tcW w:w="201" w:type="dxa"/>
            <w:tcBorders>
              <w:bottom w:val="single" w:sz="4" w:space="0" w:color="FFFFFF"/>
            </w:tcBorders>
            <w:shd w:fill="auto" w:val="clear"/>
            <w:vAlign w:val="bottom"/>
          </w:tcPr>
          <w:p>
            <w:pPr>
              <w:pStyle w:val="TableContents"/>
              <w:spacing w:before="0" w:after="283"/>
              <w:jc w:val="left"/>
              <w:rPr/>
            </w:pPr>
            <w:r>
              <w:rPr/>
              <w:t> </w:t>
            </w:r>
          </w:p>
        </w:tc>
        <w:tc>
          <w:tcPr>
            <w:tcW w:w="1436"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2005</w:t>
            </w:r>
          </w:p>
          <w:p>
            <w:pPr>
              <w:pStyle w:val="TableContents"/>
              <w:spacing w:lineRule="auto" w:line="300" w:before="0" w:after="0"/>
              <w:ind w:left="0" w:right="0" w:hanging="0"/>
              <w:jc w:val="center"/>
              <w:rPr/>
            </w:pPr>
            <w:r>
              <w:rPr>
                <w:rStyle w:val="StrongEmphasis"/>
                <w:rFonts w:ascii="Times New Roman" w:hAnsi="Times New Roman"/>
                <w:sz w:val="20"/>
              </w:rPr>
              <w:t>(Unaudited)</w:t>
            </w:r>
          </w:p>
        </w:tc>
        <w:tc>
          <w:tcPr>
            <w:tcW w:w="201" w:type="dxa"/>
            <w:tcBorders>
              <w:bottom w:val="single" w:sz="4" w:space="0" w:color="FFFFFF"/>
            </w:tcBorders>
            <w:shd w:fill="auto" w:val="clear"/>
            <w:vAlign w:val="bottom"/>
          </w:tcPr>
          <w:p>
            <w:pPr>
              <w:pStyle w:val="TableContents"/>
              <w:spacing w:before="0" w:after="283"/>
              <w:jc w:val="left"/>
              <w:rPr/>
            </w:pPr>
            <w:r>
              <w:rPr/>
              <w:t> </w:t>
            </w:r>
          </w:p>
        </w:tc>
        <w:tc>
          <w:tcPr>
            <w:tcW w:w="1436"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2004</w:t>
            </w:r>
          </w:p>
          <w:p>
            <w:pPr>
              <w:pStyle w:val="TableContents"/>
              <w:spacing w:lineRule="auto" w:line="300" w:before="0" w:after="0"/>
              <w:ind w:left="0" w:right="0" w:hanging="0"/>
              <w:jc w:val="center"/>
              <w:rPr/>
            </w:pPr>
            <w:r>
              <w:rPr>
                <w:rStyle w:val="StrongEmphasis"/>
                <w:rFonts w:ascii="Times New Roman" w:hAnsi="Times New Roman"/>
                <w:sz w:val="20"/>
              </w:rPr>
              <w:t>(Unaudited)</w:t>
            </w:r>
          </w:p>
        </w:tc>
        <w:tc>
          <w:tcPr>
            <w:tcW w:w="132" w:type="dxa"/>
            <w:tcBorders>
              <w:bottom w:val="single" w:sz="4" w:space="0" w:color="FFFFFF"/>
            </w:tcBorders>
            <w:shd w:fill="auto" w:val="clear"/>
            <w:vAlign w:val="bottom"/>
          </w:tcPr>
          <w:p>
            <w:pPr>
              <w:pStyle w:val="TableContents"/>
              <w:spacing w:before="0" w:after="283"/>
              <w:jc w:val="left"/>
              <w:rPr/>
            </w:pPr>
            <w:r>
              <w:rPr/>
              <w:t> </w:t>
            </w:r>
          </w:p>
        </w:tc>
      </w:tr>
      <w:tr>
        <w:trPr/>
        <w:tc>
          <w:tcPr>
            <w:tcW w:w="5257" w:type="dxa"/>
            <w:tcBorders/>
            <w:shd w:fill="auto" w:val="clear"/>
            <w:tcMar>
              <w:bottom w:w="0" w:type="dxa"/>
            </w:tcMar>
            <w:vAlign w:val="bottom"/>
          </w:tcPr>
          <w:p>
            <w:pPr>
              <w:pStyle w:val="TableContents"/>
              <w:spacing w:lineRule="auto" w:line="300" w:before="0" w:after="0"/>
              <w:ind w:left="180" w:right="0" w:hanging="180"/>
              <w:jc w:val="left"/>
              <w:rPr/>
            </w:pPr>
            <w:r>
              <w:rPr>
                <w:rStyle w:val="StrongEmphasis"/>
                <w:rFonts w:ascii="Times New Roman" w:hAnsi="Times New Roman"/>
                <w:sz w:val="20"/>
              </w:rPr>
              <w:t>CASH FLOWS FROM OPERATING ACTIVITIES</w:t>
            </w:r>
          </w:p>
        </w:tc>
        <w:tc>
          <w:tcPr>
            <w:tcW w:w="191" w:type="dxa"/>
            <w:tcBorders/>
            <w:shd w:fill="auto" w:val="clear"/>
            <w:tcMar>
              <w:bottom w:w="0" w:type="dxa"/>
            </w:tcMar>
            <w:vAlign w:val="center"/>
          </w:tcPr>
          <w:p>
            <w:pPr>
              <w:pStyle w:val="TableContents"/>
              <w:spacing w:before="0" w:after="283"/>
              <w:rPr/>
            </w:pPr>
            <w:r>
              <w:rPr/>
              <w:t> </w:t>
            </w:r>
          </w:p>
        </w:tc>
        <w:tc>
          <w:tcPr>
            <w:tcW w:w="1351" w:type="dxa"/>
            <w:gridSpan w:val="2"/>
            <w:tcBorders/>
            <w:shd w:fill="auto" w:val="clear"/>
            <w:tcMar>
              <w:bottom w:w="0" w:type="dxa"/>
            </w:tcMar>
            <w:vAlign w:val="bottom"/>
          </w:tcPr>
          <w:p>
            <w:pPr>
              <w:pStyle w:val="TableContents"/>
              <w:spacing w:before="0" w:after="283"/>
              <w:jc w:val="left"/>
              <w:rPr/>
            </w:pPr>
            <w:r>
              <w:rPr/>
              <w:t> </w:t>
            </w:r>
          </w:p>
        </w:tc>
        <w:tc>
          <w:tcPr>
            <w:tcW w:w="201" w:type="dxa"/>
            <w:tcBorders/>
            <w:shd w:fill="auto" w:val="clear"/>
            <w:tcMar>
              <w:bottom w:w="0" w:type="dxa"/>
            </w:tcMar>
            <w:vAlign w:val="bottom"/>
          </w:tcPr>
          <w:p>
            <w:pPr>
              <w:pStyle w:val="TableContents"/>
              <w:spacing w:before="0" w:after="283"/>
              <w:jc w:val="left"/>
              <w:rPr/>
            </w:pPr>
            <w:r>
              <w:rPr/>
              <w:t> </w:t>
            </w:r>
          </w:p>
        </w:tc>
        <w:tc>
          <w:tcPr>
            <w:tcW w:w="1436" w:type="dxa"/>
            <w:gridSpan w:val="2"/>
            <w:tcBorders/>
            <w:shd w:fill="auto" w:val="clear"/>
            <w:tcMar>
              <w:bottom w:w="0" w:type="dxa"/>
            </w:tcMar>
            <w:vAlign w:val="bottom"/>
          </w:tcPr>
          <w:p>
            <w:pPr>
              <w:pStyle w:val="TableContents"/>
              <w:spacing w:before="0" w:after="283"/>
              <w:jc w:val="left"/>
              <w:rPr/>
            </w:pPr>
            <w:r>
              <w:rPr/>
              <w:t> </w:t>
            </w:r>
          </w:p>
        </w:tc>
        <w:tc>
          <w:tcPr>
            <w:tcW w:w="201" w:type="dxa"/>
            <w:tcBorders/>
            <w:shd w:fill="auto" w:val="clear"/>
            <w:tcMar>
              <w:bottom w:w="0" w:type="dxa"/>
            </w:tcMar>
            <w:vAlign w:val="bottom"/>
          </w:tcPr>
          <w:p>
            <w:pPr>
              <w:pStyle w:val="TableContents"/>
              <w:spacing w:before="0" w:after="283"/>
              <w:jc w:val="left"/>
              <w:rPr/>
            </w:pPr>
            <w:r>
              <w:rPr/>
              <w:t> </w:t>
            </w:r>
          </w:p>
        </w:tc>
        <w:tc>
          <w:tcPr>
            <w:tcW w:w="1436" w:type="dxa"/>
            <w:gridSpan w:val="2"/>
            <w:tcBorders/>
            <w:shd w:fill="auto" w:val="clear"/>
            <w:tcMar>
              <w:bottom w:w="0" w:type="dxa"/>
            </w:tcMar>
            <w:vAlign w:val="bottom"/>
          </w:tcPr>
          <w:p>
            <w:pPr>
              <w:pStyle w:val="TableContents"/>
              <w:spacing w:before="0" w:after="283"/>
              <w:jc w:val="left"/>
              <w:rPr/>
            </w:pPr>
            <w:r>
              <w:rPr/>
              <w:t> </w:t>
            </w:r>
          </w:p>
        </w:tc>
        <w:tc>
          <w:tcPr>
            <w:tcW w:w="132" w:type="dxa"/>
            <w:tcBorders/>
            <w:shd w:fill="auto" w:val="clear"/>
            <w:tcMar>
              <w:bottom w:w="0" w:type="dxa"/>
            </w:tcMar>
            <w:vAlign w:val="bottom"/>
          </w:tcPr>
          <w:p>
            <w:pPr>
              <w:pStyle w:val="TableContents"/>
              <w:spacing w:before="0" w:after="283"/>
              <w:jc w:val="left"/>
              <w:rPr/>
            </w:pPr>
            <w:r>
              <w:rPr/>
              <w:t> </w:t>
            </w:r>
          </w:p>
        </w:tc>
      </w:tr>
      <w:tr>
        <w:trPr/>
        <w:tc>
          <w:tcPr>
            <w:tcW w:w="5257" w:type="dxa"/>
            <w:tcBorders/>
            <w:shd w:fill="CCEEFF" w:val="clear"/>
            <w:tcMar>
              <w:bottom w:w="0" w:type="dxa"/>
            </w:tcMar>
            <w:vAlign w:val="bottom"/>
          </w:tcPr>
          <w:p>
            <w:pPr>
              <w:pStyle w:val="TableContents"/>
              <w:spacing w:lineRule="auto" w:line="300" w:before="0" w:after="0"/>
              <w:ind w:left="180" w:right="0" w:hanging="180"/>
              <w:jc w:val="left"/>
              <w:rPr>
                <w:rFonts w:ascii="Times New Roman" w:hAnsi="Times New Roman"/>
                <w:sz w:val="20"/>
              </w:rPr>
            </w:pPr>
            <w:r>
              <w:rPr>
                <w:rFonts w:ascii="Times New Roman" w:hAnsi="Times New Roman"/>
                <w:sz w:val="20"/>
              </w:rPr>
              <w:t>Net income (loss)</w:t>
            </w:r>
          </w:p>
        </w:tc>
        <w:tc>
          <w:tcPr>
            <w:tcW w:w="191" w:type="dxa"/>
            <w:tcBorders/>
            <w:shd w:fill="CCEEFF" w:val="clear"/>
            <w:tcMar>
              <w:bottom w:w="0" w:type="dxa"/>
            </w:tcMar>
            <w:vAlign w:val="center"/>
          </w:tcPr>
          <w:p>
            <w:pPr>
              <w:pStyle w:val="TableContents"/>
              <w:spacing w:before="0" w:after="283"/>
              <w:rPr/>
            </w:pPr>
            <w:r>
              <w:rPr/>
              <w:t> </w:t>
            </w:r>
          </w:p>
        </w:tc>
        <w:tc>
          <w:tcPr>
            <w:tcW w:w="141"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4618" w:name="TAB12301"/>
            <w:bookmarkEnd w:id="4618"/>
            <w:r>
              <w:rPr>
                <w:rFonts w:ascii="Times New Roman" w:hAnsi="Times New Roman"/>
                <w:sz w:val="20"/>
              </w:rPr>
              <w:t>$</w:t>
            </w:r>
          </w:p>
        </w:tc>
        <w:tc>
          <w:tcPr>
            <w:tcW w:w="1210"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4619" w:name="TAB12302"/>
            <w:bookmarkEnd w:id="4619"/>
            <w:r>
              <w:rPr>
                <w:rFonts w:ascii="Times New Roman" w:hAnsi="Times New Roman"/>
                <w:sz w:val="20"/>
              </w:rPr>
              <w:t>33,106</w:t>
            </w:r>
          </w:p>
        </w:tc>
        <w:tc>
          <w:tcPr>
            <w:tcW w:w="201" w:type="dxa"/>
            <w:tcBorders/>
            <w:shd w:fill="CCEEFF" w:val="clear"/>
            <w:tcMar>
              <w:bottom w:w="0" w:type="dxa"/>
            </w:tcMar>
            <w:vAlign w:val="bottom"/>
          </w:tcPr>
          <w:p>
            <w:pPr>
              <w:pStyle w:val="TableContents"/>
              <w:spacing w:before="0" w:after="283"/>
              <w:jc w:val="left"/>
              <w:rPr/>
            </w:pPr>
            <w:r>
              <w:rPr/>
              <w:t> </w:t>
            </w:r>
          </w:p>
        </w:tc>
        <w:tc>
          <w:tcPr>
            <w:tcW w:w="155"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4620" w:name="TAB12303"/>
            <w:bookmarkEnd w:id="4620"/>
            <w:r>
              <w:rPr>
                <w:rFonts w:ascii="Times New Roman" w:hAnsi="Times New Roman"/>
                <w:sz w:val="20"/>
              </w:rPr>
              <w:t>$</w:t>
            </w:r>
          </w:p>
        </w:tc>
        <w:tc>
          <w:tcPr>
            <w:tcW w:w="1281"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4621" w:name="TAB12304"/>
            <w:bookmarkEnd w:id="4621"/>
            <w:r>
              <w:rPr>
                <w:rFonts w:ascii="Times New Roman" w:hAnsi="Times New Roman"/>
                <w:sz w:val="20"/>
              </w:rPr>
              <w:t>(500</w:t>
            </w:r>
          </w:p>
        </w:tc>
        <w:tc>
          <w:tcPr>
            <w:tcW w:w="201"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4622" w:name="TAB12305"/>
            <w:bookmarkEnd w:id="4622"/>
            <w:r>
              <w:rPr>
                <w:rFonts w:ascii="Times New Roman" w:hAnsi="Times New Roman"/>
                <w:sz w:val="20"/>
              </w:rPr>
              <w:t>)</w:t>
            </w:r>
          </w:p>
        </w:tc>
        <w:tc>
          <w:tcPr>
            <w:tcW w:w="155"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4623" w:name="TAB12306"/>
            <w:bookmarkEnd w:id="4623"/>
            <w:r>
              <w:rPr>
                <w:rFonts w:ascii="Times New Roman" w:hAnsi="Times New Roman"/>
                <w:sz w:val="20"/>
              </w:rPr>
              <w:t>$</w:t>
            </w:r>
          </w:p>
        </w:tc>
        <w:tc>
          <w:tcPr>
            <w:tcW w:w="1281"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4624" w:name="TAB12307"/>
            <w:bookmarkEnd w:id="4624"/>
            <w:r>
              <w:rPr>
                <w:rFonts w:ascii="Times New Roman" w:hAnsi="Times New Roman"/>
                <w:sz w:val="20"/>
              </w:rPr>
              <w:t>(225</w:t>
            </w:r>
          </w:p>
        </w:tc>
        <w:tc>
          <w:tcPr>
            <w:tcW w:w="132"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4625" w:name="TAB12308"/>
            <w:bookmarkEnd w:id="4625"/>
            <w:r>
              <w:rPr>
                <w:rFonts w:ascii="Times New Roman" w:hAnsi="Times New Roman"/>
                <w:sz w:val="20"/>
              </w:rPr>
              <w:t>)</w:t>
            </w:r>
          </w:p>
        </w:tc>
      </w:tr>
      <w:tr>
        <w:trPr/>
        <w:tc>
          <w:tcPr>
            <w:tcW w:w="5257" w:type="dxa"/>
            <w:tcBorders/>
            <w:shd w:fill="FFFFFF" w:val="clear"/>
            <w:tcMar>
              <w:bottom w:w="0" w:type="dxa"/>
            </w:tcMar>
            <w:vAlign w:val="bottom"/>
          </w:tcPr>
          <w:p>
            <w:pPr>
              <w:pStyle w:val="TableContents"/>
              <w:spacing w:lineRule="auto" w:line="300" w:before="0" w:after="0"/>
              <w:ind w:left="360" w:right="0" w:hanging="180"/>
              <w:jc w:val="left"/>
              <w:rPr/>
            </w:pPr>
            <w:r>
              <w:rPr>
                <w:rStyle w:val="Emphasis"/>
                <w:rFonts w:ascii="Times New Roman" w:hAnsi="Times New Roman"/>
                <w:sz w:val="20"/>
              </w:rPr>
              <w:t>Adjustments to reconcile net income to net cash provided by operating activities:</w:t>
            </w:r>
          </w:p>
        </w:tc>
        <w:tc>
          <w:tcPr>
            <w:tcW w:w="191" w:type="dxa"/>
            <w:tcBorders/>
            <w:shd w:fill="FFFFFF" w:val="clear"/>
            <w:tcMar>
              <w:bottom w:w="0" w:type="dxa"/>
            </w:tcMar>
            <w:vAlign w:val="center"/>
          </w:tcPr>
          <w:p>
            <w:pPr>
              <w:pStyle w:val="TableContents"/>
              <w:spacing w:before="0" w:after="283"/>
              <w:rPr/>
            </w:pPr>
            <w:r>
              <w:rPr/>
              <w:t> </w:t>
            </w:r>
          </w:p>
        </w:tc>
        <w:tc>
          <w:tcPr>
            <w:tcW w:w="141" w:type="dxa"/>
            <w:tcBorders/>
            <w:shd w:fill="FFFFFF" w:val="clear"/>
            <w:tcMar>
              <w:bottom w:w="0" w:type="dxa"/>
            </w:tcMar>
            <w:vAlign w:val="bottom"/>
          </w:tcPr>
          <w:p>
            <w:pPr>
              <w:pStyle w:val="TableContents"/>
              <w:spacing w:before="0" w:after="283"/>
              <w:jc w:val="left"/>
              <w:rPr/>
            </w:pPr>
            <w:r>
              <w:rPr/>
              <w:t> </w:t>
            </w:r>
          </w:p>
        </w:tc>
        <w:tc>
          <w:tcPr>
            <w:tcW w:w="1210" w:type="dxa"/>
            <w:tcBorders/>
            <w:shd w:fill="FFFFFF" w:val="clear"/>
            <w:tcMar>
              <w:bottom w:w="0" w:type="dxa"/>
            </w:tcMar>
            <w:vAlign w:val="bottom"/>
          </w:tcPr>
          <w:p>
            <w:pPr>
              <w:pStyle w:val="TableContents"/>
              <w:spacing w:before="0" w:after="283"/>
              <w:jc w:val="right"/>
              <w:rPr/>
            </w:pPr>
            <w:r>
              <w:rPr/>
              <w:t> </w:t>
            </w:r>
          </w:p>
        </w:tc>
        <w:tc>
          <w:tcPr>
            <w:tcW w:w="201" w:type="dxa"/>
            <w:tcBorders/>
            <w:shd w:fill="FFFFFF" w:val="clear"/>
            <w:tcMar>
              <w:bottom w:w="0" w:type="dxa"/>
            </w:tcMar>
            <w:vAlign w:val="bottom"/>
          </w:tcPr>
          <w:p>
            <w:pPr>
              <w:pStyle w:val="TableContents"/>
              <w:spacing w:before="0" w:after="283"/>
              <w:jc w:val="left"/>
              <w:rPr/>
            </w:pPr>
            <w:r>
              <w:rPr/>
              <w:t> </w:t>
            </w:r>
          </w:p>
        </w:tc>
        <w:tc>
          <w:tcPr>
            <w:tcW w:w="155" w:type="dxa"/>
            <w:tcBorders/>
            <w:shd w:fill="FFFFFF" w:val="clear"/>
            <w:tcMar>
              <w:bottom w:w="0" w:type="dxa"/>
            </w:tcMar>
            <w:vAlign w:val="bottom"/>
          </w:tcPr>
          <w:p>
            <w:pPr>
              <w:pStyle w:val="TableContents"/>
              <w:spacing w:before="0" w:after="283"/>
              <w:jc w:val="left"/>
              <w:rPr/>
            </w:pPr>
            <w:r>
              <w:rPr/>
              <w:t> </w:t>
            </w:r>
          </w:p>
        </w:tc>
        <w:tc>
          <w:tcPr>
            <w:tcW w:w="1281" w:type="dxa"/>
            <w:tcBorders/>
            <w:shd w:fill="FFFFFF" w:val="clear"/>
            <w:tcMar>
              <w:bottom w:w="0" w:type="dxa"/>
            </w:tcMar>
            <w:vAlign w:val="bottom"/>
          </w:tcPr>
          <w:p>
            <w:pPr>
              <w:pStyle w:val="TableContents"/>
              <w:spacing w:before="0" w:after="283"/>
              <w:jc w:val="right"/>
              <w:rPr/>
            </w:pPr>
            <w:r>
              <w:rPr/>
              <w:t> </w:t>
            </w:r>
          </w:p>
        </w:tc>
        <w:tc>
          <w:tcPr>
            <w:tcW w:w="201" w:type="dxa"/>
            <w:tcBorders/>
            <w:shd w:fill="FFFFFF" w:val="clear"/>
            <w:tcMar>
              <w:bottom w:w="0" w:type="dxa"/>
            </w:tcMar>
            <w:vAlign w:val="bottom"/>
          </w:tcPr>
          <w:p>
            <w:pPr>
              <w:pStyle w:val="TableContents"/>
              <w:spacing w:before="0" w:after="283"/>
              <w:jc w:val="left"/>
              <w:rPr/>
            </w:pPr>
            <w:r>
              <w:rPr/>
              <w:t> </w:t>
            </w:r>
          </w:p>
        </w:tc>
        <w:tc>
          <w:tcPr>
            <w:tcW w:w="155" w:type="dxa"/>
            <w:tcBorders/>
            <w:shd w:fill="FFFFFF" w:val="clear"/>
            <w:tcMar>
              <w:bottom w:w="0" w:type="dxa"/>
            </w:tcMar>
            <w:vAlign w:val="bottom"/>
          </w:tcPr>
          <w:p>
            <w:pPr>
              <w:pStyle w:val="TableContents"/>
              <w:spacing w:before="0" w:after="283"/>
              <w:jc w:val="left"/>
              <w:rPr/>
            </w:pPr>
            <w:r>
              <w:rPr/>
              <w:t> </w:t>
            </w:r>
          </w:p>
        </w:tc>
        <w:tc>
          <w:tcPr>
            <w:tcW w:w="1281" w:type="dxa"/>
            <w:tcBorders/>
            <w:shd w:fill="FFFFFF" w:val="clear"/>
            <w:tcMar>
              <w:bottom w:w="0" w:type="dxa"/>
            </w:tcMar>
            <w:vAlign w:val="bottom"/>
          </w:tcPr>
          <w:p>
            <w:pPr>
              <w:pStyle w:val="TableContents"/>
              <w:spacing w:before="0" w:after="283"/>
              <w:jc w:val="right"/>
              <w:rPr/>
            </w:pPr>
            <w:r>
              <w:rPr/>
              <w:t> </w:t>
            </w:r>
          </w:p>
        </w:tc>
        <w:tc>
          <w:tcPr>
            <w:tcW w:w="132" w:type="dxa"/>
            <w:tcBorders/>
            <w:shd w:fill="FFFFFF" w:val="clear"/>
            <w:tcMar>
              <w:bottom w:w="0" w:type="dxa"/>
            </w:tcMar>
            <w:vAlign w:val="bottom"/>
          </w:tcPr>
          <w:p>
            <w:pPr>
              <w:pStyle w:val="TableContents"/>
              <w:spacing w:before="0" w:after="283"/>
              <w:jc w:val="left"/>
              <w:rPr/>
            </w:pPr>
            <w:r>
              <w:rPr/>
              <w:t> </w:t>
            </w:r>
          </w:p>
        </w:tc>
      </w:tr>
      <w:tr>
        <w:trPr/>
        <w:tc>
          <w:tcPr>
            <w:tcW w:w="5257" w:type="dxa"/>
            <w:tcBorders/>
            <w:shd w:fill="CCEEFF" w:val="clear"/>
            <w:tcMar>
              <w:bottom w:w="0" w:type="dxa"/>
            </w:tcMar>
            <w:vAlign w:val="bottom"/>
          </w:tcPr>
          <w:p>
            <w:pPr>
              <w:pStyle w:val="TableContents"/>
              <w:spacing w:lineRule="auto" w:line="300" w:before="0" w:after="0"/>
              <w:ind w:left="540" w:right="0" w:hanging="180"/>
              <w:jc w:val="left"/>
              <w:rPr>
                <w:rFonts w:ascii="Times New Roman" w:hAnsi="Times New Roman"/>
                <w:sz w:val="20"/>
              </w:rPr>
            </w:pPr>
            <w:r>
              <w:rPr>
                <w:rFonts w:ascii="Times New Roman" w:hAnsi="Times New Roman"/>
                <w:sz w:val="20"/>
              </w:rPr>
              <w:t>Costs of sales of condominium units</w:t>
            </w:r>
          </w:p>
        </w:tc>
        <w:tc>
          <w:tcPr>
            <w:tcW w:w="191" w:type="dxa"/>
            <w:tcBorders/>
            <w:shd w:fill="CCEEFF" w:val="clear"/>
            <w:tcMar>
              <w:bottom w:w="0" w:type="dxa"/>
            </w:tcMar>
            <w:vAlign w:val="center"/>
          </w:tcPr>
          <w:p>
            <w:pPr>
              <w:pStyle w:val="TableContents"/>
              <w:spacing w:before="0" w:after="283"/>
              <w:rPr/>
            </w:pPr>
            <w:r>
              <w:rPr/>
              <w:t> </w:t>
            </w:r>
          </w:p>
        </w:tc>
        <w:tc>
          <w:tcPr>
            <w:tcW w:w="141" w:type="dxa"/>
            <w:tcBorders/>
            <w:shd w:fill="CCEEFF" w:val="clear"/>
            <w:tcMar>
              <w:bottom w:w="0" w:type="dxa"/>
            </w:tcMar>
            <w:vAlign w:val="bottom"/>
          </w:tcPr>
          <w:p>
            <w:pPr>
              <w:pStyle w:val="TableContents"/>
              <w:spacing w:before="0" w:after="283"/>
              <w:jc w:val="left"/>
              <w:rPr/>
            </w:pPr>
            <w:r>
              <w:rPr/>
              <w:t> </w:t>
            </w:r>
          </w:p>
        </w:tc>
        <w:tc>
          <w:tcPr>
            <w:tcW w:w="1210"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75,382</w:t>
            </w:r>
          </w:p>
        </w:tc>
        <w:tc>
          <w:tcPr>
            <w:tcW w:w="201" w:type="dxa"/>
            <w:tcBorders/>
            <w:shd w:fill="CCEEFF" w:val="clear"/>
            <w:tcMar>
              <w:bottom w:w="0" w:type="dxa"/>
            </w:tcMar>
            <w:vAlign w:val="bottom"/>
          </w:tcPr>
          <w:p>
            <w:pPr>
              <w:pStyle w:val="TableContents"/>
              <w:spacing w:before="0" w:after="283"/>
              <w:jc w:val="left"/>
              <w:rPr/>
            </w:pPr>
            <w:r>
              <w:rPr/>
              <w:t> </w:t>
            </w:r>
          </w:p>
        </w:tc>
        <w:tc>
          <w:tcPr>
            <w:tcW w:w="155" w:type="dxa"/>
            <w:tcBorders/>
            <w:shd w:fill="CCEEFF" w:val="clear"/>
            <w:tcMar>
              <w:bottom w:w="0" w:type="dxa"/>
            </w:tcMar>
            <w:vAlign w:val="bottom"/>
          </w:tcPr>
          <w:p>
            <w:pPr>
              <w:pStyle w:val="TableContents"/>
              <w:spacing w:before="0" w:after="283"/>
              <w:jc w:val="left"/>
              <w:rPr/>
            </w:pPr>
            <w:r>
              <w:rPr/>
              <w:t> </w:t>
            </w:r>
          </w:p>
        </w:tc>
        <w:tc>
          <w:tcPr>
            <w:tcW w:w="1281"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201" w:type="dxa"/>
            <w:tcBorders/>
            <w:shd w:fill="CCEEFF" w:val="clear"/>
            <w:tcMar>
              <w:bottom w:w="0" w:type="dxa"/>
            </w:tcMar>
            <w:vAlign w:val="bottom"/>
          </w:tcPr>
          <w:p>
            <w:pPr>
              <w:pStyle w:val="TableContents"/>
              <w:spacing w:before="0" w:after="283"/>
              <w:jc w:val="left"/>
              <w:rPr/>
            </w:pPr>
            <w:r>
              <w:rPr/>
              <w:t> </w:t>
            </w:r>
          </w:p>
        </w:tc>
        <w:tc>
          <w:tcPr>
            <w:tcW w:w="155" w:type="dxa"/>
            <w:tcBorders/>
            <w:shd w:fill="CCEEFF" w:val="clear"/>
            <w:tcMar>
              <w:bottom w:w="0" w:type="dxa"/>
            </w:tcMar>
            <w:vAlign w:val="bottom"/>
          </w:tcPr>
          <w:p>
            <w:pPr>
              <w:pStyle w:val="TableContents"/>
              <w:spacing w:before="0" w:after="283"/>
              <w:jc w:val="left"/>
              <w:rPr/>
            </w:pPr>
            <w:r>
              <w:rPr/>
              <w:t> </w:t>
            </w:r>
          </w:p>
        </w:tc>
        <w:tc>
          <w:tcPr>
            <w:tcW w:w="1281"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132" w:type="dxa"/>
            <w:tcBorders/>
            <w:shd w:fill="CCEEFF" w:val="clear"/>
            <w:tcMar>
              <w:bottom w:w="0" w:type="dxa"/>
            </w:tcMar>
            <w:vAlign w:val="bottom"/>
          </w:tcPr>
          <w:p>
            <w:pPr>
              <w:pStyle w:val="TableContents"/>
              <w:spacing w:before="0" w:after="283"/>
              <w:jc w:val="left"/>
              <w:rPr/>
            </w:pPr>
            <w:r>
              <w:rPr/>
              <w:t> </w:t>
            </w:r>
          </w:p>
        </w:tc>
      </w:tr>
      <w:tr>
        <w:trPr/>
        <w:tc>
          <w:tcPr>
            <w:tcW w:w="5257" w:type="dxa"/>
            <w:tcBorders/>
            <w:shd w:fill="FFFFFF" w:val="clear"/>
            <w:tcMar>
              <w:bottom w:w="0" w:type="dxa"/>
            </w:tcMar>
            <w:vAlign w:val="bottom"/>
          </w:tcPr>
          <w:p>
            <w:pPr>
              <w:pStyle w:val="TableContents"/>
              <w:spacing w:lineRule="auto" w:line="300" w:before="0" w:after="0"/>
              <w:ind w:left="540" w:right="0" w:hanging="180"/>
              <w:jc w:val="left"/>
              <w:rPr/>
            </w:pPr>
            <w:r>
              <w:rPr>
                <w:rStyle w:val="Emphasis"/>
                <w:rFonts w:ascii="Times New Roman" w:hAnsi="Times New Roman"/>
                <w:sz w:val="20"/>
              </w:rPr>
              <w:t>Changes in assets and liabilities:</w:t>
            </w:r>
          </w:p>
        </w:tc>
        <w:tc>
          <w:tcPr>
            <w:tcW w:w="191" w:type="dxa"/>
            <w:tcBorders/>
            <w:shd w:fill="FFFFFF" w:val="clear"/>
            <w:tcMar>
              <w:bottom w:w="0" w:type="dxa"/>
            </w:tcMar>
            <w:vAlign w:val="center"/>
          </w:tcPr>
          <w:p>
            <w:pPr>
              <w:pStyle w:val="TableContents"/>
              <w:spacing w:before="0" w:after="283"/>
              <w:rPr/>
            </w:pPr>
            <w:r>
              <w:rPr/>
              <w:t> </w:t>
            </w:r>
          </w:p>
        </w:tc>
        <w:tc>
          <w:tcPr>
            <w:tcW w:w="141" w:type="dxa"/>
            <w:tcBorders/>
            <w:shd w:fill="FFFFFF" w:val="clear"/>
            <w:tcMar>
              <w:bottom w:w="0" w:type="dxa"/>
            </w:tcMar>
            <w:vAlign w:val="bottom"/>
          </w:tcPr>
          <w:p>
            <w:pPr>
              <w:pStyle w:val="TableContents"/>
              <w:spacing w:before="0" w:after="283"/>
              <w:jc w:val="left"/>
              <w:rPr/>
            </w:pPr>
            <w:r>
              <w:rPr/>
              <w:t> </w:t>
            </w:r>
          </w:p>
        </w:tc>
        <w:tc>
          <w:tcPr>
            <w:tcW w:w="1210" w:type="dxa"/>
            <w:tcBorders/>
            <w:shd w:fill="FFFFFF" w:val="clear"/>
            <w:tcMar>
              <w:bottom w:w="0" w:type="dxa"/>
            </w:tcMar>
            <w:vAlign w:val="bottom"/>
          </w:tcPr>
          <w:p>
            <w:pPr>
              <w:pStyle w:val="TableContents"/>
              <w:spacing w:before="0" w:after="283"/>
              <w:jc w:val="right"/>
              <w:rPr/>
            </w:pPr>
            <w:r>
              <w:rPr/>
              <w:t> </w:t>
            </w:r>
          </w:p>
        </w:tc>
        <w:tc>
          <w:tcPr>
            <w:tcW w:w="201" w:type="dxa"/>
            <w:tcBorders/>
            <w:shd w:fill="FFFFFF" w:val="clear"/>
            <w:tcMar>
              <w:bottom w:w="0" w:type="dxa"/>
            </w:tcMar>
            <w:vAlign w:val="bottom"/>
          </w:tcPr>
          <w:p>
            <w:pPr>
              <w:pStyle w:val="TableContents"/>
              <w:spacing w:before="0" w:after="283"/>
              <w:jc w:val="left"/>
              <w:rPr/>
            </w:pPr>
            <w:r>
              <w:rPr/>
              <w:t> </w:t>
            </w:r>
          </w:p>
        </w:tc>
        <w:tc>
          <w:tcPr>
            <w:tcW w:w="155" w:type="dxa"/>
            <w:tcBorders/>
            <w:shd w:fill="FFFFFF" w:val="clear"/>
            <w:tcMar>
              <w:bottom w:w="0" w:type="dxa"/>
            </w:tcMar>
            <w:vAlign w:val="bottom"/>
          </w:tcPr>
          <w:p>
            <w:pPr>
              <w:pStyle w:val="TableContents"/>
              <w:spacing w:before="0" w:after="283"/>
              <w:jc w:val="left"/>
              <w:rPr/>
            </w:pPr>
            <w:r>
              <w:rPr/>
              <w:t> </w:t>
            </w:r>
          </w:p>
        </w:tc>
        <w:tc>
          <w:tcPr>
            <w:tcW w:w="1281" w:type="dxa"/>
            <w:tcBorders/>
            <w:shd w:fill="FFFFFF" w:val="clear"/>
            <w:tcMar>
              <w:bottom w:w="0" w:type="dxa"/>
            </w:tcMar>
            <w:vAlign w:val="bottom"/>
          </w:tcPr>
          <w:p>
            <w:pPr>
              <w:pStyle w:val="TableContents"/>
              <w:spacing w:before="0" w:after="283"/>
              <w:jc w:val="right"/>
              <w:rPr/>
            </w:pPr>
            <w:r>
              <w:rPr/>
              <w:t> </w:t>
            </w:r>
          </w:p>
        </w:tc>
        <w:tc>
          <w:tcPr>
            <w:tcW w:w="201" w:type="dxa"/>
            <w:tcBorders/>
            <w:shd w:fill="FFFFFF" w:val="clear"/>
            <w:tcMar>
              <w:bottom w:w="0" w:type="dxa"/>
            </w:tcMar>
            <w:vAlign w:val="bottom"/>
          </w:tcPr>
          <w:p>
            <w:pPr>
              <w:pStyle w:val="TableContents"/>
              <w:spacing w:before="0" w:after="283"/>
              <w:jc w:val="left"/>
              <w:rPr/>
            </w:pPr>
            <w:r>
              <w:rPr/>
              <w:t> </w:t>
            </w:r>
          </w:p>
        </w:tc>
        <w:tc>
          <w:tcPr>
            <w:tcW w:w="155" w:type="dxa"/>
            <w:tcBorders/>
            <w:shd w:fill="FFFFFF" w:val="clear"/>
            <w:tcMar>
              <w:bottom w:w="0" w:type="dxa"/>
            </w:tcMar>
            <w:vAlign w:val="bottom"/>
          </w:tcPr>
          <w:p>
            <w:pPr>
              <w:pStyle w:val="TableContents"/>
              <w:spacing w:before="0" w:after="283"/>
              <w:jc w:val="left"/>
              <w:rPr/>
            </w:pPr>
            <w:r>
              <w:rPr/>
              <w:t> </w:t>
            </w:r>
          </w:p>
        </w:tc>
        <w:tc>
          <w:tcPr>
            <w:tcW w:w="1281" w:type="dxa"/>
            <w:tcBorders/>
            <w:shd w:fill="FFFFFF" w:val="clear"/>
            <w:tcMar>
              <w:bottom w:w="0" w:type="dxa"/>
            </w:tcMar>
            <w:vAlign w:val="bottom"/>
          </w:tcPr>
          <w:p>
            <w:pPr>
              <w:pStyle w:val="TableContents"/>
              <w:spacing w:before="0" w:after="283"/>
              <w:jc w:val="right"/>
              <w:rPr/>
            </w:pPr>
            <w:r>
              <w:rPr/>
              <w:t> </w:t>
            </w:r>
          </w:p>
        </w:tc>
        <w:tc>
          <w:tcPr>
            <w:tcW w:w="132" w:type="dxa"/>
            <w:tcBorders/>
            <w:shd w:fill="FFFFFF" w:val="clear"/>
            <w:tcMar>
              <w:bottom w:w="0" w:type="dxa"/>
            </w:tcMar>
            <w:vAlign w:val="bottom"/>
          </w:tcPr>
          <w:p>
            <w:pPr>
              <w:pStyle w:val="TableContents"/>
              <w:spacing w:before="0" w:after="283"/>
              <w:jc w:val="left"/>
              <w:rPr/>
            </w:pPr>
            <w:r>
              <w:rPr/>
              <w:t> </w:t>
            </w:r>
          </w:p>
        </w:tc>
      </w:tr>
      <w:tr>
        <w:trPr/>
        <w:tc>
          <w:tcPr>
            <w:tcW w:w="5257" w:type="dxa"/>
            <w:tcBorders/>
            <w:shd w:fill="CCEEFF" w:val="clear"/>
            <w:tcMar>
              <w:bottom w:w="0" w:type="dxa"/>
            </w:tcMar>
            <w:vAlign w:val="bottom"/>
          </w:tcPr>
          <w:p>
            <w:pPr>
              <w:pStyle w:val="TableContents"/>
              <w:spacing w:before="0" w:after="283"/>
              <w:jc w:val="left"/>
              <w:rPr/>
            </w:pPr>
            <w:r>
              <w:rPr/>
              <w:t> </w:t>
            </w:r>
          </w:p>
        </w:tc>
        <w:tc>
          <w:tcPr>
            <w:tcW w:w="191" w:type="dxa"/>
            <w:tcBorders/>
            <w:shd w:fill="CCEEFF" w:val="clear"/>
            <w:tcMar>
              <w:bottom w:w="0" w:type="dxa"/>
            </w:tcMar>
            <w:vAlign w:val="center"/>
          </w:tcPr>
          <w:p>
            <w:pPr>
              <w:pStyle w:val="TableContents"/>
              <w:spacing w:before="0" w:after="283"/>
              <w:rPr/>
            </w:pPr>
            <w:r>
              <w:rPr/>
              <w:t> </w:t>
            </w:r>
          </w:p>
        </w:tc>
        <w:tc>
          <w:tcPr>
            <w:tcW w:w="141" w:type="dxa"/>
            <w:tcBorders/>
            <w:shd w:fill="CCEEFF" w:val="clear"/>
            <w:tcMar>
              <w:bottom w:w="0" w:type="dxa"/>
            </w:tcMar>
            <w:vAlign w:val="bottom"/>
          </w:tcPr>
          <w:p>
            <w:pPr>
              <w:pStyle w:val="TableContents"/>
              <w:spacing w:before="0" w:after="283"/>
              <w:jc w:val="left"/>
              <w:rPr/>
            </w:pPr>
            <w:r>
              <w:rPr/>
              <w:t> </w:t>
            </w:r>
          </w:p>
        </w:tc>
        <w:tc>
          <w:tcPr>
            <w:tcW w:w="1210" w:type="dxa"/>
            <w:tcBorders/>
            <w:shd w:fill="CCEEFF" w:val="clear"/>
            <w:tcMar>
              <w:bottom w:w="0" w:type="dxa"/>
            </w:tcMar>
            <w:vAlign w:val="bottom"/>
          </w:tcPr>
          <w:p>
            <w:pPr>
              <w:pStyle w:val="TableContents"/>
              <w:spacing w:before="0" w:after="283"/>
              <w:jc w:val="right"/>
              <w:rPr/>
            </w:pPr>
            <w:r>
              <w:rPr/>
              <w:t> </w:t>
            </w:r>
          </w:p>
        </w:tc>
        <w:tc>
          <w:tcPr>
            <w:tcW w:w="201" w:type="dxa"/>
            <w:tcBorders/>
            <w:shd w:fill="CCEEFF" w:val="clear"/>
            <w:tcMar>
              <w:bottom w:w="0" w:type="dxa"/>
            </w:tcMar>
            <w:vAlign w:val="bottom"/>
          </w:tcPr>
          <w:p>
            <w:pPr>
              <w:pStyle w:val="TableContents"/>
              <w:spacing w:before="0" w:after="283"/>
              <w:jc w:val="left"/>
              <w:rPr/>
            </w:pPr>
            <w:r>
              <w:rPr/>
              <w:t> </w:t>
            </w:r>
          </w:p>
        </w:tc>
        <w:tc>
          <w:tcPr>
            <w:tcW w:w="155" w:type="dxa"/>
            <w:tcBorders/>
            <w:shd w:fill="CCEEFF" w:val="clear"/>
            <w:tcMar>
              <w:bottom w:w="0" w:type="dxa"/>
            </w:tcMar>
            <w:vAlign w:val="bottom"/>
          </w:tcPr>
          <w:p>
            <w:pPr>
              <w:pStyle w:val="TableContents"/>
              <w:spacing w:before="0" w:after="283"/>
              <w:jc w:val="left"/>
              <w:rPr/>
            </w:pPr>
            <w:r>
              <w:rPr/>
              <w:t> </w:t>
            </w:r>
          </w:p>
        </w:tc>
        <w:tc>
          <w:tcPr>
            <w:tcW w:w="1281" w:type="dxa"/>
            <w:tcBorders/>
            <w:shd w:fill="CCEEFF" w:val="clear"/>
            <w:tcMar>
              <w:bottom w:w="0" w:type="dxa"/>
            </w:tcMar>
            <w:vAlign w:val="bottom"/>
          </w:tcPr>
          <w:p>
            <w:pPr>
              <w:pStyle w:val="TableContents"/>
              <w:spacing w:before="0" w:after="283"/>
              <w:jc w:val="right"/>
              <w:rPr/>
            </w:pPr>
            <w:r>
              <w:rPr/>
              <w:t> </w:t>
            </w:r>
          </w:p>
        </w:tc>
        <w:tc>
          <w:tcPr>
            <w:tcW w:w="201" w:type="dxa"/>
            <w:tcBorders/>
            <w:shd w:fill="CCEEFF" w:val="clear"/>
            <w:tcMar>
              <w:bottom w:w="0" w:type="dxa"/>
            </w:tcMar>
            <w:vAlign w:val="bottom"/>
          </w:tcPr>
          <w:p>
            <w:pPr>
              <w:pStyle w:val="TableContents"/>
              <w:spacing w:before="0" w:after="283"/>
              <w:jc w:val="left"/>
              <w:rPr/>
            </w:pPr>
            <w:r>
              <w:rPr/>
              <w:t> </w:t>
            </w:r>
          </w:p>
        </w:tc>
        <w:tc>
          <w:tcPr>
            <w:tcW w:w="155" w:type="dxa"/>
            <w:tcBorders/>
            <w:shd w:fill="CCEEFF" w:val="clear"/>
            <w:tcMar>
              <w:bottom w:w="0" w:type="dxa"/>
            </w:tcMar>
            <w:vAlign w:val="bottom"/>
          </w:tcPr>
          <w:p>
            <w:pPr>
              <w:pStyle w:val="TableContents"/>
              <w:spacing w:before="0" w:after="283"/>
              <w:jc w:val="left"/>
              <w:rPr/>
            </w:pPr>
            <w:r>
              <w:rPr/>
              <w:t> </w:t>
            </w:r>
          </w:p>
        </w:tc>
        <w:tc>
          <w:tcPr>
            <w:tcW w:w="1281" w:type="dxa"/>
            <w:tcBorders/>
            <w:shd w:fill="CCEEFF" w:val="clear"/>
            <w:tcMar>
              <w:bottom w:w="0" w:type="dxa"/>
            </w:tcMar>
            <w:vAlign w:val="bottom"/>
          </w:tcPr>
          <w:p>
            <w:pPr>
              <w:pStyle w:val="TableContents"/>
              <w:spacing w:before="0" w:after="283"/>
              <w:jc w:val="right"/>
              <w:rPr/>
            </w:pPr>
            <w:r>
              <w:rPr/>
              <w:t> </w:t>
            </w:r>
          </w:p>
        </w:tc>
        <w:tc>
          <w:tcPr>
            <w:tcW w:w="132" w:type="dxa"/>
            <w:tcBorders/>
            <w:shd w:fill="CCEEFF" w:val="clear"/>
            <w:tcMar>
              <w:bottom w:w="0" w:type="dxa"/>
            </w:tcMar>
            <w:vAlign w:val="bottom"/>
          </w:tcPr>
          <w:p>
            <w:pPr>
              <w:pStyle w:val="TableContents"/>
              <w:spacing w:before="0" w:after="283"/>
              <w:jc w:val="left"/>
              <w:rPr/>
            </w:pPr>
            <w:r>
              <w:rPr/>
              <w:t> </w:t>
            </w:r>
          </w:p>
        </w:tc>
      </w:tr>
      <w:tr>
        <w:trPr/>
        <w:tc>
          <w:tcPr>
            <w:tcW w:w="5257" w:type="dxa"/>
            <w:tcBorders/>
            <w:shd w:fill="FFFFFF" w:val="clear"/>
            <w:tcMar>
              <w:bottom w:w="0" w:type="dxa"/>
            </w:tcMar>
            <w:vAlign w:val="bottom"/>
          </w:tcPr>
          <w:p>
            <w:pPr>
              <w:pStyle w:val="TableContents"/>
              <w:spacing w:lineRule="auto" w:line="300" w:before="0" w:after="0"/>
              <w:ind w:left="900" w:right="0" w:hanging="180"/>
              <w:jc w:val="left"/>
              <w:rPr>
                <w:rFonts w:ascii="Times New Roman" w:hAnsi="Times New Roman"/>
                <w:sz w:val="20"/>
              </w:rPr>
            </w:pPr>
            <w:bookmarkStart w:id="4626" w:name="TAB12309"/>
            <w:bookmarkEnd w:id="4626"/>
            <w:r>
              <w:rPr>
                <w:rFonts w:ascii="Times New Roman" w:hAnsi="Times New Roman"/>
                <w:sz w:val="20"/>
              </w:rPr>
              <w:t>Acquisition of land</w:t>
            </w:r>
          </w:p>
        </w:tc>
        <w:tc>
          <w:tcPr>
            <w:tcW w:w="191" w:type="dxa"/>
            <w:tcBorders/>
            <w:shd w:fill="FFFFFF" w:val="clear"/>
            <w:tcMar>
              <w:bottom w:w="0" w:type="dxa"/>
            </w:tcMar>
            <w:vAlign w:val="center"/>
          </w:tcPr>
          <w:p>
            <w:pPr>
              <w:pStyle w:val="TableContents"/>
              <w:spacing w:before="0" w:after="283"/>
              <w:rPr/>
            </w:pPr>
            <w:r>
              <w:rPr/>
              <w:t> </w:t>
            </w:r>
          </w:p>
        </w:tc>
        <w:tc>
          <w:tcPr>
            <w:tcW w:w="141" w:type="dxa"/>
            <w:tcBorders/>
            <w:shd w:fill="FFFFFF" w:val="clear"/>
            <w:tcMar>
              <w:bottom w:w="0" w:type="dxa"/>
            </w:tcMar>
            <w:vAlign w:val="bottom"/>
          </w:tcPr>
          <w:p>
            <w:pPr>
              <w:pStyle w:val="TableContents"/>
              <w:spacing w:before="0" w:after="283"/>
              <w:jc w:val="left"/>
              <w:rPr/>
            </w:pPr>
            <w:r>
              <w:rPr/>
              <w:t> </w:t>
            </w:r>
          </w:p>
        </w:tc>
        <w:tc>
          <w:tcPr>
            <w:tcW w:w="1210"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201" w:type="dxa"/>
            <w:tcBorders/>
            <w:shd w:fill="FFFFFF" w:val="clear"/>
            <w:tcMar>
              <w:bottom w:w="0" w:type="dxa"/>
            </w:tcMar>
            <w:vAlign w:val="bottom"/>
          </w:tcPr>
          <w:p>
            <w:pPr>
              <w:pStyle w:val="TableContents"/>
              <w:spacing w:before="0" w:after="283"/>
              <w:jc w:val="left"/>
              <w:rPr/>
            </w:pPr>
            <w:r>
              <w:rPr/>
              <w:t> </w:t>
            </w:r>
          </w:p>
        </w:tc>
        <w:tc>
          <w:tcPr>
            <w:tcW w:w="155" w:type="dxa"/>
            <w:tcBorders/>
            <w:shd w:fill="FFFFFF" w:val="clear"/>
            <w:tcMar>
              <w:bottom w:w="0" w:type="dxa"/>
            </w:tcMar>
            <w:vAlign w:val="bottom"/>
          </w:tcPr>
          <w:p>
            <w:pPr>
              <w:pStyle w:val="TableContents"/>
              <w:spacing w:before="0" w:after="283"/>
              <w:jc w:val="left"/>
              <w:rPr/>
            </w:pPr>
            <w:r>
              <w:rPr/>
              <w:t> </w:t>
            </w:r>
          </w:p>
        </w:tc>
        <w:tc>
          <w:tcPr>
            <w:tcW w:w="1281"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(2,160</w:t>
            </w:r>
          </w:p>
        </w:tc>
        <w:tc>
          <w:tcPr>
            <w:tcW w:w="201"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55" w:type="dxa"/>
            <w:tcBorders/>
            <w:shd w:fill="FFFFFF" w:val="clear"/>
            <w:tcMar>
              <w:bottom w:w="0" w:type="dxa"/>
            </w:tcMar>
            <w:vAlign w:val="bottom"/>
          </w:tcPr>
          <w:p>
            <w:pPr>
              <w:pStyle w:val="TableContents"/>
              <w:spacing w:before="0" w:after="283"/>
              <w:jc w:val="left"/>
              <w:rPr/>
            </w:pPr>
            <w:r>
              <w:rPr/>
              <w:t> </w:t>
            </w:r>
          </w:p>
        </w:tc>
        <w:tc>
          <w:tcPr>
            <w:tcW w:w="1281"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(600</w:t>
            </w:r>
          </w:p>
        </w:tc>
        <w:tc>
          <w:tcPr>
            <w:tcW w:w="132"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r>
      <w:tr>
        <w:trPr/>
        <w:tc>
          <w:tcPr>
            <w:tcW w:w="5257" w:type="dxa"/>
            <w:tcBorders/>
            <w:shd w:fill="CCEEFF" w:val="clear"/>
            <w:tcMar>
              <w:bottom w:w="0" w:type="dxa"/>
            </w:tcMar>
            <w:vAlign w:val="bottom"/>
          </w:tcPr>
          <w:p>
            <w:pPr>
              <w:pStyle w:val="TableContents"/>
              <w:spacing w:lineRule="auto" w:line="300" w:before="0" w:after="0"/>
              <w:ind w:left="900" w:right="0" w:hanging="180"/>
              <w:jc w:val="left"/>
              <w:rPr>
                <w:rFonts w:ascii="Times New Roman" w:hAnsi="Times New Roman"/>
                <w:sz w:val="20"/>
              </w:rPr>
            </w:pPr>
            <w:bookmarkStart w:id="4627" w:name="TAB12310"/>
            <w:bookmarkEnd w:id="4627"/>
            <w:r>
              <w:rPr>
                <w:rFonts w:ascii="Times New Roman" w:hAnsi="Times New Roman"/>
                <w:sz w:val="20"/>
              </w:rPr>
              <w:t>Additions to land, construction and development costs</w:t>
            </w:r>
          </w:p>
        </w:tc>
        <w:tc>
          <w:tcPr>
            <w:tcW w:w="191" w:type="dxa"/>
            <w:tcBorders/>
            <w:shd w:fill="CCEEFF" w:val="clear"/>
            <w:tcMar>
              <w:bottom w:w="0" w:type="dxa"/>
            </w:tcMar>
            <w:vAlign w:val="center"/>
          </w:tcPr>
          <w:p>
            <w:pPr>
              <w:pStyle w:val="TableContents"/>
              <w:spacing w:before="0" w:after="283"/>
              <w:rPr/>
            </w:pPr>
            <w:r>
              <w:rPr/>
              <w:t> </w:t>
            </w:r>
          </w:p>
        </w:tc>
        <w:tc>
          <w:tcPr>
            <w:tcW w:w="141" w:type="dxa"/>
            <w:tcBorders/>
            <w:shd w:fill="CCEEFF" w:val="clear"/>
            <w:tcMar>
              <w:bottom w:w="0" w:type="dxa"/>
            </w:tcMar>
            <w:vAlign w:val="bottom"/>
          </w:tcPr>
          <w:p>
            <w:pPr>
              <w:pStyle w:val="TableContents"/>
              <w:spacing w:before="0" w:after="283"/>
              <w:jc w:val="left"/>
              <w:rPr/>
            </w:pPr>
            <w:r>
              <w:rPr/>
              <w:t> </w:t>
            </w:r>
          </w:p>
        </w:tc>
        <w:tc>
          <w:tcPr>
            <w:tcW w:w="1210"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(19,689</w:t>
            </w:r>
          </w:p>
        </w:tc>
        <w:tc>
          <w:tcPr>
            <w:tcW w:w="201"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55" w:type="dxa"/>
            <w:tcBorders/>
            <w:shd w:fill="CCEEFF" w:val="clear"/>
            <w:tcMar>
              <w:bottom w:w="0" w:type="dxa"/>
            </w:tcMar>
            <w:vAlign w:val="bottom"/>
          </w:tcPr>
          <w:p>
            <w:pPr>
              <w:pStyle w:val="TableContents"/>
              <w:spacing w:before="0" w:after="283"/>
              <w:jc w:val="left"/>
              <w:rPr/>
            </w:pPr>
            <w:r>
              <w:rPr/>
              <w:t> </w:t>
            </w:r>
          </w:p>
        </w:tc>
        <w:tc>
          <w:tcPr>
            <w:tcW w:w="1281"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(38,446</w:t>
            </w:r>
          </w:p>
        </w:tc>
        <w:tc>
          <w:tcPr>
            <w:tcW w:w="201"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55" w:type="dxa"/>
            <w:tcBorders/>
            <w:shd w:fill="CCEEFF" w:val="clear"/>
            <w:tcMar>
              <w:bottom w:w="0" w:type="dxa"/>
            </w:tcMar>
            <w:vAlign w:val="bottom"/>
          </w:tcPr>
          <w:p>
            <w:pPr>
              <w:pStyle w:val="TableContents"/>
              <w:spacing w:before="0" w:after="283"/>
              <w:jc w:val="left"/>
              <w:rPr/>
            </w:pPr>
            <w:r>
              <w:rPr/>
              <w:t> </w:t>
            </w:r>
          </w:p>
        </w:tc>
        <w:tc>
          <w:tcPr>
            <w:tcW w:w="1281"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(8,376</w:t>
            </w:r>
          </w:p>
        </w:tc>
        <w:tc>
          <w:tcPr>
            <w:tcW w:w="132"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r>
      <w:tr>
        <w:trPr/>
        <w:tc>
          <w:tcPr>
            <w:tcW w:w="5257" w:type="dxa"/>
            <w:tcBorders/>
            <w:shd w:fill="FFFFFF" w:val="clear"/>
            <w:tcMar>
              <w:bottom w:w="0" w:type="dxa"/>
            </w:tcMar>
            <w:vAlign w:val="bottom"/>
          </w:tcPr>
          <w:p>
            <w:pPr>
              <w:pStyle w:val="TableContents"/>
              <w:spacing w:lineRule="auto" w:line="300" w:before="0" w:after="0"/>
              <w:ind w:left="900" w:right="0" w:hanging="180"/>
              <w:jc w:val="left"/>
              <w:rPr>
                <w:rFonts w:ascii="Times New Roman" w:hAnsi="Times New Roman"/>
                <w:sz w:val="20"/>
              </w:rPr>
            </w:pPr>
            <w:bookmarkStart w:id="4628" w:name="TAB12311"/>
            <w:bookmarkEnd w:id="4628"/>
            <w:r>
              <w:rPr>
                <w:rFonts w:ascii="Times New Roman" w:hAnsi="Times New Roman"/>
                <w:sz w:val="20"/>
              </w:rPr>
              <w:t>Inclusionary air rights</w:t>
            </w:r>
          </w:p>
        </w:tc>
        <w:tc>
          <w:tcPr>
            <w:tcW w:w="191" w:type="dxa"/>
            <w:tcBorders/>
            <w:shd w:fill="FFFFFF" w:val="clear"/>
            <w:tcMar>
              <w:bottom w:w="0" w:type="dxa"/>
            </w:tcMar>
            <w:vAlign w:val="center"/>
          </w:tcPr>
          <w:p>
            <w:pPr>
              <w:pStyle w:val="TableContents"/>
              <w:spacing w:before="0" w:after="283"/>
              <w:rPr/>
            </w:pPr>
            <w:r>
              <w:rPr/>
              <w:t> </w:t>
            </w:r>
          </w:p>
        </w:tc>
        <w:tc>
          <w:tcPr>
            <w:tcW w:w="141" w:type="dxa"/>
            <w:tcBorders/>
            <w:shd w:fill="FFFFFF" w:val="clear"/>
            <w:tcMar>
              <w:bottom w:w="0" w:type="dxa"/>
            </w:tcMar>
            <w:vAlign w:val="bottom"/>
          </w:tcPr>
          <w:p>
            <w:pPr>
              <w:pStyle w:val="TableContents"/>
              <w:spacing w:before="0" w:after="283"/>
              <w:jc w:val="left"/>
              <w:rPr/>
            </w:pPr>
            <w:r>
              <w:rPr/>
              <w:t> </w:t>
            </w:r>
          </w:p>
        </w:tc>
        <w:tc>
          <w:tcPr>
            <w:tcW w:w="1210"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201" w:type="dxa"/>
            <w:tcBorders/>
            <w:shd w:fill="FFFFFF" w:val="clear"/>
            <w:tcMar>
              <w:bottom w:w="0" w:type="dxa"/>
            </w:tcMar>
            <w:vAlign w:val="bottom"/>
          </w:tcPr>
          <w:p>
            <w:pPr>
              <w:pStyle w:val="TableContents"/>
              <w:spacing w:before="0" w:after="283"/>
              <w:jc w:val="left"/>
              <w:rPr/>
            </w:pPr>
            <w:r>
              <w:rPr/>
              <w:t> </w:t>
            </w:r>
          </w:p>
        </w:tc>
        <w:tc>
          <w:tcPr>
            <w:tcW w:w="155" w:type="dxa"/>
            <w:tcBorders/>
            <w:shd w:fill="FFFFFF" w:val="clear"/>
            <w:tcMar>
              <w:bottom w:w="0" w:type="dxa"/>
            </w:tcMar>
            <w:vAlign w:val="bottom"/>
          </w:tcPr>
          <w:p>
            <w:pPr>
              <w:pStyle w:val="TableContents"/>
              <w:spacing w:before="0" w:after="283"/>
              <w:jc w:val="left"/>
              <w:rPr/>
            </w:pPr>
            <w:r>
              <w:rPr/>
              <w:t> </w:t>
            </w:r>
          </w:p>
        </w:tc>
        <w:tc>
          <w:tcPr>
            <w:tcW w:w="1281"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(2,500</w:t>
            </w:r>
          </w:p>
        </w:tc>
        <w:tc>
          <w:tcPr>
            <w:tcW w:w="201"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55" w:type="dxa"/>
            <w:tcBorders/>
            <w:shd w:fill="FFFFFF" w:val="clear"/>
            <w:tcMar>
              <w:bottom w:w="0" w:type="dxa"/>
            </w:tcMar>
            <w:vAlign w:val="bottom"/>
          </w:tcPr>
          <w:p>
            <w:pPr>
              <w:pStyle w:val="TableContents"/>
              <w:spacing w:before="0" w:after="283"/>
              <w:jc w:val="left"/>
              <w:rPr/>
            </w:pPr>
            <w:r>
              <w:rPr/>
              <w:t> </w:t>
            </w:r>
          </w:p>
        </w:tc>
        <w:tc>
          <w:tcPr>
            <w:tcW w:w="1281"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(1,213</w:t>
            </w:r>
          </w:p>
        </w:tc>
        <w:tc>
          <w:tcPr>
            <w:tcW w:w="132"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r>
      <w:tr>
        <w:trPr/>
        <w:tc>
          <w:tcPr>
            <w:tcW w:w="5257" w:type="dxa"/>
            <w:tcBorders/>
            <w:shd w:fill="CCEEFF" w:val="clear"/>
            <w:tcMar>
              <w:bottom w:w="0" w:type="dxa"/>
            </w:tcMar>
            <w:vAlign w:val="bottom"/>
          </w:tcPr>
          <w:p>
            <w:pPr>
              <w:pStyle w:val="TableContents"/>
              <w:spacing w:lineRule="auto" w:line="300" w:before="0" w:after="0"/>
              <w:ind w:left="900" w:right="0" w:hanging="180"/>
              <w:jc w:val="left"/>
              <w:rPr>
                <w:rFonts w:ascii="Times New Roman" w:hAnsi="Times New Roman"/>
                <w:sz w:val="20"/>
              </w:rPr>
            </w:pPr>
            <w:bookmarkStart w:id="4629" w:name="TAB12312"/>
            <w:bookmarkEnd w:id="4629"/>
            <w:r>
              <w:rPr>
                <w:rFonts w:ascii="Times New Roman" w:hAnsi="Times New Roman"/>
                <w:sz w:val="20"/>
              </w:rPr>
              <w:t>Deposit for negotiable certificates</w:t>
            </w:r>
          </w:p>
        </w:tc>
        <w:tc>
          <w:tcPr>
            <w:tcW w:w="191" w:type="dxa"/>
            <w:tcBorders/>
            <w:shd w:fill="CCEEFF" w:val="clear"/>
            <w:tcMar>
              <w:bottom w:w="0" w:type="dxa"/>
            </w:tcMar>
            <w:vAlign w:val="center"/>
          </w:tcPr>
          <w:p>
            <w:pPr>
              <w:pStyle w:val="TableContents"/>
              <w:spacing w:before="0" w:after="283"/>
              <w:rPr/>
            </w:pPr>
            <w:r>
              <w:rPr/>
              <w:t> </w:t>
            </w:r>
          </w:p>
        </w:tc>
        <w:tc>
          <w:tcPr>
            <w:tcW w:w="141" w:type="dxa"/>
            <w:tcBorders/>
            <w:shd w:fill="CCEEFF" w:val="clear"/>
            <w:tcMar>
              <w:bottom w:w="0" w:type="dxa"/>
            </w:tcMar>
            <w:vAlign w:val="bottom"/>
          </w:tcPr>
          <w:p>
            <w:pPr>
              <w:pStyle w:val="TableContents"/>
              <w:spacing w:before="0" w:after="283"/>
              <w:jc w:val="left"/>
              <w:rPr/>
            </w:pPr>
            <w:r>
              <w:rPr/>
              <w:t> </w:t>
            </w:r>
          </w:p>
        </w:tc>
        <w:tc>
          <w:tcPr>
            <w:tcW w:w="1210"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201" w:type="dxa"/>
            <w:tcBorders/>
            <w:shd w:fill="CCEEFF" w:val="clear"/>
            <w:tcMar>
              <w:bottom w:w="0" w:type="dxa"/>
            </w:tcMar>
            <w:vAlign w:val="bottom"/>
          </w:tcPr>
          <w:p>
            <w:pPr>
              <w:pStyle w:val="TableContents"/>
              <w:spacing w:before="0" w:after="283"/>
              <w:jc w:val="left"/>
              <w:rPr/>
            </w:pPr>
            <w:r>
              <w:rPr/>
              <w:t> </w:t>
            </w:r>
          </w:p>
        </w:tc>
        <w:tc>
          <w:tcPr>
            <w:tcW w:w="155" w:type="dxa"/>
            <w:tcBorders/>
            <w:shd w:fill="CCEEFF" w:val="clear"/>
            <w:tcMar>
              <w:bottom w:w="0" w:type="dxa"/>
            </w:tcMar>
            <w:vAlign w:val="bottom"/>
          </w:tcPr>
          <w:p>
            <w:pPr>
              <w:pStyle w:val="TableContents"/>
              <w:spacing w:before="0" w:after="283"/>
              <w:jc w:val="left"/>
              <w:rPr/>
            </w:pPr>
            <w:r>
              <w:rPr/>
              <w:t> </w:t>
            </w:r>
          </w:p>
        </w:tc>
        <w:tc>
          <w:tcPr>
            <w:tcW w:w="1281"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201" w:type="dxa"/>
            <w:tcBorders/>
            <w:shd w:fill="CCEEFF" w:val="clear"/>
            <w:tcMar>
              <w:bottom w:w="0" w:type="dxa"/>
            </w:tcMar>
            <w:vAlign w:val="bottom"/>
          </w:tcPr>
          <w:p>
            <w:pPr>
              <w:pStyle w:val="TableContents"/>
              <w:spacing w:before="0" w:after="283"/>
              <w:jc w:val="left"/>
              <w:rPr/>
            </w:pPr>
            <w:r>
              <w:rPr/>
              <w:t> </w:t>
            </w:r>
          </w:p>
        </w:tc>
        <w:tc>
          <w:tcPr>
            <w:tcW w:w="155" w:type="dxa"/>
            <w:tcBorders/>
            <w:shd w:fill="CCEEFF" w:val="clear"/>
            <w:tcMar>
              <w:bottom w:w="0" w:type="dxa"/>
            </w:tcMar>
            <w:vAlign w:val="bottom"/>
          </w:tcPr>
          <w:p>
            <w:pPr>
              <w:pStyle w:val="TableContents"/>
              <w:spacing w:before="0" w:after="283"/>
              <w:jc w:val="left"/>
              <w:rPr/>
            </w:pPr>
            <w:r>
              <w:rPr/>
              <w:t> </w:t>
            </w:r>
          </w:p>
        </w:tc>
        <w:tc>
          <w:tcPr>
            <w:tcW w:w="1281"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61</w:t>
            </w:r>
          </w:p>
        </w:tc>
        <w:tc>
          <w:tcPr>
            <w:tcW w:w="132" w:type="dxa"/>
            <w:tcBorders/>
            <w:shd w:fill="CCEEFF" w:val="clear"/>
            <w:tcMar>
              <w:bottom w:w="0" w:type="dxa"/>
            </w:tcMar>
            <w:vAlign w:val="bottom"/>
          </w:tcPr>
          <w:p>
            <w:pPr>
              <w:pStyle w:val="TableContents"/>
              <w:spacing w:before="0" w:after="283"/>
              <w:jc w:val="left"/>
              <w:rPr/>
            </w:pPr>
            <w:r>
              <w:rPr/>
              <w:t> </w:t>
            </w:r>
          </w:p>
        </w:tc>
      </w:tr>
      <w:tr>
        <w:trPr/>
        <w:tc>
          <w:tcPr>
            <w:tcW w:w="5257" w:type="dxa"/>
            <w:tcBorders/>
            <w:shd w:fill="FFFFFF" w:val="clear"/>
            <w:tcMar>
              <w:bottom w:w="0" w:type="dxa"/>
            </w:tcMar>
            <w:vAlign w:val="bottom"/>
          </w:tcPr>
          <w:p>
            <w:pPr>
              <w:pStyle w:val="TableContents"/>
              <w:spacing w:lineRule="auto" w:line="300" w:before="0" w:after="0"/>
              <w:ind w:left="900" w:right="0" w:hanging="180"/>
              <w:jc w:val="left"/>
              <w:rPr>
                <w:rFonts w:ascii="Times New Roman" w:hAnsi="Times New Roman"/>
                <w:sz w:val="20"/>
              </w:rPr>
            </w:pPr>
            <w:bookmarkStart w:id="4630" w:name="TAB12313"/>
            <w:bookmarkEnd w:id="4630"/>
            <w:r>
              <w:rPr>
                <w:rFonts w:ascii="Times New Roman" w:hAnsi="Times New Roman"/>
                <w:sz w:val="20"/>
              </w:rPr>
              <w:t>Acquisition of negotiable certificates</w:t>
            </w:r>
          </w:p>
        </w:tc>
        <w:tc>
          <w:tcPr>
            <w:tcW w:w="191" w:type="dxa"/>
            <w:tcBorders/>
            <w:shd w:fill="FFFFFF" w:val="clear"/>
            <w:tcMar>
              <w:bottom w:w="0" w:type="dxa"/>
            </w:tcMar>
            <w:vAlign w:val="center"/>
          </w:tcPr>
          <w:p>
            <w:pPr>
              <w:pStyle w:val="TableContents"/>
              <w:spacing w:before="0" w:after="283"/>
              <w:rPr/>
            </w:pPr>
            <w:r>
              <w:rPr/>
              <w:t> </w:t>
            </w:r>
          </w:p>
        </w:tc>
        <w:tc>
          <w:tcPr>
            <w:tcW w:w="141" w:type="dxa"/>
            <w:tcBorders/>
            <w:shd w:fill="FFFFFF" w:val="clear"/>
            <w:tcMar>
              <w:bottom w:w="0" w:type="dxa"/>
            </w:tcMar>
            <w:vAlign w:val="bottom"/>
          </w:tcPr>
          <w:p>
            <w:pPr>
              <w:pStyle w:val="TableContents"/>
              <w:spacing w:before="0" w:after="283"/>
              <w:jc w:val="left"/>
              <w:rPr/>
            </w:pPr>
            <w:r>
              <w:rPr/>
              <w:t> </w:t>
            </w:r>
          </w:p>
        </w:tc>
        <w:tc>
          <w:tcPr>
            <w:tcW w:w="1210"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(643</w:t>
            </w:r>
          </w:p>
        </w:tc>
        <w:tc>
          <w:tcPr>
            <w:tcW w:w="201"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55" w:type="dxa"/>
            <w:tcBorders/>
            <w:shd w:fill="FFFFFF" w:val="clear"/>
            <w:tcMar>
              <w:bottom w:w="0" w:type="dxa"/>
            </w:tcMar>
            <w:vAlign w:val="bottom"/>
          </w:tcPr>
          <w:p>
            <w:pPr>
              <w:pStyle w:val="TableContents"/>
              <w:spacing w:before="0" w:after="283"/>
              <w:jc w:val="left"/>
              <w:rPr/>
            </w:pPr>
            <w:r>
              <w:rPr/>
              <w:t> </w:t>
            </w:r>
          </w:p>
        </w:tc>
        <w:tc>
          <w:tcPr>
            <w:tcW w:w="1281"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(863</w:t>
            </w:r>
          </w:p>
        </w:tc>
        <w:tc>
          <w:tcPr>
            <w:tcW w:w="201"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55" w:type="dxa"/>
            <w:tcBorders/>
            <w:shd w:fill="FFFFFF" w:val="clear"/>
            <w:tcMar>
              <w:bottom w:w="0" w:type="dxa"/>
            </w:tcMar>
            <w:vAlign w:val="bottom"/>
          </w:tcPr>
          <w:p>
            <w:pPr>
              <w:pStyle w:val="TableContents"/>
              <w:spacing w:before="0" w:after="283"/>
              <w:jc w:val="left"/>
              <w:rPr/>
            </w:pPr>
            <w:r>
              <w:rPr/>
              <w:t> </w:t>
            </w:r>
          </w:p>
        </w:tc>
        <w:tc>
          <w:tcPr>
            <w:tcW w:w="1281"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132" w:type="dxa"/>
            <w:tcBorders/>
            <w:shd w:fill="FFFFFF" w:val="clear"/>
            <w:tcMar>
              <w:bottom w:w="0" w:type="dxa"/>
            </w:tcMar>
            <w:vAlign w:val="bottom"/>
          </w:tcPr>
          <w:p>
            <w:pPr>
              <w:pStyle w:val="TableContents"/>
              <w:spacing w:before="0" w:after="283"/>
              <w:jc w:val="left"/>
              <w:rPr/>
            </w:pPr>
            <w:r>
              <w:rPr/>
              <w:t> </w:t>
            </w:r>
          </w:p>
        </w:tc>
      </w:tr>
      <w:tr>
        <w:trPr/>
        <w:tc>
          <w:tcPr>
            <w:tcW w:w="5257" w:type="dxa"/>
            <w:tcBorders/>
            <w:shd w:fill="CCEEFF" w:val="clear"/>
            <w:tcMar>
              <w:bottom w:w="0" w:type="dxa"/>
            </w:tcMar>
            <w:vAlign w:val="bottom"/>
          </w:tcPr>
          <w:p>
            <w:pPr>
              <w:pStyle w:val="TableContents"/>
              <w:spacing w:lineRule="auto" w:line="300" w:before="0" w:after="0"/>
              <w:ind w:left="900" w:right="0" w:hanging="180"/>
              <w:jc w:val="left"/>
              <w:rPr>
                <w:rFonts w:ascii="Times New Roman" w:hAnsi="Times New Roman"/>
                <w:sz w:val="20"/>
              </w:rPr>
            </w:pPr>
            <w:bookmarkStart w:id="4631" w:name="TAB12314"/>
            <w:bookmarkEnd w:id="4631"/>
            <w:r>
              <w:rPr>
                <w:rFonts w:ascii="Times New Roman" w:hAnsi="Times New Roman"/>
                <w:sz w:val="20"/>
              </w:rPr>
              <w:t>Decrease (increase) in security deposits</w:t>
            </w:r>
          </w:p>
        </w:tc>
        <w:tc>
          <w:tcPr>
            <w:tcW w:w="191" w:type="dxa"/>
            <w:tcBorders/>
            <w:shd w:fill="CCEEFF" w:val="clear"/>
            <w:tcMar>
              <w:bottom w:w="0" w:type="dxa"/>
            </w:tcMar>
            <w:vAlign w:val="center"/>
          </w:tcPr>
          <w:p>
            <w:pPr>
              <w:pStyle w:val="TableContents"/>
              <w:spacing w:before="0" w:after="283"/>
              <w:rPr/>
            </w:pPr>
            <w:r>
              <w:rPr/>
              <w:t> </w:t>
            </w:r>
          </w:p>
        </w:tc>
        <w:tc>
          <w:tcPr>
            <w:tcW w:w="141" w:type="dxa"/>
            <w:tcBorders/>
            <w:shd w:fill="CCEEFF" w:val="clear"/>
            <w:tcMar>
              <w:bottom w:w="0" w:type="dxa"/>
            </w:tcMar>
            <w:vAlign w:val="bottom"/>
          </w:tcPr>
          <w:p>
            <w:pPr>
              <w:pStyle w:val="TableContents"/>
              <w:spacing w:before="0" w:after="283"/>
              <w:jc w:val="left"/>
              <w:rPr/>
            </w:pPr>
            <w:r>
              <w:rPr/>
              <w:t> </w:t>
            </w:r>
          </w:p>
        </w:tc>
        <w:tc>
          <w:tcPr>
            <w:tcW w:w="1210"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58</w:t>
            </w:r>
          </w:p>
        </w:tc>
        <w:tc>
          <w:tcPr>
            <w:tcW w:w="201" w:type="dxa"/>
            <w:tcBorders/>
            <w:shd w:fill="CCEEFF" w:val="clear"/>
            <w:tcMar>
              <w:bottom w:w="0" w:type="dxa"/>
            </w:tcMar>
            <w:vAlign w:val="bottom"/>
          </w:tcPr>
          <w:p>
            <w:pPr>
              <w:pStyle w:val="TableContents"/>
              <w:spacing w:before="0" w:after="283"/>
              <w:jc w:val="left"/>
              <w:rPr/>
            </w:pPr>
            <w:r>
              <w:rPr/>
              <w:t> </w:t>
            </w:r>
          </w:p>
        </w:tc>
        <w:tc>
          <w:tcPr>
            <w:tcW w:w="155" w:type="dxa"/>
            <w:tcBorders/>
            <w:shd w:fill="CCEEFF" w:val="clear"/>
            <w:tcMar>
              <w:bottom w:w="0" w:type="dxa"/>
            </w:tcMar>
            <w:vAlign w:val="bottom"/>
          </w:tcPr>
          <w:p>
            <w:pPr>
              <w:pStyle w:val="TableContents"/>
              <w:spacing w:before="0" w:after="283"/>
              <w:jc w:val="left"/>
              <w:rPr/>
            </w:pPr>
            <w:r>
              <w:rPr/>
              <w:t> </w:t>
            </w:r>
          </w:p>
        </w:tc>
        <w:tc>
          <w:tcPr>
            <w:tcW w:w="1281"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(36</w:t>
            </w:r>
          </w:p>
        </w:tc>
        <w:tc>
          <w:tcPr>
            <w:tcW w:w="201"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55" w:type="dxa"/>
            <w:tcBorders/>
            <w:shd w:fill="CCEEFF" w:val="clear"/>
            <w:tcMar>
              <w:bottom w:w="0" w:type="dxa"/>
            </w:tcMar>
            <w:vAlign w:val="bottom"/>
          </w:tcPr>
          <w:p>
            <w:pPr>
              <w:pStyle w:val="TableContents"/>
              <w:spacing w:before="0" w:after="283"/>
              <w:jc w:val="left"/>
              <w:rPr/>
            </w:pPr>
            <w:r>
              <w:rPr/>
              <w:t> </w:t>
            </w:r>
          </w:p>
        </w:tc>
        <w:tc>
          <w:tcPr>
            <w:tcW w:w="1281"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(30</w:t>
            </w:r>
          </w:p>
        </w:tc>
        <w:tc>
          <w:tcPr>
            <w:tcW w:w="132"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r>
      <w:tr>
        <w:trPr/>
        <w:tc>
          <w:tcPr>
            <w:tcW w:w="5257" w:type="dxa"/>
            <w:tcBorders/>
            <w:shd w:fill="FFFFFF" w:val="clear"/>
            <w:tcMar>
              <w:bottom w:w="0" w:type="dxa"/>
            </w:tcMar>
            <w:vAlign w:val="bottom"/>
          </w:tcPr>
          <w:p>
            <w:pPr>
              <w:pStyle w:val="TableContents"/>
              <w:spacing w:lineRule="auto" w:line="300" w:before="0" w:after="0"/>
              <w:ind w:left="900" w:right="0" w:hanging="180"/>
              <w:jc w:val="left"/>
              <w:rPr>
                <w:rFonts w:ascii="Times New Roman" w:hAnsi="Times New Roman"/>
                <w:sz w:val="20"/>
              </w:rPr>
            </w:pPr>
            <w:bookmarkStart w:id="4632" w:name="TAB12315"/>
            <w:bookmarkEnd w:id="4632"/>
            <w:r>
              <w:rPr>
                <w:rFonts w:ascii="Times New Roman" w:hAnsi="Times New Roman"/>
                <w:sz w:val="20"/>
              </w:rPr>
              <w:t>(Decrease) increase in accounts payable and accrued expenses</w:t>
            </w:r>
          </w:p>
        </w:tc>
        <w:tc>
          <w:tcPr>
            <w:tcW w:w="191" w:type="dxa"/>
            <w:tcBorders/>
            <w:shd w:fill="FFFFFF" w:val="clear"/>
            <w:tcMar>
              <w:bottom w:w="0" w:type="dxa"/>
            </w:tcMar>
            <w:vAlign w:val="center"/>
          </w:tcPr>
          <w:p>
            <w:pPr>
              <w:pStyle w:val="TableContents"/>
              <w:spacing w:before="0" w:after="283"/>
              <w:rPr/>
            </w:pPr>
            <w:r>
              <w:rPr/>
              <w:t> </w:t>
            </w:r>
          </w:p>
        </w:tc>
        <w:tc>
          <w:tcPr>
            <w:tcW w:w="141" w:type="dxa"/>
            <w:tcBorders/>
            <w:shd w:fill="FFFFFF" w:val="clear"/>
            <w:tcMar>
              <w:bottom w:w="0" w:type="dxa"/>
            </w:tcMar>
            <w:vAlign w:val="bottom"/>
          </w:tcPr>
          <w:p>
            <w:pPr>
              <w:pStyle w:val="TableContents"/>
              <w:spacing w:before="0" w:after="283"/>
              <w:jc w:val="left"/>
              <w:rPr/>
            </w:pPr>
            <w:r>
              <w:rPr/>
              <w:t> </w:t>
            </w:r>
          </w:p>
        </w:tc>
        <w:tc>
          <w:tcPr>
            <w:tcW w:w="1210"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(2,734</w:t>
            </w:r>
          </w:p>
        </w:tc>
        <w:tc>
          <w:tcPr>
            <w:tcW w:w="201"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55" w:type="dxa"/>
            <w:tcBorders/>
            <w:shd w:fill="FFFFFF" w:val="clear"/>
            <w:tcMar>
              <w:bottom w:w="0" w:type="dxa"/>
            </w:tcMar>
            <w:vAlign w:val="bottom"/>
          </w:tcPr>
          <w:p>
            <w:pPr>
              <w:pStyle w:val="TableContents"/>
              <w:spacing w:before="0" w:after="283"/>
              <w:jc w:val="left"/>
              <w:rPr/>
            </w:pPr>
            <w:r>
              <w:rPr/>
              <w:t> </w:t>
            </w:r>
          </w:p>
        </w:tc>
        <w:tc>
          <w:tcPr>
            <w:tcW w:w="1281"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1,932</w:t>
            </w:r>
          </w:p>
        </w:tc>
        <w:tc>
          <w:tcPr>
            <w:tcW w:w="201" w:type="dxa"/>
            <w:tcBorders/>
            <w:shd w:fill="FFFFFF" w:val="clear"/>
            <w:tcMar>
              <w:bottom w:w="0" w:type="dxa"/>
            </w:tcMar>
            <w:vAlign w:val="bottom"/>
          </w:tcPr>
          <w:p>
            <w:pPr>
              <w:pStyle w:val="TableContents"/>
              <w:spacing w:before="0" w:after="283"/>
              <w:jc w:val="left"/>
              <w:rPr/>
            </w:pPr>
            <w:r>
              <w:rPr/>
              <w:t> </w:t>
            </w:r>
          </w:p>
        </w:tc>
        <w:tc>
          <w:tcPr>
            <w:tcW w:w="155" w:type="dxa"/>
            <w:tcBorders/>
            <w:shd w:fill="FFFFFF" w:val="clear"/>
            <w:tcMar>
              <w:bottom w:w="0" w:type="dxa"/>
            </w:tcMar>
            <w:vAlign w:val="bottom"/>
          </w:tcPr>
          <w:p>
            <w:pPr>
              <w:pStyle w:val="TableContents"/>
              <w:spacing w:before="0" w:after="283"/>
              <w:jc w:val="left"/>
              <w:rPr/>
            </w:pPr>
            <w:r>
              <w:rPr/>
              <w:t> </w:t>
            </w:r>
          </w:p>
        </w:tc>
        <w:tc>
          <w:tcPr>
            <w:tcW w:w="1281"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922</w:t>
            </w:r>
          </w:p>
        </w:tc>
        <w:tc>
          <w:tcPr>
            <w:tcW w:w="132" w:type="dxa"/>
            <w:tcBorders/>
            <w:shd w:fill="FFFFFF" w:val="clear"/>
            <w:tcMar>
              <w:bottom w:w="0" w:type="dxa"/>
            </w:tcMar>
            <w:vAlign w:val="bottom"/>
          </w:tcPr>
          <w:p>
            <w:pPr>
              <w:pStyle w:val="TableContents"/>
              <w:spacing w:before="0" w:after="283"/>
              <w:jc w:val="left"/>
              <w:rPr/>
            </w:pPr>
            <w:r>
              <w:rPr/>
              <w:t> </w:t>
            </w:r>
          </w:p>
        </w:tc>
      </w:tr>
      <w:tr>
        <w:trPr/>
        <w:tc>
          <w:tcPr>
            <w:tcW w:w="5257" w:type="dxa"/>
            <w:tcBorders/>
            <w:shd w:fill="CCEEFF" w:val="clear"/>
            <w:tcMar>
              <w:bottom w:w="0" w:type="dxa"/>
            </w:tcMar>
            <w:vAlign w:val="bottom"/>
          </w:tcPr>
          <w:p>
            <w:pPr>
              <w:pStyle w:val="TableContents"/>
              <w:spacing w:lineRule="auto" w:line="300" w:before="0" w:after="0"/>
              <w:ind w:left="900" w:right="0" w:hanging="180"/>
              <w:jc w:val="left"/>
              <w:rPr>
                <w:rFonts w:ascii="Times New Roman" w:hAnsi="Times New Roman"/>
                <w:sz w:val="20"/>
              </w:rPr>
            </w:pPr>
            <w:bookmarkStart w:id="4633" w:name="TAB12316"/>
            <w:bookmarkEnd w:id="4633"/>
            <w:r>
              <w:rPr>
                <w:rFonts w:ascii="Times New Roman" w:hAnsi="Times New Roman"/>
                <w:sz w:val="20"/>
              </w:rPr>
              <w:t>Increase in income taxes payable</w:t>
            </w:r>
          </w:p>
        </w:tc>
        <w:tc>
          <w:tcPr>
            <w:tcW w:w="191" w:type="dxa"/>
            <w:tcBorders/>
            <w:shd w:fill="CCEEFF" w:val="clear"/>
            <w:tcMar>
              <w:bottom w:w="0" w:type="dxa"/>
            </w:tcMar>
            <w:vAlign w:val="center"/>
          </w:tcPr>
          <w:p>
            <w:pPr>
              <w:pStyle w:val="TableContents"/>
              <w:spacing w:before="0" w:after="283"/>
              <w:rPr/>
            </w:pPr>
            <w:r>
              <w:rPr/>
              <w:t> </w:t>
            </w:r>
          </w:p>
        </w:tc>
        <w:tc>
          <w:tcPr>
            <w:tcW w:w="141" w:type="dxa"/>
            <w:tcBorders/>
            <w:shd w:fill="CCEEFF" w:val="clear"/>
            <w:tcMar>
              <w:bottom w:w="0" w:type="dxa"/>
            </w:tcMar>
            <w:vAlign w:val="bottom"/>
          </w:tcPr>
          <w:p>
            <w:pPr>
              <w:pStyle w:val="TableContents"/>
              <w:spacing w:before="0" w:after="283"/>
              <w:jc w:val="left"/>
              <w:rPr/>
            </w:pPr>
            <w:r>
              <w:rPr/>
              <w:t> </w:t>
            </w:r>
          </w:p>
        </w:tc>
        <w:tc>
          <w:tcPr>
            <w:tcW w:w="1210"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860</w:t>
            </w:r>
          </w:p>
        </w:tc>
        <w:tc>
          <w:tcPr>
            <w:tcW w:w="201" w:type="dxa"/>
            <w:tcBorders/>
            <w:shd w:fill="CCEEFF" w:val="clear"/>
            <w:tcMar>
              <w:bottom w:w="0" w:type="dxa"/>
            </w:tcMar>
            <w:vAlign w:val="bottom"/>
          </w:tcPr>
          <w:p>
            <w:pPr>
              <w:pStyle w:val="TableContents"/>
              <w:spacing w:before="0" w:after="283"/>
              <w:jc w:val="left"/>
              <w:rPr/>
            </w:pPr>
            <w:r>
              <w:rPr/>
              <w:t> </w:t>
            </w:r>
          </w:p>
        </w:tc>
        <w:tc>
          <w:tcPr>
            <w:tcW w:w="155" w:type="dxa"/>
            <w:tcBorders/>
            <w:shd w:fill="CCEEFF" w:val="clear"/>
            <w:tcMar>
              <w:bottom w:w="0" w:type="dxa"/>
            </w:tcMar>
            <w:vAlign w:val="bottom"/>
          </w:tcPr>
          <w:p>
            <w:pPr>
              <w:pStyle w:val="TableContents"/>
              <w:spacing w:before="0" w:after="283"/>
              <w:jc w:val="left"/>
              <w:rPr/>
            </w:pPr>
            <w:r>
              <w:rPr/>
              <w:t> </w:t>
            </w:r>
          </w:p>
        </w:tc>
        <w:tc>
          <w:tcPr>
            <w:tcW w:w="1281"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201" w:type="dxa"/>
            <w:tcBorders/>
            <w:shd w:fill="CCEEFF" w:val="clear"/>
            <w:tcMar>
              <w:bottom w:w="0" w:type="dxa"/>
            </w:tcMar>
            <w:vAlign w:val="bottom"/>
          </w:tcPr>
          <w:p>
            <w:pPr>
              <w:pStyle w:val="TableContents"/>
              <w:spacing w:before="0" w:after="283"/>
              <w:jc w:val="left"/>
              <w:rPr/>
            </w:pPr>
            <w:r>
              <w:rPr/>
              <w:t> </w:t>
            </w:r>
          </w:p>
        </w:tc>
        <w:tc>
          <w:tcPr>
            <w:tcW w:w="155" w:type="dxa"/>
            <w:tcBorders/>
            <w:shd w:fill="CCEEFF" w:val="clear"/>
            <w:tcMar>
              <w:bottom w:w="0" w:type="dxa"/>
            </w:tcMar>
            <w:vAlign w:val="bottom"/>
          </w:tcPr>
          <w:p>
            <w:pPr>
              <w:pStyle w:val="TableContents"/>
              <w:spacing w:before="0" w:after="283"/>
              <w:jc w:val="left"/>
              <w:rPr/>
            </w:pPr>
            <w:r>
              <w:rPr/>
              <w:t> </w:t>
            </w:r>
          </w:p>
        </w:tc>
        <w:tc>
          <w:tcPr>
            <w:tcW w:w="1281"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132" w:type="dxa"/>
            <w:tcBorders/>
            <w:shd w:fill="CCEEFF" w:val="clear"/>
            <w:tcMar>
              <w:bottom w:w="0" w:type="dxa"/>
            </w:tcMar>
            <w:vAlign w:val="bottom"/>
          </w:tcPr>
          <w:p>
            <w:pPr>
              <w:pStyle w:val="TableContents"/>
              <w:spacing w:before="0" w:after="283"/>
              <w:jc w:val="left"/>
              <w:rPr/>
            </w:pPr>
            <w:r>
              <w:rPr/>
              <w:t> </w:t>
            </w:r>
          </w:p>
        </w:tc>
      </w:tr>
      <w:tr>
        <w:trPr/>
        <w:tc>
          <w:tcPr>
            <w:tcW w:w="5257" w:type="dxa"/>
            <w:tcBorders/>
            <w:shd w:fill="FFFFFF" w:val="clear"/>
            <w:tcMar>
              <w:bottom w:w="0" w:type="dxa"/>
            </w:tcMar>
            <w:vAlign w:val="bottom"/>
          </w:tcPr>
          <w:p>
            <w:pPr>
              <w:pStyle w:val="TableContents"/>
              <w:spacing w:lineRule="auto" w:line="300" w:before="0" w:after="0"/>
              <w:ind w:left="900" w:right="0" w:hanging="180"/>
              <w:jc w:val="left"/>
              <w:rPr>
                <w:rFonts w:ascii="Times New Roman" w:hAnsi="Times New Roman"/>
                <w:sz w:val="20"/>
              </w:rPr>
            </w:pPr>
            <w:bookmarkStart w:id="4634" w:name="TAB12317"/>
            <w:bookmarkEnd w:id="4634"/>
            <w:r>
              <w:rPr>
                <w:rFonts w:ascii="Times New Roman" w:hAnsi="Times New Roman"/>
                <w:sz w:val="20"/>
              </w:rPr>
              <w:t>(Decrease) increase in retainage payable</w:t>
            </w:r>
          </w:p>
        </w:tc>
        <w:tc>
          <w:tcPr>
            <w:tcW w:w="191" w:type="dxa"/>
            <w:tcBorders/>
            <w:shd w:fill="FFFFFF" w:val="clear"/>
            <w:tcMar>
              <w:bottom w:w="0" w:type="dxa"/>
            </w:tcMar>
            <w:vAlign w:val="center"/>
          </w:tcPr>
          <w:p>
            <w:pPr>
              <w:pStyle w:val="TableContents"/>
              <w:spacing w:before="0" w:after="283"/>
              <w:rPr/>
            </w:pPr>
            <w:r>
              <w:rPr/>
              <w:t> </w:t>
            </w:r>
          </w:p>
        </w:tc>
        <w:tc>
          <w:tcPr>
            <w:tcW w:w="141" w:type="dxa"/>
            <w:tcBorders/>
            <w:shd w:fill="FFFFFF" w:val="clear"/>
            <w:tcMar>
              <w:bottom w:w="0" w:type="dxa"/>
            </w:tcMar>
            <w:vAlign w:val="bottom"/>
          </w:tcPr>
          <w:p>
            <w:pPr>
              <w:pStyle w:val="TableContents"/>
              <w:spacing w:before="0" w:after="283"/>
              <w:jc w:val="left"/>
              <w:rPr/>
            </w:pPr>
            <w:r>
              <w:rPr/>
              <w:t> </w:t>
            </w:r>
          </w:p>
        </w:tc>
        <w:tc>
          <w:tcPr>
            <w:tcW w:w="1210"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(953</w:t>
            </w:r>
          </w:p>
        </w:tc>
        <w:tc>
          <w:tcPr>
            <w:tcW w:w="201"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55" w:type="dxa"/>
            <w:tcBorders/>
            <w:shd w:fill="FFFFFF" w:val="clear"/>
            <w:tcMar>
              <w:bottom w:w="0" w:type="dxa"/>
            </w:tcMar>
            <w:vAlign w:val="bottom"/>
          </w:tcPr>
          <w:p>
            <w:pPr>
              <w:pStyle w:val="TableContents"/>
              <w:spacing w:before="0" w:after="283"/>
              <w:jc w:val="left"/>
              <w:rPr/>
            </w:pPr>
            <w:r>
              <w:rPr/>
              <w:t> </w:t>
            </w:r>
          </w:p>
        </w:tc>
        <w:tc>
          <w:tcPr>
            <w:tcW w:w="1281"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1,675</w:t>
            </w:r>
          </w:p>
        </w:tc>
        <w:tc>
          <w:tcPr>
            <w:tcW w:w="201" w:type="dxa"/>
            <w:tcBorders/>
            <w:shd w:fill="FFFFFF" w:val="clear"/>
            <w:tcMar>
              <w:bottom w:w="0" w:type="dxa"/>
            </w:tcMar>
            <w:vAlign w:val="bottom"/>
          </w:tcPr>
          <w:p>
            <w:pPr>
              <w:pStyle w:val="TableContents"/>
              <w:spacing w:before="0" w:after="283"/>
              <w:jc w:val="left"/>
              <w:rPr/>
            </w:pPr>
            <w:r>
              <w:rPr/>
              <w:t> </w:t>
            </w:r>
          </w:p>
        </w:tc>
        <w:tc>
          <w:tcPr>
            <w:tcW w:w="155" w:type="dxa"/>
            <w:tcBorders/>
            <w:shd w:fill="FFFFFF" w:val="clear"/>
            <w:tcMar>
              <w:bottom w:w="0" w:type="dxa"/>
            </w:tcMar>
            <w:vAlign w:val="bottom"/>
          </w:tcPr>
          <w:p>
            <w:pPr>
              <w:pStyle w:val="TableContents"/>
              <w:spacing w:before="0" w:after="283"/>
              <w:jc w:val="left"/>
              <w:rPr/>
            </w:pPr>
            <w:r>
              <w:rPr/>
              <w:t> </w:t>
            </w:r>
          </w:p>
        </w:tc>
        <w:tc>
          <w:tcPr>
            <w:tcW w:w="1281"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29</w:t>
            </w:r>
          </w:p>
        </w:tc>
        <w:tc>
          <w:tcPr>
            <w:tcW w:w="132" w:type="dxa"/>
            <w:tcBorders/>
            <w:shd w:fill="FFFFFF" w:val="clear"/>
            <w:tcMar>
              <w:bottom w:w="0" w:type="dxa"/>
            </w:tcMar>
            <w:vAlign w:val="bottom"/>
          </w:tcPr>
          <w:p>
            <w:pPr>
              <w:pStyle w:val="TableContents"/>
              <w:spacing w:before="0" w:after="283"/>
              <w:jc w:val="left"/>
              <w:rPr/>
            </w:pPr>
            <w:r>
              <w:rPr/>
              <w:t> </w:t>
            </w:r>
          </w:p>
        </w:tc>
      </w:tr>
      <w:tr>
        <w:trPr/>
        <w:tc>
          <w:tcPr>
            <w:tcW w:w="5257" w:type="dxa"/>
            <w:tcBorders/>
            <w:shd w:fill="CCEEFF" w:val="clear"/>
            <w:tcMar>
              <w:bottom w:w="0" w:type="dxa"/>
            </w:tcMar>
            <w:vAlign w:val="bottom"/>
          </w:tcPr>
          <w:p>
            <w:pPr>
              <w:pStyle w:val="TableContents"/>
              <w:spacing w:lineRule="auto" w:line="300" w:before="0" w:after="0"/>
              <w:ind w:left="900" w:right="0" w:hanging="180"/>
              <w:jc w:val="left"/>
              <w:rPr>
                <w:rFonts w:ascii="Times New Roman" w:hAnsi="Times New Roman"/>
                <w:sz w:val="20"/>
              </w:rPr>
            </w:pPr>
            <w:bookmarkStart w:id="4635" w:name="TAB12318"/>
            <w:bookmarkEnd w:id="4635"/>
            <w:r>
              <w:rPr>
                <w:rFonts w:ascii="Times New Roman" w:hAnsi="Times New Roman"/>
                <w:sz w:val="20"/>
              </w:rPr>
              <w:t>Increase in due to affiliates</w:t>
            </w:r>
          </w:p>
        </w:tc>
        <w:tc>
          <w:tcPr>
            <w:tcW w:w="191" w:type="dxa"/>
            <w:tcBorders/>
            <w:shd w:fill="CCEEFF" w:val="clear"/>
            <w:tcMar>
              <w:bottom w:w="0" w:type="dxa"/>
            </w:tcMar>
            <w:vAlign w:val="center"/>
          </w:tcPr>
          <w:p>
            <w:pPr>
              <w:pStyle w:val="TableContents"/>
              <w:spacing w:before="0" w:after="283"/>
              <w:rPr/>
            </w:pPr>
            <w:r>
              <w:rPr/>
              <w:t> </w:t>
            </w:r>
          </w:p>
        </w:tc>
        <w:tc>
          <w:tcPr>
            <w:tcW w:w="141" w:type="dxa"/>
            <w:tcBorders/>
            <w:shd w:fill="CCEEFF" w:val="clear"/>
            <w:tcMar>
              <w:bottom w:w="0" w:type="dxa"/>
            </w:tcMar>
            <w:vAlign w:val="bottom"/>
          </w:tcPr>
          <w:p>
            <w:pPr>
              <w:pStyle w:val="TableContents"/>
              <w:spacing w:before="0" w:after="283"/>
              <w:jc w:val="left"/>
              <w:rPr/>
            </w:pPr>
            <w:r>
              <w:rPr/>
              <w:t> </w:t>
            </w:r>
          </w:p>
        </w:tc>
        <w:tc>
          <w:tcPr>
            <w:tcW w:w="1210"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263</w:t>
            </w:r>
          </w:p>
        </w:tc>
        <w:tc>
          <w:tcPr>
            <w:tcW w:w="201" w:type="dxa"/>
            <w:tcBorders/>
            <w:shd w:fill="CCEEFF" w:val="clear"/>
            <w:tcMar>
              <w:bottom w:w="0" w:type="dxa"/>
            </w:tcMar>
            <w:vAlign w:val="bottom"/>
          </w:tcPr>
          <w:p>
            <w:pPr>
              <w:pStyle w:val="TableContents"/>
              <w:spacing w:before="0" w:after="283"/>
              <w:jc w:val="left"/>
              <w:rPr/>
            </w:pPr>
            <w:r>
              <w:rPr/>
              <w:t> </w:t>
            </w:r>
          </w:p>
        </w:tc>
        <w:tc>
          <w:tcPr>
            <w:tcW w:w="155" w:type="dxa"/>
            <w:tcBorders/>
            <w:shd w:fill="CCEEFF" w:val="clear"/>
            <w:tcMar>
              <w:bottom w:w="0" w:type="dxa"/>
            </w:tcMar>
            <w:vAlign w:val="bottom"/>
          </w:tcPr>
          <w:p>
            <w:pPr>
              <w:pStyle w:val="TableContents"/>
              <w:spacing w:before="0" w:after="283"/>
              <w:jc w:val="left"/>
              <w:rPr/>
            </w:pPr>
            <w:r>
              <w:rPr/>
              <w:t> </w:t>
            </w:r>
          </w:p>
        </w:tc>
        <w:tc>
          <w:tcPr>
            <w:tcW w:w="1281"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201" w:type="dxa"/>
            <w:tcBorders/>
            <w:shd w:fill="CCEEFF" w:val="clear"/>
            <w:tcMar>
              <w:bottom w:w="0" w:type="dxa"/>
            </w:tcMar>
            <w:vAlign w:val="bottom"/>
          </w:tcPr>
          <w:p>
            <w:pPr>
              <w:pStyle w:val="TableContents"/>
              <w:spacing w:before="0" w:after="283"/>
              <w:jc w:val="left"/>
              <w:rPr/>
            </w:pPr>
            <w:r>
              <w:rPr/>
              <w:t> </w:t>
            </w:r>
          </w:p>
        </w:tc>
        <w:tc>
          <w:tcPr>
            <w:tcW w:w="155" w:type="dxa"/>
            <w:tcBorders/>
            <w:shd w:fill="CCEEFF" w:val="clear"/>
            <w:tcMar>
              <w:bottom w:w="0" w:type="dxa"/>
            </w:tcMar>
            <w:vAlign w:val="bottom"/>
          </w:tcPr>
          <w:p>
            <w:pPr>
              <w:pStyle w:val="TableContents"/>
              <w:spacing w:before="0" w:after="283"/>
              <w:jc w:val="left"/>
              <w:rPr/>
            </w:pPr>
            <w:r>
              <w:rPr/>
              <w:t> </w:t>
            </w:r>
          </w:p>
        </w:tc>
        <w:tc>
          <w:tcPr>
            <w:tcW w:w="1281"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132" w:type="dxa"/>
            <w:tcBorders/>
            <w:shd w:fill="CCEEFF" w:val="clear"/>
            <w:tcMar>
              <w:bottom w:w="0" w:type="dxa"/>
            </w:tcMar>
            <w:vAlign w:val="bottom"/>
          </w:tcPr>
          <w:p>
            <w:pPr>
              <w:pStyle w:val="TableContents"/>
              <w:spacing w:before="0" w:after="283"/>
              <w:jc w:val="left"/>
              <w:rPr/>
            </w:pPr>
            <w:r>
              <w:rPr/>
              <w:t> </w:t>
            </w:r>
          </w:p>
        </w:tc>
      </w:tr>
      <w:tr>
        <w:trPr/>
        <w:tc>
          <w:tcPr>
            <w:tcW w:w="5257" w:type="dxa"/>
            <w:tcBorders>
              <w:bottom w:val="single" w:sz="2" w:space="0" w:color="000000"/>
            </w:tcBorders>
            <w:shd w:fill="FFFFFF" w:val="clear"/>
            <w:vAlign w:val="bottom"/>
          </w:tcPr>
          <w:p>
            <w:pPr>
              <w:pStyle w:val="TableContents"/>
              <w:spacing w:before="0" w:after="283"/>
              <w:jc w:val="left"/>
              <w:rPr/>
            </w:pPr>
            <w:r>
              <w:rPr/>
              <w:t> </w:t>
            </w:r>
          </w:p>
        </w:tc>
        <w:tc>
          <w:tcPr>
            <w:tcW w:w="191" w:type="dxa"/>
            <w:tcBorders>
              <w:bottom w:val="single" w:sz="4" w:space="0" w:color="FFFFFF"/>
            </w:tcBorders>
            <w:shd w:fill="FFFFFF" w:val="clear"/>
            <w:vAlign w:val="center"/>
          </w:tcPr>
          <w:p>
            <w:pPr>
              <w:pStyle w:val="TableContents"/>
              <w:spacing w:before="0" w:after="283"/>
              <w:rPr/>
            </w:pPr>
            <w:r>
              <w:rPr/>
              <w:t> </w:t>
            </w:r>
          </w:p>
        </w:tc>
        <w:tc>
          <w:tcPr>
            <w:tcW w:w="141" w:type="dxa"/>
            <w:tcBorders>
              <w:bottom w:val="single" w:sz="2" w:space="0" w:color="000000"/>
            </w:tcBorders>
            <w:shd w:fill="FFFFFF" w:val="clear"/>
            <w:vAlign w:val="bottom"/>
          </w:tcPr>
          <w:p>
            <w:pPr>
              <w:pStyle w:val="TableContents"/>
              <w:spacing w:before="0" w:after="283"/>
              <w:jc w:val="left"/>
              <w:rPr/>
            </w:pPr>
            <w:r>
              <w:rPr/>
              <w:t> </w:t>
            </w:r>
          </w:p>
        </w:tc>
        <w:tc>
          <w:tcPr>
            <w:tcW w:w="1210" w:type="dxa"/>
            <w:tcBorders>
              <w:bottom w:val="single" w:sz="2" w:space="0" w:color="000000"/>
            </w:tcBorders>
            <w:shd w:fill="FFFFFF" w:val="clear"/>
            <w:vAlign w:val="bottom"/>
          </w:tcPr>
          <w:p>
            <w:pPr>
              <w:pStyle w:val="TableContents"/>
              <w:spacing w:before="0" w:after="283"/>
              <w:jc w:val="right"/>
              <w:rPr/>
            </w:pPr>
            <w:r>
              <w:rPr/>
              <w:t> </w:t>
            </w:r>
          </w:p>
        </w:tc>
        <w:tc>
          <w:tcPr>
            <w:tcW w:w="201" w:type="dxa"/>
            <w:tcBorders>
              <w:bottom w:val="single" w:sz="4" w:space="0" w:color="FFFFFF"/>
            </w:tcBorders>
            <w:shd w:fill="FFFFFF" w:val="clear"/>
            <w:vAlign w:val="bottom"/>
          </w:tcPr>
          <w:p>
            <w:pPr>
              <w:pStyle w:val="TableContents"/>
              <w:spacing w:before="0" w:after="283"/>
              <w:jc w:val="left"/>
              <w:rPr/>
            </w:pPr>
            <w:r>
              <w:rPr/>
              <w:t> </w:t>
            </w:r>
          </w:p>
        </w:tc>
        <w:tc>
          <w:tcPr>
            <w:tcW w:w="155" w:type="dxa"/>
            <w:tcBorders>
              <w:bottom w:val="single" w:sz="2" w:space="0" w:color="000000"/>
            </w:tcBorders>
            <w:shd w:fill="FFFFFF" w:val="clear"/>
            <w:vAlign w:val="bottom"/>
          </w:tcPr>
          <w:p>
            <w:pPr>
              <w:pStyle w:val="TableContents"/>
              <w:spacing w:before="0" w:after="283"/>
              <w:jc w:val="left"/>
              <w:rPr/>
            </w:pPr>
            <w:r>
              <w:rPr/>
              <w:t> </w:t>
            </w:r>
          </w:p>
        </w:tc>
        <w:tc>
          <w:tcPr>
            <w:tcW w:w="1281" w:type="dxa"/>
            <w:tcBorders>
              <w:bottom w:val="single" w:sz="2" w:space="0" w:color="000000"/>
            </w:tcBorders>
            <w:shd w:fill="FFFFFF" w:val="clear"/>
            <w:vAlign w:val="bottom"/>
          </w:tcPr>
          <w:p>
            <w:pPr>
              <w:pStyle w:val="TableContents"/>
              <w:spacing w:before="0" w:after="283"/>
              <w:jc w:val="right"/>
              <w:rPr/>
            </w:pPr>
            <w:r>
              <w:rPr/>
              <w:t> </w:t>
            </w:r>
          </w:p>
        </w:tc>
        <w:tc>
          <w:tcPr>
            <w:tcW w:w="201" w:type="dxa"/>
            <w:tcBorders>
              <w:bottom w:val="single" w:sz="4" w:space="0" w:color="FFFFFF"/>
            </w:tcBorders>
            <w:shd w:fill="FFFFFF" w:val="clear"/>
            <w:vAlign w:val="bottom"/>
          </w:tcPr>
          <w:p>
            <w:pPr>
              <w:pStyle w:val="TableContents"/>
              <w:spacing w:before="0" w:after="283"/>
              <w:jc w:val="left"/>
              <w:rPr/>
            </w:pPr>
            <w:r>
              <w:rPr/>
              <w:t> </w:t>
            </w:r>
          </w:p>
        </w:tc>
        <w:tc>
          <w:tcPr>
            <w:tcW w:w="155" w:type="dxa"/>
            <w:tcBorders>
              <w:bottom w:val="single" w:sz="2" w:space="0" w:color="000000"/>
            </w:tcBorders>
            <w:shd w:fill="FFFFFF" w:val="clear"/>
            <w:vAlign w:val="bottom"/>
          </w:tcPr>
          <w:p>
            <w:pPr>
              <w:pStyle w:val="TableContents"/>
              <w:spacing w:before="0" w:after="283"/>
              <w:jc w:val="left"/>
              <w:rPr/>
            </w:pPr>
            <w:r>
              <w:rPr/>
              <w:t> </w:t>
            </w:r>
          </w:p>
        </w:tc>
        <w:tc>
          <w:tcPr>
            <w:tcW w:w="1281" w:type="dxa"/>
            <w:tcBorders>
              <w:bottom w:val="single" w:sz="2" w:space="0" w:color="000000"/>
            </w:tcBorders>
            <w:shd w:fill="FFFFFF" w:val="clear"/>
            <w:vAlign w:val="bottom"/>
          </w:tcPr>
          <w:p>
            <w:pPr>
              <w:pStyle w:val="TableContents"/>
              <w:spacing w:before="0" w:after="283"/>
              <w:jc w:val="right"/>
              <w:rPr/>
            </w:pPr>
            <w:r>
              <w:rPr/>
              <w:t> </w:t>
            </w:r>
          </w:p>
        </w:tc>
        <w:tc>
          <w:tcPr>
            <w:tcW w:w="132" w:type="dxa"/>
            <w:tcBorders>
              <w:bottom w:val="single" w:sz="4" w:space="0" w:color="FFFFFF"/>
            </w:tcBorders>
            <w:shd w:fill="FFFFFF" w:val="clear"/>
            <w:vAlign w:val="bottom"/>
          </w:tcPr>
          <w:p>
            <w:pPr>
              <w:pStyle w:val="TableContents"/>
              <w:spacing w:before="0" w:after="283"/>
              <w:jc w:val="left"/>
              <w:rPr/>
            </w:pPr>
            <w:r>
              <w:rPr/>
              <w:t> </w:t>
            </w:r>
          </w:p>
        </w:tc>
      </w:tr>
      <w:tr>
        <w:trPr/>
        <w:tc>
          <w:tcPr>
            <w:tcW w:w="5257" w:type="dxa"/>
            <w:tcBorders>
              <w:bottom w:val="single" w:sz="2" w:space="0" w:color="000000"/>
            </w:tcBorders>
            <w:shd w:fill="CCEEFF" w:val="clear"/>
            <w:vAlign w:val="bottom"/>
          </w:tcPr>
          <w:p>
            <w:pPr>
              <w:pStyle w:val="TableContents"/>
              <w:spacing w:lineRule="auto" w:line="300" w:before="0" w:after="0"/>
              <w:ind w:left="720" w:right="0" w:hanging="720"/>
              <w:jc w:val="left"/>
              <w:rPr>
                <w:rFonts w:ascii="Times New Roman" w:hAnsi="Times New Roman"/>
                <w:sz w:val="20"/>
              </w:rPr>
            </w:pPr>
            <w:r>
              <w:rPr>
                <w:rFonts w:ascii="Times New Roman" w:hAnsi="Times New Roman"/>
                <w:sz w:val="20"/>
              </w:rPr>
              <w:t>NET CASH PROVIDED BY (USED IN) OPERATING ACTIVITIES</w:t>
            </w:r>
          </w:p>
        </w:tc>
        <w:tc>
          <w:tcPr>
            <w:tcW w:w="191" w:type="dxa"/>
            <w:tcBorders>
              <w:bottom w:val="single" w:sz="2" w:space="0" w:color="CCEEFF"/>
            </w:tcBorders>
            <w:shd w:fill="CCEEFF" w:val="clear"/>
            <w:vAlign w:val="center"/>
          </w:tcPr>
          <w:p>
            <w:pPr>
              <w:pStyle w:val="TableContents"/>
              <w:spacing w:before="0" w:after="283"/>
              <w:rPr/>
            </w:pPr>
            <w:r>
              <w:rPr/>
              <w:t> </w:t>
            </w:r>
          </w:p>
        </w:tc>
        <w:tc>
          <w:tcPr>
            <w:tcW w:w="141" w:type="dxa"/>
            <w:tcBorders>
              <w:bottom w:val="single" w:sz="2" w:space="0" w:color="000000"/>
            </w:tcBorders>
            <w:shd w:fill="CCEEFF" w:val="clear"/>
            <w:vAlign w:val="bottom"/>
          </w:tcPr>
          <w:p>
            <w:pPr>
              <w:pStyle w:val="TableContents"/>
              <w:spacing w:before="0" w:after="283"/>
              <w:jc w:val="left"/>
              <w:rPr/>
            </w:pPr>
            <w:r>
              <w:rPr/>
              <w:t> </w:t>
            </w:r>
          </w:p>
        </w:tc>
        <w:tc>
          <w:tcPr>
            <w:tcW w:w="1210"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85,650</w:t>
            </w:r>
          </w:p>
        </w:tc>
        <w:tc>
          <w:tcPr>
            <w:tcW w:w="201" w:type="dxa"/>
            <w:tcBorders>
              <w:bottom w:val="single" w:sz="2" w:space="0" w:color="CCEEFF"/>
            </w:tcBorders>
            <w:shd w:fill="CCEEFF" w:val="clear"/>
            <w:vAlign w:val="bottom"/>
          </w:tcPr>
          <w:p>
            <w:pPr>
              <w:pStyle w:val="TableContents"/>
              <w:spacing w:before="0" w:after="283"/>
              <w:jc w:val="left"/>
              <w:rPr/>
            </w:pPr>
            <w:r>
              <w:rPr/>
              <w:t> </w:t>
            </w:r>
          </w:p>
        </w:tc>
        <w:tc>
          <w:tcPr>
            <w:tcW w:w="155" w:type="dxa"/>
            <w:tcBorders>
              <w:bottom w:val="single" w:sz="2" w:space="0" w:color="000000"/>
            </w:tcBorders>
            <w:shd w:fill="CCEEFF" w:val="clear"/>
            <w:vAlign w:val="bottom"/>
          </w:tcPr>
          <w:p>
            <w:pPr>
              <w:pStyle w:val="TableContents"/>
              <w:spacing w:before="0" w:after="283"/>
              <w:jc w:val="left"/>
              <w:rPr/>
            </w:pPr>
            <w:r>
              <w:rPr/>
              <w:t> </w:t>
            </w:r>
          </w:p>
        </w:tc>
        <w:tc>
          <w:tcPr>
            <w:tcW w:w="1281"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(40,898</w:t>
            </w:r>
          </w:p>
        </w:tc>
        <w:tc>
          <w:tcPr>
            <w:tcW w:w="201" w:type="dxa"/>
            <w:tcBorders>
              <w:bottom w:val="single" w:sz="2" w:space="0" w:color="CCEEFF"/>
            </w:tcBorders>
            <w:shd w:fill="CCEE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55" w:type="dxa"/>
            <w:tcBorders>
              <w:bottom w:val="single" w:sz="2" w:space="0" w:color="000000"/>
            </w:tcBorders>
            <w:shd w:fill="CCEEFF" w:val="clear"/>
            <w:vAlign w:val="bottom"/>
          </w:tcPr>
          <w:p>
            <w:pPr>
              <w:pStyle w:val="TableContents"/>
              <w:spacing w:before="0" w:after="283"/>
              <w:jc w:val="left"/>
              <w:rPr/>
            </w:pPr>
            <w:r>
              <w:rPr/>
              <w:t> </w:t>
            </w:r>
          </w:p>
        </w:tc>
        <w:tc>
          <w:tcPr>
            <w:tcW w:w="1281"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(9,432</w:t>
            </w:r>
          </w:p>
        </w:tc>
        <w:tc>
          <w:tcPr>
            <w:tcW w:w="132" w:type="dxa"/>
            <w:tcBorders>
              <w:bottom w:val="single" w:sz="2" w:space="0" w:color="CCEEFF"/>
            </w:tcBorders>
            <w:shd w:fill="CCEE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r>
      <w:tr>
        <w:trPr/>
        <w:tc>
          <w:tcPr>
            <w:tcW w:w="5257" w:type="dxa"/>
            <w:tcBorders/>
            <w:shd w:fill="FFFFFF" w:val="clear"/>
            <w:tcMar>
              <w:bottom w:w="0" w:type="dxa"/>
            </w:tcMar>
            <w:vAlign w:val="bottom"/>
          </w:tcPr>
          <w:p>
            <w:pPr>
              <w:pStyle w:val="TableContents"/>
              <w:spacing w:lineRule="auto" w:line="300" w:before="0" w:after="0"/>
              <w:ind w:left="180" w:right="0" w:hanging="180"/>
              <w:jc w:val="left"/>
              <w:rPr/>
            </w:pPr>
            <w:r>
              <w:rPr>
                <w:rStyle w:val="StrongEmphasis"/>
                <w:rFonts w:ascii="Times New Roman" w:hAnsi="Times New Roman"/>
                <w:sz w:val="20"/>
              </w:rPr>
              <w:t>CASH FLOWS FROM FINANCING ACTIVITIES</w:t>
            </w:r>
          </w:p>
        </w:tc>
        <w:tc>
          <w:tcPr>
            <w:tcW w:w="191" w:type="dxa"/>
            <w:tcBorders/>
            <w:shd w:fill="FFFFFF" w:val="clear"/>
            <w:tcMar>
              <w:bottom w:w="0" w:type="dxa"/>
            </w:tcMar>
            <w:vAlign w:val="center"/>
          </w:tcPr>
          <w:p>
            <w:pPr>
              <w:pStyle w:val="TableContents"/>
              <w:spacing w:before="0" w:after="283"/>
              <w:rPr/>
            </w:pPr>
            <w:r>
              <w:rPr/>
              <w:t> </w:t>
            </w:r>
          </w:p>
        </w:tc>
        <w:tc>
          <w:tcPr>
            <w:tcW w:w="141" w:type="dxa"/>
            <w:tcBorders/>
            <w:shd w:fill="FFFFFF" w:val="clear"/>
            <w:tcMar>
              <w:bottom w:w="0" w:type="dxa"/>
            </w:tcMar>
            <w:vAlign w:val="bottom"/>
          </w:tcPr>
          <w:p>
            <w:pPr>
              <w:pStyle w:val="TableContents"/>
              <w:spacing w:before="0" w:after="283"/>
              <w:jc w:val="left"/>
              <w:rPr/>
            </w:pPr>
            <w:r>
              <w:rPr/>
              <w:t> </w:t>
            </w:r>
          </w:p>
        </w:tc>
        <w:tc>
          <w:tcPr>
            <w:tcW w:w="1210" w:type="dxa"/>
            <w:tcBorders/>
            <w:shd w:fill="FFFFFF" w:val="clear"/>
            <w:tcMar>
              <w:bottom w:w="0" w:type="dxa"/>
            </w:tcMar>
            <w:vAlign w:val="bottom"/>
          </w:tcPr>
          <w:p>
            <w:pPr>
              <w:pStyle w:val="TableContents"/>
              <w:spacing w:before="0" w:after="283"/>
              <w:jc w:val="right"/>
              <w:rPr/>
            </w:pPr>
            <w:r>
              <w:rPr/>
              <w:t> </w:t>
            </w:r>
          </w:p>
        </w:tc>
        <w:tc>
          <w:tcPr>
            <w:tcW w:w="201" w:type="dxa"/>
            <w:tcBorders/>
            <w:shd w:fill="FFFFFF" w:val="clear"/>
            <w:tcMar>
              <w:bottom w:w="0" w:type="dxa"/>
            </w:tcMar>
            <w:vAlign w:val="bottom"/>
          </w:tcPr>
          <w:p>
            <w:pPr>
              <w:pStyle w:val="TableContents"/>
              <w:spacing w:before="0" w:after="283"/>
              <w:jc w:val="left"/>
              <w:rPr/>
            </w:pPr>
            <w:r>
              <w:rPr/>
              <w:t> </w:t>
            </w:r>
          </w:p>
        </w:tc>
        <w:tc>
          <w:tcPr>
            <w:tcW w:w="155" w:type="dxa"/>
            <w:tcBorders/>
            <w:shd w:fill="FFFFFF" w:val="clear"/>
            <w:tcMar>
              <w:bottom w:w="0" w:type="dxa"/>
            </w:tcMar>
            <w:vAlign w:val="bottom"/>
          </w:tcPr>
          <w:p>
            <w:pPr>
              <w:pStyle w:val="TableContents"/>
              <w:spacing w:before="0" w:after="283"/>
              <w:jc w:val="left"/>
              <w:rPr/>
            </w:pPr>
            <w:r>
              <w:rPr/>
              <w:t> </w:t>
            </w:r>
          </w:p>
        </w:tc>
        <w:tc>
          <w:tcPr>
            <w:tcW w:w="1281" w:type="dxa"/>
            <w:tcBorders/>
            <w:shd w:fill="FFFFFF" w:val="clear"/>
            <w:tcMar>
              <w:bottom w:w="0" w:type="dxa"/>
            </w:tcMar>
            <w:vAlign w:val="bottom"/>
          </w:tcPr>
          <w:p>
            <w:pPr>
              <w:pStyle w:val="TableContents"/>
              <w:spacing w:before="0" w:after="283"/>
              <w:jc w:val="right"/>
              <w:rPr/>
            </w:pPr>
            <w:r>
              <w:rPr/>
              <w:t> </w:t>
            </w:r>
          </w:p>
        </w:tc>
        <w:tc>
          <w:tcPr>
            <w:tcW w:w="201" w:type="dxa"/>
            <w:tcBorders/>
            <w:shd w:fill="FFFFFF" w:val="clear"/>
            <w:tcMar>
              <w:bottom w:w="0" w:type="dxa"/>
            </w:tcMar>
            <w:vAlign w:val="bottom"/>
          </w:tcPr>
          <w:p>
            <w:pPr>
              <w:pStyle w:val="TableContents"/>
              <w:spacing w:before="0" w:after="283"/>
              <w:jc w:val="left"/>
              <w:rPr/>
            </w:pPr>
            <w:r>
              <w:rPr/>
              <w:t> </w:t>
            </w:r>
          </w:p>
        </w:tc>
        <w:tc>
          <w:tcPr>
            <w:tcW w:w="155" w:type="dxa"/>
            <w:tcBorders/>
            <w:shd w:fill="FFFFFF" w:val="clear"/>
            <w:tcMar>
              <w:bottom w:w="0" w:type="dxa"/>
            </w:tcMar>
            <w:vAlign w:val="bottom"/>
          </w:tcPr>
          <w:p>
            <w:pPr>
              <w:pStyle w:val="TableContents"/>
              <w:spacing w:before="0" w:after="283"/>
              <w:jc w:val="left"/>
              <w:rPr/>
            </w:pPr>
            <w:r>
              <w:rPr/>
              <w:t> </w:t>
            </w:r>
          </w:p>
        </w:tc>
        <w:tc>
          <w:tcPr>
            <w:tcW w:w="1281" w:type="dxa"/>
            <w:tcBorders/>
            <w:shd w:fill="FFFFFF" w:val="clear"/>
            <w:tcMar>
              <w:bottom w:w="0" w:type="dxa"/>
            </w:tcMar>
            <w:vAlign w:val="bottom"/>
          </w:tcPr>
          <w:p>
            <w:pPr>
              <w:pStyle w:val="TableContents"/>
              <w:spacing w:before="0" w:after="283"/>
              <w:jc w:val="right"/>
              <w:rPr/>
            </w:pPr>
            <w:r>
              <w:rPr/>
              <w:t> </w:t>
            </w:r>
          </w:p>
        </w:tc>
        <w:tc>
          <w:tcPr>
            <w:tcW w:w="132" w:type="dxa"/>
            <w:tcBorders/>
            <w:shd w:fill="FFFFFF" w:val="clear"/>
            <w:tcMar>
              <w:bottom w:w="0" w:type="dxa"/>
            </w:tcMar>
            <w:vAlign w:val="bottom"/>
          </w:tcPr>
          <w:p>
            <w:pPr>
              <w:pStyle w:val="TableContents"/>
              <w:spacing w:before="0" w:after="283"/>
              <w:jc w:val="left"/>
              <w:rPr/>
            </w:pPr>
            <w:r>
              <w:rPr/>
              <w:t> </w:t>
            </w:r>
          </w:p>
        </w:tc>
      </w:tr>
      <w:tr>
        <w:trPr/>
        <w:tc>
          <w:tcPr>
            <w:tcW w:w="5257" w:type="dxa"/>
            <w:tcBorders/>
            <w:shd w:fill="CCEEFF" w:val="clear"/>
            <w:tcMar>
              <w:bottom w:w="0" w:type="dxa"/>
            </w:tcMar>
            <w:vAlign w:val="bottom"/>
          </w:tcPr>
          <w:p>
            <w:pPr>
              <w:pStyle w:val="TableContents"/>
              <w:spacing w:lineRule="auto" w:line="300" w:before="0" w:after="0"/>
              <w:ind w:left="900" w:right="0" w:hanging="180"/>
              <w:jc w:val="left"/>
              <w:rPr>
                <w:rFonts w:ascii="Times New Roman" w:hAnsi="Times New Roman"/>
                <w:sz w:val="20"/>
              </w:rPr>
            </w:pPr>
            <w:bookmarkStart w:id="4636" w:name="TAB12319"/>
            <w:bookmarkEnd w:id="4636"/>
            <w:r>
              <w:rPr>
                <w:rFonts w:ascii="Times New Roman" w:hAnsi="Times New Roman"/>
                <w:sz w:val="20"/>
              </w:rPr>
              <w:t>Payments of loans payable</w:t>
            </w:r>
          </w:p>
        </w:tc>
        <w:tc>
          <w:tcPr>
            <w:tcW w:w="191" w:type="dxa"/>
            <w:tcBorders/>
            <w:shd w:fill="CCEEFF" w:val="clear"/>
            <w:tcMar>
              <w:bottom w:w="0" w:type="dxa"/>
            </w:tcMar>
            <w:vAlign w:val="center"/>
          </w:tcPr>
          <w:p>
            <w:pPr>
              <w:pStyle w:val="TableContents"/>
              <w:spacing w:before="0" w:after="283"/>
              <w:rPr/>
            </w:pPr>
            <w:r>
              <w:rPr/>
              <w:t> </w:t>
            </w:r>
          </w:p>
        </w:tc>
        <w:tc>
          <w:tcPr>
            <w:tcW w:w="141" w:type="dxa"/>
            <w:tcBorders/>
            <w:shd w:fill="CCEEFF" w:val="clear"/>
            <w:tcMar>
              <w:bottom w:w="0" w:type="dxa"/>
            </w:tcMar>
            <w:vAlign w:val="bottom"/>
          </w:tcPr>
          <w:p>
            <w:pPr>
              <w:pStyle w:val="TableContents"/>
              <w:spacing w:before="0" w:after="283"/>
              <w:jc w:val="left"/>
              <w:rPr/>
            </w:pPr>
            <w:r>
              <w:rPr/>
              <w:t> </w:t>
            </w:r>
          </w:p>
        </w:tc>
        <w:tc>
          <w:tcPr>
            <w:tcW w:w="1210"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201" w:type="dxa"/>
            <w:tcBorders/>
            <w:shd w:fill="CCEEFF" w:val="clear"/>
            <w:tcMar>
              <w:bottom w:w="0" w:type="dxa"/>
            </w:tcMar>
            <w:vAlign w:val="bottom"/>
          </w:tcPr>
          <w:p>
            <w:pPr>
              <w:pStyle w:val="TableContents"/>
              <w:spacing w:before="0" w:after="283"/>
              <w:jc w:val="left"/>
              <w:rPr/>
            </w:pPr>
            <w:r>
              <w:rPr/>
              <w:t> </w:t>
            </w:r>
          </w:p>
        </w:tc>
        <w:tc>
          <w:tcPr>
            <w:tcW w:w="155" w:type="dxa"/>
            <w:tcBorders/>
            <w:shd w:fill="CCEEFF" w:val="clear"/>
            <w:tcMar>
              <w:bottom w:w="0" w:type="dxa"/>
            </w:tcMar>
            <w:vAlign w:val="bottom"/>
          </w:tcPr>
          <w:p>
            <w:pPr>
              <w:pStyle w:val="TableContents"/>
              <w:spacing w:before="0" w:after="283"/>
              <w:jc w:val="left"/>
              <w:rPr/>
            </w:pPr>
            <w:r>
              <w:rPr/>
              <w:t> </w:t>
            </w:r>
          </w:p>
        </w:tc>
        <w:tc>
          <w:tcPr>
            <w:tcW w:w="1281"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201" w:type="dxa"/>
            <w:tcBorders/>
            <w:shd w:fill="CCEEFF" w:val="clear"/>
            <w:tcMar>
              <w:bottom w:w="0" w:type="dxa"/>
            </w:tcMar>
            <w:vAlign w:val="bottom"/>
          </w:tcPr>
          <w:p>
            <w:pPr>
              <w:pStyle w:val="TableContents"/>
              <w:spacing w:before="0" w:after="283"/>
              <w:jc w:val="left"/>
              <w:rPr/>
            </w:pPr>
            <w:r>
              <w:rPr/>
              <w:t> </w:t>
            </w:r>
          </w:p>
        </w:tc>
        <w:tc>
          <w:tcPr>
            <w:tcW w:w="155" w:type="dxa"/>
            <w:tcBorders/>
            <w:shd w:fill="CCEEFF" w:val="clear"/>
            <w:tcMar>
              <w:bottom w:w="0" w:type="dxa"/>
            </w:tcMar>
            <w:vAlign w:val="bottom"/>
          </w:tcPr>
          <w:p>
            <w:pPr>
              <w:pStyle w:val="TableContents"/>
              <w:spacing w:before="0" w:after="283"/>
              <w:jc w:val="left"/>
              <w:rPr/>
            </w:pPr>
            <w:r>
              <w:rPr/>
              <w:t> </w:t>
            </w:r>
          </w:p>
        </w:tc>
        <w:tc>
          <w:tcPr>
            <w:tcW w:w="1281"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(6,212</w:t>
            </w:r>
          </w:p>
        </w:tc>
        <w:tc>
          <w:tcPr>
            <w:tcW w:w="132"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r>
      <w:tr>
        <w:trPr/>
        <w:tc>
          <w:tcPr>
            <w:tcW w:w="5257" w:type="dxa"/>
            <w:tcBorders/>
            <w:shd w:fill="FFFFFF" w:val="clear"/>
            <w:tcMar>
              <w:bottom w:w="0" w:type="dxa"/>
            </w:tcMar>
            <w:vAlign w:val="bottom"/>
          </w:tcPr>
          <w:p>
            <w:pPr>
              <w:pStyle w:val="TableContents"/>
              <w:spacing w:lineRule="auto" w:line="300" w:before="0" w:after="0"/>
              <w:ind w:left="900" w:right="0" w:hanging="180"/>
              <w:jc w:val="left"/>
              <w:rPr>
                <w:rFonts w:ascii="Times New Roman" w:hAnsi="Times New Roman"/>
                <w:sz w:val="20"/>
              </w:rPr>
            </w:pPr>
            <w:bookmarkStart w:id="4637" w:name="TAB12320"/>
            <w:bookmarkEnd w:id="4637"/>
            <w:r>
              <w:rPr>
                <w:rFonts w:ascii="Times New Roman" w:hAnsi="Times New Roman"/>
                <w:sz w:val="20"/>
              </w:rPr>
              <w:t>Proceeds from construction loan</w:t>
            </w:r>
          </w:p>
        </w:tc>
        <w:tc>
          <w:tcPr>
            <w:tcW w:w="191" w:type="dxa"/>
            <w:tcBorders/>
            <w:shd w:fill="FFFFFF" w:val="clear"/>
            <w:tcMar>
              <w:bottom w:w="0" w:type="dxa"/>
            </w:tcMar>
            <w:vAlign w:val="center"/>
          </w:tcPr>
          <w:p>
            <w:pPr>
              <w:pStyle w:val="TableContents"/>
              <w:spacing w:before="0" w:after="283"/>
              <w:rPr/>
            </w:pPr>
            <w:r>
              <w:rPr/>
              <w:t> </w:t>
            </w:r>
          </w:p>
        </w:tc>
        <w:tc>
          <w:tcPr>
            <w:tcW w:w="141" w:type="dxa"/>
            <w:tcBorders/>
            <w:shd w:fill="FFFFFF" w:val="clear"/>
            <w:tcMar>
              <w:bottom w:w="0" w:type="dxa"/>
            </w:tcMar>
            <w:vAlign w:val="bottom"/>
          </w:tcPr>
          <w:p>
            <w:pPr>
              <w:pStyle w:val="TableContents"/>
              <w:spacing w:before="0" w:after="283"/>
              <w:jc w:val="left"/>
              <w:rPr/>
            </w:pPr>
            <w:r>
              <w:rPr/>
              <w:t> </w:t>
            </w:r>
          </w:p>
        </w:tc>
        <w:tc>
          <w:tcPr>
            <w:tcW w:w="1210"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19,224</w:t>
            </w:r>
          </w:p>
        </w:tc>
        <w:tc>
          <w:tcPr>
            <w:tcW w:w="201" w:type="dxa"/>
            <w:tcBorders/>
            <w:shd w:fill="FFFFFF" w:val="clear"/>
            <w:tcMar>
              <w:bottom w:w="0" w:type="dxa"/>
            </w:tcMar>
            <w:vAlign w:val="bottom"/>
          </w:tcPr>
          <w:p>
            <w:pPr>
              <w:pStyle w:val="TableContents"/>
              <w:spacing w:before="0" w:after="283"/>
              <w:jc w:val="left"/>
              <w:rPr/>
            </w:pPr>
            <w:r>
              <w:rPr/>
              <w:t> </w:t>
            </w:r>
          </w:p>
        </w:tc>
        <w:tc>
          <w:tcPr>
            <w:tcW w:w="155" w:type="dxa"/>
            <w:tcBorders/>
            <w:shd w:fill="FFFFFF" w:val="clear"/>
            <w:tcMar>
              <w:bottom w:w="0" w:type="dxa"/>
            </w:tcMar>
            <w:vAlign w:val="bottom"/>
          </w:tcPr>
          <w:p>
            <w:pPr>
              <w:pStyle w:val="TableContents"/>
              <w:spacing w:before="0" w:after="283"/>
              <w:jc w:val="left"/>
              <w:rPr/>
            </w:pPr>
            <w:r>
              <w:rPr/>
              <w:t> </w:t>
            </w:r>
          </w:p>
        </w:tc>
        <w:tc>
          <w:tcPr>
            <w:tcW w:w="1281"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38,130</w:t>
            </w:r>
          </w:p>
        </w:tc>
        <w:tc>
          <w:tcPr>
            <w:tcW w:w="201" w:type="dxa"/>
            <w:tcBorders/>
            <w:shd w:fill="FFFFFF" w:val="clear"/>
            <w:tcMar>
              <w:bottom w:w="0" w:type="dxa"/>
            </w:tcMar>
            <w:vAlign w:val="bottom"/>
          </w:tcPr>
          <w:p>
            <w:pPr>
              <w:pStyle w:val="TableContents"/>
              <w:spacing w:before="0" w:after="283"/>
              <w:jc w:val="left"/>
              <w:rPr/>
            </w:pPr>
            <w:r>
              <w:rPr/>
              <w:t> </w:t>
            </w:r>
          </w:p>
        </w:tc>
        <w:tc>
          <w:tcPr>
            <w:tcW w:w="155" w:type="dxa"/>
            <w:tcBorders/>
            <w:shd w:fill="FFFFFF" w:val="clear"/>
            <w:tcMar>
              <w:bottom w:w="0" w:type="dxa"/>
            </w:tcMar>
            <w:vAlign w:val="bottom"/>
          </w:tcPr>
          <w:p>
            <w:pPr>
              <w:pStyle w:val="TableContents"/>
              <w:spacing w:before="0" w:after="283"/>
              <w:jc w:val="left"/>
              <w:rPr/>
            </w:pPr>
            <w:r>
              <w:rPr/>
              <w:t> </w:t>
            </w:r>
          </w:p>
        </w:tc>
        <w:tc>
          <w:tcPr>
            <w:tcW w:w="1281"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19,802</w:t>
            </w:r>
          </w:p>
        </w:tc>
        <w:tc>
          <w:tcPr>
            <w:tcW w:w="132" w:type="dxa"/>
            <w:tcBorders/>
            <w:shd w:fill="FFFFFF" w:val="clear"/>
            <w:tcMar>
              <w:bottom w:w="0" w:type="dxa"/>
            </w:tcMar>
            <w:vAlign w:val="bottom"/>
          </w:tcPr>
          <w:p>
            <w:pPr>
              <w:pStyle w:val="TableContents"/>
              <w:spacing w:before="0" w:after="283"/>
              <w:jc w:val="left"/>
              <w:rPr/>
            </w:pPr>
            <w:r>
              <w:rPr/>
              <w:t> </w:t>
            </w:r>
          </w:p>
        </w:tc>
      </w:tr>
      <w:tr>
        <w:trPr/>
        <w:tc>
          <w:tcPr>
            <w:tcW w:w="5257" w:type="dxa"/>
            <w:tcBorders/>
            <w:shd w:fill="CCEEFF" w:val="clear"/>
            <w:tcMar>
              <w:bottom w:w="0" w:type="dxa"/>
            </w:tcMar>
            <w:vAlign w:val="bottom"/>
          </w:tcPr>
          <w:p>
            <w:pPr>
              <w:pStyle w:val="TableContents"/>
              <w:spacing w:lineRule="auto" w:line="300" w:before="0" w:after="0"/>
              <w:ind w:left="900" w:right="0" w:hanging="180"/>
              <w:jc w:val="left"/>
              <w:rPr>
                <w:rFonts w:ascii="Times New Roman" w:hAnsi="Times New Roman"/>
                <w:sz w:val="20"/>
              </w:rPr>
            </w:pPr>
            <w:bookmarkStart w:id="4638" w:name="TAB12321"/>
            <w:bookmarkEnd w:id="4638"/>
            <w:r>
              <w:rPr>
                <w:rFonts w:ascii="Times New Roman" w:hAnsi="Times New Roman"/>
                <w:sz w:val="20"/>
              </w:rPr>
              <w:t>Repayment of construction loan</w:t>
            </w:r>
          </w:p>
        </w:tc>
        <w:tc>
          <w:tcPr>
            <w:tcW w:w="191" w:type="dxa"/>
            <w:tcBorders/>
            <w:shd w:fill="CCEEFF" w:val="clear"/>
            <w:tcMar>
              <w:bottom w:w="0" w:type="dxa"/>
            </w:tcMar>
            <w:vAlign w:val="center"/>
          </w:tcPr>
          <w:p>
            <w:pPr>
              <w:pStyle w:val="TableContents"/>
              <w:spacing w:before="0" w:after="283"/>
              <w:rPr/>
            </w:pPr>
            <w:r>
              <w:rPr/>
              <w:t> </w:t>
            </w:r>
          </w:p>
        </w:tc>
        <w:tc>
          <w:tcPr>
            <w:tcW w:w="141" w:type="dxa"/>
            <w:tcBorders/>
            <w:shd w:fill="CCEEFF" w:val="clear"/>
            <w:tcMar>
              <w:bottom w:w="0" w:type="dxa"/>
            </w:tcMar>
            <w:vAlign w:val="bottom"/>
          </w:tcPr>
          <w:p>
            <w:pPr>
              <w:pStyle w:val="TableContents"/>
              <w:spacing w:before="0" w:after="283"/>
              <w:jc w:val="left"/>
              <w:rPr/>
            </w:pPr>
            <w:r>
              <w:rPr/>
              <w:t> </w:t>
            </w:r>
          </w:p>
        </w:tc>
        <w:tc>
          <w:tcPr>
            <w:tcW w:w="1210"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(77,156</w:t>
            </w:r>
          </w:p>
        </w:tc>
        <w:tc>
          <w:tcPr>
            <w:tcW w:w="201"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55" w:type="dxa"/>
            <w:tcBorders/>
            <w:shd w:fill="CCEEFF" w:val="clear"/>
            <w:tcMar>
              <w:bottom w:w="0" w:type="dxa"/>
            </w:tcMar>
            <w:vAlign w:val="bottom"/>
          </w:tcPr>
          <w:p>
            <w:pPr>
              <w:pStyle w:val="TableContents"/>
              <w:spacing w:before="0" w:after="283"/>
              <w:jc w:val="left"/>
              <w:rPr/>
            </w:pPr>
            <w:r>
              <w:rPr/>
              <w:t> </w:t>
            </w:r>
          </w:p>
        </w:tc>
        <w:tc>
          <w:tcPr>
            <w:tcW w:w="1281"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201" w:type="dxa"/>
            <w:tcBorders/>
            <w:shd w:fill="CCEEFF" w:val="clear"/>
            <w:tcMar>
              <w:bottom w:w="0" w:type="dxa"/>
            </w:tcMar>
            <w:vAlign w:val="bottom"/>
          </w:tcPr>
          <w:p>
            <w:pPr>
              <w:pStyle w:val="TableContents"/>
              <w:spacing w:before="0" w:after="283"/>
              <w:jc w:val="left"/>
              <w:rPr/>
            </w:pPr>
            <w:r>
              <w:rPr/>
              <w:t> </w:t>
            </w:r>
          </w:p>
        </w:tc>
        <w:tc>
          <w:tcPr>
            <w:tcW w:w="155" w:type="dxa"/>
            <w:tcBorders/>
            <w:shd w:fill="CCEEFF" w:val="clear"/>
            <w:tcMar>
              <w:bottom w:w="0" w:type="dxa"/>
            </w:tcMar>
            <w:vAlign w:val="bottom"/>
          </w:tcPr>
          <w:p>
            <w:pPr>
              <w:pStyle w:val="TableContents"/>
              <w:spacing w:before="0" w:after="283"/>
              <w:jc w:val="left"/>
              <w:rPr/>
            </w:pPr>
            <w:r>
              <w:rPr/>
              <w:t> </w:t>
            </w:r>
          </w:p>
        </w:tc>
        <w:tc>
          <w:tcPr>
            <w:tcW w:w="1281"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132" w:type="dxa"/>
            <w:tcBorders/>
            <w:shd w:fill="CCEEFF" w:val="clear"/>
            <w:tcMar>
              <w:bottom w:w="0" w:type="dxa"/>
            </w:tcMar>
            <w:vAlign w:val="bottom"/>
          </w:tcPr>
          <w:p>
            <w:pPr>
              <w:pStyle w:val="TableContents"/>
              <w:spacing w:before="0" w:after="283"/>
              <w:jc w:val="left"/>
              <w:rPr/>
            </w:pPr>
            <w:r>
              <w:rPr/>
              <w:t> </w:t>
            </w:r>
          </w:p>
        </w:tc>
      </w:tr>
      <w:tr>
        <w:trPr/>
        <w:tc>
          <w:tcPr>
            <w:tcW w:w="5257" w:type="dxa"/>
            <w:tcBorders/>
            <w:shd w:fill="FFFFFF" w:val="clear"/>
            <w:tcMar>
              <w:bottom w:w="0" w:type="dxa"/>
            </w:tcMar>
            <w:vAlign w:val="bottom"/>
          </w:tcPr>
          <w:p>
            <w:pPr>
              <w:pStyle w:val="TableContents"/>
              <w:spacing w:lineRule="auto" w:line="300" w:before="0" w:after="0"/>
              <w:ind w:left="900" w:right="0" w:hanging="180"/>
              <w:jc w:val="left"/>
              <w:rPr>
                <w:rFonts w:ascii="Times New Roman" w:hAnsi="Times New Roman"/>
                <w:sz w:val="20"/>
              </w:rPr>
            </w:pPr>
            <w:bookmarkStart w:id="4639" w:name="TAB12322"/>
            <w:bookmarkEnd w:id="4639"/>
            <w:r>
              <w:rPr>
                <w:rFonts w:ascii="Times New Roman" w:hAnsi="Times New Roman"/>
                <w:sz w:val="20"/>
              </w:rPr>
              <w:t>Payment of mortgage loan payable</w:t>
            </w:r>
          </w:p>
        </w:tc>
        <w:tc>
          <w:tcPr>
            <w:tcW w:w="191" w:type="dxa"/>
            <w:tcBorders/>
            <w:shd w:fill="FFFFFF" w:val="clear"/>
            <w:tcMar>
              <w:bottom w:w="0" w:type="dxa"/>
            </w:tcMar>
            <w:vAlign w:val="center"/>
          </w:tcPr>
          <w:p>
            <w:pPr>
              <w:pStyle w:val="TableContents"/>
              <w:spacing w:before="0" w:after="283"/>
              <w:rPr/>
            </w:pPr>
            <w:r>
              <w:rPr/>
              <w:t> </w:t>
            </w:r>
          </w:p>
        </w:tc>
        <w:tc>
          <w:tcPr>
            <w:tcW w:w="141" w:type="dxa"/>
            <w:tcBorders/>
            <w:shd w:fill="FFFFFF" w:val="clear"/>
            <w:tcMar>
              <w:bottom w:w="0" w:type="dxa"/>
            </w:tcMar>
            <w:vAlign w:val="bottom"/>
          </w:tcPr>
          <w:p>
            <w:pPr>
              <w:pStyle w:val="TableContents"/>
              <w:spacing w:before="0" w:after="283"/>
              <w:jc w:val="left"/>
              <w:rPr/>
            </w:pPr>
            <w:r>
              <w:rPr/>
              <w:t> </w:t>
            </w:r>
          </w:p>
        </w:tc>
        <w:tc>
          <w:tcPr>
            <w:tcW w:w="1210"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201" w:type="dxa"/>
            <w:tcBorders/>
            <w:shd w:fill="FFFFFF" w:val="clear"/>
            <w:tcMar>
              <w:bottom w:w="0" w:type="dxa"/>
            </w:tcMar>
            <w:vAlign w:val="bottom"/>
          </w:tcPr>
          <w:p>
            <w:pPr>
              <w:pStyle w:val="TableContents"/>
              <w:spacing w:before="0" w:after="283"/>
              <w:jc w:val="left"/>
              <w:rPr/>
            </w:pPr>
            <w:r>
              <w:rPr/>
              <w:t> </w:t>
            </w:r>
          </w:p>
        </w:tc>
        <w:tc>
          <w:tcPr>
            <w:tcW w:w="155" w:type="dxa"/>
            <w:tcBorders/>
            <w:shd w:fill="FFFFFF" w:val="clear"/>
            <w:tcMar>
              <w:bottom w:w="0" w:type="dxa"/>
            </w:tcMar>
            <w:vAlign w:val="bottom"/>
          </w:tcPr>
          <w:p>
            <w:pPr>
              <w:pStyle w:val="TableContents"/>
              <w:spacing w:before="0" w:after="283"/>
              <w:jc w:val="left"/>
              <w:rPr/>
            </w:pPr>
            <w:r>
              <w:rPr/>
              <w:t> </w:t>
            </w:r>
          </w:p>
        </w:tc>
        <w:tc>
          <w:tcPr>
            <w:tcW w:w="1281"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201" w:type="dxa"/>
            <w:tcBorders/>
            <w:shd w:fill="FFFFFF" w:val="clear"/>
            <w:tcMar>
              <w:bottom w:w="0" w:type="dxa"/>
            </w:tcMar>
            <w:vAlign w:val="bottom"/>
          </w:tcPr>
          <w:p>
            <w:pPr>
              <w:pStyle w:val="TableContents"/>
              <w:spacing w:before="0" w:after="283"/>
              <w:jc w:val="left"/>
              <w:rPr/>
            </w:pPr>
            <w:r>
              <w:rPr/>
              <w:t> </w:t>
            </w:r>
          </w:p>
        </w:tc>
        <w:tc>
          <w:tcPr>
            <w:tcW w:w="155" w:type="dxa"/>
            <w:tcBorders/>
            <w:shd w:fill="FFFFFF" w:val="clear"/>
            <w:tcMar>
              <w:bottom w:w="0" w:type="dxa"/>
            </w:tcMar>
            <w:vAlign w:val="bottom"/>
          </w:tcPr>
          <w:p>
            <w:pPr>
              <w:pStyle w:val="TableContents"/>
              <w:spacing w:before="0" w:after="283"/>
              <w:jc w:val="left"/>
              <w:rPr/>
            </w:pPr>
            <w:r>
              <w:rPr/>
              <w:t> </w:t>
            </w:r>
          </w:p>
        </w:tc>
        <w:tc>
          <w:tcPr>
            <w:tcW w:w="1281"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(13,000</w:t>
            </w:r>
          </w:p>
        </w:tc>
        <w:tc>
          <w:tcPr>
            <w:tcW w:w="132"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r>
      <w:tr>
        <w:trPr/>
        <w:tc>
          <w:tcPr>
            <w:tcW w:w="5257" w:type="dxa"/>
            <w:tcBorders/>
            <w:shd w:fill="CCEEFF" w:val="clear"/>
            <w:tcMar>
              <w:bottom w:w="0" w:type="dxa"/>
            </w:tcMar>
            <w:vAlign w:val="bottom"/>
          </w:tcPr>
          <w:p>
            <w:pPr>
              <w:pStyle w:val="TableContents"/>
              <w:spacing w:lineRule="auto" w:line="300" w:before="0" w:after="0"/>
              <w:ind w:left="900" w:right="0" w:hanging="180"/>
              <w:jc w:val="left"/>
              <w:rPr>
                <w:rFonts w:ascii="Times New Roman" w:hAnsi="Times New Roman"/>
                <w:sz w:val="20"/>
              </w:rPr>
            </w:pPr>
            <w:bookmarkStart w:id="4640" w:name="TAB12323"/>
            <w:bookmarkEnd w:id="4640"/>
            <w:r>
              <w:rPr>
                <w:rFonts w:ascii="Times New Roman" w:hAnsi="Times New Roman"/>
                <w:sz w:val="20"/>
              </w:rPr>
              <w:t>(Payments) proceeds from loan payable Clarett Capital</w:t>
            </w:r>
          </w:p>
        </w:tc>
        <w:tc>
          <w:tcPr>
            <w:tcW w:w="191" w:type="dxa"/>
            <w:tcBorders/>
            <w:shd w:fill="CCEEFF" w:val="clear"/>
            <w:tcMar>
              <w:bottom w:w="0" w:type="dxa"/>
            </w:tcMar>
            <w:vAlign w:val="center"/>
          </w:tcPr>
          <w:p>
            <w:pPr>
              <w:pStyle w:val="TableContents"/>
              <w:spacing w:before="0" w:after="283"/>
              <w:rPr/>
            </w:pPr>
            <w:r>
              <w:rPr/>
              <w:t> </w:t>
            </w:r>
          </w:p>
        </w:tc>
        <w:tc>
          <w:tcPr>
            <w:tcW w:w="141" w:type="dxa"/>
            <w:tcBorders/>
            <w:shd w:fill="CCEEFF" w:val="clear"/>
            <w:tcMar>
              <w:bottom w:w="0" w:type="dxa"/>
            </w:tcMar>
            <w:vAlign w:val="bottom"/>
          </w:tcPr>
          <w:p>
            <w:pPr>
              <w:pStyle w:val="TableContents"/>
              <w:spacing w:before="0" w:after="283"/>
              <w:jc w:val="left"/>
              <w:rPr/>
            </w:pPr>
            <w:r>
              <w:rPr/>
              <w:t> </w:t>
            </w:r>
          </w:p>
        </w:tc>
        <w:tc>
          <w:tcPr>
            <w:tcW w:w="1210" w:type="dxa"/>
            <w:tcBorders/>
            <w:shd w:fill="CCEEFF" w:val="clear"/>
            <w:tcMar>
              <w:bottom w:w="0" w:type="dxa"/>
            </w:tcMar>
            <w:vAlign w:val="bottom"/>
          </w:tcPr>
          <w:p>
            <w:pPr>
              <w:pStyle w:val="TableContents"/>
              <w:spacing w:before="0" w:after="283"/>
              <w:jc w:val="right"/>
              <w:rPr/>
            </w:pPr>
            <w:r>
              <w:rPr/>
              <w:t> </w:t>
            </w:r>
          </w:p>
        </w:tc>
        <w:tc>
          <w:tcPr>
            <w:tcW w:w="201" w:type="dxa"/>
            <w:tcBorders/>
            <w:shd w:fill="CCEEFF" w:val="clear"/>
            <w:tcMar>
              <w:bottom w:w="0" w:type="dxa"/>
            </w:tcMar>
            <w:vAlign w:val="bottom"/>
          </w:tcPr>
          <w:p>
            <w:pPr>
              <w:pStyle w:val="TableContents"/>
              <w:spacing w:before="0" w:after="283"/>
              <w:jc w:val="left"/>
              <w:rPr/>
            </w:pPr>
            <w:r>
              <w:rPr/>
              <w:t> </w:t>
            </w:r>
          </w:p>
        </w:tc>
        <w:tc>
          <w:tcPr>
            <w:tcW w:w="155" w:type="dxa"/>
            <w:tcBorders/>
            <w:shd w:fill="CCEEFF" w:val="clear"/>
            <w:tcMar>
              <w:bottom w:w="0" w:type="dxa"/>
            </w:tcMar>
            <w:vAlign w:val="bottom"/>
          </w:tcPr>
          <w:p>
            <w:pPr>
              <w:pStyle w:val="TableContents"/>
              <w:spacing w:before="0" w:after="283"/>
              <w:jc w:val="left"/>
              <w:rPr/>
            </w:pPr>
            <w:r>
              <w:rPr/>
              <w:t> </w:t>
            </w:r>
          </w:p>
        </w:tc>
        <w:tc>
          <w:tcPr>
            <w:tcW w:w="1281"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w:t>
            </w:r>
          </w:p>
        </w:tc>
        <w:tc>
          <w:tcPr>
            <w:tcW w:w="201"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55" w:type="dxa"/>
            <w:tcBorders/>
            <w:shd w:fill="CCEEFF" w:val="clear"/>
            <w:tcMar>
              <w:bottom w:w="0" w:type="dxa"/>
            </w:tcMar>
            <w:vAlign w:val="bottom"/>
          </w:tcPr>
          <w:p>
            <w:pPr>
              <w:pStyle w:val="TableContents"/>
              <w:spacing w:before="0" w:after="283"/>
              <w:jc w:val="left"/>
              <w:rPr/>
            </w:pPr>
            <w:r>
              <w:rPr/>
              <w:t> </w:t>
            </w:r>
          </w:p>
        </w:tc>
        <w:tc>
          <w:tcPr>
            <w:tcW w:w="1281"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w:t>
            </w:r>
          </w:p>
        </w:tc>
        <w:tc>
          <w:tcPr>
            <w:tcW w:w="132" w:type="dxa"/>
            <w:tcBorders/>
            <w:shd w:fill="CCEEFF" w:val="clear"/>
            <w:tcMar>
              <w:bottom w:w="0" w:type="dxa"/>
            </w:tcMar>
            <w:vAlign w:val="bottom"/>
          </w:tcPr>
          <w:p>
            <w:pPr>
              <w:pStyle w:val="TableContents"/>
              <w:spacing w:before="0" w:after="283"/>
              <w:jc w:val="left"/>
              <w:rPr/>
            </w:pPr>
            <w:r>
              <w:rPr/>
              <w:t> </w:t>
            </w:r>
          </w:p>
        </w:tc>
      </w:tr>
      <w:tr>
        <w:trPr/>
        <w:tc>
          <w:tcPr>
            <w:tcW w:w="5257" w:type="dxa"/>
            <w:tcBorders/>
            <w:shd w:fill="FFFFFF" w:val="clear"/>
            <w:tcMar>
              <w:bottom w:w="0" w:type="dxa"/>
            </w:tcMar>
            <w:vAlign w:val="bottom"/>
          </w:tcPr>
          <w:p>
            <w:pPr>
              <w:pStyle w:val="TableContents"/>
              <w:spacing w:lineRule="auto" w:line="300" w:before="0" w:after="0"/>
              <w:ind w:left="900" w:right="0" w:hanging="180"/>
              <w:jc w:val="left"/>
              <w:rPr>
                <w:rFonts w:ascii="Times New Roman" w:hAnsi="Times New Roman"/>
                <w:sz w:val="20"/>
              </w:rPr>
            </w:pPr>
            <w:bookmarkStart w:id="4641" w:name="TAB12324"/>
            <w:bookmarkEnd w:id="4641"/>
            <w:r>
              <w:rPr>
                <w:rFonts w:ascii="Times New Roman" w:hAnsi="Times New Roman"/>
                <w:sz w:val="20"/>
              </w:rPr>
              <w:t>Member distributions</w:t>
            </w:r>
          </w:p>
        </w:tc>
        <w:tc>
          <w:tcPr>
            <w:tcW w:w="191" w:type="dxa"/>
            <w:tcBorders/>
            <w:shd w:fill="FFFFFF" w:val="clear"/>
            <w:tcMar>
              <w:bottom w:w="0" w:type="dxa"/>
            </w:tcMar>
            <w:vAlign w:val="center"/>
          </w:tcPr>
          <w:p>
            <w:pPr>
              <w:pStyle w:val="TableContents"/>
              <w:spacing w:before="0" w:after="283"/>
              <w:rPr/>
            </w:pPr>
            <w:r>
              <w:rPr/>
              <w:t> </w:t>
            </w:r>
          </w:p>
        </w:tc>
        <w:tc>
          <w:tcPr>
            <w:tcW w:w="141" w:type="dxa"/>
            <w:tcBorders/>
            <w:shd w:fill="FFFFFF" w:val="clear"/>
            <w:tcMar>
              <w:bottom w:w="0" w:type="dxa"/>
            </w:tcMar>
            <w:vAlign w:val="bottom"/>
          </w:tcPr>
          <w:p>
            <w:pPr>
              <w:pStyle w:val="TableContents"/>
              <w:spacing w:before="0" w:after="283"/>
              <w:jc w:val="left"/>
              <w:rPr/>
            </w:pPr>
            <w:r>
              <w:rPr/>
              <w:t> </w:t>
            </w:r>
          </w:p>
        </w:tc>
        <w:tc>
          <w:tcPr>
            <w:tcW w:w="1210"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(23,432</w:t>
            </w:r>
          </w:p>
        </w:tc>
        <w:tc>
          <w:tcPr>
            <w:tcW w:w="201"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55" w:type="dxa"/>
            <w:tcBorders/>
            <w:shd w:fill="FFFFFF" w:val="clear"/>
            <w:tcMar>
              <w:bottom w:w="0" w:type="dxa"/>
            </w:tcMar>
            <w:vAlign w:val="bottom"/>
          </w:tcPr>
          <w:p>
            <w:pPr>
              <w:pStyle w:val="TableContents"/>
              <w:spacing w:before="0" w:after="283"/>
              <w:jc w:val="left"/>
              <w:rPr/>
            </w:pPr>
            <w:r>
              <w:rPr/>
              <w:t> </w:t>
            </w:r>
          </w:p>
        </w:tc>
        <w:tc>
          <w:tcPr>
            <w:tcW w:w="1281"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201" w:type="dxa"/>
            <w:tcBorders/>
            <w:shd w:fill="FFFFFF" w:val="clear"/>
            <w:tcMar>
              <w:bottom w:w="0" w:type="dxa"/>
            </w:tcMar>
            <w:vAlign w:val="bottom"/>
          </w:tcPr>
          <w:p>
            <w:pPr>
              <w:pStyle w:val="TableContents"/>
              <w:spacing w:before="0" w:after="283"/>
              <w:jc w:val="left"/>
              <w:rPr/>
            </w:pPr>
            <w:r>
              <w:rPr/>
              <w:t> </w:t>
            </w:r>
          </w:p>
        </w:tc>
        <w:tc>
          <w:tcPr>
            <w:tcW w:w="155" w:type="dxa"/>
            <w:tcBorders/>
            <w:shd w:fill="FFFFFF" w:val="clear"/>
            <w:tcMar>
              <w:bottom w:w="0" w:type="dxa"/>
            </w:tcMar>
            <w:vAlign w:val="bottom"/>
          </w:tcPr>
          <w:p>
            <w:pPr>
              <w:pStyle w:val="TableContents"/>
              <w:spacing w:before="0" w:after="283"/>
              <w:jc w:val="left"/>
              <w:rPr/>
            </w:pPr>
            <w:r>
              <w:rPr/>
              <w:t> </w:t>
            </w:r>
          </w:p>
        </w:tc>
        <w:tc>
          <w:tcPr>
            <w:tcW w:w="1281"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(86</w:t>
            </w:r>
          </w:p>
        </w:tc>
        <w:tc>
          <w:tcPr>
            <w:tcW w:w="132"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r>
      <w:tr>
        <w:trPr/>
        <w:tc>
          <w:tcPr>
            <w:tcW w:w="5257" w:type="dxa"/>
            <w:tcBorders>
              <w:bottom w:val="single" w:sz="2" w:space="0" w:color="000000"/>
            </w:tcBorders>
            <w:shd w:fill="CCEEFF" w:val="clear"/>
            <w:vAlign w:val="bottom"/>
          </w:tcPr>
          <w:p>
            <w:pPr>
              <w:pStyle w:val="TableContents"/>
              <w:spacing w:lineRule="auto" w:line="300" w:before="0" w:after="0"/>
              <w:ind w:left="900" w:right="0" w:hanging="180"/>
              <w:jc w:val="left"/>
              <w:rPr>
                <w:rFonts w:ascii="Times New Roman" w:hAnsi="Times New Roman"/>
                <w:sz w:val="20"/>
              </w:rPr>
            </w:pPr>
            <w:bookmarkStart w:id="4642" w:name="TAB12325"/>
            <w:bookmarkEnd w:id="4642"/>
            <w:r>
              <w:rPr>
                <w:rFonts w:ascii="Times New Roman" w:hAnsi="Times New Roman"/>
                <w:sz w:val="20"/>
              </w:rPr>
              <w:t>Member contributions</w:t>
            </w:r>
          </w:p>
        </w:tc>
        <w:tc>
          <w:tcPr>
            <w:tcW w:w="191" w:type="dxa"/>
            <w:tcBorders>
              <w:bottom w:val="single" w:sz="4" w:space="0" w:color="CCEEFF"/>
            </w:tcBorders>
            <w:shd w:fill="CCEEFF" w:val="clear"/>
            <w:vAlign w:val="center"/>
          </w:tcPr>
          <w:p>
            <w:pPr>
              <w:pStyle w:val="TableContents"/>
              <w:spacing w:before="0" w:after="283"/>
              <w:rPr/>
            </w:pPr>
            <w:r>
              <w:rPr/>
              <w:t> </w:t>
            </w:r>
          </w:p>
        </w:tc>
        <w:tc>
          <w:tcPr>
            <w:tcW w:w="141" w:type="dxa"/>
            <w:tcBorders>
              <w:bottom w:val="single" w:sz="2" w:space="0" w:color="000000"/>
            </w:tcBorders>
            <w:shd w:fill="CCEEFF" w:val="clear"/>
            <w:vAlign w:val="bottom"/>
          </w:tcPr>
          <w:p>
            <w:pPr>
              <w:pStyle w:val="TableContents"/>
              <w:spacing w:before="0" w:after="283"/>
              <w:jc w:val="left"/>
              <w:rPr/>
            </w:pPr>
            <w:r>
              <w:rPr/>
              <w:t> </w:t>
            </w:r>
          </w:p>
        </w:tc>
        <w:tc>
          <w:tcPr>
            <w:tcW w:w="1210"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201" w:type="dxa"/>
            <w:tcBorders>
              <w:bottom w:val="single" w:sz="4" w:space="0" w:color="CCEEFF"/>
            </w:tcBorders>
            <w:shd w:fill="CCEEFF" w:val="clear"/>
            <w:vAlign w:val="bottom"/>
          </w:tcPr>
          <w:p>
            <w:pPr>
              <w:pStyle w:val="TableContents"/>
              <w:spacing w:before="0" w:after="283"/>
              <w:jc w:val="left"/>
              <w:rPr/>
            </w:pPr>
            <w:r>
              <w:rPr/>
              <w:t> </w:t>
            </w:r>
          </w:p>
        </w:tc>
        <w:tc>
          <w:tcPr>
            <w:tcW w:w="155" w:type="dxa"/>
            <w:tcBorders>
              <w:bottom w:val="single" w:sz="2" w:space="0" w:color="000000"/>
            </w:tcBorders>
            <w:shd w:fill="CCEEFF" w:val="clear"/>
            <w:vAlign w:val="bottom"/>
          </w:tcPr>
          <w:p>
            <w:pPr>
              <w:pStyle w:val="TableContents"/>
              <w:spacing w:before="0" w:after="283"/>
              <w:jc w:val="left"/>
              <w:rPr/>
            </w:pPr>
            <w:r>
              <w:rPr/>
              <w:t> </w:t>
            </w:r>
          </w:p>
        </w:tc>
        <w:tc>
          <w:tcPr>
            <w:tcW w:w="1281"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2,877</w:t>
            </w:r>
          </w:p>
        </w:tc>
        <w:tc>
          <w:tcPr>
            <w:tcW w:w="201" w:type="dxa"/>
            <w:tcBorders>
              <w:bottom w:val="single" w:sz="4" w:space="0" w:color="CCEEFF"/>
            </w:tcBorders>
            <w:shd w:fill="CCEEFF" w:val="clear"/>
            <w:vAlign w:val="bottom"/>
          </w:tcPr>
          <w:p>
            <w:pPr>
              <w:pStyle w:val="TableContents"/>
              <w:spacing w:before="0" w:after="283"/>
              <w:jc w:val="left"/>
              <w:rPr/>
            </w:pPr>
            <w:r>
              <w:rPr/>
              <w:t> </w:t>
            </w:r>
          </w:p>
        </w:tc>
        <w:tc>
          <w:tcPr>
            <w:tcW w:w="155" w:type="dxa"/>
            <w:tcBorders>
              <w:bottom w:val="single" w:sz="2" w:space="0" w:color="000000"/>
            </w:tcBorders>
            <w:shd w:fill="CCEEFF" w:val="clear"/>
            <w:vAlign w:val="bottom"/>
          </w:tcPr>
          <w:p>
            <w:pPr>
              <w:pStyle w:val="TableContents"/>
              <w:spacing w:before="0" w:after="283"/>
              <w:jc w:val="left"/>
              <w:rPr/>
            </w:pPr>
            <w:r>
              <w:rPr/>
              <w:t> </w:t>
            </w:r>
          </w:p>
        </w:tc>
        <w:tc>
          <w:tcPr>
            <w:tcW w:w="1281"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8,982</w:t>
            </w:r>
          </w:p>
        </w:tc>
        <w:tc>
          <w:tcPr>
            <w:tcW w:w="132" w:type="dxa"/>
            <w:tcBorders>
              <w:bottom w:val="single" w:sz="4" w:space="0" w:color="CCEEFF"/>
            </w:tcBorders>
            <w:shd w:fill="CCEEFF" w:val="clear"/>
            <w:vAlign w:val="bottom"/>
          </w:tcPr>
          <w:p>
            <w:pPr>
              <w:pStyle w:val="TableContents"/>
              <w:spacing w:before="0" w:after="283"/>
              <w:jc w:val="left"/>
              <w:rPr/>
            </w:pPr>
            <w:r>
              <w:rPr/>
              <w:t> </w:t>
            </w:r>
          </w:p>
        </w:tc>
      </w:tr>
      <w:tr>
        <w:trPr/>
        <w:tc>
          <w:tcPr>
            <w:tcW w:w="5257" w:type="dxa"/>
            <w:tcBorders/>
            <w:shd w:fill="FFFFFF" w:val="clear"/>
            <w:tcMar>
              <w:bottom w:w="0" w:type="dxa"/>
            </w:tcMar>
            <w:vAlign w:val="bottom"/>
          </w:tcPr>
          <w:p>
            <w:pPr>
              <w:pStyle w:val="TableContents"/>
              <w:spacing w:before="0" w:after="283"/>
              <w:jc w:val="left"/>
              <w:rPr/>
            </w:pPr>
            <w:r>
              <w:rPr/>
              <w:t> </w:t>
            </w:r>
          </w:p>
        </w:tc>
        <w:tc>
          <w:tcPr>
            <w:tcW w:w="191" w:type="dxa"/>
            <w:tcBorders/>
            <w:shd w:fill="FFFFFF" w:val="clear"/>
            <w:tcMar>
              <w:bottom w:w="0" w:type="dxa"/>
            </w:tcMar>
            <w:vAlign w:val="center"/>
          </w:tcPr>
          <w:p>
            <w:pPr>
              <w:pStyle w:val="TableContents"/>
              <w:spacing w:before="0" w:after="283"/>
              <w:rPr/>
            </w:pPr>
            <w:r>
              <w:rPr/>
              <w:t> </w:t>
            </w:r>
          </w:p>
        </w:tc>
        <w:tc>
          <w:tcPr>
            <w:tcW w:w="141" w:type="dxa"/>
            <w:tcBorders/>
            <w:shd w:fill="FFFFFF" w:val="clear"/>
            <w:tcMar>
              <w:bottom w:w="0" w:type="dxa"/>
            </w:tcMar>
            <w:vAlign w:val="bottom"/>
          </w:tcPr>
          <w:p>
            <w:pPr>
              <w:pStyle w:val="TableContents"/>
              <w:spacing w:before="0" w:after="283"/>
              <w:jc w:val="left"/>
              <w:rPr/>
            </w:pPr>
            <w:r>
              <w:rPr/>
              <w:t> </w:t>
            </w:r>
          </w:p>
        </w:tc>
        <w:tc>
          <w:tcPr>
            <w:tcW w:w="1210" w:type="dxa"/>
            <w:tcBorders/>
            <w:shd w:fill="FFFFFF" w:val="clear"/>
            <w:tcMar>
              <w:bottom w:w="0" w:type="dxa"/>
            </w:tcMar>
            <w:vAlign w:val="bottom"/>
          </w:tcPr>
          <w:p>
            <w:pPr>
              <w:pStyle w:val="TableContents"/>
              <w:spacing w:before="0" w:after="283"/>
              <w:jc w:val="right"/>
              <w:rPr/>
            </w:pPr>
            <w:r>
              <w:rPr/>
              <w:t> </w:t>
            </w:r>
          </w:p>
        </w:tc>
        <w:tc>
          <w:tcPr>
            <w:tcW w:w="201" w:type="dxa"/>
            <w:tcBorders/>
            <w:shd w:fill="FFFFFF" w:val="clear"/>
            <w:tcMar>
              <w:bottom w:w="0" w:type="dxa"/>
            </w:tcMar>
            <w:vAlign w:val="bottom"/>
          </w:tcPr>
          <w:p>
            <w:pPr>
              <w:pStyle w:val="TableContents"/>
              <w:spacing w:before="0" w:after="283"/>
              <w:jc w:val="left"/>
              <w:rPr/>
            </w:pPr>
            <w:r>
              <w:rPr/>
              <w:t> </w:t>
            </w:r>
          </w:p>
        </w:tc>
        <w:tc>
          <w:tcPr>
            <w:tcW w:w="155" w:type="dxa"/>
            <w:tcBorders/>
            <w:shd w:fill="FFFFFF" w:val="clear"/>
            <w:tcMar>
              <w:bottom w:w="0" w:type="dxa"/>
            </w:tcMar>
            <w:vAlign w:val="bottom"/>
          </w:tcPr>
          <w:p>
            <w:pPr>
              <w:pStyle w:val="TableContents"/>
              <w:spacing w:before="0" w:after="283"/>
              <w:jc w:val="left"/>
              <w:rPr/>
            </w:pPr>
            <w:r>
              <w:rPr/>
              <w:t> </w:t>
            </w:r>
          </w:p>
        </w:tc>
        <w:tc>
          <w:tcPr>
            <w:tcW w:w="1281" w:type="dxa"/>
            <w:tcBorders/>
            <w:shd w:fill="FFFFFF" w:val="clear"/>
            <w:tcMar>
              <w:bottom w:w="0" w:type="dxa"/>
            </w:tcMar>
            <w:vAlign w:val="bottom"/>
          </w:tcPr>
          <w:p>
            <w:pPr>
              <w:pStyle w:val="TableContents"/>
              <w:spacing w:before="0" w:after="283"/>
              <w:jc w:val="right"/>
              <w:rPr/>
            </w:pPr>
            <w:r>
              <w:rPr/>
              <w:t> </w:t>
            </w:r>
          </w:p>
        </w:tc>
        <w:tc>
          <w:tcPr>
            <w:tcW w:w="201" w:type="dxa"/>
            <w:tcBorders/>
            <w:shd w:fill="FFFFFF" w:val="clear"/>
            <w:tcMar>
              <w:bottom w:w="0" w:type="dxa"/>
            </w:tcMar>
            <w:vAlign w:val="bottom"/>
          </w:tcPr>
          <w:p>
            <w:pPr>
              <w:pStyle w:val="TableContents"/>
              <w:spacing w:before="0" w:after="283"/>
              <w:jc w:val="left"/>
              <w:rPr/>
            </w:pPr>
            <w:r>
              <w:rPr/>
              <w:t> </w:t>
            </w:r>
          </w:p>
        </w:tc>
        <w:tc>
          <w:tcPr>
            <w:tcW w:w="155" w:type="dxa"/>
            <w:tcBorders/>
            <w:shd w:fill="FFFFFF" w:val="clear"/>
            <w:tcMar>
              <w:bottom w:w="0" w:type="dxa"/>
            </w:tcMar>
            <w:vAlign w:val="bottom"/>
          </w:tcPr>
          <w:p>
            <w:pPr>
              <w:pStyle w:val="TableContents"/>
              <w:spacing w:before="0" w:after="283"/>
              <w:jc w:val="left"/>
              <w:rPr/>
            </w:pPr>
            <w:r>
              <w:rPr/>
              <w:t> </w:t>
            </w:r>
          </w:p>
        </w:tc>
        <w:tc>
          <w:tcPr>
            <w:tcW w:w="1281" w:type="dxa"/>
            <w:tcBorders/>
            <w:shd w:fill="FFFFFF" w:val="clear"/>
            <w:tcMar>
              <w:bottom w:w="0" w:type="dxa"/>
            </w:tcMar>
            <w:vAlign w:val="bottom"/>
          </w:tcPr>
          <w:p>
            <w:pPr>
              <w:pStyle w:val="TableContents"/>
              <w:spacing w:before="0" w:after="283"/>
              <w:jc w:val="right"/>
              <w:rPr/>
            </w:pPr>
            <w:r>
              <w:rPr/>
              <w:t> </w:t>
            </w:r>
          </w:p>
        </w:tc>
        <w:tc>
          <w:tcPr>
            <w:tcW w:w="132" w:type="dxa"/>
            <w:tcBorders/>
            <w:shd w:fill="FFFFFF" w:val="clear"/>
            <w:tcMar>
              <w:bottom w:w="0" w:type="dxa"/>
            </w:tcMar>
            <w:vAlign w:val="bottom"/>
          </w:tcPr>
          <w:p>
            <w:pPr>
              <w:pStyle w:val="TableContents"/>
              <w:spacing w:before="0" w:after="283"/>
              <w:jc w:val="left"/>
              <w:rPr/>
            </w:pPr>
            <w:r>
              <w:rPr/>
              <w:t> </w:t>
            </w:r>
          </w:p>
        </w:tc>
      </w:tr>
      <w:tr>
        <w:trPr/>
        <w:tc>
          <w:tcPr>
            <w:tcW w:w="5257" w:type="dxa"/>
            <w:tcBorders>
              <w:bottom w:val="single" w:sz="2" w:space="0" w:color="000000"/>
            </w:tcBorders>
            <w:shd w:fill="CCEEFF" w:val="clear"/>
            <w:vAlign w:val="bottom"/>
          </w:tcPr>
          <w:p>
            <w:pPr>
              <w:pStyle w:val="TableContents"/>
              <w:spacing w:lineRule="auto" w:line="300" w:before="0" w:after="0"/>
              <w:ind w:left="180" w:right="0" w:hanging="180"/>
              <w:jc w:val="left"/>
              <w:rPr>
                <w:rFonts w:ascii="Times New Roman" w:hAnsi="Times New Roman"/>
                <w:sz w:val="20"/>
              </w:rPr>
            </w:pPr>
            <w:r>
              <w:rPr>
                <w:rFonts w:ascii="Times New Roman" w:hAnsi="Times New Roman"/>
                <w:sz w:val="20"/>
              </w:rPr>
              <w:t>NET CASH (USED IN) PROVIDED BY FINANCING ACTIVITIES</w:t>
            </w:r>
          </w:p>
        </w:tc>
        <w:tc>
          <w:tcPr>
            <w:tcW w:w="191" w:type="dxa"/>
            <w:tcBorders>
              <w:bottom w:val="single" w:sz="2" w:space="0" w:color="CCEEFF"/>
            </w:tcBorders>
            <w:shd w:fill="CCEEFF" w:val="clear"/>
            <w:vAlign w:val="center"/>
          </w:tcPr>
          <w:p>
            <w:pPr>
              <w:pStyle w:val="TableContents"/>
              <w:spacing w:before="0" w:after="283"/>
              <w:rPr/>
            </w:pPr>
            <w:r>
              <w:rPr/>
              <w:t> </w:t>
            </w:r>
          </w:p>
        </w:tc>
        <w:tc>
          <w:tcPr>
            <w:tcW w:w="141" w:type="dxa"/>
            <w:tcBorders>
              <w:bottom w:val="single" w:sz="2" w:space="0" w:color="000000"/>
            </w:tcBorders>
            <w:shd w:fill="CCEEFF" w:val="clear"/>
            <w:vAlign w:val="bottom"/>
          </w:tcPr>
          <w:p>
            <w:pPr>
              <w:pStyle w:val="TableContents"/>
              <w:spacing w:before="0" w:after="283"/>
              <w:jc w:val="left"/>
              <w:rPr/>
            </w:pPr>
            <w:r>
              <w:rPr/>
              <w:t> </w:t>
            </w:r>
          </w:p>
        </w:tc>
        <w:tc>
          <w:tcPr>
            <w:tcW w:w="1210"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(81,364</w:t>
            </w:r>
          </w:p>
        </w:tc>
        <w:tc>
          <w:tcPr>
            <w:tcW w:w="201" w:type="dxa"/>
            <w:tcBorders>
              <w:bottom w:val="single" w:sz="2" w:space="0" w:color="CCEEFF"/>
            </w:tcBorders>
            <w:shd w:fill="CCEE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55" w:type="dxa"/>
            <w:tcBorders>
              <w:bottom w:val="single" w:sz="2" w:space="0" w:color="000000"/>
            </w:tcBorders>
            <w:shd w:fill="CCEEFF" w:val="clear"/>
            <w:vAlign w:val="bottom"/>
          </w:tcPr>
          <w:p>
            <w:pPr>
              <w:pStyle w:val="TableContents"/>
              <w:spacing w:before="0" w:after="283"/>
              <w:jc w:val="left"/>
              <w:rPr/>
            </w:pPr>
            <w:r>
              <w:rPr/>
              <w:t> </w:t>
            </w:r>
          </w:p>
        </w:tc>
        <w:tc>
          <w:tcPr>
            <w:tcW w:w="1281"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41,006</w:t>
            </w:r>
          </w:p>
        </w:tc>
        <w:tc>
          <w:tcPr>
            <w:tcW w:w="201" w:type="dxa"/>
            <w:tcBorders>
              <w:bottom w:val="single" w:sz="2" w:space="0" w:color="CCEEFF"/>
            </w:tcBorders>
            <w:shd w:fill="CCEEFF" w:val="clear"/>
            <w:vAlign w:val="bottom"/>
          </w:tcPr>
          <w:p>
            <w:pPr>
              <w:pStyle w:val="TableContents"/>
              <w:spacing w:before="0" w:after="283"/>
              <w:jc w:val="left"/>
              <w:rPr/>
            </w:pPr>
            <w:r>
              <w:rPr/>
              <w:t> </w:t>
            </w:r>
          </w:p>
        </w:tc>
        <w:tc>
          <w:tcPr>
            <w:tcW w:w="155" w:type="dxa"/>
            <w:tcBorders>
              <w:bottom w:val="single" w:sz="2" w:space="0" w:color="000000"/>
            </w:tcBorders>
            <w:shd w:fill="CCEEFF" w:val="clear"/>
            <w:vAlign w:val="bottom"/>
          </w:tcPr>
          <w:p>
            <w:pPr>
              <w:pStyle w:val="TableContents"/>
              <w:spacing w:before="0" w:after="283"/>
              <w:jc w:val="left"/>
              <w:rPr/>
            </w:pPr>
            <w:r>
              <w:rPr/>
              <w:t> </w:t>
            </w:r>
          </w:p>
        </w:tc>
        <w:tc>
          <w:tcPr>
            <w:tcW w:w="1281"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9,487</w:t>
            </w:r>
          </w:p>
        </w:tc>
        <w:tc>
          <w:tcPr>
            <w:tcW w:w="132" w:type="dxa"/>
            <w:tcBorders>
              <w:bottom w:val="single" w:sz="2" w:space="0" w:color="CCEEFF"/>
            </w:tcBorders>
            <w:shd w:fill="CCEEFF" w:val="clear"/>
            <w:vAlign w:val="bottom"/>
          </w:tcPr>
          <w:p>
            <w:pPr>
              <w:pStyle w:val="TableContents"/>
              <w:spacing w:before="0" w:after="283"/>
              <w:jc w:val="left"/>
              <w:rPr/>
            </w:pPr>
            <w:r>
              <w:rPr/>
              <w:t> </w:t>
            </w:r>
          </w:p>
        </w:tc>
      </w:tr>
      <w:tr>
        <w:trPr/>
        <w:tc>
          <w:tcPr>
            <w:tcW w:w="5257" w:type="dxa"/>
            <w:tcBorders/>
            <w:shd w:fill="FFFFFF" w:val="clear"/>
            <w:tcMar>
              <w:bottom w:w="0" w:type="dxa"/>
            </w:tcMar>
            <w:vAlign w:val="bottom"/>
          </w:tcPr>
          <w:p>
            <w:pPr>
              <w:pStyle w:val="TableContents"/>
              <w:spacing w:lineRule="auto" w:line="300" w:before="0" w:after="0"/>
              <w:ind w:left="180" w:right="0" w:hanging="180"/>
              <w:jc w:val="left"/>
              <w:rPr/>
            </w:pPr>
            <w:r>
              <w:rPr>
                <w:rStyle w:val="StrongEmphasis"/>
                <w:rFonts w:ascii="Times New Roman" w:hAnsi="Times New Roman"/>
                <w:sz w:val="20"/>
              </w:rPr>
              <w:t>NET INCRESE IN CASH AND CASH EQUIVALENTS</w:t>
            </w:r>
          </w:p>
        </w:tc>
        <w:tc>
          <w:tcPr>
            <w:tcW w:w="191" w:type="dxa"/>
            <w:tcBorders/>
            <w:shd w:fill="FFFFFF" w:val="clear"/>
            <w:tcMar>
              <w:bottom w:w="0" w:type="dxa"/>
            </w:tcMar>
            <w:vAlign w:val="center"/>
          </w:tcPr>
          <w:p>
            <w:pPr>
              <w:pStyle w:val="TableContents"/>
              <w:spacing w:before="0" w:after="283"/>
              <w:rPr/>
            </w:pPr>
            <w:r>
              <w:rPr/>
              <w:t> </w:t>
            </w:r>
          </w:p>
        </w:tc>
        <w:tc>
          <w:tcPr>
            <w:tcW w:w="141" w:type="dxa"/>
            <w:tcBorders/>
            <w:shd w:fill="FFFFFF" w:val="clear"/>
            <w:tcMar>
              <w:bottom w:w="0" w:type="dxa"/>
            </w:tcMar>
            <w:vAlign w:val="bottom"/>
          </w:tcPr>
          <w:p>
            <w:pPr>
              <w:pStyle w:val="TableContents"/>
              <w:spacing w:before="0" w:after="283"/>
              <w:jc w:val="left"/>
              <w:rPr/>
            </w:pPr>
            <w:r>
              <w:rPr/>
              <w:t> </w:t>
            </w:r>
          </w:p>
        </w:tc>
        <w:tc>
          <w:tcPr>
            <w:tcW w:w="1210"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4,286</w:t>
            </w:r>
          </w:p>
        </w:tc>
        <w:tc>
          <w:tcPr>
            <w:tcW w:w="201" w:type="dxa"/>
            <w:tcBorders/>
            <w:shd w:fill="FFFFFF" w:val="clear"/>
            <w:tcMar>
              <w:bottom w:w="0" w:type="dxa"/>
            </w:tcMar>
            <w:vAlign w:val="bottom"/>
          </w:tcPr>
          <w:p>
            <w:pPr>
              <w:pStyle w:val="TableContents"/>
              <w:spacing w:before="0" w:after="283"/>
              <w:jc w:val="left"/>
              <w:rPr/>
            </w:pPr>
            <w:r>
              <w:rPr/>
              <w:t> </w:t>
            </w:r>
          </w:p>
        </w:tc>
        <w:tc>
          <w:tcPr>
            <w:tcW w:w="155" w:type="dxa"/>
            <w:tcBorders/>
            <w:shd w:fill="FFFFFF" w:val="clear"/>
            <w:tcMar>
              <w:bottom w:w="0" w:type="dxa"/>
            </w:tcMar>
            <w:vAlign w:val="bottom"/>
          </w:tcPr>
          <w:p>
            <w:pPr>
              <w:pStyle w:val="TableContents"/>
              <w:spacing w:before="0" w:after="283"/>
              <w:jc w:val="left"/>
              <w:rPr/>
            </w:pPr>
            <w:r>
              <w:rPr/>
              <w:t> </w:t>
            </w:r>
          </w:p>
        </w:tc>
        <w:tc>
          <w:tcPr>
            <w:tcW w:w="1281"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108</w:t>
            </w:r>
          </w:p>
        </w:tc>
        <w:tc>
          <w:tcPr>
            <w:tcW w:w="201" w:type="dxa"/>
            <w:tcBorders/>
            <w:shd w:fill="FFFFFF" w:val="clear"/>
            <w:tcMar>
              <w:bottom w:w="0" w:type="dxa"/>
            </w:tcMar>
            <w:vAlign w:val="bottom"/>
          </w:tcPr>
          <w:p>
            <w:pPr>
              <w:pStyle w:val="TableContents"/>
              <w:spacing w:before="0" w:after="283"/>
              <w:jc w:val="left"/>
              <w:rPr/>
            </w:pPr>
            <w:r>
              <w:rPr/>
              <w:t> </w:t>
            </w:r>
          </w:p>
        </w:tc>
        <w:tc>
          <w:tcPr>
            <w:tcW w:w="155" w:type="dxa"/>
            <w:tcBorders/>
            <w:shd w:fill="FFFFFF" w:val="clear"/>
            <w:tcMar>
              <w:bottom w:w="0" w:type="dxa"/>
            </w:tcMar>
            <w:vAlign w:val="bottom"/>
          </w:tcPr>
          <w:p>
            <w:pPr>
              <w:pStyle w:val="TableContents"/>
              <w:spacing w:before="0" w:after="283"/>
              <w:jc w:val="left"/>
              <w:rPr/>
            </w:pPr>
            <w:r>
              <w:rPr/>
              <w:t> </w:t>
            </w:r>
          </w:p>
        </w:tc>
        <w:tc>
          <w:tcPr>
            <w:tcW w:w="1281"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55</w:t>
            </w:r>
          </w:p>
        </w:tc>
        <w:tc>
          <w:tcPr>
            <w:tcW w:w="132" w:type="dxa"/>
            <w:tcBorders/>
            <w:shd w:fill="FFFFFF" w:val="clear"/>
            <w:tcMar>
              <w:bottom w:w="0" w:type="dxa"/>
            </w:tcMar>
            <w:vAlign w:val="bottom"/>
          </w:tcPr>
          <w:p>
            <w:pPr>
              <w:pStyle w:val="TableContents"/>
              <w:spacing w:before="0" w:after="283"/>
              <w:jc w:val="left"/>
              <w:rPr/>
            </w:pPr>
            <w:r>
              <w:rPr/>
              <w:t> </w:t>
            </w:r>
          </w:p>
        </w:tc>
      </w:tr>
      <w:tr>
        <w:trPr/>
        <w:tc>
          <w:tcPr>
            <w:tcW w:w="5257" w:type="dxa"/>
            <w:tcBorders>
              <w:bottom w:val="single" w:sz="2" w:space="0" w:color="000000"/>
            </w:tcBorders>
            <w:shd w:fill="CCEEFF" w:val="clear"/>
            <w:vAlign w:val="bottom"/>
          </w:tcPr>
          <w:p>
            <w:pPr>
              <w:pStyle w:val="TableContents"/>
              <w:spacing w:lineRule="auto" w:line="300" w:before="0" w:after="0"/>
              <w:ind w:left="180" w:right="0" w:hanging="180"/>
              <w:jc w:val="left"/>
              <w:rPr/>
            </w:pPr>
            <w:r>
              <w:rPr>
                <w:rStyle w:val="StrongEmphasis"/>
                <w:rFonts w:ascii="Times New Roman" w:hAnsi="Times New Roman"/>
                <w:sz w:val="20"/>
              </w:rPr>
              <w:t>CASH AND CASH EQUIVALENTS - BEGINNING OF YEAR</w:t>
            </w:r>
          </w:p>
        </w:tc>
        <w:tc>
          <w:tcPr>
            <w:tcW w:w="191" w:type="dxa"/>
            <w:tcBorders>
              <w:bottom w:val="single" w:sz="2" w:space="0" w:color="CCEEFF"/>
            </w:tcBorders>
            <w:shd w:fill="CCEEFF" w:val="clear"/>
            <w:vAlign w:val="center"/>
          </w:tcPr>
          <w:p>
            <w:pPr>
              <w:pStyle w:val="TableContents"/>
              <w:spacing w:before="0" w:after="283"/>
              <w:rPr/>
            </w:pPr>
            <w:r>
              <w:rPr/>
              <w:t> </w:t>
            </w:r>
          </w:p>
        </w:tc>
        <w:tc>
          <w:tcPr>
            <w:tcW w:w="141" w:type="dxa"/>
            <w:tcBorders>
              <w:bottom w:val="single" w:sz="2" w:space="0" w:color="000000"/>
            </w:tcBorders>
            <w:shd w:fill="CCEEFF" w:val="clear"/>
            <w:vAlign w:val="bottom"/>
          </w:tcPr>
          <w:p>
            <w:pPr>
              <w:pStyle w:val="TableContents"/>
              <w:spacing w:before="0" w:after="283"/>
              <w:jc w:val="left"/>
              <w:rPr/>
            </w:pPr>
            <w:r>
              <w:rPr/>
              <w:t> </w:t>
            </w:r>
          </w:p>
        </w:tc>
        <w:tc>
          <w:tcPr>
            <w:tcW w:w="1210"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163</w:t>
            </w:r>
          </w:p>
        </w:tc>
        <w:tc>
          <w:tcPr>
            <w:tcW w:w="201" w:type="dxa"/>
            <w:tcBorders>
              <w:bottom w:val="single" w:sz="2" w:space="0" w:color="CCEEFF"/>
            </w:tcBorders>
            <w:shd w:fill="CCEEFF" w:val="clear"/>
            <w:vAlign w:val="bottom"/>
          </w:tcPr>
          <w:p>
            <w:pPr>
              <w:pStyle w:val="TableContents"/>
              <w:spacing w:before="0" w:after="283"/>
              <w:jc w:val="left"/>
              <w:rPr/>
            </w:pPr>
            <w:r>
              <w:rPr/>
              <w:t> </w:t>
            </w:r>
          </w:p>
        </w:tc>
        <w:tc>
          <w:tcPr>
            <w:tcW w:w="155" w:type="dxa"/>
            <w:tcBorders>
              <w:bottom w:val="single" w:sz="2" w:space="0" w:color="000000"/>
            </w:tcBorders>
            <w:shd w:fill="CCEEFF" w:val="clear"/>
            <w:vAlign w:val="bottom"/>
          </w:tcPr>
          <w:p>
            <w:pPr>
              <w:pStyle w:val="TableContents"/>
              <w:spacing w:before="0" w:after="283"/>
              <w:jc w:val="left"/>
              <w:rPr/>
            </w:pPr>
            <w:r>
              <w:rPr/>
              <w:t> </w:t>
            </w:r>
          </w:p>
        </w:tc>
        <w:tc>
          <w:tcPr>
            <w:tcW w:w="1281"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55</w:t>
            </w:r>
          </w:p>
        </w:tc>
        <w:tc>
          <w:tcPr>
            <w:tcW w:w="201" w:type="dxa"/>
            <w:tcBorders>
              <w:bottom w:val="single" w:sz="2" w:space="0" w:color="CCEEFF"/>
            </w:tcBorders>
            <w:shd w:fill="CCEEFF" w:val="clear"/>
            <w:vAlign w:val="bottom"/>
          </w:tcPr>
          <w:p>
            <w:pPr>
              <w:pStyle w:val="TableContents"/>
              <w:spacing w:before="0" w:after="283"/>
              <w:jc w:val="left"/>
              <w:rPr/>
            </w:pPr>
            <w:r>
              <w:rPr/>
              <w:t> </w:t>
            </w:r>
          </w:p>
        </w:tc>
        <w:tc>
          <w:tcPr>
            <w:tcW w:w="155" w:type="dxa"/>
            <w:tcBorders>
              <w:bottom w:val="single" w:sz="2" w:space="0" w:color="000000"/>
            </w:tcBorders>
            <w:shd w:fill="CCEEFF" w:val="clear"/>
            <w:vAlign w:val="bottom"/>
          </w:tcPr>
          <w:p>
            <w:pPr>
              <w:pStyle w:val="TableContents"/>
              <w:spacing w:before="0" w:after="283"/>
              <w:jc w:val="left"/>
              <w:rPr/>
            </w:pPr>
            <w:r>
              <w:rPr/>
              <w:t> </w:t>
            </w:r>
          </w:p>
        </w:tc>
        <w:tc>
          <w:tcPr>
            <w:tcW w:w="1281"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132" w:type="dxa"/>
            <w:tcBorders>
              <w:bottom w:val="single" w:sz="2" w:space="0" w:color="CCEEFF"/>
            </w:tcBorders>
            <w:shd w:fill="CCEEFF" w:val="clear"/>
            <w:vAlign w:val="bottom"/>
          </w:tcPr>
          <w:p>
            <w:pPr>
              <w:pStyle w:val="TableContents"/>
              <w:spacing w:before="0" w:after="283"/>
              <w:jc w:val="left"/>
              <w:rPr/>
            </w:pPr>
            <w:r>
              <w:rPr/>
              <w:t> </w:t>
            </w:r>
          </w:p>
        </w:tc>
      </w:tr>
      <w:tr>
        <w:trPr/>
        <w:tc>
          <w:tcPr>
            <w:tcW w:w="5257" w:type="dxa"/>
            <w:tcBorders>
              <w:bottom w:val="double" w:sz="2" w:space="0" w:color="000000"/>
            </w:tcBorders>
            <w:shd w:fill="FFFFFF" w:val="clear"/>
            <w:vAlign w:val="bottom"/>
          </w:tcPr>
          <w:p>
            <w:pPr>
              <w:pStyle w:val="TableContents"/>
              <w:spacing w:lineRule="auto" w:line="300" w:before="0" w:after="0"/>
              <w:ind w:left="180" w:right="0" w:hanging="180"/>
              <w:jc w:val="left"/>
              <w:rPr/>
            </w:pPr>
            <w:r>
              <w:rPr>
                <w:rStyle w:val="StrongEmphasis"/>
                <w:rFonts w:ascii="Times New Roman" w:hAnsi="Times New Roman"/>
                <w:sz w:val="20"/>
              </w:rPr>
              <w:t>CASH AND CASH EQUIVALENTS - END OF YEAR</w:t>
            </w:r>
          </w:p>
        </w:tc>
        <w:tc>
          <w:tcPr>
            <w:tcW w:w="191" w:type="dxa"/>
            <w:tcBorders>
              <w:bottom w:val="single" w:sz="4" w:space="0" w:color="FFFFFF"/>
            </w:tcBorders>
            <w:shd w:fill="FFFFFF" w:val="clear"/>
            <w:vAlign w:val="center"/>
          </w:tcPr>
          <w:p>
            <w:pPr>
              <w:pStyle w:val="TableContents"/>
              <w:spacing w:before="0" w:after="283"/>
              <w:rPr/>
            </w:pPr>
            <w:r>
              <w:rPr/>
              <w:t> </w:t>
            </w:r>
          </w:p>
        </w:tc>
        <w:tc>
          <w:tcPr>
            <w:tcW w:w="141" w:type="dxa"/>
            <w:tcBorders>
              <w:bottom w:val="doub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bookmarkStart w:id="4643" w:name="TAB12326"/>
            <w:bookmarkEnd w:id="4643"/>
            <w:r>
              <w:rPr>
                <w:rFonts w:ascii="Times New Roman" w:hAnsi="Times New Roman"/>
                <w:sz w:val="20"/>
              </w:rPr>
              <w:t>$</w:t>
            </w:r>
          </w:p>
        </w:tc>
        <w:tc>
          <w:tcPr>
            <w:tcW w:w="1210"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4644" w:name="TAB12327"/>
            <w:bookmarkEnd w:id="4644"/>
            <w:r>
              <w:rPr>
                <w:rFonts w:ascii="Times New Roman" w:hAnsi="Times New Roman"/>
                <w:sz w:val="20"/>
              </w:rPr>
              <w:t>4,449</w:t>
            </w:r>
          </w:p>
        </w:tc>
        <w:tc>
          <w:tcPr>
            <w:tcW w:w="201" w:type="dxa"/>
            <w:tcBorders>
              <w:bottom w:val="single" w:sz="4" w:space="0" w:color="FFFFFF"/>
            </w:tcBorders>
            <w:shd w:fill="FFFFFF" w:val="clear"/>
            <w:vAlign w:val="bottom"/>
          </w:tcPr>
          <w:p>
            <w:pPr>
              <w:pStyle w:val="TableContents"/>
              <w:spacing w:before="0" w:after="283"/>
              <w:jc w:val="left"/>
              <w:rPr/>
            </w:pPr>
            <w:r>
              <w:rPr/>
              <w:t> </w:t>
            </w:r>
          </w:p>
        </w:tc>
        <w:tc>
          <w:tcPr>
            <w:tcW w:w="155" w:type="dxa"/>
            <w:tcBorders>
              <w:bottom w:val="doub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bookmarkStart w:id="4645" w:name="TAB12328"/>
            <w:bookmarkEnd w:id="4645"/>
            <w:r>
              <w:rPr>
                <w:rFonts w:ascii="Times New Roman" w:hAnsi="Times New Roman"/>
                <w:sz w:val="20"/>
              </w:rPr>
              <w:t>$</w:t>
            </w:r>
          </w:p>
        </w:tc>
        <w:tc>
          <w:tcPr>
            <w:tcW w:w="1281"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4646" w:name="TAB12329"/>
            <w:bookmarkEnd w:id="4646"/>
            <w:r>
              <w:rPr>
                <w:rFonts w:ascii="Times New Roman" w:hAnsi="Times New Roman"/>
                <w:sz w:val="20"/>
              </w:rPr>
              <w:t>163</w:t>
            </w:r>
          </w:p>
        </w:tc>
        <w:tc>
          <w:tcPr>
            <w:tcW w:w="201" w:type="dxa"/>
            <w:tcBorders>
              <w:bottom w:val="single" w:sz="4" w:space="0" w:color="FFFFFF"/>
            </w:tcBorders>
            <w:shd w:fill="FFFFFF" w:val="clear"/>
            <w:vAlign w:val="bottom"/>
          </w:tcPr>
          <w:p>
            <w:pPr>
              <w:pStyle w:val="TableContents"/>
              <w:spacing w:before="0" w:after="283"/>
              <w:jc w:val="left"/>
              <w:rPr/>
            </w:pPr>
            <w:r>
              <w:rPr/>
              <w:t> </w:t>
            </w:r>
          </w:p>
        </w:tc>
        <w:tc>
          <w:tcPr>
            <w:tcW w:w="155" w:type="dxa"/>
            <w:tcBorders>
              <w:bottom w:val="doub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bookmarkStart w:id="4647" w:name="TAB12330"/>
            <w:bookmarkEnd w:id="4647"/>
            <w:r>
              <w:rPr>
                <w:rFonts w:ascii="Times New Roman" w:hAnsi="Times New Roman"/>
                <w:sz w:val="20"/>
              </w:rPr>
              <w:t>$</w:t>
            </w:r>
          </w:p>
        </w:tc>
        <w:tc>
          <w:tcPr>
            <w:tcW w:w="1281"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bookmarkStart w:id="4648" w:name="TAB12331"/>
            <w:bookmarkEnd w:id="4648"/>
            <w:r>
              <w:rPr>
                <w:rFonts w:ascii="Times New Roman" w:hAnsi="Times New Roman"/>
                <w:sz w:val="20"/>
              </w:rPr>
              <w:t>55</w:t>
            </w:r>
          </w:p>
        </w:tc>
        <w:tc>
          <w:tcPr>
            <w:tcW w:w="132" w:type="dxa"/>
            <w:tcBorders>
              <w:bottom w:val="single" w:sz="4" w:space="0" w:color="FFFFFF"/>
            </w:tcBorders>
            <w:shd w:fill="FFFFFF" w:val="clear"/>
            <w:vAlign w:val="bottom"/>
          </w:tcPr>
          <w:p>
            <w:pPr>
              <w:pStyle w:val="TableContents"/>
              <w:spacing w:before="0" w:after="283"/>
              <w:jc w:val="left"/>
              <w:rPr/>
            </w:pPr>
            <w:r>
              <w:rPr/>
              <w:t> </w:t>
            </w:r>
          </w:p>
        </w:tc>
      </w:tr>
      <w:tr>
        <w:trPr/>
        <w:tc>
          <w:tcPr>
            <w:tcW w:w="5257" w:type="dxa"/>
            <w:tcBorders/>
            <w:shd w:fill="CCEEFF" w:val="clear"/>
            <w:tcMar>
              <w:bottom w:w="0" w:type="dxa"/>
            </w:tcMar>
            <w:vAlign w:val="bottom"/>
          </w:tcPr>
          <w:p>
            <w:pPr>
              <w:pStyle w:val="TableContents"/>
              <w:spacing w:lineRule="auto" w:line="300" w:before="0" w:after="0"/>
              <w:ind w:left="180" w:right="0" w:hanging="180"/>
              <w:jc w:val="left"/>
              <w:rPr/>
            </w:pPr>
            <w:r>
              <w:rPr>
                <w:rStyle w:val="StrongEmphasis"/>
                <w:rFonts w:ascii="Times New Roman" w:hAnsi="Times New Roman"/>
                <w:sz w:val="20"/>
              </w:rPr>
              <w:t>Supplemental disclosure of cash flow information:</w:t>
            </w:r>
          </w:p>
        </w:tc>
        <w:tc>
          <w:tcPr>
            <w:tcW w:w="191" w:type="dxa"/>
            <w:tcBorders/>
            <w:shd w:fill="CCEEFF" w:val="clear"/>
            <w:tcMar>
              <w:bottom w:w="0" w:type="dxa"/>
            </w:tcMar>
            <w:vAlign w:val="center"/>
          </w:tcPr>
          <w:p>
            <w:pPr>
              <w:pStyle w:val="TableContents"/>
              <w:spacing w:before="0" w:after="283"/>
              <w:rPr/>
            </w:pPr>
            <w:r>
              <w:rPr/>
              <w:t> </w:t>
            </w:r>
          </w:p>
        </w:tc>
        <w:tc>
          <w:tcPr>
            <w:tcW w:w="141" w:type="dxa"/>
            <w:tcBorders/>
            <w:shd w:fill="CCEEFF" w:val="clear"/>
            <w:tcMar>
              <w:bottom w:w="0" w:type="dxa"/>
            </w:tcMar>
            <w:vAlign w:val="bottom"/>
          </w:tcPr>
          <w:p>
            <w:pPr>
              <w:pStyle w:val="TableContents"/>
              <w:spacing w:before="0" w:after="283"/>
              <w:jc w:val="left"/>
              <w:rPr/>
            </w:pPr>
            <w:r>
              <w:rPr/>
              <w:t> </w:t>
            </w:r>
          </w:p>
        </w:tc>
        <w:tc>
          <w:tcPr>
            <w:tcW w:w="1210" w:type="dxa"/>
            <w:tcBorders/>
            <w:shd w:fill="CCEEFF" w:val="clear"/>
            <w:tcMar>
              <w:bottom w:w="0" w:type="dxa"/>
            </w:tcMar>
            <w:vAlign w:val="bottom"/>
          </w:tcPr>
          <w:p>
            <w:pPr>
              <w:pStyle w:val="TableContents"/>
              <w:spacing w:before="0" w:after="283"/>
              <w:jc w:val="right"/>
              <w:rPr/>
            </w:pPr>
            <w:r>
              <w:rPr/>
              <w:t> </w:t>
            </w:r>
          </w:p>
        </w:tc>
        <w:tc>
          <w:tcPr>
            <w:tcW w:w="201" w:type="dxa"/>
            <w:tcBorders/>
            <w:shd w:fill="CCEEFF" w:val="clear"/>
            <w:tcMar>
              <w:bottom w:w="0" w:type="dxa"/>
            </w:tcMar>
            <w:vAlign w:val="bottom"/>
          </w:tcPr>
          <w:p>
            <w:pPr>
              <w:pStyle w:val="TableContents"/>
              <w:spacing w:before="0" w:after="283"/>
              <w:jc w:val="left"/>
              <w:rPr/>
            </w:pPr>
            <w:r>
              <w:rPr/>
              <w:t> </w:t>
            </w:r>
          </w:p>
        </w:tc>
        <w:tc>
          <w:tcPr>
            <w:tcW w:w="155" w:type="dxa"/>
            <w:tcBorders/>
            <w:shd w:fill="CCEEFF" w:val="clear"/>
            <w:tcMar>
              <w:bottom w:w="0" w:type="dxa"/>
            </w:tcMar>
            <w:vAlign w:val="bottom"/>
          </w:tcPr>
          <w:p>
            <w:pPr>
              <w:pStyle w:val="TableContents"/>
              <w:spacing w:before="0" w:after="283"/>
              <w:jc w:val="left"/>
              <w:rPr/>
            </w:pPr>
            <w:r>
              <w:rPr/>
              <w:t> </w:t>
            </w:r>
          </w:p>
        </w:tc>
        <w:tc>
          <w:tcPr>
            <w:tcW w:w="1281" w:type="dxa"/>
            <w:tcBorders/>
            <w:shd w:fill="CCEEFF" w:val="clear"/>
            <w:tcMar>
              <w:bottom w:w="0" w:type="dxa"/>
            </w:tcMar>
            <w:vAlign w:val="bottom"/>
          </w:tcPr>
          <w:p>
            <w:pPr>
              <w:pStyle w:val="TableContents"/>
              <w:spacing w:before="0" w:after="283"/>
              <w:jc w:val="right"/>
              <w:rPr/>
            </w:pPr>
            <w:r>
              <w:rPr/>
              <w:t> </w:t>
            </w:r>
          </w:p>
        </w:tc>
        <w:tc>
          <w:tcPr>
            <w:tcW w:w="201" w:type="dxa"/>
            <w:tcBorders/>
            <w:shd w:fill="CCEEFF" w:val="clear"/>
            <w:tcMar>
              <w:bottom w:w="0" w:type="dxa"/>
            </w:tcMar>
            <w:vAlign w:val="bottom"/>
          </w:tcPr>
          <w:p>
            <w:pPr>
              <w:pStyle w:val="TableContents"/>
              <w:spacing w:before="0" w:after="283"/>
              <w:jc w:val="left"/>
              <w:rPr/>
            </w:pPr>
            <w:r>
              <w:rPr/>
              <w:t> </w:t>
            </w:r>
          </w:p>
        </w:tc>
        <w:tc>
          <w:tcPr>
            <w:tcW w:w="155" w:type="dxa"/>
            <w:tcBorders/>
            <w:shd w:fill="CCEEFF" w:val="clear"/>
            <w:tcMar>
              <w:bottom w:w="0" w:type="dxa"/>
            </w:tcMar>
            <w:vAlign w:val="bottom"/>
          </w:tcPr>
          <w:p>
            <w:pPr>
              <w:pStyle w:val="TableContents"/>
              <w:spacing w:before="0" w:after="283"/>
              <w:jc w:val="left"/>
              <w:rPr/>
            </w:pPr>
            <w:r>
              <w:rPr/>
              <w:t> </w:t>
            </w:r>
          </w:p>
        </w:tc>
        <w:tc>
          <w:tcPr>
            <w:tcW w:w="1281" w:type="dxa"/>
            <w:tcBorders/>
            <w:shd w:fill="CCEEFF" w:val="clear"/>
            <w:tcMar>
              <w:bottom w:w="0" w:type="dxa"/>
            </w:tcMar>
            <w:vAlign w:val="bottom"/>
          </w:tcPr>
          <w:p>
            <w:pPr>
              <w:pStyle w:val="TableContents"/>
              <w:spacing w:before="0" w:after="283"/>
              <w:jc w:val="right"/>
              <w:rPr/>
            </w:pPr>
            <w:r>
              <w:rPr/>
              <w:t> </w:t>
            </w:r>
          </w:p>
        </w:tc>
        <w:tc>
          <w:tcPr>
            <w:tcW w:w="132" w:type="dxa"/>
            <w:tcBorders/>
            <w:shd w:fill="CCEEFF" w:val="clear"/>
            <w:tcMar>
              <w:bottom w:w="0" w:type="dxa"/>
            </w:tcMar>
            <w:vAlign w:val="bottom"/>
          </w:tcPr>
          <w:p>
            <w:pPr>
              <w:pStyle w:val="TableContents"/>
              <w:spacing w:before="0" w:after="283"/>
              <w:jc w:val="left"/>
              <w:rPr/>
            </w:pPr>
            <w:r>
              <w:rPr/>
              <w:t> </w:t>
            </w:r>
          </w:p>
        </w:tc>
      </w:tr>
      <w:tr>
        <w:trPr/>
        <w:tc>
          <w:tcPr>
            <w:tcW w:w="5257" w:type="dxa"/>
            <w:tcBorders/>
            <w:shd w:fill="FFFFFF" w:val="clear"/>
            <w:tcMar>
              <w:bottom w:w="0" w:type="dxa"/>
            </w:tcMar>
            <w:vAlign w:val="bottom"/>
          </w:tcPr>
          <w:p>
            <w:pPr>
              <w:pStyle w:val="TableContents"/>
              <w:spacing w:lineRule="auto" w:line="300" w:before="0" w:after="0"/>
              <w:ind w:left="900" w:right="0" w:hanging="180"/>
              <w:jc w:val="left"/>
              <w:rPr>
                <w:rFonts w:ascii="Times New Roman" w:hAnsi="Times New Roman"/>
                <w:sz w:val="20"/>
              </w:rPr>
            </w:pPr>
            <w:bookmarkStart w:id="4649" w:name="TAB12332"/>
            <w:bookmarkEnd w:id="4649"/>
            <w:r>
              <w:rPr>
                <w:rFonts w:ascii="Times New Roman" w:hAnsi="Times New Roman"/>
                <w:sz w:val="20"/>
              </w:rPr>
              <w:t>Cash paid during the year for:</w:t>
            </w:r>
          </w:p>
        </w:tc>
        <w:tc>
          <w:tcPr>
            <w:tcW w:w="191" w:type="dxa"/>
            <w:tcBorders/>
            <w:shd w:fill="FFFFFF" w:val="clear"/>
            <w:tcMar>
              <w:bottom w:w="0" w:type="dxa"/>
            </w:tcMar>
            <w:vAlign w:val="center"/>
          </w:tcPr>
          <w:p>
            <w:pPr>
              <w:pStyle w:val="TableContents"/>
              <w:spacing w:before="0" w:after="283"/>
              <w:rPr/>
            </w:pPr>
            <w:r>
              <w:rPr/>
              <w:t> </w:t>
            </w:r>
          </w:p>
        </w:tc>
        <w:tc>
          <w:tcPr>
            <w:tcW w:w="141" w:type="dxa"/>
            <w:tcBorders/>
            <w:shd w:fill="FFFFFF" w:val="clear"/>
            <w:tcMar>
              <w:bottom w:w="0" w:type="dxa"/>
            </w:tcMar>
            <w:vAlign w:val="bottom"/>
          </w:tcPr>
          <w:p>
            <w:pPr>
              <w:pStyle w:val="TableContents"/>
              <w:spacing w:before="0" w:after="283"/>
              <w:jc w:val="left"/>
              <w:rPr/>
            </w:pPr>
            <w:r>
              <w:rPr/>
              <w:t> </w:t>
            </w:r>
          </w:p>
        </w:tc>
        <w:tc>
          <w:tcPr>
            <w:tcW w:w="1210" w:type="dxa"/>
            <w:tcBorders/>
            <w:shd w:fill="FFFFFF" w:val="clear"/>
            <w:tcMar>
              <w:bottom w:w="0" w:type="dxa"/>
            </w:tcMar>
            <w:vAlign w:val="bottom"/>
          </w:tcPr>
          <w:p>
            <w:pPr>
              <w:pStyle w:val="TableContents"/>
              <w:spacing w:before="0" w:after="283"/>
              <w:jc w:val="right"/>
              <w:rPr/>
            </w:pPr>
            <w:r>
              <w:rPr/>
              <w:t> </w:t>
            </w:r>
          </w:p>
        </w:tc>
        <w:tc>
          <w:tcPr>
            <w:tcW w:w="201" w:type="dxa"/>
            <w:tcBorders/>
            <w:shd w:fill="FFFFFF" w:val="clear"/>
            <w:tcMar>
              <w:bottom w:w="0" w:type="dxa"/>
            </w:tcMar>
            <w:vAlign w:val="bottom"/>
          </w:tcPr>
          <w:p>
            <w:pPr>
              <w:pStyle w:val="TableContents"/>
              <w:spacing w:before="0" w:after="283"/>
              <w:jc w:val="left"/>
              <w:rPr/>
            </w:pPr>
            <w:r>
              <w:rPr/>
              <w:t> </w:t>
            </w:r>
          </w:p>
        </w:tc>
        <w:tc>
          <w:tcPr>
            <w:tcW w:w="155" w:type="dxa"/>
            <w:tcBorders/>
            <w:shd w:fill="FFFFFF" w:val="clear"/>
            <w:tcMar>
              <w:bottom w:w="0" w:type="dxa"/>
            </w:tcMar>
            <w:vAlign w:val="bottom"/>
          </w:tcPr>
          <w:p>
            <w:pPr>
              <w:pStyle w:val="TableContents"/>
              <w:spacing w:before="0" w:after="283"/>
              <w:jc w:val="left"/>
              <w:rPr/>
            </w:pPr>
            <w:r>
              <w:rPr/>
              <w:t> </w:t>
            </w:r>
          </w:p>
        </w:tc>
        <w:tc>
          <w:tcPr>
            <w:tcW w:w="1281" w:type="dxa"/>
            <w:tcBorders/>
            <w:shd w:fill="FFFFFF" w:val="clear"/>
            <w:tcMar>
              <w:bottom w:w="0" w:type="dxa"/>
            </w:tcMar>
            <w:vAlign w:val="bottom"/>
          </w:tcPr>
          <w:p>
            <w:pPr>
              <w:pStyle w:val="TableContents"/>
              <w:spacing w:before="0" w:after="283"/>
              <w:jc w:val="right"/>
              <w:rPr/>
            </w:pPr>
            <w:r>
              <w:rPr/>
              <w:t> </w:t>
            </w:r>
          </w:p>
        </w:tc>
        <w:tc>
          <w:tcPr>
            <w:tcW w:w="201" w:type="dxa"/>
            <w:tcBorders/>
            <w:shd w:fill="FFFFFF" w:val="clear"/>
            <w:tcMar>
              <w:bottom w:w="0" w:type="dxa"/>
            </w:tcMar>
            <w:vAlign w:val="bottom"/>
          </w:tcPr>
          <w:p>
            <w:pPr>
              <w:pStyle w:val="TableContents"/>
              <w:spacing w:before="0" w:after="283"/>
              <w:jc w:val="left"/>
              <w:rPr/>
            </w:pPr>
            <w:r>
              <w:rPr/>
              <w:t> </w:t>
            </w:r>
          </w:p>
        </w:tc>
        <w:tc>
          <w:tcPr>
            <w:tcW w:w="155" w:type="dxa"/>
            <w:tcBorders/>
            <w:shd w:fill="FFFFFF" w:val="clear"/>
            <w:tcMar>
              <w:bottom w:w="0" w:type="dxa"/>
            </w:tcMar>
            <w:vAlign w:val="bottom"/>
          </w:tcPr>
          <w:p>
            <w:pPr>
              <w:pStyle w:val="TableContents"/>
              <w:spacing w:before="0" w:after="283"/>
              <w:jc w:val="left"/>
              <w:rPr/>
            </w:pPr>
            <w:r>
              <w:rPr/>
              <w:t> </w:t>
            </w:r>
          </w:p>
        </w:tc>
        <w:tc>
          <w:tcPr>
            <w:tcW w:w="1281" w:type="dxa"/>
            <w:tcBorders/>
            <w:shd w:fill="FFFFFF" w:val="clear"/>
            <w:tcMar>
              <w:bottom w:w="0" w:type="dxa"/>
            </w:tcMar>
            <w:vAlign w:val="bottom"/>
          </w:tcPr>
          <w:p>
            <w:pPr>
              <w:pStyle w:val="TableContents"/>
              <w:spacing w:before="0" w:after="283"/>
              <w:jc w:val="right"/>
              <w:rPr/>
            </w:pPr>
            <w:r>
              <w:rPr/>
              <w:t> </w:t>
            </w:r>
          </w:p>
        </w:tc>
        <w:tc>
          <w:tcPr>
            <w:tcW w:w="132" w:type="dxa"/>
            <w:tcBorders/>
            <w:shd w:fill="FFFFFF" w:val="clear"/>
            <w:tcMar>
              <w:bottom w:w="0" w:type="dxa"/>
            </w:tcMar>
            <w:vAlign w:val="bottom"/>
          </w:tcPr>
          <w:p>
            <w:pPr>
              <w:pStyle w:val="TableContents"/>
              <w:spacing w:before="0" w:after="283"/>
              <w:jc w:val="left"/>
              <w:rPr/>
            </w:pPr>
            <w:r>
              <w:rPr/>
              <w:t> </w:t>
            </w:r>
          </w:p>
        </w:tc>
      </w:tr>
      <w:tr>
        <w:trPr/>
        <w:tc>
          <w:tcPr>
            <w:tcW w:w="5257" w:type="dxa"/>
            <w:tcBorders/>
            <w:shd w:fill="CCEEFF" w:val="clear"/>
            <w:tcMar>
              <w:bottom w:w="0" w:type="dxa"/>
            </w:tcMar>
            <w:vAlign w:val="bottom"/>
          </w:tcPr>
          <w:p>
            <w:pPr>
              <w:pStyle w:val="TableContents"/>
              <w:spacing w:lineRule="auto" w:line="300" w:before="0" w:after="0"/>
              <w:ind w:left="1080" w:right="0" w:hanging="180"/>
              <w:jc w:val="left"/>
              <w:rPr>
                <w:rFonts w:ascii="Times New Roman" w:hAnsi="Times New Roman"/>
                <w:sz w:val="20"/>
              </w:rPr>
            </w:pPr>
            <w:bookmarkStart w:id="4650" w:name="TAB12333"/>
            <w:bookmarkEnd w:id="4650"/>
            <w:r>
              <w:rPr>
                <w:rFonts w:ascii="Times New Roman" w:hAnsi="Times New Roman"/>
                <w:sz w:val="20"/>
              </w:rPr>
              <w:t>Interest which was capitalized</w:t>
            </w:r>
          </w:p>
        </w:tc>
        <w:tc>
          <w:tcPr>
            <w:tcW w:w="191" w:type="dxa"/>
            <w:tcBorders/>
            <w:shd w:fill="CCEEFF" w:val="clear"/>
            <w:tcMar>
              <w:bottom w:w="0" w:type="dxa"/>
            </w:tcMar>
            <w:vAlign w:val="center"/>
          </w:tcPr>
          <w:p>
            <w:pPr>
              <w:pStyle w:val="TableContents"/>
              <w:spacing w:before="0" w:after="283"/>
              <w:rPr/>
            </w:pPr>
            <w:r>
              <w:rPr/>
              <w:t> </w:t>
            </w:r>
          </w:p>
        </w:tc>
        <w:tc>
          <w:tcPr>
            <w:tcW w:w="141"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4651" w:name="TAB12334"/>
            <w:bookmarkEnd w:id="4651"/>
            <w:r>
              <w:rPr>
                <w:rFonts w:ascii="Times New Roman" w:hAnsi="Times New Roman"/>
                <w:sz w:val="20"/>
              </w:rPr>
              <w:t>$</w:t>
            </w:r>
          </w:p>
        </w:tc>
        <w:tc>
          <w:tcPr>
            <w:tcW w:w="1210"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4652" w:name="TAB12335"/>
            <w:bookmarkEnd w:id="4652"/>
            <w:r>
              <w:rPr>
                <w:rFonts w:ascii="Times New Roman" w:hAnsi="Times New Roman"/>
                <w:sz w:val="20"/>
              </w:rPr>
              <w:t>4,244</w:t>
            </w:r>
          </w:p>
        </w:tc>
        <w:tc>
          <w:tcPr>
            <w:tcW w:w="201" w:type="dxa"/>
            <w:tcBorders/>
            <w:shd w:fill="CCEEFF" w:val="clear"/>
            <w:tcMar>
              <w:bottom w:w="0" w:type="dxa"/>
            </w:tcMar>
            <w:vAlign w:val="bottom"/>
          </w:tcPr>
          <w:p>
            <w:pPr>
              <w:pStyle w:val="TableContents"/>
              <w:spacing w:before="0" w:after="283"/>
              <w:jc w:val="left"/>
              <w:rPr/>
            </w:pPr>
            <w:r>
              <w:rPr/>
              <w:t> </w:t>
            </w:r>
          </w:p>
        </w:tc>
        <w:tc>
          <w:tcPr>
            <w:tcW w:w="155"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4653" w:name="TAB12336"/>
            <w:bookmarkEnd w:id="4653"/>
            <w:r>
              <w:rPr>
                <w:rFonts w:ascii="Times New Roman" w:hAnsi="Times New Roman"/>
                <w:sz w:val="20"/>
              </w:rPr>
              <w:t>$</w:t>
            </w:r>
          </w:p>
        </w:tc>
        <w:tc>
          <w:tcPr>
            <w:tcW w:w="1281"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4654" w:name="TAB12337"/>
            <w:bookmarkEnd w:id="4654"/>
            <w:r>
              <w:rPr>
                <w:rFonts w:ascii="Times New Roman" w:hAnsi="Times New Roman"/>
                <w:sz w:val="20"/>
              </w:rPr>
              <w:t>1,163</w:t>
            </w:r>
          </w:p>
        </w:tc>
        <w:tc>
          <w:tcPr>
            <w:tcW w:w="201" w:type="dxa"/>
            <w:tcBorders/>
            <w:shd w:fill="CCEEFF" w:val="clear"/>
            <w:tcMar>
              <w:bottom w:w="0" w:type="dxa"/>
            </w:tcMar>
            <w:vAlign w:val="bottom"/>
          </w:tcPr>
          <w:p>
            <w:pPr>
              <w:pStyle w:val="TableContents"/>
              <w:spacing w:before="0" w:after="283"/>
              <w:jc w:val="left"/>
              <w:rPr/>
            </w:pPr>
            <w:r>
              <w:rPr/>
              <w:t> </w:t>
            </w:r>
          </w:p>
        </w:tc>
        <w:tc>
          <w:tcPr>
            <w:tcW w:w="155"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4655" w:name="TAB12338"/>
            <w:bookmarkEnd w:id="4655"/>
            <w:r>
              <w:rPr>
                <w:rFonts w:ascii="Times New Roman" w:hAnsi="Times New Roman"/>
                <w:sz w:val="20"/>
              </w:rPr>
              <w:t>$</w:t>
            </w:r>
          </w:p>
        </w:tc>
        <w:tc>
          <w:tcPr>
            <w:tcW w:w="1281"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4656" w:name="TAB12339"/>
            <w:bookmarkEnd w:id="4656"/>
            <w:r>
              <w:rPr>
                <w:rFonts w:ascii="Times New Roman" w:hAnsi="Times New Roman"/>
                <w:sz w:val="20"/>
              </w:rPr>
              <w:t>1,258</w:t>
            </w:r>
          </w:p>
        </w:tc>
        <w:tc>
          <w:tcPr>
            <w:tcW w:w="132" w:type="dxa"/>
            <w:tcBorders/>
            <w:shd w:fill="CCEEFF" w:val="clear"/>
            <w:tcMar>
              <w:bottom w:w="0" w:type="dxa"/>
            </w:tcMar>
            <w:vAlign w:val="bottom"/>
          </w:tcPr>
          <w:p>
            <w:pPr>
              <w:pStyle w:val="TableContents"/>
              <w:spacing w:before="0" w:after="283"/>
              <w:jc w:val="left"/>
              <w:rPr/>
            </w:pPr>
            <w:r>
              <w:rPr/>
              <w:t> </w:t>
            </w:r>
          </w:p>
        </w:tc>
      </w:tr>
      <w:tr>
        <w:trPr/>
        <w:tc>
          <w:tcPr>
            <w:tcW w:w="5257" w:type="dxa"/>
            <w:tcBorders/>
            <w:shd w:fill="FFFFFF" w:val="clear"/>
            <w:tcMar>
              <w:bottom w:w="0" w:type="dxa"/>
            </w:tcMar>
            <w:vAlign w:val="bottom"/>
          </w:tcPr>
          <w:p>
            <w:pPr>
              <w:pStyle w:val="TableContents"/>
              <w:spacing w:lineRule="auto" w:line="300" w:before="0" w:after="0"/>
              <w:ind w:left="1080" w:right="0" w:hanging="180"/>
              <w:jc w:val="left"/>
              <w:rPr>
                <w:rFonts w:ascii="Times New Roman" w:hAnsi="Times New Roman"/>
                <w:sz w:val="20"/>
              </w:rPr>
            </w:pPr>
            <w:bookmarkStart w:id="4657" w:name="TAB12340"/>
            <w:bookmarkEnd w:id="4657"/>
            <w:r>
              <w:rPr>
                <w:rFonts w:ascii="Times New Roman" w:hAnsi="Times New Roman"/>
                <w:sz w:val="20"/>
              </w:rPr>
              <w:t>Income Taxes</w:t>
            </w:r>
          </w:p>
        </w:tc>
        <w:tc>
          <w:tcPr>
            <w:tcW w:w="191" w:type="dxa"/>
            <w:tcBorders/>
            <w:shd w:fill="FFFFFF" w:val="clear"/>
            <w:tcMar>
              <w:bottom w:w="0" w:type="dxa"/>
            </w:tcMar>
            <w:vAlign w:val="center"/>
          </w:tcPr>
          <w:p>
            <w:pPr>
              <w:pStyle w:val="TableContents"/>
              <w:spacing w:before="0" w:after="283"/>
              <w:rPr/>
            </w:pPr>
            <w:r>
              <w:rPr/>
              <w:t> </w:t>
            </w:r>
          </w:p>
        </w:tc>
        <w:tc>
          <w:tcPr>
            <w:tcW w:w="141"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4658" w:name="TAB12341"/>
            <w:bookmarkEnd w:id="4658"/>
            <w:r>
              <w:rPr>
                <w:rFonts w:ascii="Times New Roman" w:hAnsi="Times New Roman"/>
                <w:sz w:val="20"/>
              </w:rPr>
              <w:t>$</w:t>
            </w:r>
          </w:p>
        </w:tc>
        <w:tc>
          <w:tcPr>
            <w:tcW w:w="1210"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4659" w:name="TAB12342"/>
            <w:bookmarkEnd w:id="4659"/>
            <w:r>
              <w:rPr>
                <w:rFonts w:ascii="Times New Roman" w:hAnsi="Times New Roman"/>
                <w:sz w:val="20"/>
              </w:rPr>
              <w:t>575</w:t>
            </w:r>
          </w:p>
        </w:tc>
        <w:tc>
          <w:tcPr>
            <w:tcW w:w="201" w:type="dxa"/>
            <w:tcBorders/>
            <w:shd w:fill="FFFFFF" w:val="clear"/>
            <w:tcMar>
              <w:bottom w:w="0" w:type="dxa"/>
            </w:tcMar>
            <w:vAlign w:val="bottom"/>
          </w:tcPr>
          <w:p>
            <w:pPr>
              <w:pStyle w:val="TableContents"/>
              <w:spacing w:before="0" w:after="283"/>
              <w:jc w:val="left"/>
              <w:rPr/>
            </w:pPr>
            <w:r>
              <w:rPr/>
              <w:t> </w:t>
            </w:r>
          </w:p>
        </w:tc>
        <w:tc>
          <w:tcPr>
            <w:tcW w:w="155"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4660" w:name="TAB12343"/>
            <w:bookmarkEnd w:id="4660"/>
            <w:r>
              <w:rPr>
                <w:rFonts w:ascii="Times New Roman" w:hAnsi="Times New Roman"/>
                <w:sz w:val="20"/>
              </w:rPr>
              <w:t>$</w:t>
            </w:r>
          </w:p>
        </w:tc>
        <w:tc>
          <w:tcPr>
            <w:tcW w:w="1281"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4661" w:name="TAB12344"/>
            <w:bookmarkEnd w:id="4661"/>
            <w:r>
              <w:rPr>
                <w:rFonts w:ascii="Times New Roman" w:hAnsi="Times New Roman"/>
                <w:sz w:val="20"/>
              </w:rPr>
              <w:t>--</w:t>
            </w:r>
          </w:p>
        </w:tc>
        <w:tc>
          <w:tcPr>
            <w:tcW w:w="201" w:type="dxa"/>
            <w:tcBorders/>
            <w:shd w:fill="FFFFFF" w:val="clear"/>
            <w:tcMar>
              <w:bottom w:w="0" w:type="dxa"/>
            </w:tcMar>
            <w:vAlign w:val="bottom"/>
          </w:tcPr>
          <w:p>
            <w:pPr>
              <w:pStyle w:val="TableContents"/>
              <w:spacing w:before="0" w:after="283"/>
              <w:jc w:val="left"/>
              <w:rPr/>
            </w:pPr>
            <w:r>
              <w:rPr/>
              <w:t> </w:t>
            </w:r>
          </w:p>
        </w:tc>
        <w:tc>
          <w:tcPr>
            <w:tcW w:w="155"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4662" w:name="TAB12345"/>
            <w:bookmarkEnd w:id="4662"/>
            <w:r>
              <w:rPr>
                <w:rFonts w:ascii="Times New Roman" w:hAnsi="Times New Roman"/>
                <w:sz w:val="20"/>
              </w:rPr>
              <w:t>$</w:t>
            </w:r>
          </w:p>
        </w:tc>
        <w:tc>
          <w:tcPr>
            <w:tcW w:w="1281"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4663" w:name="TAB12346"/>
            <w:bookmarkEnd w:id="4663"/>
            <w:r>
              <w:rPr>
                <w:rFonts w:ascii="Times New Roman" w:hAnsi="Times New Roman"/>
                <w:sz w:val="20"/>
              </w:rPr>
              <w:t>--</w:t>
            </w:r>
          </w:p>
        </w:tc>
        <w:tc>
          <w:tcPr>
            <w:tcW w:w="132" w:type="dxa"/>
            <w:tcBorders/>
            <w:shd w:fill="FFFFFF" w:val="clear"/>
            <w:tcMar>
              <w:bottom w:w="0" w:type="dxa"/>
            </w:tcMar>
            <w:vAlign w:val="bottom"/>
          </w:tcPr>
          <w:p>
            <w:pPr>
              <w:pStyle w:val="TableContents"/>
              <w:spacing w:before="0" w:after="283"/>
              <w:jc w:val="left"/>
              <w:rPr/>
            </w:pPr>
            <w:r>
              <w:rPr/>
              <w:t> </w:t>
            </w:r>
          </w:p>
        </w:tc>
      </w:tr>
    </w:tbl>
    <w:p>
      <w:pPr>
        <w:pStyle w:val="TextBody"/>
        <w:spacing w:lineRule="auto" w:line="300" w:before="0" w:after="0"/>
        <w:ind w:left="0" w:right="0" w:hanging="0"/>
        <w:jc w:val="center"/>
        <w:rPr/>
      </w:pPr>
      <w:r>
        <w:rPr/>
        <w:t> </w:t>
      </w:r>
    </w:p>
    <w:p>
      <w:pPr>
        <w:pStyle w:val="TextBody"/>
        <w:spacing w:lineRule="auto" w:line="300" w:before="0" w:after="0"/>
        <w:ind w:left="0" w:right="0" w:hanging="0"/>
        <w:jc w:val="center"/>
        <w:rPr>
          <w:rFonts w:ascii="Times New Roman" w:hAnsi="Times New Roman"/>
          <w:sz w:val="20"/>
        </w:rPr>
      </w:pPr>
      <w:r>
        <w:rPr>
          <w:rFonts w:ascii="Times New Roman" w:hAnsi="Times New Roman"/>
          <w:sz w:val="20"/>
        </w:rPr>
        <w:t>The accompanying notes are an integral part of these financial statements.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664" w:name="PGBRK126"/>
      <w:bookmarkStart w:id="4665" w:name="PGBRK126"/>
      <w:bookmarkEnd w:id="466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666" w:name="FTR126"/>
      <w:bookmarkStart w:id="4667" w:name="FTR126"/>
      <w:bookmarkEnd w:id="466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668" w:name="GLFTR126"/>
      <w:bookmarkStart w:id="4669" w:name="GLFTR126"/>
      <w:bookmarkEnd w:id="466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4670" w:name="PN126"/>
      <w:bookmarkEnd w:id="4670"/>
      <w:r>
        <w:rPr>
          <w:rFonts w:ascii="Times New Roman" w:hAnsi="Times New Roman"/>
          <w:sz w:val="16"/>
        </w:rPr>
        <w:t>-126-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671" w:name="HDR126"/>
      <w:bookmarkStart w:id="4672" w:name="HDR126"/>
      <w:bookmarkEnd w:id="467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4673" w:name="GLHDR126"/>
        <w:bookmarkEnd w:id="4673"/>
        <w:r>
          <w:rPr>
            <w:rStyle w:val="Emphasis"/>
            <w:rFonts w:ascii="Times New Roman" w:hAnsi="Times New Roman"/>
            <w:color w:val="000000"/>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300" w:before="0" w:after="0"/>
        <w:ind w:left="0" w:right="0" w:hanging="0"/>
        <w:jc w:val="center"/>
        <w:rPr/>
      </w:pPr>
      <w:r>
        <w:rPr>
          <w:rStyle w:val="StrongEmphasis"/>
          <w:rFonts w:ascii="Times New Roman" w:hAnsi="Times New Roman"/>
          <w:sz w:val="20"/>
        </w:rPr>
        <w:t>205-209 EAST 57</w:t>
      </w:r>
      <w:r>
        <w:rPr>
          <w:rStyle w:val="StrongEmphasis"/>
          <w:rFonts w:ascii="Times New Roman" w:hAnsi="Times New Roman"/>
          <w:position w:val="7"/>
          <w:sz w:val="16"/>
          <w:sz w:val="20"/>
        </w:rPr>
        <w:t>TH</w:t>
      </w:r>
      <w:r>
        <w:rPr>
          <w:rStyle w:val="StrongEmphasis"/>
        </w:rPr>
        <w:t xml:space="preserve"> </w:t>
      </w:r>
      <w:r>
        <w:rPr>
          <w:rStyle w:val="StrongEmphasis"/>
          <w:rFonts w:ascii="Times New Roman" w:hAnsi="Times New Roman"/>
          <w:sz w:val="20"/>
        </w:rPr>
        <w:t>STREET ASSOCIATES, LLC</w:t>
      </w:r>
    </w:p>
    <w:p>
      <w:pPr>
        <w:pStyle w:val="TextBody"/>
        <w:spacing w:lineRule="auto" w:line="300" w:before="0" w:after="0"/>
        <w:ind w:left="0" w:right="0" w:hanging="0"/>
        <w:jc w:val="center"/>
        <w:rPr/>
      </w:pPr>
      <w:r>
        <w:rPr/>
      </w:r>
    </w:p>
    <w:p>
      <w:pPr>
        <w:pStyle w:val="TextBody"/>
        <w:spacing w:lineRule="auto" w:line="300" w:before="0" w:after="0"/>
        <w:ind w:left="0" w:right="0" w:hanging="0"/>
        <w:jc w:val="center"/>
        <w:rPr/>
      </w:pPr>
      <w:r>
        <w:rPr>
          <w:rStyle w:val="StrongEmphasis"/>
          <w:rFonts w:ascii="Times New Roman" w:hAnsi="Times New Roman"/>
          <w:sz w:val="20"/>
        </w:rPr>
        <w:t>NOTES TO FINANCIAL STATEMENTS</w:t>
      </w:r>
    </w:p>
    <w:p>
      <w:pPr>
        <w:pStyle w:val="TextBody"/>
        <w:spacing w:lineRule="auto" w:line="300" w:before="0" w:after="0"/>
        <w:ind w:left="0" w:right="0" w:hanging="0"/>
        <w:jc w:val="both"/>
        <w:rPr/>
      </w:pPr>
      <w:r>
        <w:rPr/>
      </w:r>
    </w:p>
    <w:p>
      <w:pPr>
        <w:pStyle w:val="TextBody"/>
        <w:spacing w:lineRule="auto" w:line="300" w:before="0" w:after="0"/>
        <w:ind w:left="0" w:right="0" w:hanging="0"/>
        <w:jc w:val="center"/>
        <w:rPr/>
      </w:pPr>
      <w:r>
        <w:rPr>
          <w:rStyle w:val="StrongEmphasis"/>
          <w:rFonts w:ascii="Times New Roman" w:hAnsi="Times New Roman"/>
          <w:sz w:val="20"/>
        </w:rPr>
        <w:t>DECEMBER 31, 2006</w:t>
      </w:r>
    </w:p>
    <w:p>
      <w:pPr>
        <w:pStyle w:val="TextBody"/>
        <w:spacing w:before="0" w:after="0"/>
        <w:rPr/>
      </w:pPr>
      <w:r>
        <w:rPr/>
        <w:t> </w:t>
      </w:r>
    </w:p>
    <w:p>
      <w:pPr>
        <w:pStyle w:val="TextBody"/>
        <w:spacing w:lineRule="auto" w:line="300" w:before="0" w:after="0"/>
        <w:ind w:left="0" w:right="0" w:hanging="0"/>
        <w:jc w:val="both"/>
        <w:rPr/>
      </w:pPr>
      <w:r>
        <w:rPr>
          <w:rStyle w:val="StrongEmphasis"/>
          <w:rFonts w:ascii="Times New Roman" w:hAnsi="Times New Roman"/>
          <w:sz w:val="20"/>
        </w:rPr>
        <w:t xml:space="preserve">NOTE 1 - </w:t>
      </w:r>
      <w:bookmarkStart w:id="4674" w:name="TAB2293"/>
      <w:bookmarkEnd w:id="4674"/>
      <w:r>
        <w:rPr>
          <w:color w:val="000000"/>
          <w:spacing w:val="540"/>
        </w:rPr>
        <w:t> </w:t>
      </w:r>
      <w:r>
        <w:rPr>
          <w:rStyle w:val="StrongEmphasis"/>
          <w:rFonts w:ascii="Times New Roman" w:hAnsi="Times New Roman"/>
          <w:sz w:val="20"/>
          <w:u w:val="single"/>
        </w:rPr>
        <w:t>ORGANIZATION AND BUSINESS PURPOSE</w:t>
      </w:r>
    </w:p>
    <w:p>
      <w:pPr>
        <w:pStyle w:val="TextBody"/>
        <w:spacing w:lineRule="auto" w:line="300" w:before="0" w:after="0"/>
        <w:ind w:left="0" w:right="0" w:hanging="0"/>
        <w:jc w:val="both"/>
        <w:rPr/>
      </w:pPr>
      <w:r>
        <w:rPr/>
      </w:r>
    </w:p>
    <w:p>
      <w:pPr>
        <w:pStyle w:val="TextBody"/>
        <w:spacing w:lineRule="auto" w:line="300" w:before="0" w:after="0"/>
        <w:ind w:left="360" w:right="0" w:hanging="0"/>
        <w:jc w:val="left"/>
        <w:rPr/>
      </w:pPr>
      <w:r>
        <w:rPr>
          <w:rFonts w:ascii="Times New Roman" w:hAnsi="Times New Roman"/>
          <w:sz w:val="20"/>
        </w:rPr>
        <w:t>205-209 East 57</w:t>
      </w:r>
      <w:r>
        <w:rPr>
          <w:rFonts w:ascii="Times New Roman" w:hAnsi="Times New Roman"/>
          <w:position w:val="7"/>
          <w:sz w:val="16"/>
          <w:sz w:val="20"/>
        </w:rPr>
        <w:t>th</w:t>
      </w:r>
      <w:r>
        <w:rPr/>
        <w:t xml:space="preserve"> </w:t>
      </w:r>
      <w:r>
        <w:rPr>
          <w:rFonts w:ascii="Times New Roman" w:hAnsi="Times New Roman"/>
          <w:sz w:val="20"/>
        </w:rPr>
        <w:t>Street Associates, LLC (“the Company”) was formed as a limited liability company under the laws of the State of Delaware. The Company was formed to acquire, finance, develop, own, operate, lease and sell property located at 205-209 East 57</w:t>
      </w:r>
      <w:r>
        <w:rPr>
          <w:rFonts w:ascii="Times New Roman" w:hAnsi="Times New Roman"/>
          <w:position w:val="7"/>
          <w:sz w:val="16"/>
          <w:sz w:val="20"/>
        </w:rPr>
        <w:t>th</w:t>
      </w:r>
      <w:r>
        <w:rPr/>
        <w:t xml:space="preserve"> </w:t>
      </w:r>
      <w:r>
        <w:rPr>
          <w:rFonts w:ascii="Times New Roman" w:hAnsi="Times New Roman"/>
          <w:sz w:val="20"/>
        </w:rPr>
        <w:t>Street, New York, New York. During 2006 the Company substantially completed construction of the property, known as “Place 57”, a 143,000 square foot, thirty-six story building comprised of 68 residential condominium units and one commercial condominium unit.</w:t>
      </w:r>
    </w:p>
    <w:p>
      <w:pPr>
        <w:pStyle w:val="TextBody"/>
        <w:spacing w:lineRule="auto" w:line="300" w:before="0" w:after="0"/>
        <w:ind w:left="540" w:right="0" w:firstLine="540"/>
        <w:rPr>
          <w:color w:val="000000"/>
          <w:spacing w:val="180"/>
        </w:rPr>
      </w:pPr>
      <w:bookmarkStart w:id="4675" w:name="TAB2294"/>
      <w:bookmarkEnd w:id="4675"/>
      <w:r>
        <w:rPr>
          <w:color w:val="000000"/>
          <w:spacing w:val="180"/>
        </w:rPr>
        <w:t>  </w:t>
      </w:r>
    </w:p>
    <w:p>
      <w:pPr>
        <w:pStyle w:val="TextBody"/>
        <w:spacing w:lineRule="auto" w:line="300" w:before="0" w:after="0"/>
        <w:ind w:left="360" w:right="0" w:hanging="0"/>
        <w:jc w:val="left"/>
        <w:rPr>
          <w:rFonts w:ascii="Times New Roman" w:hAnsi="Times New Roman"/>
          <w:sz w:val="20"/>
        </w:rPr>
      </w:pPr>
      <w:r>
        <w:rPr>
          <w:rFonts w:ascii="Times New Roman" w:hAnsi="Times New Roman"/>
          <w:sz w:val="20"/>
        </w:rPr>
        <w:t xml:space="preserve">From September 3, 2003 (the “inception date”) through September 14, 2004 the Company was a single member limited liability company with Clarett Capital, LLC (“Clarett Capital”) as the sole member. Effective September 14, 2004, the operating agreement (“the Agreement”) was amended and restated to provide for the admission of the following new members: Citadel Cinemas, Inc. (“Citadel”) 25%, CC Sutton Manager, LLC (“CC Sutton”) 29.25%, PGA Clarett 1, LLC (“PGA 1”) 8.352%, PGA Clarett 2, LLC (“PGA 2”) 15%, PGA Clarett 3, LLC (“PGA 3”) 21.648% and Clarett Partners, LLC (“Clarett Partners”) 0.75%. </w:t>
      </w:r>
    </w:p>
    <w:p>
      <w:pPr>
        <w:pStyle w:val="TextBody"/>
        <w:spacing w:lineRule="auto" w:line="300" w:before="0" w:after="0"/>
        <w:ind w:left="1080" w:right="0" w:hanging="0"/>
        <w:jc w:val="left"/>
        <w:rPr/>
      </w:pPr>
      <w:r>
        <w:rPr/>
      </w:r>
    </w:p>
    <w:p>
      <w:pPr>
        <w:pStyle w:val="TextBody"/>
        <w:spacing w:lineRule="auto" w:line="300" w:before="0" w:after="0"/>
        <w:ind w:left="360" w:right="0" w:hanging="0"/>
        <w:jc w:val="left"/>
        <w:rPr>
          <w:rFonts w:ascii="Times New Roman" w:hAnsi="Times New Roman"/>
          <w:sz w:val="20"/>
        </w:rPr>
      </w:pPr>
      <w:r>
        <w:rPr>
          <w:rFonts w:ascii="Times New Roman" w:hAnsi="Times New Roman"/>
          <w:sz w:val="20"/>
        </w:rPr>
        <w:t xml:space="preserve">Effective December 30, 2004 PGA Clarett 1, LLC assigned 28.820% of its percentage interest and PGA 3, assigned 80.791% of its percentage interest to a new member, PGA Clarett 4, LP (“PGA 4”). </w:t>
      </w:r>
    </w:p>
    <w:p>
      <w:pPr>
        <w:pStyle w:val="TextBody"/>
        <w:spacing w:before="0" w:after="0"/>
        <w:rPr/>
      </w:pPr>
      <w:r>
        <w:rPr/>
        <w:t> </w:t>
      </w:r>
    </w:p>
    <w:p>
      <w:pPr>
        <w:pStyle w:val="TextBody"/>
        <w:spacing w:lineRule="auto" w:line="300" w:before="0" w:after="0"/>
        <w:ind w:left="360" w:right="0" w:hanging="0"/>
        <w:jc w:val="left"/>
        <w:rPr>
          <w:rFonts w:ascii="Times New Roman" w:hAnsi="Times New Roman"/>
          <w:sz w:val="20"/>
        </w:rPr>
      </w:pPr>
      <w:r>
        <w:rPr>
          <w:rFonts w:ascii="Times New Roman" w:hAnsi="Times New Roman"/>
          <w:sz w:val="20"/>
        </w:rPr>
        <w:t>Net income or loss and distributions are allocated to the members in accordance with the terms of the Company’s operating agreement. The members of a limited liability company are generally not individually liable for the obligations of the limited liability company.</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rStyle w:val="StrongEmphasis"/>
          <w:rFonts w:ascii="Times New Roman" w:hAnsi="Times New Roman"/>
          <w:sz w:val="20"/>
        </w:rPr>
        <w:t xml:space="preserve">NOTE 2 - </w:t>
      </w:r>
      <w:bookmarkStart w:id="4676" w:name="TAB2295"/>
      <w:bookmarkEnd w:id="4676"/>
      <w:r>
        <w:rPr>
          <w:color w:val="000000"/>
          <w:spacing w:val="540"/>
        </w:rPr>
        <w:t> </w:t>
      </w:r>
      <w:r>
        <w:rPr>
          <w:rStyle w:val="StrongEmphasis"/>
          <w:rFonts w:ascii="Times New Roman" w:hAnsi="Times New Roman"/>
          <w:sz w:val="20"/>
          <w:u w:val="single"/>
        </w:rPr>
        <w:t>SUMMARY OF SIGNIFICANT ACCOUNTING POLICIES</w:t>
      </w:r>
    </w:p>
    <w:p>
      <w:pPr>
        <w:pStyle w:val="TextBody"/>
        <w:spacing w:lineRule="auto" w:line="300" w:before="0" w:after="0"/>
        <w:ind w:left="0" w:right="0" w:hanging="0"/>
        <w:jc w:val="both"/>
        <w:rPr/>
      </w:pPr>
      <w:r>
        <w:rPr/>
        <w:t> </w:t>
      </w:r>
    </w:p>
    <w:p>
      <w:pPr>
        <w:pStyle w:val="Normal"/>
        <w:spacing w:before="0" w:after="0"/>
        <w:ind w:left="0" w:right="0" w:hanging="0"/>
        <w:rPr>
          <w:sz w:val="4"/>
          <w:szCs w:val="4"/>
        </w:rPr>
      </w:pPr>
      <w:r>
        <w:rPr>
          <w:sz w:val="4"/>
          <w:szCs w:val="4"/>
        </w:rPr>
      </w:r>
      <w:bookmarkStart w:id="4677" w:name="hangingindent303"/>
      <w:bookmarkStart w:id="4678" w:name="hangingindent303"/>
      <w:bookmarkEnd w:id="4678"/>
    </w:p>
    <w:tbl>
      <w:tblPr>
        <w:tblW w:w="5000" w:type="pct"/>
        <w:jc w:val="center"/>
        <w:tblInd w:w="0" w:type="dxa"/>
        <w:tblCellMar>
          <w:top w:w="0" w:type="dxa"/>
          <w:left w:w="0" w:type="dxa"/>
          <w:bottom w:w="0" w:type="dxa"/>
          <w:right w:w="0" w:type="dxa"/>
        </w:tblCellMar>
      </w:tblPr>
      <w:tblGrid>
        <w:gridCol w:w="426"/>
        <w:gridCol w:w="1636"/>
        <w:gridCol w:w="8143"/>
      </w:tblGrid>
      <w:tr>
        <w:trPr/>
        <w:tc>
          <w:tcPr>
            <w:tcW w:w="426" w:type="dxa"/>
            <w:tcBorders/>
            <w:shd w:fill="auto" w:val="clear"/>
          </w:tcPr>
          <w:p>
            <w:pPr>
              <w:pStyle w:val="TableContents"/>
              <w:spacing w:before="0" w:after="283"/>
              <w:rPr/>
            </w:pPr>
            <w:r>
              <w:rPr/>
              <w:t> </w:t>
            </w:r>
          </w:p>
        </w:tc>
        <w:tc>
          <w:tcPr>
            <w:tcW w:w="163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w:t>
            </w:r>
          </w:p>
        </w:tc>
        <w:tc>
          <w:tcPr>
            <w:tcW w:w="814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Income Taxes</w:t>
            </w:r>
          </w:p>
        </w:tc>
      </w:tr>
    </w:tbl>
    <w:p>
      <w:pPr>
        <w:pStyle w:val="TextBody"/>
        <w:spacing w:lineRule="auto" w:line="300" w:before="0" w:after="0"/>
        <w:ind w:left="720" w:right="0" w:hanging="0"/>
        <w:jc w:val="both"/>
        <w:rPr/>
      </w:pPr>
      <w:r>
        <w:rPr/>
      </w:r>
    </w:p>
    <w:p>
      <w:pPr>
        <w:pStyle w:val="TextBody"/>
        <w:spacing w:lineRule="auto" w:line="300" w:before="0" w:after="0"/>
        <w:ind w:left="720" w:right="0" w:hanging="0"/>
        <w:jc w:val="both"/>
        <w:rPr>
          <w:rFonts w:ascii="Times New Roman" w:hAnsi="Times New Roman"/>
          <w:sz w:val="20"/>
        </w:rPr>
      </w:pPr>
      <w:r>
        <w:rPr>
          <w:rFonts w:ascii="Times New Roman" w:hAnsi="Times New Roman"/>
          <w:sz w:val="20"/>
        </w:rPr>
        <w:t xml:space="preserve">The Company was formed as a limited liability company and has elected to be taxed as a partnership. Components of the Company’s net income or loss are taxable to the members. Accordingly, no provision for federal or state income taxes is provided for in the accompanying financial statements. </w:t>
      </w:r>
    </w:p>
    <w:p>
      <w:pPr>
        <w:pStyle w:val="TextBody"/>
        <w:spacing w:lineRule="auto" w:line="300" w:before="0" w:after="0"/>
        <w:ind w:left="720" w:right="0" w:hanging="0"/>
        <w:jc w:val="both"/>
        <w:rPr/>
      </w:pPr>
      <w:r>
        <w:rPr/>
      </w:r>
    </w:p>
    <w:p>
      <w:pPr>
        <w:pStyle w:val="TextBody"/>
        <w:spacing w:lineRule="auto" w:line="300" w:before="0" w:after="0"/>
        <w:ind w:left="720" w:right="0" w:hanging="0"/>
        <w:jc w:val="both"/>
        <w:rPr>
          <w:rFonts w:ascii="Times New Roman" w:hAnsi="Times New Roman"/>
          <w:sz w:val="20"/>
        </w:rPr>
      </w:pPr>
      <w:r>
        <w:rPr>
          <w:rFonts w:ascii="Times New Roman" w:hAnsi="Times New Roman"/>
          <w:sz w:val="20"/>
        </w:rPr>
        <w:t xml:space="preserve">The construction project is located in the City of New York where an entity level income tax is imposed on unincorporated businesses, which, for the year ended December 31, 2006 amounted to approximately $1,435,000. </w:t>
      </w:r>
    </w:p>
    <w:p>
      <w:pPr>
        <w:pStyle w:val="TextBody"/>
        <w:spacing w:lineRule="auto" w:line="300" w:before="0" w:after="0"/>
        <w:ind w:left="0" w:right="0" w:hanging="0"/>
        <w:jc w:val="both"/>
        <w:rPr/>
      </w:pPr>
      <w:r>
        <w:rPr/>
      </w:r>
    </w:p>
    <w:p>
      <w:pPr>
        <w:pStyle w:val="Normal"/>
        <w:spacing w:lineRule="auto" w:line="300" w:before="0" w:after="0"/>
        <w:jc w:val="both"/>
        <w:rPr>
          <w:sz w:val="4"/>
          <w:szCs w:val="4"/>
        </w:rPr>
      </w:pPr>
      <w:r>
        <w:rPr>
          <w:sz w:val="4"/>
          <w:szCs w:val="4"/>
        </w:rPr>
      </w:r>
      <w:bookmarkStart w:id="4679" w:name="hangingindent304"/>
      <w:bookmarkStart w:id="4680" w:name="hangingindent304"/>
      <w:bookmarkEnd w:id="4680"/>
    </w:p>
    <w:tbl>
      <w:tblPr>
        <w:tblW w:w="5000" w:type="pct"/>
        <w:jc w:val="center"/>
        <w:tblInd w:w="0" w:type="dxa"/>
        <w:tblCellMar>
          <w:top w:w="0" w:type="dxa"/>
          <w:left w:w="0" w:type="dxa"/>
          <w:bottom w:w="0" w:type="dxa"/>
          <w:right w:w="0" w:type="dxa"/>
        </w:tblCellMar>
      </w:tblPr>
      <w:tblGrid>
        <w:gridCol w:w="133"/>
        <w:gridCol w:w="545"/>
        <w:gridCol w:w="9527"/>
      </w:tblGrid>
      <w:tr>
        <w:trPr/>
        <w:tc>
          <w:tcPr>
            <w:tcW w:w="133" w:type="dxa"/>
            <w:tcBorders/>
            <w:shd w:fill="auto" w:val="clear"/>
          </w:tcPr>
          <w:p>
            <w:pPr>
              <w:pStyle w:val="TableContents"/>
              <w:spacing w:before="0" w:after="283"/>
              <w:rPr/>
            </w:pPr>
            <w:r>
              <w:rPr/>
              <w:t> </w:t>
            </w:r>
          </w:p>
        </w:tc>
        <w:tc>
          <w:tcPr>
            <w:tcW w:w="54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(b)</w:t>
            </w:r>
          </w:p>
        </w:tc>
        <w:tc>
          <w:tcPr>
            <w:tcW w:w="952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Use of Estimates in Financial Statement Presentation</w:t>
            </w:r>
          </w:p>
        </w:tc>
      </w:tr>
    </w:tbl>
    <w:p>
      <w:pPr>
        <w:pStyle w:val="TextBody"/>
        <w:spacing w:lineRule="auto" w:line="300" w:before="0" w:after="0"/>
        <w:ind w:left="0" w:right="0" w:hanging="0"/>
        <w:jc w:val="both"/>
        <w:rPr>
          <w:color w:val="000000"/>
          <w:spacing w:val="180"/>
        </w:rPr>
      </w:pPr>
      <w:bookmarkStart w:id="4681" w:name="TAB2296"/>
      <w:bookmarkEnd w:id="4681"/>
      <w:r>
        <w:rPr>
          <w:color w:val="000000"/>
          <w:spacing w:val="180"/>
        </w:rPr>
        <w:t>  </w:t>
      </w:r>
    </w:p>
    <w:p>
      <w:pPr>
        <w:pStyle w:val="TextBody"/>
        <w:spacing w:lineRule="auto" w:line="300" w:before="0" w:after="0"/>
        <w:ind w:left="720" w:right="0" w:hanging="0"/>
        <w:jc w:val="both"/>
        <w:rPr>
          <w:rFonts w:ascii="Times New Roman" w:hAnsi="Times New Roman"/>
          <w:sz w:val="20"/>
        </w:rPr>
      </w:pPr>
      <w:r>
        <w:rPr>
          <w:rFonts w:ascii="Times New Roman" w:hAnsi="Times New Roman"/>
          <w:sz w:val="20"/>
        </w:rPr>
        <w:t>The preparation of financial statements in conformity with accounting principles generally accepted in the United States of America requires management to make estimates and assumptions that affect the reported amounts of assets and liabilities and disclosure of contingencies, if any, at the date of the financial statements, and the reported amounts of revenue and expenses during the reporting period. Actual results could differ from those estimates. Significant estimates include the allocation of costs to units sold, determination of remaining costs to complete, and estimated sales prices of unsold units.</w:t>
      </w:r>
    </w:p>
    <w:p>
      <w:pPr>
        <w:pStyle w:val="TextBody"/>
        <w:spacing w:lineRule="auto" w:line="300" w:before="0" w:after="0"/>
        <w:ind w:left="1080" w:right="0" w:hanging="0"/>
        <w:jc w:val="both"/>
        <w:rPr/>
      </w:pPr>
      <w:r>
        <w:rPr/>
      </w:r>
    </w:p>
    <w:p>
      <w:pPr>
        <w:pStyle w:val="Normal"/>
        <w:spacing w:lineRule="auto" w:line="300" w:before="0" w:after="0"/>
        <w:jc w:val="both"/>
        <w:rPr>
          <w:sz w:val="4"/>
          <w:szCs w:val="4"/>
        </w:rPr>
      </w:pPr>
      <w:r>
        <w:rPr>
          <w:sz w:val="4"/>
          <w:szCs w:val="4"/>
        </w:rPr>
      </w:r>
      <w:bookmarkStart w:id="4682" w:name="hangingindent305"/>
      <w:bookmarkStart w:id="4683" w:name="hangingindent305"/>
      <w:bookmarkEnd w:id="4683"/>
    </w:p>
    <w:tbl>
      <w:tblPr>
        <w:tblW w:w="5000" w:type="pct"/>
        <w:jc w:val="center"/>
        <w:tblInd w:w="0" w:type="dxa"/>
        <w:tblCellMar>
          <w:top w:w="0" w:type="dxa"/>
          <w:left w:w="0" w:type="dxa"/>
          <w:bottom w:w="0" w:type="dxa"/>
          <w:right w:w="0" w:type="dxa"/>
        </w:tblCellMar>
      </w:tblPr>
      <w:tblGrid>
        <w:gridCol w:w="292"/>
        <w:gridCol w:w="1120"/>
        <w:gridCol w:w="8793"/>
      </w:tblGrid>
      <w:tr>
        <w:trPr/>
        <w:tc>
          <w:tcPr>
            <w:tcW w:w="292" w:type="dxa"/>
            <w:tcBorders/>
            <w:shd w:fill="auto" w:val="clear"/>
          </w:tcPr>
          <w:p>
            <w:pPr>
              <w:pStyle w:val="TableContents"/>
              <w:spacing w:before="0" w:after="283"/>
              <w:rPr/>
            </w:pPr>
            <w:r>
              <w:rPr/>
              <w:t> </w:t>
            </w:r>
          </w:p>
        </w:tc>
        <w:tc>
          <w:tcPr>
            <w:tcW w:w="112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w:t>
            </w:r>
          </w:p>
        </w:tc>
        <w:tc>
          <w:tcPr>
            <w:tcW w:w="879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Revenue Recognition</w:t>
            </w:r>
          </w:p>
        </w:tc>
      </w:tr>
    </w:tbl>
    <w:p>
      <w:pPr>
        <w:pStyle w:val="TextBody"/>
        <w:spacing w:lineRule="auto" w:line="300" w:before="0" w:after="0"/>
        <w:ind w:left="1080" w:right="0" w:hanging="0"/>
        <w:jc w:val="both"/>
        <w:rPr/>
      </w:pPr>
      <w:r>
        <w:rPr/>
      </w:r>
    </w:p>
    <w:p>
      <w:pPr>
        <w:pStyle w:val="TextBody"/>
        <w:spacing w:lineRule="auto" w:line="300" w:before="0" w:after="0"/>
        <w:ind w:left="720" w:right="0" w:hanging="0"/>
        <w:jc w:val="both"/>
        <w:rPr>
          <w:rFonts w:ascii="Times New Roman" w:hAnsi="Times New Roman"/>
          <w:sz w:val="20"/>
        </w:rPr>
      </w:pPr>
      <w:r>
        <w:rPr>
          <w:rFonts w:ascii="Times New Roman" w:hAnsi="Times New Roman"/>
          <w:sz w:val="20"/>
        </w:rPr>
        <w:t>Revenue has been recognized upon the closing of each condominium unit.</w:t>
      </w:r>
    </w:p>
    <w:p>
      <w:pPr>
        <w:pStyle w:val="TextBody"/>
        <w:spacing w:lineRule="auto" w:line="300"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684" w:name="PGBRK127"/>
      <w:bookmarkStart w:id="4685" w:name="PGBRK127"/>
      <w:bookmarkEnd w:id="468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686" w:name="FTR127"/>
      <w:bookmarkStart w:id="4687" w:name="FTR127"/>
      <w:bookmarkEnd w:id="468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688" w:name="GLFTR127"/>
      <w:bookmarkStart w:id="4689" w:name="GLFTR127"/>
      <w:bookmarkEnd w:id="468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4690" w:name="PN127"/>
      <w:bookmarkEnd w:id="4690"/>
      <w:r>
        <w:rPr>
          <w:rFonts w:ascii="Times New Roman" w:hAnsi="Times New Roman"/>
          <w:sz w:val="16"/>
        </w:rPr>
        <w:t>-127-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691" w:name="HDR127"/>
      <w:bookmarkStart w:id="4692" w:name="HDR127"/>
      <w:bookmarkEnd w:id="46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4693" w:name="GLHDR127"/>
        <w:bookmarkEnd w:id="4693"/>
        <w:r>
          <w:rPr>
            <w:rStyle w:val="Emphasis"/>
            <w:rFonts w:ascii="Times New Roman" w:hAnsi="Times New Roman"/>
            <w:color w:val="000000"/>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pStyle w:val="Normal"/>
        <w:spacing w:before="0" w:after="0"/>
        <w:rPr>
          <w:sz w:val="4"/>
          <w:szCs w:val="4"/>
        </w:rPr>
      </w:pPr>
      <w:r>
        <w:rPr>
          <w:sz w:val="4"/>
          <w:szCs w:val="4"/>
        </w:rPr>
      </w:r>
      <w:bookmarkStart w:id="4694" w:name="hangingindent306"/>
      <w:bookmarkStart w:id="4695" w:name="hangingindent306"/>
      <w:bookmarkEnd w:id="4695"/>
    </w:p>
    <w:tbl>
      <w:tblPr>
        <w:tblW w:w="5000" w:type="pct"/>
        <w:jc w:val="center"/>
        <w:tblInd w:w="0" w:type="dxa"/>
        <w:tblCellMar>
          <w:top w:w="0" w:type="dxa"/>
          <w:left w:w="0" w:type="dxa"/>
          <w:bottom w:w="0" w:type="dxa"/>
          <w:right w:w="0" w:type="dxa"/>
        </w:tblCellMar>
      </w:tblPr>
      <w:tblGrid>
        <w:gridCol w:w="252"/>
        <w:gridCol w:w="1031"/>
        <w:gridCol w:w="8922"/>
      </w:tblGrid>
      <w:tr>
        <w:trPr/>
        <w:tc>
          <w:tcPr>
            <w:tcW w:w="252" w:type="dxa"/>
            <w:tcBorders/>
            <w:shd w:fill="auto" w:val="clear"/>
          </w:tcPr>
          <w:p>
            <w:pPr>
              <w:pStyle w:val="TableContents"/>
              <w:spacing w:before="0" w:after="283"/>
              <w:rPr/>
            </w:pPr>
            <w:r>
              <w:rPr/>
              <w:t> </w:t>
            </w:r>
          </w:p>
        </w:tc>
        <w:tc>
          <w:tcPr>
            <w:tcW w:w="103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w:t>
            </w:r>
          </w:p>
        </w:tc>
        <w:tc>
          <w:tcPr>
            <w:tcW w:w="892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Marketing and Promotion</w:t>
            </w:r>
          </w:p>
        </w:tc>
      </w:tr>
    </w:tbl>
    <w:p>
      <w:pPr>
        <w:pStyle w:val="TextBody"/>
        <w:spacing w:lineRule="auto" w:line="300" w:before="0" w:after="0"/>
        <w:ind w:left="0" w:right="0" w:hanging="0"/>
        <w:jc w:val="both"/>
        <w:rPr/>
      </w:pPr>
      <w:r>
        <w:rPr/>
      </w:r>
    </w:p>
    <w:p>
      <w:pPr>
        <w:pStyle w:val="TextBody"/>
        <w:spacing w:lineRule="auto" w:line="300" w:before="0" w:after="0"/>
        <w:ind w:left="720" w:right="0" w:hanging="0"/>
        <w:jc w:val="both"/>
        <w:rPr>
          <w:rFonts w:ascii="Times New Roman" w:hAnsi="Times New Roman"/>
          <w:sz w:val="20"/>
        </w:rPr>
      </w:pPr>
      <w:r>
        <w:rPr>
          <w:rFonts w:ascii="Times New Roman" w:hAnsi="Times New Roman"/>
          <w:sz w:val="20"/>
        </w:rPr>
        <w:t>Marketing and promotion costs are charged to operations when incurred. The Company expensed marketing and promotion costs of $740,492, $500,000 and $224,545 for the years ended December 31, 2006, 2005 and 2004, respectively.</w:t>
      </w:r>
    </w:p>
    <w:p>
      <w:pPr>
        <w:pStyle w:val="TextBody"/>
        <w:spacing w:lineRule="auto" w:line="300" w:before="0" w:after="0"/>
        <w:ind w:left="0" w:right="0" w:hanging="0"/>
        <w:jc w:val="left"/>
        <w:rPr/>
      </w:pPr>
      <w:r>
        <w:rPr/>
      </w:r>
    </w:p>
    <w:p>
      <w:pPr>
        <w:pStyle w:val="Normal"/>
        <w:spacing w:before="0" w:after="0"/>
        <w:rPr>
          <w:sz w:val="4"/>
          <w:szCs w:val="4"/>
        </w:rPr>
      </w:pPr>
      <w:r>
        <w:rPr>
          <w:sz w:val="4"/>
          <w:szCs w:val="4"/>
        </w:rPr>
      </w:r>
      <w:bookmarkStart w:id="4696" w:name="hangingindent307"/>
      <w:bookmarkStart w:id="4697" w:name="hangingindent307"/>
      <w:bookmarkEnd w:id="4697"/>
    </w:p>
    <w:tbl>
      <w:tblPr>
        <w:tblW w:w="5000" w:type="pct"/>
        <w:jc w:val="center"/>
        <w:tblInd w:w="0" w:type="dxa"/>
        <w:tblCellMar>
          <w:top w:w="0" w:type="dxa"/>
          <w:left w:w="0" w:type="dxa"/>
          <w:bottom w:w="0" w:type="dxa"/>
          <w:right w:w="0" w:type="dxa"/>
        </w:tblCellMar>
      </w:tblPr>
      <w:tblGrid>
        <w:gridCol w:w="349"/>
        <w:gridCol w:w="1341"/>
        <w:gridCol w:w="8515"/>
      </w:tblGrid>
      <w:tr>
        <w:trPr/>
        <w:tc>
          <w:tcPr>
            <w:tcW w:w="349" w:type="dxa"/>
            <w:tcBorders/>
            <w:shd w:fill="auto" w:val="clear"/>
          </w:tcPr>
          <w:p>
            <w:pPr>
              <w:pStyle w:val="TableContents"/>
              <w:spacing w:before="0" w:after="283"/>
              <w:rPr/>
            </w:pPr>
            <w:r>
              <w:rPr/>
              <w:t> </w:t>
            </w:r>
          </w:p>
        </w:tc>
        <w:tc>
          <w:tcPr>
            <w:tcW w:w="134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(e)</w:t>
            </w:r>
          </w:p>
        </w:tc>
        <w:tc>
          <w:tcPr>
            <w:tcW w:w="851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Capitalized Costs</w:t>
            </w:r>
          </w:p>
        </w:tc>
      </w:tr>
    </w:tbl>
    <w:p>
      <w:pPr>
        <w:pStyle w:val="TextBody"/>
        <w:spacing w:lineRule="auto" w:line="300" w:before="0" w:after="0"/>
        <w:ind w:left="0" w:right="0" w:hanging="0"/>
        <w:rPr>
          <w:color w:val="000000"/>
          <w:spacing w:val="180"/>
        </w:rPr>
      </w:pPr>
      <w:bookmarkStart w:id="4698" w:name="TAB2297"/>
      <w:bookmarkEnd w:id="4698"/>
      <w:r>
        <w:rPr>
          <w:color w:val="000000"/>
          <w:spacing w:val="180"/>
        </w:rPr>
        <w:t>  </w:t>
      </w:r>
    </w:p>
    <w:p>
      <w:pPr>
        <w:pStyle w:val="TextBody"/>
        <w:spacing w:lineRule="auto" w:line="300" w:before="0" w:after="0"/>
        <w:ind w:left="720" w:right="0" w:hanging="0"/>
        <w:jc w:val="both"/>
        <w:rPr>
          <w:rFonts w:ascii="Times New Roman" w:hAnsi="Times New Roman"/>
          <w:sz w:val="20"/>
        </w:rPr>
      </w:pPr>
      <w:r>
        <w:rPr>
          <w:rFonts w:ascii="Times New Roman" w:hAnsi="Times New Roman"/>
          <w:sz w:val="20"/>
        </w:rPr>
        <w:t xml:space="preserve">The Company capitalizes all costs associated with the development project. Capitalized costs include, but are not limited to, construction and development costs, construction period interest, real estate taxes and architect, development and professional fees. </w:t>
      </w:r>
    </w:p>
    <w:p>
      <w:pPr>
        <w:pStyle w:val="TextBody"/>
        <w:spacing w:lineRule="auto" w:line="300" w:before="0" w:after="0"/>
        <w:ind w:left="1080" w:right="0" w:hanging="0"/>
        <w:jc w:val="both"/>
        <w:rPr/>
      </w:pPr>
      <w:r>
        <w:rPr/>
        <w:t> </w:t>
      </w:r>
    </w:p>
    <w:p>
      <w:pPr>
        <w:pStyle w:val="Normal"/>
        <w:spacing w:before="0" w:after="0"/>
        <w:ind w:left="0" w:right="0" w:hanging="0"/>
        <w:rPr>
          <w:sz w:val="4"/>
          <w:szCs w:val="4"/>
        </w:rPr>
      </w:pPr>
      <w:r>
        <w:rPr>
          <w:sz w:val="4"/>
          <w:szCs w:val="4"/>
        </w:rPr>
      </w:r>
      <w:bookmarkStart w:id="4699" w:name="hangingindent308"/>
      <w:bookmarkStart w:id="4700" w:name="hangingindent308"/>
      <w:bookmarkEnd w:id="4700"/>
    </w:p>
    <w:tbl>
      <w:tblPr>
        <w:tblW w:w="5000" w:type="pct"/>
        <w:jc w:val="center"/>
        <w:tblInd w:w="0" w:type="dxa"/>
        <w:tblCellMar>
          <w:top w:w="0" w:type="dxa"/>
          <w:left w:w="0" w:type="dxa"/>
          <w:bottom w:w="0" w:type="dxa"/>
          <w:right w:w="0" w:type="dxa"/>
        </w:tblCellMar>
      </w:tblPr>
      <w:tblGrid>
        <w:gridCol w:w="181"/>
        <w:gridCol w:w="606"/>
        <w:gridCol w:w="9418"/>
      </w:tblGrid>
      <w:tr>
        <w:trPr/>
        <w:tc>
          <w:tcPr>
            <w:tcW w:w="181" w:type="dxa"/>
            <w:tcBorders/>
            <w:shd w:fill="auto" w:val="clear"/>
          </w:tcPr>
          <w:p>
            <w:pPr>
              <w:pStyle w:val="TableContents"/>
              <w:spacing w:before="0" w:after="283"/>
              <w:rPr/>
            </w:pPr>
            <w:r>
              <w:rPr/>
              <w:t> </w:t>
            </w:r>
          </w:p>
        </w:tc>
        <w:tc>
          <w:tcPr>
            <w:tcW w:w="60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(f)</w:t>
            </w:r>
          </w:p>
        </w:tc>
        <w:tc>
          <w:tcPr>
            <w:tcW w:w="941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Costs of Sales of Condominium Units </w:t>
            </w:r>
          </w:p>
        </w:tc>
      </w:tr>
    </w:tbl>
    <w:p>
      <w:pPr>
        <w:pStyle w:val="TextBody"/>
        <w:spacing w:lineRule="auto" w:line="300" w:before="0" w:after="0"/>
        <w:ind w:left="540" w:right="0" w:hanging="540"/>
        <w:jc w:val="both"/>
        <w:rPr/>
      </w:pPr>
      <w:r>
        <w:rPr/>
      </w:r>
    </w:p>
    <w:p>
      <w:pPr>
        <w:pStyle w:val="TextBody"/>
        <w:spacing w:lineRule="auto" w:line="300" w:before="0" w:after="0"/>
        <w:ind w:left="720" w:right="0" w:hanging="0"/>
        <w:jc w:val="both"/>
        <w:rPr>
          <w:rFonts w:ascii="Times New Roman" w:hAnsi="Times New Roman"/>
          <w:sz w:val="20"/>
        </w:rPr>
      </w:pPr>
      <w:r>
        <w:rPr>
          <w:rFonts w:ascii="Times New Roman" w:hAnsi="Times New Roman"/>
          <w:sz w:val="20"/>
        </w:rPr>
        <w:t xml:space="preserve">In connection with the sale of condominium units during 2006, land, capitalized construction and development costs and negotiable certificates for real estate tax abatements have been expensed based on the total costs incurred and the estimated costs to complete, multiplied by the relative sales value of units sold in 2006. </w:t>
      </w:r>
    </w:p>
    <w:p>
      <w:pPr>
        <w:pStyle w:val="TextBody"/>
        <w:spacing w:lineRule="auto" w:line="300" w:before="0" w:after="0"/>
        <w:ind w:left="0" w:right="0" w:hanging="0"/>
        <w:jc w:val="both"/>
        <w:rPr/>
      </w:pPr>
      <w:r>
        <w:rPr/>
      </w:r>
    </w:p>
    <w:p>
      <w:pPr>
        <w:pStyle w:val="Normal"/>
        <w:spacing w:lineRule="auto" w:line="300" w:before="0" w:after="0"/>
        <w:jc w:val="both"/>
        <w:rPr>
          <w:sz w:val="4"/>
          <w:szCs w:val="4"/>
        </w:rPr>
      </w:pPr>
      <w:r>
        <w:rPr>
          <w:sz w:val="4"/>
          <w:szCs w:val="4"/>
        </w:rPr>
      </w:r>
      <w:bookmarkStart w:id="4701" w:name="hangingindent309"/>
      <w:bookmarkStart w:id="4702" w:name="hangingindent309"/>
      <w:bookmarkEnd w:id="4702"/>
    </w:p>
    <w:tbl>
      <w:tblPr>
        <w:tblW w:w="5000" w:type="pct"/>
        <w:jc w:val="center"/>
        <w:tblInd w:w="0" w:type="dxa"/>
        <w:tblCellMar>
          <w:top w:w="0" w:type="dxa"/>
          <w:left w:w="0" w:type="dxa"/>
          <w:bottom w:w="0" w:type="dxa"/>
          <w:right w:w="0" w:type="dxa"/>
        </w:tblCellMar>
      </w:tblPr>
      <w:tblGrid>
        <w:gridCol w:w="236"/>
        <w:gridCol w:w="965"/>
        <w:gridCol w:w="9004"/>
      </w:tblGrid>
      <w:tr>
        <w:trPr/>
        <w:tc>
          <w:tcPr>
            <w:tcW w:w="236" w:type="dxa"/>
            <w:tcBorders/>
            <w:shd w:fill="auto" w:val="clear"/>
          </w:tcPr>
          <w:p>
            <w:pPr>
              <w:pStyle w:val="TableContents"/>
              <w:spacing w:before="0" w:after="283"/>
              <w:rPr/>
            </w:pPr>
            <w:r>
              <w:rPr/>
              <w:t> </w:t>
            </w:r>
          </w:p>
        </w:tc>
        <w:tc>
          <w:tcPr>
            <w:tcW w:w="96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(g)</w:t>
            </w:r>
          </w:p>
        </w:tc>
        <w:tc>
          <w:tcPr>
            <w:tcW w:w="900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Cash and Cash Equivalents </w:t>
            </w:r>
          </w:p>
        </w:tc>
      </w:tr>
    </w:tbl>
    <w:p>
      <w:pPr>
        <w:pStyle w:val="TextBody"/>
        <w:spacing w:lineRule="auto" w:line="300" w:before="0" w:after="0"/>
        <w:ind w:left="0" w:right="0" w:hanging="0"/>
        <w:jc w:val="both"/>
        <w:rPr/>
      </w:pPr>
      <w:r>
        <w:rPr/>
      </w:r>
    </w:p>
    <w:p>
      <w:pPr>
        <w:pStyle w:val="TextBody"/>
        <w:spacing w:lineRule="auto" w:line="300" w:before="0" w:after="0"/>
        <w:ind w:left="720" w:right="0" w:hanging="0"/>
        <w:jc w:val="both"/>
        <w:rPr>
          <w:rFonts w:ascii="Times New Roman" w:hAnsi="Times New Roman"/>
          <w:sz w:val="20"/>
        </w:rPr>
      </w:pPr>
      <w:r>
        <w:rPr>
          <w:rFonts w:ascii="Times New Roman" w:hAnsi="Times New Roman"/>
          <w:sz w:val="20"/>
        </w:rPr>
        <w:t>The Company considers all highly liquid investments with an original maturity of three months or less to be cash equivalents. Cash equivalents consist of an interest-bearing money fund account.</w:t>
      </w:r>
    </w:p>
    <w:p>
      <w:pPr>
        <w:pStyle w:val="TextBody"/>
        <w:spacing w:before="0" w:after="0"/>
        <w:rPr/>
      </w:pPr>
      <w:r>
        <w:rPr/>
        <w:t> </w:t>
      </w:r>
    </w:p>
    <w:p>
      <w:pPr>
        <w:pStyle w:val="TextBody"/>
        <w:spacing w:lineRule="auto" w:line="300" w:before="0" w:after="0"/>
        <w:ind w:left="0" w:right="0" w:hanging="0"/>
        <w:jc w:val="both"/>
        <w:rPr/>
      </w:pPr>
      <w:r>
        <w:rPr>
          <w:rStyle w:val="StrongEmphasis"/>
          <w:rFonts w:ascii="Times New Roman" w:hAnsi="Times New Roman"/>
          <w:sz w:val="20"/>
        </w:rPr>
        <w:t xml:space="preserve">NOTE 3 - </w:t>
      </w:r>
      <w:bookmarkStart w:id="4703" w:name="TAB2298"/>
      <w:bookmarkEnd w:id="4703"/>
      <w:r>
        <w:rPr>
          <w:color w:val="000000"/>
          <w:spacing w:val="540"/>
        </w:rPr>
        <w:t> </w:t>
      </w:r>
      <w:r>
        <w:rPr>
          <w:rStyle w:val="StrongEmphasis"/>
          <w:rFonts w:ascii="Times New Roman" w:hAnsi="Times New Roman"/>
          <w:sz w:val="20"/>
          <w:u w:val="single"/>
        </w:rPr>
        <w:t>LAND</w:t>
      </w:r>
    </w:p>
    <w:p>
      <w:pPr>
        <w:pStyle w:val="TextBody"/>
        <w:spacing w:lineRule="auto" w:line="300" w:before="0" w:after="0"/>
        <w:ind w:left="0" w:right="0" w:hanging="0"/>
        <w:jc w:val="both"/>
        <w:rPr/>
      </w:pPr>
      <w:r>
        <w:rPr/>
      </w:r>
    </w:p>
    <w:p>
      <w:pPr>
        <w:pStyle w:val="TextBody"/>
        <w:spacing w:lineRule="auto" w:line="300" w:before="0" w:after="0"/>
        <w:ind w:left="1080" w:right="0" w:hanging="720"/>
        <w:jc w:val="both"/>
        <w:rPr>
          <w:rFonts w:ascii="Times New Roman" w:hAnsi="Times New Roman"/>
          <w:sz w:val="20"/>
        </w:rPr>
      </w:pPr>
      <w:r>
        <w:rPr>
          <w:rFonts w:ascii="Times New Roman" w:hAnsi="Times New Roman"/>
          <w:sz w:val="20"/>
        </w:rPr>
        <w:t>At December 31, 2006 and 2005, land was comprised of the following (dollars in thousands):</w:t>
      </w:r>
    </w:p>
    <w:p>
      <w:pPr>
        <w:pStyle w:val="TextBody"/>
        <w:spacing w:lineRule="auto" w:line="300" w:before="0" w:after="0"/>
        <w:ind w:left="0" w:right="0" w:hanging="0"/>
        <w:jc w:val="both"/>
        <w:rPr/>
      </w:pPr>
      <w:r>
        <w:rPr/>
      </w:r>
    </w:p>
    <w:p>
      <w:pPr>
        <w:pStyle w:val="Normal"/>
        <w:spacing w:before="0" w:after="0"/>
        <w:rPr>
          <w:sz w:val="4"/>
          <w:szCs w:val="4"/>
        </w:rPr>
      </w:pPr>
      <w:r>
        <w:rPr>
          <w:sz w:val="4"/>
          <w:szCs w:val="4"/>
        </w:rPr>
      </w:r>
      <w:bookmarkStart w:id="4704" w:name="ftable67"/>
      <w:bookmarkStart w:id="4705" w:name="ftable67"/>
      <w:bookmarkEnd w:id="4705"/>
    </w:p>
    <w:tbl>
      <w:tblPr>
        <w:tblW w:w="5000" w:type="pct"/>
        <w:jc w:val="left"/>
        <w:tblInd w:w="0" w:type="dxa"/>
        <w:tblCellMar>
          <w:top w:w="0" w:type="dxa"/>
          <w:left w:w="0" w:type="dxa"/>
          <w:bottom w:w="28" w:type="dxa"/>
          <w:right w:w="0" w:type="dxa"/>
        </w:tblCellMar>
      </w:tblPr>
      <w:tblGrid>
        <w:gridCol w:w="6724"/>
        <w:gridCol w:w="203"/>
        <w:gridCol w:w="164"/>
        <w:gridCol w:w="1254"/>
        <w:gridCol w:w="203"/>
        <w:gridCol w:w="177"/>
        <w:gridCol w:w="1350"/>
        <w:gridCol w:w="130"/>
      </w:tblGrid>
      <w:tr>
        <w:trPr/>
        <w:tc>
          <w:tcPr>
            <w:tcW w:w="6724" w:type="dxa"/>
            <w:tcBorders>
              <w:bottom w:val="single" w:sz="4" w:space="0" w:color="FFFFFF"/>
            </w:tcBorders>
            <w:shd w:fill="auto" w:val="clear"/>
            <w:vAlign w:val="bottom"/>
          </w:tcPr>
          <w:p>
            <w:pPr>
              <w:pStyle w:val="TableContents"/>
              <w:spacing w:before="0" w:after="283"/>
              <w:jc w:val="left"/>
              <w:rPr/>
            </w:pPr>
            <w:r>
              <w:rPr/>
              <w:t> </w:t>
            </w:r>
          </w:p>
        </w:tc>
        <w:tc>
          <w:tcPr>
            <w:tcW w:w="203" w:type="dxa"/>
            <w:tcBorders>
              <w:bottom w:val="single" w:sz="2" w:space="0" w:color="FFFFFF"/>
            </w:tcBorders>
            <w:shd w:fill="auto" w:val="clear"/>
            <w:vAlign w:val="center"/>
          </w:tcPr>
          <w:p>
            <w:pPr>
              <w:pStyle w:val="TableContents"/>
              <w:spacing w:before="0" w:after="283"/>
              <w:rPr/>
            </w:pPr>
            <w:r>
              <w:rPr/>
              <w:t> </w:t>
            </w:r>
          </w:p>
        </w:tc>
        <w:tc>
          <w:tcPr>
            <w:tcW w:w="3148" w:type="dxa"/>
            <w:gridSpan w:val="5"/>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Year Ended December 31,</w:t>
            </w:r>
          </w:p>
        </w:tc>
        <w:tc>
          <w:tcPr>
            <w:tcW w:w="130" w:type="dxa"/>
            <w:tcBorders>
              <w:bottom w:val="single" w:sz="2" w:space="0" w:color="FFFFFF"/>
            </w:tcBorders>
            <w:shd w:fill="auto" w:val="clear"/>
            <w:vAlign w:val="bottom"/>
          </w:tcPr>
          <w:p>
            <w:pPr>
              <w:pStyle w:val="TableContents"/>
              <w:spacing w:before="0" w:after="283"/>
              <w:jc w:val="left"/>
              <w:rPr/>
            </w:pPr>
            <w:r>
              <w:rPr/>
              <w:t> </w:t>
            </w:r>
          </w:p>
        </w:tc>
      </w:tr>
      <w:tr>
        <w:trPr/>
        <w:tc>
          <w:tcPr>
            <w:tcW w:w="6724" w:type="dxa"/>
            <w:tcBorders>
              <w:bottom w:val="double" w:sz="2" w:space="0" w:color="000000"/>
            </w:tcBorders>
            <w:shd w:fill="auto" w:val="clear"/>
            <w:vAlign w:val="bottom"/>
          </w:tcPr>
          <w:p>
            <w:pPr>
              <w:pStyle w:val="TableContents"/>
              <w:spacing w:lineRule="auto" w:line="300" w:before="0" w:after="0"/>
              <w:ind w:left="0" w:right="0" w:hanging="0"/>
              <w:jc w:val="left"/>
              <w:rPr/>
            </w:pPr>
            <w:r>
              <w:rPr/>
              <w:t> </w:t>
            </w:r>
          </w:p>
        </w:tc>
        <w:tc>
          <w:tcPr>
            <w:tcW w:w="203" w:type="dxa"/>
            <w:tcBorders>
              <w:bottom w:val="single" w:sz="4" w:space="0" w:color="FFFFFF"/>
            </w:tcBorders>
            <w:shd w:fill="auto" w:val="clear"/>
            <w:vAlign w:val="center"/>
          </w:tcPr>
          <w:p>
            <w:pPr>
              <w:pStyle w:val="TableContents"/>
              <w:spacing w:before="0" w:after="283"/>
              <w:rPr/>
            </w:pPr>
            <w:r>
              <w:rPr/>
              <w:t> </w:t>
            </w:r>
          </w:p>
        </w:tc>
        <w:tc>
          <w:tcPr>
            <w:tcW w:w="1418"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2006</w:t>
            </w:r>
          </w:p>
          <w:p>
            <w:pPr>
              <w:pStyle w:val="TableContents"/>
              <w:spacing w:lineRule="auto" w:line="300" w:before="0" w:after="0"/>
              <w:ind w:left="0" w:right="0" w:hanging="0"/>
              <w:jc w:val="center"/>
              <w:rPr/>
            </w:pPr>
            <w:r>
              <w:rPr>
                <w:rStyle w:val="StrongEmphasis"/>
                <w:rFonts w:ascii="Times New Roman" w:hAnsi="Times New Roman"/>
                <w:sz w:val="20"/>
              </w:rPr>
              <w:t>(Audited)</w:t>
            </w:r>
          </w:p>
        </w:tc>
        <w:tc>
          <w:tcPr>
            <w:tcW w:w="203" w:type="dxa"/>
            <w:tcBorders>
              <w:bottom w:val="single" w:sz="4" w:space="0" w:color="FFFFFF"/>
            </w:tcBorders>
            <w:shd w:fill="auto" w:val="clear"/>
            <w:vAlign w:val="bottom"/>
          </w:tcPr>
          <w:p>
            <w:pPr>
              <w:pStyle w:val="TableContents"/>
              <w:spacing w:before="0" w:after="283"/>
              <w:jc w:val="left"/>
              <w:rPr/>
            </w:pPr>
            <w:r>
              <w:rPr/>
              <w:t> </w:t>
            </w:r>
          </w:p>
        </w:tc>
        <w:tc>
          <w:tcPr>
            <w:tcW w:w="1527"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2005</w:t>
            </w:r>
          </w:p>
          <w:p>
            <w:pPr>
              <w:pStyle w:val="TableContents"/>
              <w:spacing w:lineRule="auto" w:line="300" w:before="0" w:after="0"/>
              <w:ind w:left="0" w:right="0" w:hanging="0"/>
              <w:jc w:val="center"/>
              <w:rPr/>
            </w:pPr>
            <w:r>
              <w:rPr>
                <w:rStyle w:val="StrongEmphasis"/>
                <w:rFonts w:ascii="Times New Roman" w:hAnsi="Times New Roman"/>
                <w:sz w:val="20"/>
              </w:rPr>
              <w:t>(Unaudited)</w:t>
            </w:r>
          </w:p>
        </w:tc>
        <w:tc>
          <w:tcPr>
            <w:tcW w:w="130" w:type="dxa"/>
            <w:tcBorders>
              <w:bottom w:val="single" w:sz="4" w:space="0" w:color="FFFFFF"/>
            </w:tcBorders>
            <w:shd w:fill="auto" w:val="clear"/>
            <w:vAlign w:val="bottom"/>
          </w:tcPr>
          <w:p>
            <w:pPr>
              <w:pStyle w:val="TableContents"/>
              <w:spacing w:before="0" w:after="283"/>
              <w:jc w:val="left"/>
              <w:rPr/>
            </w:pPr>
            <w:r>
              <w:rPr/>
              <w:t> </w:t>
            </w:r>
          </w:p>
        </w:tc>
      </w:tr>
      <w:tr>
        <w:trPr/>
        <w:tc>
          <w:tcPr>
            <w:tcW w:w="6724"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Direct purchase cost</w:t>
            </w:r>
          </w:p>
        </w:tc>
        <w:tc>
          <w:tcPr>
            <w:tcW w:w="203" w:type="dxa"/>
            <w:tcBorders/>
            <w:shd w:fill="CCEEFF" w:val="clear"/>
            <w:tcMar>
              <w:bottom w:w="0" w:type="dxa"/>
            </w:tcMar>
            <w:vAlign w:val="center"/>
          </w:tcPr>
          <w:p>
            <w:pPr>
              <w:pStyle w:val="TableContents"/>
              <w:spacing w:before="0" w:after="283"/>
              <w:rPr/>
            </w:pPr>
            <w:r>
              <w:rPr/>
              <w:t> </w:t>
            </w:r>
          </w:p>
        </w:tc>
        <w:tc>
          <w:tcPr>
            <w:tcW w:w="164"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254"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 xml:space="preserve">15,339 </w:t>
            </w:r>
          </w:p>
        </w:tc>
        <w:tc>
          <w:tcPr>
            <w:tcW w:w="203" w:type="dxa"/>
            <w:tcBorders/>
            <w:shd w:fill="CCEEFF" w:val="clear"/>
            <w:tcMar>
              <w:bottom w:w="0" w:type="dxa"/>
            </w:tcMar>
            <w:vAlign w:val="bottom"/>
          </w:tcPr>
          <w:p>
            <w:pPr>
              <w:pStyle w:val="TableContents"/>
              <w:spacing w:before="0" w:after="283"/>
              <w:jc w:val="left"/>
              <w:rPr/>
            </w:pPr>
            <w:r>
              <w:rPr/>
              <w:t> </w:t>
            </w:r>
          </w:p>
        </w:tc>
        <w:tc>
          <w:tcPr>
            <w:tcW w:w="177"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350"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 xml:space="preserve">18,655 </w:t>
            </w:r>
          </w:p>
        </w:tc>
        <w:tc>
          <w:tcPr>
            <w:tcW w:w="130" w:type="dxa"/>
            <w:tcBorders/>
            <w:shd w:fill="CCEEFF" w:val="clear"/>
            <w:tcMar>
              <w:bottom w:w="0" w:type="dxa"/>
            </w:tcMar>
            <w:vAlign w:val="bottom"/>
          </w:tcPr>
          <w:p>
            <w:pPr>
              <w:pStyle w:val="TableContents"/>
              <w:spacing w:before="0" w:after="283"/>
              <w:jc w:val="left"/>
              <w:rPr/>
            </w:pPr>
            <w:r>
              <w:rPr/>
              <w:t> </w:t>
            </w:r>
          </w:p>
        </w:tc>
      </w:tr>
      <w:tr>
        <w:trPr/>
        <w:tc>
          <w:tcPr>
            <w:tcW w:w="6724"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Air rights</w:t>
            </w:r>
          </w:p>
        </w:tc>
        <w:tc>
          <w:tcPr>
            <w:tcW w:w="203" w:type="dxa"/>
            <w:tcBorders/>
            <w:shd w:fill="FFFFFF" w:val="clear"/>
            <w:tcMar>
              <w:bottom w:w="0" w:type="dxa"/>
            </w:tcMar>
            <w:vAlign w:val="center"/>
          </w:tcPr>
          <w:p>
            <w:pPr>
              <w:pStyle w:val="TableContents"/>
              <w:spacing w:before="0" w:after="283"/>
              <w:rPr/>
            </w:pPr>
            <w:r>
              <w:rPr/>
              <w:t> </w:t>
            </w:r>
          </w:p>
        </w:tc>
        <w:tc>
          <w:tcPr>
            <w:tcW w:w="164" w:type="dxa"/>
            <w:tcBorders/>
            <w:shd w:fill="FFFFFF" w:val="clear"/>
            <w:tcMar>
              <w:bottom w:w="0" w:type="dxa"/>
            </w:tcMar>
            <w:vAlign w:val="bottom"/>
          </w:tcPr>
          <w:p>
            <w:pPr>
              <w:pStyle w:val="TableContents"/>
              <w:spacing w:before="0" w:after="283"/>
              <w:jc w:val="left"/>
              <w:rPr/>
            </w:pPr>
            <w:r>
              <w:rPr/>
              <w:t> </w:t>
            </w:r>
          </w:p>
        </w:tc>
        <w:tc>
          <w:tcPr>
            <w:tcW w:w="1254"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 xml:space="preserve">6,910 </w:t>
            </w:r>
          </w:p>
        </w:tc>
        <w:tc>
          <w:tcPr>
            <w:tcW w:w="203" w:type="dxa"/>
            <w:tcBorders/>
            <w:shd w:fill="FFFFFF" w:val="clear"/>
            <w:tcMar>
              <w:bottom w:w="0" w:type="dxa"/>
            </w:tcMar>
            <w:vAlign w:val="bottom"/>
          </w:tcPr>
          <w:p>
            <w:pPr>
              <w:pStyle w:val="TableContents"/>
              <w:spacing w:before="0" w:after="283"/>
              <w:jc w:val="left"/>
              <w:rPr/>
            </w:pPr>
            <w:r>
              <w:rPr/>
              <w:t> </w:t>
            </w:r>
          </w:p>
        </w:tc>
        <w:tc>
          <w:tcPr>
            <w:tcW w:w="177" w:type="dxa"/>
            <w:tcBorders/>
            <w:shd w:fill="FFFFFF" w:val="clear"/>
            <w:tcMar>
              <w:bottom w:w="0" w:type="dxa"/>
            </w:tcMar>
            <w:vAlign w:val="bottom"/>
          </w:tcPr>
          <w:p>
            <w:pPr>
              <w:pStyle w:val="TableContents"/>
              <w:spacing w:before="0" w:after="283"/>
              <w:jc w:val="left"/>
              <w:rPr/>
            </w:pPr>
            <w:r>
              <w:rPr/>
              <w:t> </w:t>
            </w:r>
          </w:p>
        </w:tc>
        <w:tc>
          <w:tcPr>
            <w:tcW w:w="1350"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 xml:space="preserve">5,753 </w:t>
            </w:r>
          </w:p>
        </w:tc>
        <w:tc>
          <w:tcPr>
            <w:tcW w:w="130" w:type="dxa"/>
            <w:tcBorders/>
            <w:shd w:fill="FFFFFF" w:val="clear"/>
            <w:tcMar>
              <w:bottom w:w="0" w:type="dxa"/>
            </w:tcMar>
            <w:vAlign w:val="bottom"/>
          </w:tcPr>
          <w:p>
            <w:pPr>
              <w:pStyle w:val="TableContents"/>
              <w:spacing w:before="0" w:after="283"/>
              <w:jc w:val="left"/>
              <w:rPr/>
            </w:pPr>
            <w:r>
              <w:rPr/>
              <w:t> </w:t>
            </w:r>
          </w:p>
        </w:tc>
      </w:tr>
      <w:tr>
        <w:trPr/>
        <w:tc>
          <w:tcPr>
            <w:tcW w:w="6724"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Mortgage recording tax</w:t>
            </w:r>
          </w:p>
        </w:tc>
        <w:tc>
          <w:tcPr>
            <w:tcW w:w="203" w:type="dxa"/>
            <w:tcBorders/>
            <w:shd w:fill="CCEEFF" w:val="clear"/>
            <w:tcMar>
              <w:bottom w:w="0" w:type="dxa"/>
            </w:tcMar>
            <w:vAlign w:val="center"/>
          </w:tcPr>
          <w:p>
            <w:pPr>
              <w:pStyle w:val="TableContents"/>
              <w:spacing w:before="0" w:after="283"/>
              <w:rPr/>
            </w:pPr>
            <w:r>
              <w:rPr/>
              <w:t> </w:t>
            </w:r>
          </w:p>
        </w:tc>
        <w:tc>
          <w:tcPr>
            <w:tcW w:w="164" w:type="dxa"/>
            <w:tcBorders/>
            <w:shd w:fill="CCEEFF" w:val="clear"/>
            <w:tcMar>
              <w:bottom w:w="0" w:type="dxa"/>
            </w:tcMar>
            <w:vAlign w:val="bottom"/>
          </w:tcPr>
          <w:p>
            <w:pPr>
              <w:pStyle w:val="TableContents"/>
              <w:spacing w:before="0" w:after="283"/>
              <w:jc w:val="left"/>
              <w:rPr/>
            </w:pPr>
            <w:r>
              <w:rPr/>
              <w:t> </w:t>
            </w:r>
          </w:p>
        </w:tc>
        <w:tc>
          <w:tcPr>
            <w:tcW w:w="1254"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 xml:space="preserve">1,953 </w:t>
            </w:r>
          </w:p>
        </w:tc>
        <w:tc>
          <w:tcPr>
            <w:tcW w:w="203" w:type="dxa"/>
            <w:tcBorders/>
            <w:shd w:fill="CCEEFF" w:val="clear"/>
            <w:tcMar>
              <w:bottom w:w="0" w:type="dxa"/>
            </w:tcMar>
            <w:vAlign w:val="bottom"/>
          </w:tcPr>
          <w:p>
            <w:pPr>
              <w:pStyle w:val="TableContents"/>
              <w:spacing w:before="0" w:after="283"/>
              <w:jc w:val="left"/>
              <w:rPr/>
            </w:pPr>
            <w:r>
              <w:rPr/>
              <w:t> </w:t>
            </w:r>
          </w:p>
        </w:tc>
        <w:tc>
          <w:tcPr>
            <w:tcW w:w="177" w:type="dxa"/>
            <w:tcBorders/>
            <w:shd w:fill="CCEEFF" w:val="clear"/>
            <w:tcMar>
              <w:bottom w:w="0" w:type="dxa"/>
            </w:tcMar>
            <w:vAlign w:val="bottom"/>
          </w:tcPr>
          <w:p>
            <w:pPr>
              <w:pStyle w:val="TableContents"/>
              <w:spacing w:before="0" w:after="283"/>
              <w:jc w:val="left"/>
              <w:rPr/>
            </w:pPr>
            <w:r>
              <w:rPr/>
              <w:t> </w:t>
            </w:r>
          </w:p>
        </w:tc>
        <w:tc>
          <w:tcPr>
            <w:tcW w:w="1350"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130" w:type="dxa"/>
            <w:tcBorders/>
            <w:shd w:fill="CCEEFF" w:val="clear"/>
            <w:tcMar>
              <w:bottom w:w="0" w:type="dxa"/>
            </w:tcMar>
            <w:vAlign w:val="bottom"/>
          </w:tcPr>
          <w:p>
            <w:pPr>
              <w:pStyle w:val="TableContents"/>
              <w:spacing w:before="0" w:after="283"/>
              <w:jc w:val="left"/>
              <w:rPr/>
            </w:pPr>
            <w:r>
              <w:rPr/>
              <w:t> </w:t>
            </w:r>
          </w:p>
        </w:tc>
      </w:tr>
      <w:tr>
        <w:trPr/>
        <w:tc>
          <w:tcPr>
            <w:tcW w:w="6724"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Brokerage fees</w:t>
            </w:r>
          </w:p>
        </w:tc>
        <w:tc>
          <w:tcPr>
            <w:tcW w:w="203" w:type="dxa"/>
            <w:tcBorders/>
            <w:shd w:fill="FFFFFF" w:val="clear"/>
            <w:tcMar>
              <w:bottom w:w="0" w:type="dxa"/>
            </w:tcMar>
            <w:vAlign w:val="center"/>
          </w:tcPr>
          <w:p>
            <w:pPr>
              <w:pStyle w:val="TableContents"/>
              <w:spacing w:before="0" w:after="283"/>
              <w:rPr/>
            </w:pPr>
            <w:r>
              <w:rPr/>
              <w:t> </w:t>
            </w:r>
          </w:p>
        </w:tc>
        <w:tc>
          <w:tcPr>
            <w:tcW w:w="164" w:type="dxa"/>
            <w:tcBorders/>
            <w:shd w:fill="FFFFFF" w:val="clear"/>
            <w:tcMar>
              <w:bottom w:w="0" w:type="dxa"/>
            </w:tcMar>
            <w:vAlign w:val="bottom"/>
          </w:tcPr>
          <w:p>
            <w:pPr>
              <w:pStyle w:val="TableContents"/>
              <w:spacing w:before="0" w:after="283"/>
              <w:jc w:val="left"/>
              <w:rPr/>
            </w:pPr>
            <w:r>
              <w:rPr/>
              <w:t> </w:t>
            </w:r>
          </w:p>
        </w:tc>
        <w:tc>
          <w:tcPr>
            <w:tcW w:w="1254"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 xml:space="preserve">500 </w:t>
            </w:r>
          </w:p>
        </w:tc>
        <w:tc>
          <w:tcPr>
            <w:tcW w:w="203" w:type="dxa"/>
            <w:tcBorders/>
            <w:shd w:fill="FFFFFF" w:val="clear"/>
            <w:tcMar>
              <w:bottom w:w="0" w:type="dxa"/>
            </w:tcMar>
            <w:vAlign w:val="bottom"/>
          </w:tcPr>
          <w:p>
            <w:pPr>
              <w:pStyle w:val="TableContents"/>
              <w:spacing w:before="0" w:after="283"/>
              <w:jc w:val="left"/>
              <w:rPr/>
            </w:pPr>
            <w:r>
              <w:rPr/>
              <w:t> </w:t>
            </w:r>
          </w:p>
        </w:tc>
        <w:tc>
          <w:tcPr>
            <w:tcW w:w="177" w:type="dxa"/>
            <w:tcBorders/>
            <w:shd w:fill="FFFFFF" w:val="clear"/>
            <w:tcMar>
              <w:bottom w:w="0" w:type="dxa"/>
            </w:tcMar>
            <w:vAlign w:val="bottom"/>
          </w:tcPr>
          <w:p>
            <w:pPr>
              <w:pStyle w:val="TableContents"/>
              <w:spacing w:before="0" w:after="283"/>
              <w:jc w:val="left"/>
              <w:rPr/>
            </w:pPr>
            <w:r>
              <w:rPr/>
              <w:t> </w:t>
            </w:r>
          </w:p>
        </w:tc>
        <w:tc>
          <w:tcPr>
            <w:tcW w:w="1350"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 xml:space="preserve">500 </w:t>
            </w:r>
          </w:p>
        </w:tc>
        <w:tc>
          <w:tcPr>
            <w:tcW w:w="130" w:type="dxa"/>
            <w:tcBorders/>
            <w:shd w:fill="FFFFFF" w:val="clear"/>
            <w:tcMar>
              <w:bottom w:w="0" w:type="dxa"/>
            </w:tcMar>
            <w:vAlign w:val="bottom"/>
          </w:tcPr>
          <w:p>
            <w:pPr>
              <w:pStyle w:val="TableContents"/>
              <w:spacing w:before="0" w:after="283"/>
              <w:jc w:val="left"/>
              <w:rPr/>
            </w:pPr>
            <w:r>
              <w:rPr/>
              <w:t> </w:t>
            </w:r>
          </w:p>
        </w:tc>
      </w:tr>
      <w:tr>
        <w:trPr/>
        <w:tc>
          <w:tcPr>
            <w:tcW w:w="6724"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Demolition costs</w:t>
            </w:r>
          </w:p>
        </w:tc>
        <w:tc>
          <w:tcPr>
            <w:tcW w:w="203" w:type="dxa"/>
            <w:tcBorders/>
            <w:shd w:fill="CCEEFF" w:val="clear"/>
            <w:tcMar>
              <w:bottom w:w="0" w:type="dxa"/>
            </w:tcMar>
            <w:vAlign w:val="center"/>
          </w:tcPr>
          <w:p>
            <w:pPr>
              <w:pStyle w:val="TableContents"/>
              <w:spacing w:before="0" w:after="283"/>
              <w:rPr/>
            </w:pPr>
            <w:r>
              <w:rPr/>
              <w:t> </w:t>
            </w:r>
          </w:p>
        </w:tc>
        <w:tc>
          <w:tcPr>
            <w:tcW w:w="164" w:type="dxa"/>
            <w:tcBorders/>
            <w:shd w:fill="CCEEFF" w:val="clear"/>
            <w:tcMar>
              <w:bottom w:w="0" w:type="dxa"/>
            </w:tcMar>
            <w:vAlign w:val="bottom"/>
          </w:tcPr>
          <w:p>
            <w:pPr>
              <w:pStyle w:val="TableContents"/>
              <w:spacing w:before="0" w:after="283"/>
              <w:jc w:val="left"/>
              <w:rPr/>
            </w:pPr>
            <w:r>
              <w:rPr/>
              <w:t> </w:t>
            </w:r>
          </w:p>
        </w:tc>
        <w:tc>
          <w:tcPr>
            <w:tcW w:w="1254"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 xml:space="preserve">600 </w:t>
            </w:r>
          </w:p>
        </w:tc>
        <w:tc>
          <w:tcPr>
            <w:tcW w:w="203" w:type="dxa"/>
            <w:tcBorders/>
            <w:shd w:fill="CCEEFF" w:val="clear"/>
            <w:tcMar>
              <w:bottom w:w="0" w:type="dxa"/>
            </w:tcMar>
            <w:vAlign w:val="bottom"/>
          </w:tcPr>
          <w:p>
            <w:pPr>
              <w:pStyle w:val="TableContents"/>
              <w:spacing w:before="0" w:after="283"/>
              <w:jc w:val="left"/>
              <w:rPr/>
            </w:pPr>
            <w:r>
              <w:rPr/>
              <w:t> </w:t>
            </w:r>
          </w:p>
        </w:tc>
        <w:tc>
          <w:tcPr>
            <w:tcW w:w="177" w:type="dxa"/>
            <w:tcBorders/>
            <w:shd w:fill="CCEEFF" w:val="clear"/>
            <w:tcMar>
              <w:bottom w:w="0" w:type="dxa"/>
            </w:tcMar>
            <w:vAlign w:val="bottom"/>
          </w:tcPr>
          <w:p>
            <w:pPr>
              <w:pStyle w:val="TableContents"/>
              <w:spacing w:before="0" w:after="283"/>
              <w:jc w:val="left"/>
              <w:rPr/>
            </w:pPr>
            <w:r>
              <w:rPr/>
              <w:t> </w:t>
            </w:r>
          </w:p>
        </w:tc>
        <w:tc>
          <w:tcPr>
            <w:tcW w:w="1350"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 xml:space="preserve">600 </w:t>
            </w:r>
          </w:p>
        </w:tc>
        <w:tc>
          <w:tcPr>
            <w:tcW w:w="130" w:type="dxa"/>
            <w:tcBorders/>
            <w:shd w:fill="CCEEFF" w:val="clear"/>
            <w:tcMar>
              <w:bottom w:w="0" w:type="dxa"/>
            </w:tcMar>
            <w:vAlign w:val="bottom"/>
          </w:tcPr>
          <w:p>
            <w:pPr>
              <w:pStyle w:val="TableContents"/>
              <w:spacing w:before="0" w:after="283"/>
              <w:jc w:val="left"/>
              <w:rPr/>
            </w:pPr>
            <w:r>
              <w:rPr/>
              <w:t> </w:t>
            </w:r>
          </w:p>
        </w:tc>
      </w:tr>
      <w:tr>
        <w:trPr/>
        <w:tc>
          <w:tcPr>
            <w:tcW w:w="6724" w:type="dxa"/>
            <w:tcBorders>
              <w:bottom w:val="sing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Title insurance</w:t>
            </w:r>
          </w:p>
        </w:tc>
        <w:tc>
          <w:tcPr>
            <w:tcW w:w="203" w:type="dxa"/>
            <w:tcBorders>
              <w:bottom w:val="single" w:sz="4" w:space="0" w:color="FFFFFF"/>
            </w:tcBorders>
            <w:shd w:fill="FFFFFF" w:val="clear"/>
            <w:vAlign w:val="center"/>
          </w:tcPr>
          <w:p>
            <w:pPr>
              <w:pStyle w:val="TableContents"/>
              <w:spacing w:before="0" w:after="283"/>
              <w:rPr/>
            </w:pPr>
            <w:r>
              <w:rPr/>
              <w:t> </w:t>
            </w:r>
          </w:p>
        </w:tc>
        <w:tc>
          <w:tcPr>
            <w:tcW w:w="164" w:type="dxa"/>
            <w:tcBorders>
              <w:bottom w:val="single" w:sz="2" w:space="0" w:color="000000"/>
            </w:tcBorders>
            <w:shd w:fill="FFFFFF" w:val="clear"/>
            <w:vAlign w:val="bottom"/>
          </w:tcPr>
          <w:p>
            <w:pPr>
              <w:pStyle w:val="TableContents"/>
              <w:spacing w:before="0" w:after="283"/>
              <w:jc w:val="left"/>
              <w:rPr/>
            </w:pPr>
            <w:r>
              <w:rPr/>
              <w:t> </w:t>
            </w:r>
          </w:p>
        </w:tc>
        <w:tc>
          <w:tcPr>
            <w:tcW w:w="1254"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 xml:space="preserve">256 </w:t>
            </w:r>
          </w:p>
        </w:tc>
        <w:tc>
          <w:tcPr>
            <w:tcW w:w="203" w:type="dxa"/>
            <w:tcBorders>
              <w:bottom w:val="single" w:sz="4" w:space="0" w:color="FFFFFF"/>
            </w:tcBorders>
            <w:shd w:fill="FFFFFF" w:val="clear"/>
            <w:vAlign w:val="bottom"/>
          </w:tcPr>
          <w:p>
            <w:pPr>
              <w:pStyle w:val="TableContents"/>
              <w:spacing w:before="0" w:after="283"/>
              <w:jc w:val="left"/>
              <w:rPr/>
            </w:pPr>
            <w:r>
              <w:rPr/>
              <w:t> </w:t>
            </w:r>
          </w:p>
        </w:tc>
        <w:tc>
          <w:tcPr>
            <w:tcW w:w="177" w:type="dxa"/>
            <w:tcBorders>
              <w:bottom w:val="single" w:sz="2" w:space="0" w:color="000000"/>
            </w:tcBorders>
            <w:shd w:fill="FFFFFF" w:val="clear"/>
            <w:vAlign w:val="bottom"/>
          </w:tcPr>
          <w:p>
            <w:pPr>
              <w:pStyle w:val="TableContents"/>
              <w:spacing w:before="0" w:after="283"/>
              <w:jc w:val="left"/>
              <w:rPr/>
            </w:pPr>
            <w:r>
              <w:rPr/>
              <w:t> </w:t>
            </w:r>
          </w:p>
        </w:tc>
        <w:tc>
          <w:tcPr>
            <w:tcW w:w="1350"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130" w:type="dxa"/>
            <w:tcBorders>
              <w:bottom w:val="single" w:sz="4" w:space="0" w:color="FFFFFF"/>
            </w:tcBorders>
            <w:shd w:fill="FFFFFF" w:val="clear"/>
            <w:vAlign w:val="bottom"/>
          </w:tcPr>
          <w:p>
            <w:pPr>
              <w:pStyle w:val="TableContents"/>
              <w:spacing w:before="0" w:after="283"/>
              <w:jc w:val="left"/>
              <w:rPr/>
            </w:pPr>
            <w:r>
              <w:rPr/>
              <w:t> </w:t>
            </w:r>
          </w:p>
        </w:tc>
      </w:tr>
      <w:tr>
        <w:trPr/>
        <w:tc>
          <w:tcPr>
            <w:tcW w:w="6724" w:type="dxa"/>
            <w:tcBorders>
              <w:bottom w:val="sing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TOTAL LAND</w:t>
            </w:r>
          </w:p>
        </w:tc>
        <w:tc>
          <w:tcPr>
            <w:tcW w:w="203" w:type="dxa"/>
            <w:tcBorders>
              <w:bottom w:val="single" w:sz="2" w:space="0" w:color="CCEEFF"/>
            </w:tcBorders>
            <w:shd w:fill="CCEEFF" w:val="clear"/>
            <w:vAlign w:val="center"/>
          </w:tcPr>
          <w:p>
            <w:pPr>
              <w:pStyle w:val="TableContents"/>
              <w:spacing w:before="0" w:after="283"/>
              <w:rPr/>
            </w:pPr>
            <w:r>
              <w:rPr/>
              <w:t> </w:t>
            </w:r>
          </w:p>
        </w:tc>
        <w:tc>
          <w:tcPr>
            <w:tcW w:w="164" w:type="dxa"/>
            <w:tcBorders>
              <w:bottom w:val="single" w:sz="2" w:space="0" w:color="000000"/>
            </w:tcBorders>
            <w:shd w:fill="CCEEFF" w:val="clear"/>
            <w:vAlign w:val="bottom"/>
          </w:tcPr>
          <w:p>
            <w:pPr>
              <w:pStyle w:val="TableContents"/>
              <w:spacing w:before="0" w:after="283"/>
              <w:jc w:val="left"/>
              <w:rPr/>
            </w:pPr>
            <w:r>
              <w:rPr/>
              <w:t> </w:t>
            </w:r>
          </w:p>
        </w:tc>
        <w:tc>
          <w:tcPr>
            <w:tcW w:w="1254"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 xml:space="preserve">25,558 </w:t>
            </w:r>
          </w:p>
        </w:tc>
        <w:tc>
          <w:tcPr>
            <w:tcW w:w="203" w:type="dxa"/>
            <w:tcBorders>
              <w:bottom w:val="single" w:sz="2" w:space="0" w:color="CCEEFF"/>
            </w:tcBorders>
            <w:shd w:fill="CCEEFF" w:val="clear"/>
            <w:vAlign w:val="bottom"/>
          </w:tcPr>
          <w:p>
            <w:pPr>
              <w:pStyle w:val="TableContents"/>
              <w:spacing w:before="0" w:after="283"/>
              <w:jc w:val="left"/>
              <w:rPr/>
            </w:pPr>
            <w:r>
              <w:rPr/>
              <w:t> </w:t>
            </w:r>
          </w:p>
        </w:tc>
        <w:tc>
          <w:tcPr>
            <w:tcW w:w="177" w:type="dxa"/>
            <w:tcBorders>
              <w:bottom w:val="single" w:sz="2" w:space="0" w:color="000000"/>
            </w:tcBorders>
            <w:shd w:fill="CCEEFF" w:val="clear"/>
            <w:vAlign w:val="bottom"/>
          </w:tcPr>
          <w:p>
            <w:pPr>
              <w:pStyle w:val="TableContents"/>
              <w:spacing w:before="0" w:after="283"/>
              <w:jc w:val="left"/>
              <w:rPr/>
            </w:pPr>
            <w:r>
              <w:rPr/>
              <w:t> </w:t>
            </w:r>
          </w:p>
        </w:tc>
        <w:tc>
          <w:tcPr>
            <w:tcW w:w="1350"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 xml:space="preserve">25,508 </w:t>
            </w:r>
          </w:p>
        </w:tc>
        <w:tc>
          <w:tcPr>
            <w:tcW w:w="130" w:type="dxa"/>
            <w:tcBorders>
              <w:bottom w:val="single" w:sz="2" w:space="0" w:color="CCEEFF"/>
            </w:tcBorders>
            <w:shd w:fill="CCEEFF" w:val="clear"/>
            <w:vAlign w:val="bottom"/>
          </w:tcPr>
          <w:p>
            <w:pPr>
              <w:pStyle w:val="TableContents"/>
              <w:spacing w:before="0" w:after="283"/>
              <w:jc w:val="left"/>
              <w:rPr/>
            </w:pPr>
            <w:r>
              <w:rPr/>
              <w:t> </w:t>
            </w:r>
          </w:p>
        </w:tc>
      </w:tr>
      <w:tr>
        <w:trPr/>
        <w:tc>
          <w:tcPr>
            <w:tcW w:w="6724" w:type="dxa"/>
            <w:tcBorders/>
            <w:shd w:fill="FFFFFF" w:val="clear"/>
            <w:tcMar>
              <w:bottom w:w="0" w:type="dxa"/>
            </w:tcMar>
            <w:vAlign w:val="bottom"/>
          </w:tcPr>
          <w:p>
            <w:pPr>
              <w:pStyle w:val="TableContents"/>
              <w:spacing w:before="0" w:after="283"/>
              <w:jc w:val="left"/>
              <w:rPr/>
            </w:pPr>
            <w:r>
              <w:rPr/>
              <w:t> </w:t>
            </w:r>
          </w:p>
        </w:tc>
        <w:tc>
          <w:tcPr>
            <w:tcW w:w="203" w:type="dxa"/>
            <w:tcBorders/>
            <w:shd w:fill="FFFFFF" w:val="clear"/>
            <w:tcMar>
              <w:bottom w:w="0" w:type="dxa"/>
            </w:tcMar>
            <w:vAlign w:val="center"/>
          </w:tcPr>
          <w:p>
            <w:pPr>
              <w:pStyle w:val="TableContents"/>
              <w:spacing w:before="0" w:after="283"/>
              <w:rPr/>
            </w:pPr>
            <w:r>
              <w:rPr/>
              <w:t> </w:t>
            </w:r>
          </w:p>
        </w:tc>
        <w:tc>
          <w:tcPr>
            <w:tcW w:w="164" w:type="dxa"/>
            <w:tcBorders/>
            <w:shd w:fill="FFFFFF" w:val="clear"/>
            <w:tcMar>
              <w:bottom w:w="0" w:type="dxa"/>
            </w:tcMar>
            <w:vAlign w:val="bottom"/>
          </w:tcPr>
          <w:p>
            <w:pPr>
              <w:pStyle w:val="TableContents"/>
              <w:spacing w:before="0" w:after="283"/>
              <w:jc w:val="left"/>
              <w:rPr/>
            </w:pPr>
            <w:r>
              <w:rPr/>
              <w:t> </w:t>
            </w:r>
          </w:p>
        </w:tc>
        <w:tc>
          <w:tcPr>
            <w:tcW w:w="1254" w:type="dxa"/>
            <w:tcBorders/>
            <w:shd w:fill="FFFFFF" w:val="clear"/>
            <w:tcMar>
              <w:bottom w:w="0" w:type="dxa"/>
            </w:tcMar>
            <w:vAlign w:val="bottom"/>
          </w:tcPr>
          <w:p>
            <w:pPr>
              <w:pStyle w:val="TableContents"/>
              <w:spacing w:before="0" w:after="283"/>
              <w:jc w:val="right"/>
              <w:rPr/>
            </w:pPr>
            <w:r>
              <w:rPr/>
              <w:t> </w:t>
            </w:r>
          </w:p>
        </w:tc>
        <w:tc>
          <w:tcPr>
            <w:tcW w:w="203" w:type="dxa"/>
            <w:tcBorders/>
            <w:shd w:fill="FFFFFF" w:val="clear"/>
            <w:tcMar>
              <w:bottom w:w="0" w:type="dxa"/>
            </w:tcMar>
            <w:vAlign w:val="bottom"/>
          </w:tcPr>
          <w:p>
            <w:pPr>
              <w:pStyle w:val="TableContents"/>
              <w:spacing w:before="0" w:after="283"/>
              <w:jc w:val="left"/>
              <w:rPr/>
            </w:pPr>
            <w:r>
              <w:rPr/>
              <w:t> </w:t>
            </w:r>
          </w:p>
        </w:tc>
        <w:tc>
          <w:tcPr>
            <w:tcW w:w="177" w:type="dxa"/>
            <w:tcBorders/>
            <w:shd w:fill="FFFFFF" w:val="clear"/>
            <w:tcMar>
              <w:bottom w:w="0" w:type="dxa"/>
            </w:tcMar>
            <w:vAlign w:val="bottom"/>
          </w:tcPr>
          <w:p>
            <w:pPr>
              <w:pStyle w:val="TableContents"/>
              <w:spacing w:before="0" w:after="283"/>
              <w:jc w:val="left"/>
              <w:rPr/>
            </w:pPr>
            <w:r>
              <w:rPr/>
              <w:t> </w:t>
            </w:r>
          </w:p>
        </w:tc>
        <w:tc>
          <w:tcPr>
            <w:tcW w:w="1350" w:type="dxa"/>
            <w:tcBorders/>
            <w:shd w:fill="FFFFFF" w:val="clear"/>
            <w:tcMar>
              <w:bottom w:w="0" w:type="dxa"/>
            </w:tcMar>
            <w:vAlign w:val="bottom"/>
          </w:tcPr>
          <w:p>
            <w:pPr>
              <w:pStyle w:val="TableContents"/>
              <w:spacing w:before="0" w:after="283"/>
              <w:jc w:val="right"/>
              <w:rPr/>
            </w:pPr>
            <w:r>
              <w:rPr/>
              <w:t> </w:t>
            </w:r>
          </w:p>
        </w:tc>
        <w:tc>
          <w:tcPr>
            <w:tcW w:w="130" w:type="dxa"/>
            <w:tcBorders/>
            <w:shd w:fill="FFFFFF" w:val="clear"/>
            <w:tcMar>
              <w:bottom w:w="0" w:type="dxa"/>
            </w:tcMar>
            <w:vAlign w:val="bottom"/>
          </w:tcPr>
          <w:p>
            <w:pPr>
              <w:pStyle w:val="TableContents"/>
              <w:spacing w:before="0" w:after="283"/>
              <w:jc w:val="left"/>
              <w:rPr/>
            </w:pPr>
            <w:r>
              <w:rPr/>
              <w:t> </w:t>
            </w:r>
          </w:p>
        </w:tc>
      </w:tr>
      <w:tr>
        <w:trPr/>
        <w:tc>
          <w:tcPr>
            <w:tcW w:w="6724" w:type="dxa"/>
            <w:tcBorders>
              <w:bottom w:val="sing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less : Costs allocated to condominium units sold</w:t>
            </w:r>
          </w:p>
        </w:tc>
        <w:tc>
          <w:tcPr>
            <w:tcW w:w="203" w:type="dxa"/>
            <w:tcBorders>
              <w:bottom w:val="single" w:sz="4" w:space="0" w:color="CCEEFF"/>
            </w:tcBorders>
            <w:shd w:fill="CCEEFF" w:val="clear"/>
            <w:vAlign w:val="center"/>
          </w:tcPr>
          <w:p>
            <w:pPr>
              <w:pStyle w:val="TableContents"/>
              <w:spacing w:before="0" w:after="283"/>
              <w:rPr/>
            </w:pPr>
            <w:r>
              <w:rPr/>
              <w:t> </w:t>
            </w:r>
          </w:p>
        </w:tc>
        <w:tc>
          <w:tcPr>
            <w:tcW w:w="164" w:type="dxa"/>
            <w:tcBorders>
              <w:bottom w:val="single" w:sz="2" w:space="0" w:color="000000"/>
            </w:tcBorders>
            <w:shd w:fill="CCEEFF" w:val="clear"/>
            <w:vAlign w:val="bottom"/>
          </w:tcPr>
          <w:p>
            <w:pPr>
              <w:pStyle w:val="TableContents"/>
              <w:spacing w:before="0" w:after="283"/>
              <w:jc w:val="left"/>
              <w:rPr/>
            </w:pPr>
            <w:r>
              <w:rPr/>
              <w:t> </w:t>
            </w:r>
          </w:p>
        </w:tc>
        <w:tc>
          <w:tcPr>
            <w:tcW w:w="1254"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 xml:space="preserve">20,328 </w:t>
            </w:r>
          </w:p>
        </w:tc>
        <w:tc>
          <w:tcPr>
            <w:tcW w:w="203" w:type="dxa"/>
            <w:tcBorders>
              <w:bottom w:val="single" w:sz="4" w:space="0" w:color="CCEEFF"/>
            </w:tcBorders>
            <w:shd w:fill="CCEEFF" w:val="clear"/>
            <w:vAlign w:val="bottom"/>
          </w:tcPr>
          <w:p>
            <w:pPr>
              <w:pStyle w:val="TableContents"/>
              <w:spacing w:before="0" w:after="283"/>
              <w:jc w:val="left"/>
              <w:rPr/>
            </w:pPr>
            <w:r>
              <w:rPr/>
              <w:t> </w:t>
            </w:r>
          </w:p>
        </w:tc>
        <w:tc>
          <w:tcPr>
            <w:tcW w:w="177" w:type="dxa"/>
            <w:tcBorders>
              <w:bottom w:val="single" w:sz="2" w:space="0" w:color="000000"/>
            </w:tcBorders>
            <w:shd w:fill="CCEEFF" w:val="clear"/>
            <w:vAlign w:val="bottom"/>
          </w:tcPr>
          <w:p>
            <w:pPr>
              <w:pStyle w:val="TableContents"/>
              <w:spacing w:before="0" w:after="283"/>
              <w:jc w:val="left"/>
              <w:rPr/>
            </w:pPr>
            <w:r>
              <w:rPr/>
              <w:t> </w:t>
            </w:r>
          </w:p>
        </w:tc>
        <w:tc>
          <w:tcPr>
            <w:tcW w:w="1350"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130" w:type="dxa"/>
            <w:tcBorders>
              <w:bottom w:val="single" w:sz="4" w:space="0" w:color="CCEEFF"/>
            </w:tcBorders>
            <w:shd w:fill="CCEEFF" w:val="clear"/>
            <w:vAlign w:val="bottom"/>
          </w:tcPr>
          <w:p>
            <w:pPr>
              <w:pStyle w:val="TableContents"/>
              <w:spacing w:before="0" w:after="283"/>
              <w:jc w:val="left"/>
              <w:rPr/>
            </w:pPr>
            <w:r>
              <w:rPr/>
              <w:t> </w:t>
            </w:r>
          </w:p>
        </w:tc>
      </w:tr>
      <w:tr>
        <w:trPr/>
        <w:tc>
          <w:tcPr>
            <w:tcW w:w="6724" w:type="dxa"/>
            <w:tcBorders>
              <w:bottom w:val="sing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Net Land Value</w:t>
            </w:r>
          </w:p>
        </w:tc>
        <w:tc>
          <w:tcPr>
            <w:tcW w:w="203" w:type="dxa"/>
            <w:tcBorders>
              <w:bottom w:val="single" w:sz="2" w:space="0" w:color="FFFFFF"/>
            </w:tcBorders>
            <w:shd w:fill="FFFFFF" w:val="clear"/>
            <w:vAlign w:val="center"/>
          </w:tcPr>
          <w:p>
            <w:pPr>
              <w:pStyle w:val="TableContents"/>
              <w:spacing w:before="0" w:after="283"/>
              <w:rPr/>
            </w:pPr>
            <w:r>
              <w:rPr/>
              <w:t> </w:t>
            </w:r>
          </w:p>
        </w:tc>
        <w:tc>
          <w:tcPr>
            <w:tcW w:w="164" w:type="dxa"/>
            <w:tcBorders>
              <w:bottom w:val="sing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254"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5,230</w:t>
            </w:r>
          </w:p>
        </w:tc>
        <w:tc>
          <w:tcPr>
            <w:tcW w:w="203" w:type="dxa"/>
            <w:tcBorders>
              <w:bottom w:val="single" w:sz="2" w:space="0" w:color="FFFFFF"/>
            </w:tcBorders>
            <w:shd w:fill="FFFFFF" w:val="clear"/>
            <w:vAlign w:val="bottom"/>
          </w:tcPr>
          <w:p>
            <w:pPr>
              <w:pStyle w:val="TableContents"/>
              <w:spacing w:before="0" w:after="283"/>
              <w:jc w:val="left"/>
              <w:rPr/>
            </w:pPr>
            <w:r>
              <w:rPr/>
              <w:t> </w:t>
            </w:r>
          </w:p>
        </w:tc>
        <w:tc>
          <w:tcPr>
            <w:tcW w:w="177" w:type="dxa"/>
            <w:tcBorders>
              <w:bottom w:val="sing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350"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25,508</w:t>
            </w:r>
          </w:p>
        </w:tc>
        <w:tc>
          <w:tcPr>
            <w:tcW w:w="130" w:type="dxa"/>
            <w:tcBorders>
              <w:bottom w:val="single" w:sz="2" w:space="0" w:color="FFFFFF"/>
            </w:tcBorders>
            <w:shd w:fill="FFFFFF" w:val="clear"/>
            <w:vAlign w:val="bottom"/>
          </w:tcPr>
          <w:p>
            <w:pPr>
              <w:pStyle w:val="TableContents"/>
              <w:spacing w:before="0" w:after="283"/>
              <w:jc w:val="left"/>
              <w:rPr/>
            </w:pPr>
            <w:r>
              <w:rPr/>
              <w:t> </w:t>
            </w:r>
          </w:p>
        </w:tc>
      </w:tr>
    </w:tbl>
    <w:p>
      <w:pPr>
        <w:pStyle w:val="TextBody"/>
        <w:spacing w:lineRule="auto" w:line="300" w:before="0" w:after="0"/>
        <w:ind w:left="0" w:right="0" w:hanging="0"/>
        <w:jc w:val="both"/>
        <w:rPr/>
      </w:pPr>
      <w:r>
        <w:rPr/>
      </w:r>
    </w:p>
    <w:p>
      <w:pPr>
        <w:pStyle w:val="TextBody"/>
        <w:spacing w:lineRule="auto" w:line="300" w:before="0" w:after="0"/>
        <w:ind w:left="0" w:right="0" w:hanging="0"/>
        <w:jc w:val="both"/>
        <w:rPr/>
      </w:pPr>
      <w:r>
        <w:rPr>
          <w:rStyle w:val="StrongEmphasis"/>
          <w:rFonts w:ascii="Times New Roman" w:hAnsi="Times New Roman"/>
          <w:sz w:val="20"/>
        </w:rPr>
        <w:t>NOTE 4 -</w:t>
      </w:r>
      <w:bookmarkStart w:id="4706" w:name="TAB2299"/>
      <w:bookmarkEnd w:id="4706"/>
      <w:r>
        <w:rPr>
          <w:color w:val="000000"/>
          <w:spacing w:val="540"/>
        </w:rPr>
        <w:t> </w:t>
      </w:r>
      <w:r>
        <w:rPr>
          <w:rStyle w:val="StrongEmphasis"/>
          <w:rFonts w:ascii="Times New Roman" w:hAnsi="Times New Roman"/>
          <w:sz w:val="20"/>
          <w:u w:val="single"/>
        </w:rPr>
        <w:t>CONSTRUCTION AND DEVELOPMENT COSTS</w:t>
      </w:r>
    </w:p>
    <w:p>
      <w:pPr>
        <w:pStyle w:val="TextBody"/>
        <w:spacing w:lineRule="auto" w:line="300" w:before="0" w:after="0"/>
        <w:ind w:left="0" w:right="0" w:hanging="0"/>
        <w:jc w:val="left"/>
        <w:rPr/>
      </w:pPr>
      <w:r>
        <w:rPr/>
      </w:r>
    </w:p>
    <w:p>
      <w:pPr>
        <w:pStyle w:val="TextBody"/>
        <w:spacing w:lineRule="auto" w:line="300" w:before="0" w:after="0"/>
        <w:ind w:left="360" w:right="0" w:hanging="0"/>
        <w:jc w:val="both"/>
        <w:rPr>
          <w:rFonts w:ascii="Times New Roman" w:hAnsi="Times New Roman"/>
          <w:sz w:val="20"/>
        </w:rPr>
      </w:pPr>
      <w:r>
        <w:rPr>
          <w:rFonts w:ascii="Times New Roman" w:hAnsi="Times New Roman"/>
          <w:sz w:val="20"/>
        </w:rPr>
        <w:t>Construction and development costs include direct and indirect construction costs. Direct construction costs (“Hard costs”) include those costs directly related to the construction of the development project. Indirect costs (“Soft costs”) include costs that have been capitalized, such as construction period interest and financing costs, real estate and recording taxes, insurance, development fees and architect fees.</w:t>
      </w:r>
    </w:p>
    <w:p>
      <w:pPr>
        <w:pStyle w:val="TextBody"/>
        <w:spacing w:lineRule="auto" w:line="300"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707" w:name="PGBRK128"/>
      <w:bookmarkStart w:id="4708" w:name="PGBRK128"/>
      <w:bookmarkEnd w:id="470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709" w:name="FTR128"/>
      <w:bookmarkStart w:id="4710" w:name="FTR128"/>
      <w:bookmarkEnd w:id="471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711" w:name="GLFTR128"/>
      <w:bookmarkStart w:id="4712" w:name="GLFTR128"/>
      <w:bookmarkEnd w:id="471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4713" w:name="PN128"/>
      <w:bookmarkEnd w:id="4713"/>
      <w:r>
        <w:rPr>
          <w:rFonts w:ascii="Times New Roman" w:hAnsi="Times New Roman"/>
          <w:sz w:val="16"/>
        </w:rPr>
        <w:t>-128-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714" w:name="HDR128"/>
      <w:bookmarkStart w:id="4715" w:name="HDR128"/>
      <w:bookmarkEnd w:id="47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4716" w:name="GLHDR128"/>
        <w:bookmarkEnd w:id="4716"/>
        <w:r>
          <w:rPr>
            <w:rStyle w:val="Emphasis"/>
            <w:rFonts w:ascii="Times New Roman" w:hAnsi="Times New Roman"/>
            <w:color w:val="000000"/>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0"/>
        <w:ind w:left="360" w:right="0" w:hanging="0"/>
        <w:jc w:val="both"/>
        <w:rPr/>
      </w:pPr>
      <w:r>
        <w:rPr/>
        <w:t> </w:t>
      </w:r>
    </w:p>
    <w:p>
      <w:pPr>
        <w:pStyle w:val="TextBody"/>
        <w:spacing w:lineRule="auto" w:line="300" w:before="0" w:after="0"/>
        <w:ind w:left="360" w:right="0" w:hanging="0"/>
        <w:jc w:val="both"/>
        <w:rPr>
          <w:rFonts w:ascii="Times New Roman" w:hAnsi="Times New Roman"/>
          <w:sz w:val="20"/>
        </w:rPr>
      </w:pPr>
      <w:r>
        <w:rPr>
          <w:rFonts w:ascii="Times New Roman" w:hAnsi="Times New Roman"/>
          <w:sz w:val="20"/>
        </w:rPr>
        <w:t>At December 31, 2006 and 2005, construction and development costs are comprised of the following (dollars in thousands):</w:t>
      </w:r>
    </w:p>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4717" w:name="ftable68"/>
      <w:bookmarkStart w:id="4718" w:name="ftable68"/>
      <w:bookmarkEnd w:id="4718"/>
    </w:p>
    <w:tbl>
      <w:tblPr>
        <w:tblW w:w="5000" w:type="pct"/>
        <w:jc w:val="left"/>
        <w:tblInd w:w="0" w:type="dxa"/>
        <w:tblCellMar>
          <w:top w:w="0" w:type="dxa"/>
          <w:left w:w="0" w:type="dxa"/>
          <w:bottom w:w="28" w:type="dxa"/>
          <w:right w:w="0" w:type="dxa"/>
        </w:tblCellMar>
      </w:tblPr>
      <w:tblGrid>
        <w:gridCol w:w="6768"/>
        <w:gridCol w:w="199"/>
        <w:gridCol w:w="163"/>
        <w:gridCol w:w="1237"/>
        <w:gridCol w:w="199"/>
        <w:gridCol w:w="177"/>
        <w:gridCol w:w="1334"/>
        <w:gridCol w:w="128"/>
      </w:tblGrid>
      <w:tr>
        <w:trPr/>
        <w:tc>
          <w:tcPr>
            <w:tcW w:w="6768" w:type="dxa"/>
            <w:tcBorders>
              <w:bottom w:val="single" w:sz="4" w:space="0" w:color="FFFFFF"/>
            </w:tcBorders>
            <w:shd w:fill="auto" w:val="clear"/>
            <w:vAlign w:val="bottom"/>
          </w:tcPr>
          <w:p>
            <w:pPr>
              <w:pStyle w:val="TableContents"/>
              <w:spacing w:before="0" w:after="283"/>
              <w:jc w:val="left"/>
              <w:rPr/>
            </w:pPr>
            <w:r>
              <w:rPr/>
              <w:t> </w:t>
            </w:r>
          </w:p>
        </w:tc>
        <w:tc>
          <w:tcPr>
            <w:tcW w:w="199" w:type="dxa"/>
            <w:tcBorders>
              <w:bottom w:val="single" w:sz="2" w:space="0" w:color="FFFFFF"/>
            </w:tcBorders>
            <w:shd w:fill="auto" w:val="clear"/>
            <w:vAlign w:val="center"/>
          </w:tcPr>
          <w:p>
            <w:pPr>
              <w:pStyle w:val="TableContents"/>
              <w:spacing w:before="0" w:after="283"/>
              <w:rPr/>
            </w:pPr>
            <w:r>
              <w:rPr/>
              <w:t> </w:t>
            </w:r>
          </w:p>
        </w:tc>
        <w:tc>
          <w:tcPr>
            <w:tcW w:w="3110" w:type="dxa"/>
            <w:gridSpan w:val="5"/>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Year Ended December 31,</w:t>
            </w:r>
          </w:p>
        </w:tc>
        <w:tc>
          <w:tcPr>
            <w:tcW w:w="128" w:type="dxa"/>
            <w:tcBorders>
              <w:bottom w:val="single" w:sz="2" w:space="0" w:color="FFFFFF"/>
            </w:tcBorders>
            <w:shd w:fill="auto" w:val="clear"/>
            <w:vAlign w:val="bottom"/>
          </w:tcPr>
          <w:p>
            <w:pPr>
              <w:pStyle w:val="TableContents"/>
              <w:spacing w:before="0" w:after="283"/>
              <w:jc w:val="left"/>
              <w:rPr/>
            </w:pPr>
            <w:r>
              <w:rPr/>
              <w:t> </w:t>
            </w:r>
          </w:p>
        </w:tc>
      </w:tr>
      <w:tr>
        <w:trPr/>
        <w:tc>
          <w:tcPr>
            <w:tcW w:w="6768" w:type="dxa"/>
            <w:tcBorders>
              <w:bottom w:val="double" w:sz="2" w:space="0" w:color="000000"/>
            </w:tcBorders>
            <w:shd w:fill="auto" w:val="clear"/>
            <w:vAlign w:val="bottom"/>
          </w:tcPr>
          <w:p>
            <w:pPr>
              <w:pStyle w:val="TableContents"/>
              <w:spacing w:lineRule="auto" w:line="300" w:before="0" w:after="0"/>
              <w:ind w:left="0" w:right="0" w:hanging="0"/>
              <w:jc w:val="left"/>
              <w:rPr/>
            </w:pPr>
            <w:r>
              <w:rPr/>
              <w:t> </w:t>
            </w:r>
          </w:p>
        </w:tc>
        <w:tc>
          <w:tcPr>
            <w:tcW w:w="199" w:type="dxa"/>
            <w:tcBorders>
              <w:bottom w:val="single" w:sz="4" w:space="0" w:color="FFFFFF"/>
            </w:tcBorders>
            <w:shd w:fill="auto" w:val="clear"/>
            <w:vAlign w:val="center"/>
          </w:tcPr>
          <w:p>
            <w:pPr>
              <w:pStyle w:val="TableContents"/>
              <w:spacing w:before="0" w:after="283"/>
              <w:rPr/>
            </w:pPr>
            <w:r>
              <w:rPr/>
              <w:t> </w:t>
            </w:r>
          </w:p>
        </w:tc>
        <w:tc>
          <w:tcPr>
            <w:tcW w:w="1400"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2006</w:t>
            </w:r>
          </w:p>
          <w:p>
            <w:pPr>
              <w:pStyle w:val="TableContents"/>
              <w:spacing w:lineRule="auto" w:line="300" w:before="0" w:after="0"/>
              <w:ind w:left="0" w:right="0" w:hanging="0"/>
              <w:jc w:val="center"/>
              <w:rPr/>
            </w:pPr>
            <w:r>
              <w:rPr>
                <w:rStyle w:val="StrongEmphasis"/>
                <w:rFonts w:ascii="Times New Roman" w:hAnsi="Times New Roman"/>
                <w:sz w:val="20"/>
              </w:rPr>
              <w:t>(Audited)</w:t>
            </w:r>
          </w:p>
        </w:tc>
        <w:tc>
          <w:tcPr>
            <w:tcW w:w="199" w:type="dxa"/>
            <w:tcBorders>
              <w:bottom w:val="single" w:sz="4" w:space="0" w:color="FFFFFF"/>
            </w:tcBorders>
            <w:shd w:fill="auto" w:val="clear"/>
            <w:vAlign w:val="bottom"/>
          </w:tcPr>
          <w:p>
            <w:pPr>
              <w:pStyle w:val="TableContents"/>
              <w:spacing w:before="0" w:after="283"/>
              <w:jc w:val="left"/>
              <w:rPr/>
            </w:pPr>
            <w:r>
              <w:rPr/>
              <w:t> </w:t>
            </w:r>
          </w:p>
        </w:tc>
        <w:tc>
          <w:tcPr>
            <w:tcW w:w="1511"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2005</w:t>
            </w:r>
          </w:p>
          <w:p>
            <w:pPr>
              <w:pStyle w:val="TableContents"/>
              <w:spacing w:lineRule="auto" w:line="300" w:before="0" w:after="0"/>
              <w:ind w:left="0" w:right="0" w:hanging="0"/>
              <w:jc w:val="center"/>
              <w:rPr/>
            </w:pPr>
            <w:r>
              <w:rPr>
                <w:rStyle w:val="StrongEmphasis"/>
                <w:rFonts w:ascii="Times New Roman" w:hAnsi="Times New Roman"/>
                <w:sz w:val="20"/>
              </w:rPr>
              <w:t>(Unaudited)</w:t>
            </w:r>
          </w:p>
        </w:tc>
        <w:tc>
          <w:tcPr>
            <w:tcW w:w="128" w:type="dxa"/>
            <w:tcBorders>
              <w:bottom w:val="single" w:sz="4" w:space="0" w:color="FFFFFF"/>
            </w:tcBorders>
            <w:shd w:fill="auto" w:val="clear"/>
            <w:vAlign w:val="bottom"/>
          </w:tcPr>
          <w:p>
            <w:pPr>
              <w:pStyle w:val="TableContents"/>
              <w:spacing w:before="0" w:after="283"/>
              <w:jc w:val="left"/>
              <w:rPr/>
            </w:pPr>
            <w:r>
              <w:rPr/>
              <w:t> </w:t>
            </w:r>
          </w:p>
        </w:tc>
      </w:tr>
      <w:tr>
        <w:trPr/>
        <w:tc>
          <w:tcPr>
            <w:tcW w:w="6768"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Hard Costs</w:t>
            </w:r>
          </w:p>
        </w:tc>
        <w:tc>
          <w:tcPr>
            <w:tcW w:w="199" w:type="dxa"/>
            <w:tcBorders/>
            <w:shd w:fill="CCEEFF" w:val="clear"/>
            <w:tcMar>
              <w:bottom w:w="0" w:type="dxa"/>
            </w:tcMar>
            <w:vAlign w:val="center"/>
          </w:tcPr>
          <w:p>
            <w:pPr>
              <w:pStyle w:val="TableContents"/>
              <w:spacing w:before="0" w:after="283"/>
              <w:rPr/>
            </w:pPr>
            <w:r>
              <w:rPr/>
              <w:t> </w:t>
            </w:r>
          </w:p>
        </w:tc>
        <w:tc>
          <w:tcPr>
            <w:tcW w:w="163"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237"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48,355</w:t>
            </w:r>
          </w:p>
        </w:tc>
        <w:tc>
          <w:tcPr>
            <w:tcW w:w="199" w:type="dxa"/>
            <w:tcBorders/>
            <w:shd w:fill="CCEEFF" w:val="clear"/>
            <w:tcMar>
              <w:bottom w:w="0" w:type="dxa"/>
            </w:tcMar>
            <w:vAlign w:val="bottom"/>
          </w:tcPr>
          <w:p>
            <w:pPr>
              <w:pStyle w:val="TableContents"/>
              <w:spacing w:before="0" w:after="283"/>
              <w:jc w:val="left"/>
              <w:rPr/>
            </w:pPr>
            <w:r>
              <w:rPr/>
              <w:t> </w:t>
            </w:r>
          </w:p>
        </w:tc>
        <w:tc>
          <w:tcPr>
            <w:tcW w:w="177"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334"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34,597</w:t>
            </w:r>
          </w:p>
        </w:tc>
        <w:tc>
          <w:tcPr>
            <w:tcW w:w="128" w:type="dxa"/>
            <w:tcBorders/>
            <w:shd w:fill="CCEEFF" w:val="clear"/>
            <w:tcMar>
              <w:bottom w:w="0" w:type="dxa"/>
            </w:tcMar>
            <w:vAlign w:val="bottom"/>
          </w:tcPr>
          <w:p>
            <w:pPr>
              <w:pStyle w:val="TableContents"/>
              <w:spacing w:before="0" w:after="283"/>
              <w:jc w:val="left"/>
              <w:rPr/>
            </w:pPr>
            <w:r>
              <w:rPr/>
              <w:t> </w:t>
            </w:r>
          </w:p>
        </w:tc>
      </w:tr>
      <w:tr>
        <w:trPr/>
        <w:tc>
          <w:tcPr>
            <w:tcW w:w="6768" w:type="dxa"/>
            <w:tcBorders>
              <w:bottom w:val="sing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Soft Costs</w:t>
            </w:r>
          </w:p>
        </w:tc>
        <w:tc>
          <w:tcPr>
            <w:tcW w:w="199" w:type="dxa"/>
            <w:tcBorders>
              <w:bottom w:val="single" w:sz="4" w:space="0" w:color="FFFFFF"/>
            </w:tcBorders>
            <w:shd w:fill="FFFFFF" w:val="clear"/>
            <w:vAlign w:val="center"/>
          </w:tcPr>
          <w:p>
            <w:pPr>
              <w:pStyle w:val="TableContents"/>
              <w:spacing w:before="0" w:after="283"/>
              <w:rPr/>
            </w:pPr>
            <w:r>
              <w:rPr/>
              <w:t> </w:t>
            </w:r>
          </w:p>
        </w:tc>
        <w:tc>
          <w:tcPr>
            <w:tcW w:w="163" w:type="dxa"/>
            <w:tcBorders>
              <w:bottom w:val="single" w:sz="2" w:space="0" w:color="000000"/>
            </w:tcBorders>
            <w:shd w:fill="FFFFFF" w:val="clear"/>
            <w:vAlign w:val="bottom"/>
          </w:tcPr>
          <w:p>
            <w:pPr>
              <w:pStyle w:val="TableContents"/>
              <w:spacing w:before="0" w:after="283"/>
              <w:jc w:val="left"/>
              <w:rPr/>
            </w:pPr>
            <w:r>
              <w:rPr/>
              <w:t> </w:t>
            </w:r>
          </w:p>
        </w:tc>
        <w:tc>
          <w:tcPr>
            <w:tcW w:w="1237"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 xml:space="preserve">18,451 </w:t>
            </w:r>
          </w:p>
        </w:tc>
        <w:tc>
          <w:tcPr>
            <w:tcW w:w="199" w:type="dxa"/>
            <w:tcBorders>
              <w:bottom w:val="single" w:sz="4" w:space="0" w:color="FFFFFF"/>
            </w:tcBorders>
            <w:shd w:fill="FFFFFF" w:val="clear"/>
            <w:vAlign w:val="bottom"/>
          </w:tcPr>
          <w:p>
            <w:pPr>
              <w:pStyle w:val="TableContents"/>
              <w:spacing w:before="0" w:after="283"/>
              <w:jc w:val="left"/>
              <w:rPr/>
            </w:pPr>
            <w:r>
              <w:rPr/>
              <w:t> </w:t>
            </w:r>
          </w:p>
        </w:tc>
        <w:tc>
          <w:tcPr>
            <w:tcW w:w="177" w:type="dxa"/>
            <w:tcBorders>
              <w:bottom w:val="single" w:sz="2" w:space="0" w:color="000000"/>
            </w:tcBorders>
            <w:shd w:fill="FFFFFF" w:val="clear"/>
            <w:vAlign w:val="bottom"/>
          </w:tcPr>
          <w:p>
            <w:pPr>
              <w:pStyle w:val="TableContents"/>
              <w:spacing w:before="0" w:after="283"/>
              <w:jc w:val="left"/>
              <w:rPr/>
            </w:pPr>
            <w:r>
              <w:rPr/>
              <w:t> </w:t>
            </w:r>
          </w:p>
        </w:tc>
        <w:tc>
          <w:tcPr>
            <w:tcW w:w="1334"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 xml:space="preserve">12,570 </w:t>
            </w:r>
          </w:p>
        </w:tc>
        <w:tc>
          <w:tcPr>
            <w:tcW w:w="128" w:type="dxa"/>
            <w:tcBorders>
              <w:bottom w:val="single" w:sz="4" w:space="0" w:color="FFFFFF"/>
            </w:tcBorders>
            <w:shd w:fill="FFFFFF" w:val="clear"/>
            <w:vAlign w:val="bottom"/>
          </w:tcPr>
          <w:p>
            <w:pPr>
              <w:pStyle w:val="TableContents"/>
              <w:spacing w:before="0" w:after="283"/>
              <w:jc w:val="left"/>
              <w:rPr/>
            </w:pPr>
            <w:r>
              <w:rPr/>
              <w:t> </w:t>
            </w:r>
          </w:p>
        </w:tc>
      </w:tr>
      <w:tr>
        <w:trPr/>
        <w:tc>
          <w:tcPr>
            <w:tcW w:w="6768" w:type="dxa"/>
            <w:tcBorders>
              <w:bottom w:val="sing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TOTAL CONSTRUCTION AND DEVELOPMENT COSTS</w:t>
            </w:r>
          </w:p>
        </w:tc>
        <w:tc>
          <w:tcPr>
            <w:tcW w:w="199" w:type="dxa"/>
            <w:tcBorders>
              <w:bottom w:val="single" w:sz="2" w:space="0" w:color="CCEEFF"/>
            </w:tcBorders>
            <w:shd w:fill="CCEEFF" w:val="clear"/>
            <w:vAlign w:val="center"/>
          </w:tcPr>
          <w:p>
            <w:pPr>
              <w:pStyle w:val="TableContents"/>
              <w:spacing w:before="0" w:after="283"/>
              <w:rPr/>
            </w:pPr>
            <w:r>
              <w:rPr/>
              <w:t> </w:t>
            </w:r>
          </w:p>
        </w:tc>
        <w:tc>
          <w:tcPr>
            <w:tcW w:w="163" w:type="dxa"/>
            <w:tcBorders>
              <w:bottom w:val="single" w:sz="2" w:space="0" w:color="000000"/>
            </w:tcBorders>
            <w:shd w:fill="CCEEFF" w:val="clear"/>
            <w:vAlign w:val="bottom"/>
          </w:tcPr>
          <w:p>
            <w:pPr>
              <w:pStyle w:val="TableContents"/>
              <w:spacing w:before="0" w:after="283"/>
              <w:jc w:val="left"/>
              <w:rPr/>
            </w:pPr>
            <w:r>
              <w:rPr/>
              <w:t> </w:t>
            </w:r>
          </w:p>
        </w:tc>
        <w:tc>
          <w:tcPr>
            <w:tcW w:w="1237"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 xml:space="preserve">66,806 </w:t>
            </w:r>
          </w:p>
        </w:tc>
        <w:tc>
          <w:tcPr>
            <w:tcW w:w="199" w:type="dxa"/>
            <w:tcBorders>
              <w:bottom w:val="single" w:sz="2" w:space="0" w:color="CCEEFF"/>
            </w:tcBorders>
            <w:shd w:fill="CCEEFF" w:val="clear"/>
            <w:vAlign w:val="bottom"/>
          </w:tcPr>
          <w:p>
            <w:pPr>
              <w:pStyle w:val="TableContents"/>
              <w:spacing w:before="0" w:after="283"/>
              <w:jc w:val="left"/>
              <w:rPr/>
            </w:pPr>
            <w:r>
              <w:rPr/>
              <w:t> </w:t>
            </w:r>
          </w:p>
        </w:tc>
        <w:tc>
          <w:tcPr>
            <w:tcW w:w="177" w:type="dxa"/>
            <w:tcBorders>
              <w:bottom w:val="single" w:sz="2" w:space="0" w:color="000000"/>
            </w:tcBorders>
            <w:shd w:fill="CCEEFF" w:val="clear"/>
            <w:vAlign w:val="bottom"/>
          </w:tcPr>
          <w:p>
            <w:pPr>
              <w:pStyle w:val="TableContents"/>
              <w:spacing w:before="0" w:after="283"/>
              <w:jc w:val="left"/>
              <w:rPr/>
            </w:pPr>
            <w:r>
              <w:rPr/>
              <w:t> </w:t>
            </w:r>
          </w:p>
        </w:tc>
        <w:tc>
          <w:tcPr>
            <w:tcW w:w="1334"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 xml:space="preserve">47,167 </w:t>
            </w:r>
          </w:p>
        </w:tc>
        <w:tc>
          <w:tcPr>
            <w:tcW w:w="128" w:type="dxa"/>
            <w:tcBorders>
              <w:bottom w:val="single" w:sz="2" w:space="0" w:color="CCEEFF"/>
            </w:tcBorders>
            <w:shd w:fill="CCEEFF" w:val="clear"/>
            <w:vAlign w:val="bottom"/>
          </w:tcPr>
          <w:p>
            <w:pPr>
              <w:pStyle w:val="TableContents"/>
              <w:spacing w:before="0" w:after="283"/>
              <w:jc w:val="left"/>
              <w:rPr/>
            </w:pPr>
            <w:r>
              <w:rPr/>
              <w:t> </w:t>
            </w:r>
          </w:p>
        </w:tc>
      </w:tr>
      <w:tr>
        <w:trPr/>
        <w:tc>
          <w:tcPr>
            <w:tcW w:w="6768" w:type="dxa"/>
            <w:tcBorders/>
            <w:shd w:fill="FFFFFF" w:val="clear"/>
            <w:tcMar>
              <w:bottom w:w="0" w:type="dxa"/>
            </w:tcMar>
            <w:vAlign w:val="bottom"/>
          </w:tcPr>
          <w:p>
            <w:pPr>
              <w:pStyle w:val="TableContents"/>
              <w:spacing w:before="0" w:after="283"/>
              <w:jc w:val="left"/>
              <w:rPr/>
            </w:pPr>
            <w:r>
              <w:rPr/>
              <w:t> </w:t>
            </w:r>
          </w:p>
        </w:tc>
        <w:tc>
          <w:tcPr>
            <w:tcW w:w="199" w:type="dxa"/>
            <w:tcBorders/>
            <w:shd w:fill="FFFFFF" w:val="clear"/>
            <w:tcMar>
              <w:bottom w:w="0" w:type="dxa"/>
            </w:tcMar>
            <w:vAlign w:val="center"/>
          </w:tcPr>
          <w:p>
            <w:pPr>
              <w:pStyle w:val="TableContents"/>
              <w:spacing w:before="0" w:after="283"/>
              <w:rPr/>
            </w:pPr>
            <w:r>
              <w:rPr/>
              <w:t> </w:t>
            </w:r>
          </w:p>
        </w:tc>
        <w:tc>
          <w:tcPr>
            <w:tcW w:w="163" w:type="dxa"/>
            <w:tcBorders/>
            <w:shd w:fill="FFFFFF" w:val="clear"/>
            <w:tcMar>
              <w:bottom w:w="0" w:type="dxa"/>
            </w:tcMar>
            <w:vAlign w:val="bottom"/>
          </w:tcPr>
          <w:p>
            <w:pPr>
              <w:pStyle w:val="TableContents"/>
              <w:spacing w:before="0" w:after="283"/>
              <w:jc w:val="left"/>
              <w:rPr/>
            </w:pPr>
            <w:r>
              <w:rPr/>
              <w:t> </w:t>
            </w:r>
          </w:p>
        </w:tc>
        <w:tc>
          <w:tcPr>
            <w:tcW w:w="1237" w:type="dxa"/>
            <w:tcBorders/>
            <w:shd w:fill="FFFFFF" w:val="clear"/>
            <w:tcMar>
              <w:bottom w:w="0" w:type="dxa"/>
            </w:tcMar>
            <w:vAlign w:val="bottom"/>
          </w:tcPr>
          <w:p>
            <w:pPr>
              <w:pStyle w:val="TableContents"/>
              <w:spacing w:before="0" w:after="283"/>
              <w:jc w:val="right"/>
              <w:rPr/>
            </w:pPr>
            <w:r>
              <w:rPr/>
              <w:t> </w:t>
            </w:r>
          </w:p>
        </w:tc>
        <w:tc>
          <w:tcPr>
            <w:tcW w:w="199" w:type="dxa"/>
            <w:tcBorders/>
            <w:shd w:fill="FFFFFF" w:val="clear"/>
            <w:tcMar>
              <w:bottom w:w="0" w:type="dxa"/>
            </w:tcMar>
            <w:vAlign w:val="bottom"/>
          </w:tcPr>
          <w:p>
            <w:pPr>
              <w:pStyle w:val="TableContents"/>
              <w:spacing w:before="0" w:after="283"/>
              <w:jc w:val="left"/>
              <w:rPr/>
            </w:pPr>
            <w:r>
              <w:rPr/>
              <w:t> </w:t>
            </w:r>
          </w:p>
        </w:tc>
        <w:tc>
          <w:tcPr>
            <w:tcW w:w="177" w:type="dxa"/>
            <w:tcBorders/>
            <w:shd w:fill="FFFFFF" w:val="clear"/>
            <w:tcMar>
              <w:bottom w:w="0" w:type="dxa"/>
            </w:tcMar>
            <w:vAlign w:val="bottom"/>
          </w:tcPr>
          <w:p>
            <w:pPr>
              <w:pStyle w:val="TableContents"/>
              <w:spacing w:before="0" w:after="283"/>
              <w:jc w:val="left"/>
              <w:rPr/>
            </w:pPr>
            <w:r>
              <w:rPr/>
              <w:t> </w:t>
            </w:r>
          </w:p>
        </w:tc>
        <w:tc>
          <w:tcPr>
            <w:tcW w:w="1334" w:type="dxa"/>
            <w:tcBorders/>
            <w:shd w:fill="FFFFFF" w:val="clear"/>
            <w:tcMar>
              <w:bottom w:w="0" w:type="dxa"/>
            </w:tcMar>
            <w:vAlign w:val="bottom"/>
          </w:tcPr>
          <w:p>
            <w:pPr>
              <w:pStyle w:val="TableContents"/>
              <w:spacing w:before="0" w:after="283"/>
              <w:jc w:val="right"/>
              <w:rPr/>
            </w:pPr>
            <w:r>
              <w:rPr/>
              <w:t> </w:t>
            </w:r>
          </w:p>
        </w:tc>
        <w:tc>
          <w:tcPr>
            <w:tcW w:w="128" w:type="dxa"/>
            <w:tcBorders/>
            <w:shd w:fill="FFFFFF" w:val="clear"/>
            <w:tcMar>
              <w:bottom w:w="0" w:type="dxa"/>
            </w:tcMar>
            <w:vAlign w:val="bottom"/>
          </w:tcPr>
          <w:p>
            <w:pPr>
              <w:pStyle w:val="TableContents"/>
              <w:spacing w:before="0" w:after="283"/>
              <w:jc w:val="left"/>
              <w:rPr/>
            </w:pPr>
            <w:r>
              <w:rPr/>
              <w:t> </w:t>
            </w:r>
          </w:p>
        </w:tc>
      </w:tr>
      <w:tr>
        <w:trPr/>
        <w:tc>
          <w:tcPr>
            <w:tcW w:w="6768" w:type="dxa"/>
            <w:tcBorders>
              <w:bottom w:val="sing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less : Costs allocated to condominium units sold</w:t>
            </w:r>
          </w:p>
        </w:tc>
        <w:tc>
          <w:tcPr>
            <w:tcW w:w="199" w:type="dxa"/>
            <w:tcBorders>
              <w:bottom w:val="single" w:sz="4" w:space="0" w:color="CCEEFF"/>
            </w:tcBorders>
            <w:shd w:fill="CCEEFF" w:val="clear"/>
            <w:vAlign w:val="center"/>
          </w:tcPr>
          <w:p>
            <w:pPr>
              <w:pStyle w:val="TableContents"/>
              <w:spacing w:before="0" w:after="283"/>
              <w:rPr/>
            </w:pPr>
            <w:r>
              <w:rPr/>
              <w:t> </w:t>
            </w:r>
          </w:p>
        </w:tc>
        <w:tc>
          <w:tcPr>
            <w:tcW w:w="163" w:type="dxa"/>
            <w:tcBorders>
              <w:bottom w:val="single" w:sz="2" w:space="0" w:color="000000"/>
            </w:tcBorders>
            <w:shd w:fill="CCEEFF" w:val="clear"/>
            <w:vAlign w:val="bottom"/>
          </w:tcPr>
          <w:p>
            <w:pPr>
              <w:pStyle w:val="TableContents"/>
              <w:spacing w:before="0" w:after="283"/>
              <w:jc w:val="left"/>
              <w:rPr/>
            </w:pPr>
            <w:r>
              <w:rPr/>
              <w:t> </w:t>
            </w:r>
          </w:p>
        </w:tc>
        <w:tc>
          <w:tcPr>
            <w:tcW w:w="1237"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 xml:space="preserve">53,856 </w:t>
            </w:r>
          </w:p>
        </w:tc>
        <w:tc>
          <w:tcPr>
            <w:tcW w:w="199" w:type="dxa"/>
            <w:tcBorders>
              <w:bottom w:val="single" w:sz="4" w:space="0" w:color="CCEEFF"/>
            </w:tcBorders>
            <w:shd w:fill="CCEEFF" w:val="clear"/>
            <w:vAlign w:val="bottom"/>
          </w:tcPr>
          <w:p>
            <w:pPr>
              <w:pStyle w:val="TableContents"/>
              <w:spacing w:before="0" w:after="283"/>
              <w:jc w:val="left"/>
              <w:rPr/>
            </w:pPr>
            <w:r>
              <w:rPr/>
              <w:t> </w:t>
            </w:r>
          </w:p>
        </w:tc>
        <w:tc>
          <w:tcPr>
            <w:tcW w:w="177" w:type="dxa"/>
            <w:tcBorders>
              <w:bottom w:val="single" w:sz="2" w:space="0" w:color="000000"/>
            </w:tcBorders>
            <w:shd w:fill="CCEEFF" w:val="clear"/>
            <w:vAlign w:val="bottom"/>
          </w:tcPr>
          <w:p>
            <w:pPr>
              <w:pStyle w:val="TableContents"/>
              <w:spacing w:before="0" w:after="283"/>
              <w:jc w:val="left"/>
              <w:rPr/>
            </w:pPr>
            <w:r>
              <w:rPr/>
              <w:t> </w:t>
            </w:r>
          </w:p>
        </w:tc>
        <w:tc>
          <w:tcPr>
            <w:tcW w:w="1334"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 xml:space="preserve">-- </w:t>
            </w:r>
          </w:p>
        </w:tc>
        <w:tc>
          <w:tcPr>
            <w:tcW w:w="128" w:type="dxa"/>
            <w:tcBorders>
              <w:bottom w:val="single" w:sz="4" w:space="0" w:color="CCEEFF"/>
            </w:tcBorders>
            <w:shd w:fill="CCEEFF" w:val="clear"/>
            <w:vAlign w:val="bottom"/>
          </w:tcPr>
          <w:p>
            <w:pPr>
              <w:pStyle w:val="TableContents"/>
              <w:spacing w:before="0" w:after="283"/>
              <w:jc w:val="left"/>
              <w:rPr/>
            </w:pPr>
            <w:r>
              <w:rPr/>
              <w:t> </w:t>
            </w:r>
          </w:p>
        </w:tc>
      </w:tr>
      <w:tr>
        <w:trPr/>
        <w:tc>
          <w:tcPr>
            <w:tcW w:w="6768" w:type="dxa"/>
            <w:tcBorders>
              <w:bottom w:val="sing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Net Construction and Development Costs</w:t>
            </w:r>
          </w:p>
        </w:tc>
        <w:tc>
          <w:tcPr>
            <w:tcW w:w="199" w:type="dxa"/>
            <w:tcBorders>
              <w:bottom w:val="single" w:sz="2" w:space="0" w:color="FFFFFF"/>
            </w:tcBorders>
            <w:shd w:fill="FFFFFF" w:val="clear"/>
            <w:vAlign w:val="center"/>
          </w:tcPr>
          <w:p>
            <w:pPr>
              <w:pStyle w:val="TableContents"/>
              <w:spacing w:before="0" w:after="283"/>
              <w:rPr/>
            </w:pPr>
            <w:r>
              <w:rPr/>
              <w:t> </w:t>
            </w:r>
          </w:p>
        </w:tc>
        <w:tc>
          <w:tcPr>
            <w:tcW w:w="163" w:type="dxa"/>
            <w:tcBorders>
              <w:bottom w:val="sing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237"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12,950</w:t>
            </w:r>
          </w:p>
        </w:tc>
        <w:tc>
          <w:tcPr>
            <w:tcW w:w="199" w:type="dxa"/>
            <w:tcBorders>
              <w:bottom w:val="single" w:sz="2" w:space="0" w:color="FFFFFF"/>
            </w:tcBorders>
            <w:shd w:fill="FFFFFF" w:val="clear"/>
            <w:vAlign w:val="bottom"/>
          </w:tcPr>
          <w:p>
            <w:pPr>
              <w:pStyle w:val="TableContents"/>
              <w:spacing w:before="0" w:after="283"/>
              <w:jc w:val="left"/>
              <w:rPr/>
            </w:pPr>
            <w:r>
              <w:rPr/>
              <w:t> </w:t>
            </w:r>
          </w:p>
        </w:tc>
        <w:tc>
          <w:tcPr>
            <w:tcW w:w="177" w:type="dxa"/>
            <w:tcBorders>
              <w:bottom w:val="sing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334"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47,167</w:t>
            </w:r>
          </w:p>
        </w:tc>
        <w:tc>
          <w:tcPr>
            <w:tcW w:w="128" w:type="dxa"/>
            <w:tcBorders>
              <w:bottom w:val="single" w:sz="2" w:space="0" w:color="FFFFFF"/>
            </w:tcBorders>
            <w:shd w:fill="FFFFFF" w:val="clear"/>
            <w:vAlign w:val="bottom"/>
          </w:tcPr>
          <w:p>
            <w:pPr>
              <w:pStyle w:val="TableContents"/>
              <w:spacing w:before="0" w:after="283"/>
              <w:jc w:val="left"/>
              <w:rPr/>
            </w:pPr>
            <w:r>
              <w:rPr/>
              <w:t> </w:t>
            </w:r>
          </w:p>
        </w:tc>
      </w:tr>
    </w:tbl>
    <w:p>
      <w:pPr>
        <w:pStyle w:val="TextBody"/>
        <w:spacing w:before="0" w:after="0"/>
        <w:rPr/>
      </w:pPr>
      <w:r>
        <w:rPr/>
        <w:t> </w:t>
      </w:r>
    </w:p>
    <w:p>
      <w:pPr>
        <w:pStyle w:val="TextBody"/>
        <w:spacing w:lineRule="auto" w:line="300" w:before="0" w:after="0"/>
        <w:ind w:left="0" w:right="0" w:hanging="0"/>
        <w:jc w:val="left"/>
        <w:rPr/>
      </w:pPr>
      <w:r>
        <w:rPr>
          <w:rStyle w:val="StrongEmphasis"/>
          <w:rFonts w:ascii="Times New Roman" w:hAnsi="Times New Roman"/>
          <w:sz w:val="20"/>
        </w:rPr>
        <w:t xml:space="preserve">NOTE 5 - </w:t>
      </w:r>
      <w:bookmarkStart w:id="4719" w:name="TAB2300"/>
      <w:bookmarkEnd w:id="4719"/>
      <w:r>
        <w:rPr>
          <w:color w:val="000000"/>
          <w:spacing w:val="540"/>
        </w:rPr>
        <w:t> </w:t>
      </w:r>
      <w:r>
        <w:rPr>
          <w:rStyle w:val="StrongEmphasis"/>
          <w:rFonts w:ascii="Times New Roman" w:hAnsi="Times New Roman"/>
          <w:sz w:val="20"/>
          <w:u w:val="single"/>
        </w:rPr>
        <w:t>NEGOTIABLE CERTIFICATES</w:t>
      </w:r>
    </w:p>
    <w:p>
      <w:pPr>
        <w:pStyle w:val="TextBody"/>
        <w:spacing w:lineRule="auto" w:line="300" w:before="0" w:after="0"/>
        <w:ind w:left="0" w:right="0" w:hanging="0"/>
        <w:jc w:val="left"/>
        <w:rPr/>
      </w:pPr>
      <w:r>
        <w:rPr/>
      </w:r>
    </w:p>
    <w:p>
      <w:pPr>
        <w:pStyle w:val="TextBody"/>
        <w:spacing w:lineRule="auto" w:line="300" w:before="0" w:after="0"/>
        <w:ind w:left="360" w:right="0" w:hanging="0"/>
        <w:jc w:val="both"/>
        <w:rPr/>
      </w:pPr>
      <w:r>
        <w:rPr>
          <w:rFonts w:ascii="Times New Roman" w:hAnsi="Times New Roman"/>
          <w:sz w:val="20"/>
        </w:rPr>
        <w:t>In December 2003, the Company entered into an agreement to purchase 61 negotiable certificates under Section 421a of the New York State Real Property tax law in order to obtain real estate tax abatements. Section 421a provides that property constructed north of 14</w:t>
      </w:r>
      <w:r>
        <w:rPr>
          <w:rFonts w:ascii="Times New Roman" w:hAnsi="Times New Roman"/>
          <w:position w:val="7"/>
          <w:sz w:val="16"/>
          <w:sz w:val="20"/>
        </w:rPr>
        <w:t>th</w:t>
      </w:r>
      <w:r>
        <w:rPr/>
        <w:t xml:space="preserve"> </w:t>
      </w:r>
      <w:r>
        <w:rPr>
          <w:rFonts w:ascii="Times New Roman" w:hAnsi="Times New Roman"/>
          <w:sz w:val="20"/>
        </w:rPr>
        <w:t xml:space="preserve">Street in Manhattan, on vacant or underutilized land, is eligible for partial real estate tax abatements. Abatements are for ten years and provide for limited real estate tax reductions. The agreement contained an option to purchase an additional seven certificates, which the Company exercised in March 2004. The final purchase price was $863,083, which is equal to the sum of $793,083 for the original 61 certificates plus $10,000 for each of the seven additional certificates. </w:t>
      </w:r>
    </w:p>
    <w:p>
      <w:pPr>
        <w:pStyle w:val="TextBody"/>
        <w:spacing w:lineRule="auto" w:line="300" w:before="0" w:after="0"/>
        <w:ind w:left="0" w:right="0" w:hanging="0"/>
        <w:jc w:val="left"/>
        <w:rPr/>
      </w:pPr>
      <w:r>
        <w:rPr/>
      </w:r>
    </w:p>
    <w:p>
      <w:pPr>
        <w:pStyle w:val="TextBody"/>
        <w:spacing w:lineRule="auto" w:line="300" w:before="0" w:after="0"/>
        <w:ind w:left="360" w:right="0" w:hanging="0"/>
        <w:jc w:val="left"/>
        <w:rPr>
          <w:rFonts w:ascii="Times New Roman" w:hAnsi="Times New Roman"/>
          <w:sz w:val="20"/>
        </w:rPr>
      </w:pPr>
      <w:r>
        <w:rPr>
          <w:rFonts w:ascii="Times New Roman" w:hAnsi="Times New Roman"/>
          <w:sz w:val="20"/>
        </w:rPr>
        <w:t>In February 2006, the Company purchased an additional 17 negotiable 421a certificates for $340,000.</w:t>
      </w:r>
    </w:p>
    <w:p>
      <w:pPr>
        <w:pStyle w:val="TextBody"/>
        <w:spacing w:lineRule="auto" w:line="300" w:before="0" w:after="0"/>
        <w:ind w:left="360" w:right="0" w:hanging="0"/>
        <w:jc w:val="left"/>
        <w:rPr/>
      </w:pPr>
      <w:r>
        <w:rPr/>
      </w:r>
    </w:p>
    <w:p>
      <w:pPr>
        <w:pStyle w:val="TextBody"/>
        <w:spacing w:lineRule="auto" w:line="300" w:before="0" w:after="0"/>
        <w:ind w:left="360" w:right="0" w:hanging="0"/>
        <w:jc w:val="left"/>
        <w:rPr>
          <w:rFonts w:ascii="Times New Roman" w:hAnsi="Times New Roman"/>
          <w:sz w:val="20"/>
        </w:rPr>
      </w:pPr>
      <w:r>
        <w:rPr>
          <w:rFonts w:ascii="Times New Roman" w:hAnsi="Times New Roman"/>
          <w:sz w:val="20"/>
        </w:rPr>
        <w:t>In May 2006, the Company paid a Preliminary Certificate of Eligibility Fee to The City of New York for $302,681, which is required to be paid in conjunction with these negotiable certificates.</w:t>
      </w:r>
    </w:p>
    <w:p>
      <w:pPr>
        <w:pStyle w:val="TextBody"/>
        <w:spacing w:lineRule="auto" w:line="300" w:before="0" w:after="0"/>
        <w:ind w:left="0" w:right="0" w:hanging="0"/>
        <w:jc w:val="left"/>
        <w:rPr/>
      </w:pPr>
      <w:r>
        <w:rPr/>
      </w:r>
    </w:p>
    <w:p>
      <w:pPr>
        <w:pStyle w:val="TextBody"/>
        <w:spacing w:lineRule="auto" w:line="300" w:before="0" w:after="0"/>
        <w:ind w:left="1080" w:right="0" w:hanging="720"/>
        <w:jc w:val="both"/>
        <w:rPr>
          <w:rFonts w:ascii="Times New Roman" w:hAnsi="Times New Roman"/>
          <w:sz w:val="20"/>
        </w:rPr>
      </w:pPr>
      <w:r>
        <w:rPr>
          <w:rFonts w:ascii="Times New Roman" w:hAnsi="Times New Roman"/>
          <w:sz w:val="20"/>
        </w:rPr>
        <w:t>At December 31, 2006 and 2005 negotiable certificates is comprised of the following (dollars in thousands):</w:t>
      </w:r>
    </w:p>
    <w:p>
      <w:pPr>
        <w:pStyle w:val="TextBody"/>
        <w:spacing w:before="0" w:after="0"/>
        <w:rPr/>
      </w:pPr>
      <w:r>
        <w:rPr/>
        <w:t> </w:t>
      </w:r>
    </w:p>
    <w:p>
      <w:pPr>
        <w:pStyle w:val="Normal"/>
        <w:spacing w:before="0" w:after="0"/>
        <w:rPr>
          <w:sz w:val="4"/>
          <w:szCs w:val="4"/>
        </w:rPr>
      </w:pPr>
      <w:r>
        <w:rPr>
          <w:sz w:val="4"/>
          <w:szCs w:val="4"/>
        </w:rPr>
      </w:r>
      <w:bookmarkStart w:id="4720" w:name="ftable69"/>
      <w:bookmarkStart w:id="4721" w:name="ftable69"/>
      <w:bookmarkEnd w:id="4721"/>
    </w:p>
    <w:tbl>
      <w:tblPr>
        <w:tblW w:w="5000" w:type="pct"/>
        <w:jc w:val="left"/>
        <w:tblInd w:w="0" w:type="dxa"/>
        <w:tblCellMar>
          <w:top w:w="0" w:type="dxa"/>
          <w:left w:w="0" w:type="dxa"/>
          <w:bottom w:w="28" w:type="dxa"/>
          <w:right w:w="0" w:type="dxa"/>
        </w:tblCellMar>
      </w:tblPr>
      <w:tblGrid>
        <w:gridCol w:w="6579"/>
        <w:gridCol w:w="200"/>
        <w:gridCol w:w="240"/>
        <w:gridCol w:w="1231"/>
        <w:gridCol w:w="200"/>
        <w:gridCol w:w="262"/>
        <w:gridCol w:w="1358"/>
        <w:gridCol w:w="135"/>
      </w:tblGrid>
      <w:tr>
        <w:trPr/>
        <w:tc>
          <w:tcPr>
            <w:tcW w:w="6579" w:type="dxa"/>
            <w:tcBorders>
              <w:bottom w:val="single" w:sz="4" w:space="0" w:color="FFFFFF"/>
            </w:tcBorders>
            <w:shd w:fill="auto" w:val="clear"/>
            <w:vAlign w:val="bottom"/>
          </w:tcPr>
          <w:p>
            <w:pPr>
              <w:pStyle w:val="TableContents"/>
              <w:spacing w:before="0" w:after="283"/>
              <w:jc w:val="left"/>
              <w:rPr/>
            </w:pPr>
            <w:r>
              <w:rPr/>
              <w:t> </w:t>
            </w:r>
          </w:p>
        </w:tc>
        <w:tc>
          <w:tcPr>
            <w:tcW w:w="200" w:type="dxa"/>
            <w:tcBorders>
              <w:bottom w:val="single" w:sz="2" w:space="0" w:color="FFFFFF"/>
            </w:tcBorders>
            <w:shd w:fill="auto" w:val="clear"/>
            <w:vAlign w:val="center"/>
          </w:tcPr>
          <w:p>
            <w:pPr>
              <w:pStyle w:val="TableContents"/>
              <w:spacing w:before="0" w:after="283"/>
              <w:rPr/>
            </w:pPr>
            <w:r>
              <w:rPr/>
              <w:t> </w:t>
            </w:r>
          </w:p>
        </w:tc>
        <w:tc>
          <w:tcPr>
            <w:tcW w:w="3291" w:type="dxa"/>
            <w:gridSpan w:val="5"/>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Year Ended December 31,</w:t>
            </w:r>
          </w:p>
        </w:tc>
        <w:tc>
          <w:tcPr>
            <w:tcW w:w="135" w:type="dxa"/>
            <w:tcBorders>
              <w:bottom w:val="single" w:sz="2" w:space="0" w:color="FFFFFF"/>
            </w:tcBorders>
            <w:shd w:fill="auto" w:val="clear"/>
            <w:vAlign w:val="bottom"/>
          </w:tcPr>
          <w:p>
            <w:pPr>
              <w:pStyle w:val="TableContents"/>
              <w:spacing w:before="0" w:after="283"/>
              <w:jc w:val="left"/>
              <w:rPr/>
            </w:pPr>
            <w:r>
              <w:rPr/>
              <w:t> </w:t>
            </w:r>
          </w:p>
        </w:tc>
      </w:tr>
      <w:tr>
        <w:trPr/>
        <w:tc>
          <w:tcPr>
            <w:tcW w:w="6579" w:type="dxa"/>
            <w:tcBorders>
              <w:bottom w:val="double" w:sz="2" w:space="0" w:color="000000"/>
            </w:tcBorders>
            <w:shd w:fill="auto" w:val="clear"/>
            <w:vAlign w:val="bottom"/>
          </w:tcPr>
          <w:p>
            <w:pPr>
              <w:pStyle w:val="TableContents"/>
              <w:spacing w:lineRule="auto" w:line="300" w:before="0" w:after="0"/>
              <w:ind w:left="0" w:right="0" w:hanging="0"/>
              <w:jc w:val="left"/>
              <w:rPr/>
            </w:pPr>
            <w:r>
              <w:rPr/>
              <w:t> </w:t>
            </w:r>
          </w:p>
        </w:tc>
        <w:tc>
          <w:tcPr>
            <w:tcW w:w="200" w:type="dxa"/>
            <w:tcBorders>
              <w:bottom w:val="single" w:sz="4" w:space="0" w:color="FFFFFF"/>
            </w:tcBorders>
            <w:shd w:fill="auto" w:val="clear"/>
            <w:vAlign w:val="center"/>
          </w:tcPr>
          <w:p>
            <w:pPr>
              <w:pStyle w:val="TableContents"/>
              <w:spacing w:before="0" w:after="283"/>
              <w:rPr/>
            </w:pPr>
            <w:r>
              <w:rPr/>
              <w:t> </w:t>
            </w:r>
          </w:p>
        </w:tc>
        <w:tc>
          <w:tcPr>
            <w:tcW w:w="1471"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2006</w:t>
            </w:r>
          </w:p>
          <w:p>
            <w:pPr>
              <w:pStyle w:val="TableContents"/>
              <w:spacing w:lineRule="auto" w:line="300" w:before="0" w:after="0"/>
              <w:ind w:left="0" w:right="0" w:hanging="0"/>
              <w:jc w:val="center"/>
              <w:rPr/>
            </w:pPr>
            <w:r>
              <w:rPr>
                <w:rStyle w:val="StrongEmphasis"/>
                <w:rFonts w:ascii="Times New Roman" w:hAnsi="Times New Roman"/>
                <w:sz w:val="20"/>
              </w:rPr>
              <w:t>(Audited)</w:t>
            </w:r>
          </w:p>
        </w:tc>
        <w:tc>
          <w:tcPr>
            <w:tcW w:w="200" w:type="dxa"/>
            <w:tcBorders>
              <w:bottom w:val="single" w:sz="4" w:space="0" w:color="FFFFFF"/>
            </w:tcBorders>
            <w:shd w:fill="auto" w:val="clear"/>
            <w:vAlign w:val="bottom"/>
          </w:tcPr>
          <w:p>
            <w:pPr>
              <w:pStyle w:val="TableContents"/>
              <w:spacing w:before="0" w:after="283"/>
              <w:jc w:val="left"/>
              <w:rPr/>
            </w:pPr>
            <w:r>
              <w:rPr/>
              <w:t> </w:t>
            </w:r>
          </w:p>
        </w:tc>
        <w:tc>
          <w:tcPr>
            <w:tcW w:w="1620" w:type="dxa"/>
            <w:gridSpan w:val="2"/>
            <w:tcBorders>
              <w:bottom w:val="doub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2005</w:t>
            </w:r>
          </w:p>
          <w:p>
            <w:pPr>
              <w:pStyle w:val="TableContents"/>
              <w:spacing w:lineRule="auto" w:line="300" w:before="0" w:after="0"/>
              <w:ind w:left="0" w:right="0" w:hanging="0"/>
              <w:jc w:val="center"/>
              <w:rPr/>
            </w:pPr>
            <w:r>
              <w:rPr>
                <w:rStyle w:val="StrongEmphasis"/>
                <w:rFonts w:ascii="Times New Roman" w:hAnsi="Times New Roman"/>
                <w:sz w:val="20"/>
              </w:rPr>
              <w:t>(Unaudited)</w:t>
            </w:r>
          </w:p>
        </w:tc>
        <w:tc>
          <w:tcPr>
            <w:tcW w:w="135" w:type="dxa"/>
            <w:tcBorders>
              <w:bottom w:val="single" w:sz="4" w:space="0" w:color="FFFFFF"/>
            </w:tcBorders>
            <w:shd w:fill="auto" w:val="clear"/>
            <w:vAlign w:val="bottom"/>
          </w:tcPr>
          <w:p>
            <w:pPr>
              <w:pStyle w:val="TableContents"/>
              <w:spacing w:before="0" w:after="283"/>
              <w:jc w:val="left"/>
              <w:rPr/>
            </w:pPr>
            <w:r>
              <w:rPr/>
              <w:t> </w:t>
            </w:r>
          </w:p>
        </w:tc>
      </w:tr>
      <w:tr>
        <w:trPr/>
        <w:tc>
          <w:tcPr>
            <w:tcW w:w="6579"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421a certificates</w:t>
            </w:r>
          </w:p>
        </w:tc>
        <w:tc>
          <w:tcPr>
            <w:tcW w:w="200" w:type="dxa"/>
            <w:tcBorders/>
            <w:shd w:fill="CCEEFF" w:val="clear"/>
            <w:tcMar>
              <w:bottom w:w="0" w:type="dxa"/>
            </w:tcMar>
            <w:vAlign w:val="center"/>
          </w:tcPr>
          <w:p>
            <w:pPr>
              <w:pStyle w:val="TableContents"/>
              <w:spacing w:before="0" w:after="283"/>
              <w:rPr/>
            </w:pPr>
            <w:r>
              <w:rPr/>
              <w:t> </w:t>
            </w:r>
          </w:p>
        </w:tc>
        <w:tc>
          <w:tcPr>
            <w:tcW w:w="240"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bookmarkStart w:id="4722" w:name="TAB12347"/>
            <w:bookmarkEnd w:id="4722"/>
            <w:r>
              <w:rPr>
                <w:rFonts w:ascii="Times New Roman" w:hAnsi="Times New Roman"/>
                <w:sz w:val="20"/>
              </w:rPr>
              <w:t>$</w:t>
            </w:r>
          </w:p>
        </w:tc>
        <w:tc>
          <w:tcPr>
            <w:tcW w:w="1231"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bookmarkStart w:id="4723" w:name="TAB12348"/>
            <w:bookmarkEnd w:id="4723"/>
            <w:r>
              <w:rPr>
                <w:rFonts w:ascii="Times New Roman" w:hAnsi="Times New Roman"/>
                <w:sz w:val="20"/>
              </w:rPr>
              <w:t xml:space="preserve">1,203 </w:t>
            </w:r>
          </w:p>
        </w:tc>
        <w:tc>
          <w:tcPr>
            <w:tcW w:w="200" w:type="dxa"/>
            <w:tcBorders/>
            <w:shd w:fill="CCEEFF" w:val="clear"/>
            <w:tcMar>
              <w:bottom w:w="0" w:type="dxa"/>
            </w:tcMar>
            <w:vAlign w:val="bottom"/>
          </w:tcPr>
          <w:p>
            <w:pPr>
              <w:pStyle w:val="TableContents"/>
              <w:spacing w:before="0" w:after="283"/>
              <w:jc w:val="left"/>
              <w:rPr/>
            </w:pPr>
            <w:r>
              <w:rPr/>
              <w:t> </w:t>
            </w:r>
          </w:p>
        </w:tc>
        <w:tc>
          <w:tcPr>
            <w:tcW w:w="262" w:type="dxa"/>
            <w:tcBorders/>
            <w:shd w:fill="CCEE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358" w:type="dxa"/>
            <w:tcBorders/>
            <w:shd w:fill="CCEE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 xml:space="preserve">863 </w:t>
            </w:r>
          </w:p>
        </w:tc>
        <w:tc>
          <w:tcPr>
            <w:tcW w:w="135" w:type="dxa"/>
            <w:tcBorders/>
            <w:shd w:fill="CCEEFF" w:val="clear"/>
            <w:tcMar>
              <w:bottom w:w="0" w:type="dxa"/>
            </w:tcMar>
            <w:vAlign w:val="bottom"/>
          </w:tcPr>
          <w:p>
            <w:pPr>
              <w:pStyle w:val="TableContents"/>
              <w:spacing w:before="0" w:after="283"/>
              <w:jc w:val="left"/>
              <w:rPr/>
            </w:pPr>
            <w:r>
              <w:rPr/>
              <w:t> </w:t>
            </w:r>
          </w:p>
        </w:tc>
      </w:tr>
      <w:tr>
        <w:trPr/>
        <w:tc>
          <w:tcPr>
            <w:tcW w:w="6579" w:type="dxa"/>
            <w:tcBorders>
              <w:bottom w:val="sing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Preliminary Certificate of Eligibility Fee</w:t>
            </w:r>
          </w:p>
        </w:tc>
        <w:tc>
          <w:tcPr>
            <w:tcW w:w="200" w:type="dxa"/>
            <w:tcBorders>
              <w:bottom w:val="single" w:sz="4" w:space="0" w:color="FFFFFF"/>
            </w:tcBorders>
            <w:shd w:fill="FFFFFF" w:val="clear"/>
            <w:vAlign w:val="center"/>
          </w:tcPr>
          <w:p>
            <w:pPr>
              <w:pStyle w:val="TableContents"/>
              <w:spacing w:before="0" w:after="283"/>
              <w:rPr/>
            </w:pPr>
            <w:r>
              <w:rPr/>
              <w:t> </w:t>
            </w:r>
          </w:p>
        </w:tc>
        <w:tc>
          <w:tcPr>
            <w:tcW w:w="240" w:type="dxa"/>
            <w:tcBorders>
              <w:bottom w:val="single" w:sz="2" w:space="0" w:color="000000"/>
            </w:tcBorders>
            <w:shd w:fill="FFFFFF" w:val="clear"/>
            <w:vAlign w:val="bottom"/>
          </w:tcPr>
          <w:p>
            <w:pPr>
              <w:pStyle w:val="TableContents"/>
              <w:spacing w:before="0" w:after="283"/>
              <w:jc w:val="left"/>
              <w:rPr/>
            </w:pPr>
            <w:r>
              <w:rPr/>
              <w:t> </w:t>
            </w:r>
          </w:p>
        </w:tc>
        <w:tc>
          <w:tcPr>
            <w:tcW w:w="1231"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 xml:space="preserve">303 </w:t>
            </w:r>
          </w:p>
        </w:tc>
        <w:tc>
          <w:tcPr>
            <w:tcW w:w="200" w:type="dxa"/>
            <w:tcBorders>
              <w:bottom w:val="single" w:sz="4" w:space="0" w:color="FFFFFF"/>
            </w:tcBorders>
            <w:shd w:fill="FFFFFF" w:val="clear"/>
            <w:vAlign w:val="bottom"/>
          </w:tcPr>
          <w:p>
            <w:pPr>
              <w:pStyle w:val="TableContents"/>
              <w:spacing w:before="0" w:after="283"/>
              <w:jc w:val="left"/>
              <w:rPr/>
            </w:pPr>
            <w:r>
              <w:rPr/>
              <w:t> </w:t>
            </w:r>
          </w:p>
        </w:tc>
        <w:tc>
          <w:tcPr>
            <w:tcW w:w="262" w:type="dxa"/>
            <w:tcBorders>
              <w:bottom w:val="single" w:sz="2" w:space="0" w:color="000000"/>
            </w:tcBorders>
            <w:shd w:fill="FFFFFF" w:val="clear"/>
            <w:vAlign w:val="bottom"/>
          </w:tcPr>
          <w:p>
            <w:pPr>
              <w:pStyle w:val="TableContents"/>
              <w:spacing w:before="0" w:after="283"/>
              <w:jc w:val="left"/>
              <w:rPr/>
            </w:pPr>
            <w:r>
              <w:rPr/>
              <w:t> </w:t>
            </w:r>
          </w:p>
        </w:tc>
        <w:tc>
          <w:tcPr>
            <w:tcW w:w="1358"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w:t>
            </w:r>
          </w:p>
        </w:tc>
        <w:tc>
          <w:tcPr>
            <w:tcW w:w="135" w:type="dxa"/>
            <w:tcBorders>
              <w:bottom w:val="single" w:sz="4" w:space="0" w:color="FFFFFF"/>
            </w:tcBorders>
            <w:shd w:fill="FFFFFF" w:val="clear"/>
            <w:vAlign w:val="bottom"/>
          </w:tcPr>
          <w:p>
            <w:pPr>
              <w:pStyle w:val="TableContents"/>
              <w:spacing w:before="0" w:after="283"/>
              <w:jc w:val="left"/>
              <w:rPr/>
            </w:pPr>
            <w:r>
              <w:rPr/>
              <w:t> </w:t>
            </w:r>
          </w:p>
        </w:tc>
      </w:tr>
      <w:tr>
        <w:trPr/>
        <w:tc>
          <w:tcPr>
            <w:tcW w:w="6579" w:type="dxa"/>
            <w:tcBorders>
              <w:bottom w:val="sing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TOTAL NEGOTIABLE CERTIFICATES</w:t>
            </w:r>
          </w:p>
        </w:tc>
        <w:tc>
          <w:tcPr>
            <w:tcW w:w="200" w:type="dxa"/>
            <w:tcBorders>
              <w:bottom w:val="single" w:sz="2" w:space="0" w:color="CCEEFF"/>
            </w:tcBorders>
            <w:shd w:fill="CCEEFF" w:val="clear"/>
            <w:vAlign w:val="center"/>
          </w:tcPr>
          <w:p>
            <w:pPr>
              <w:pStyle w:val="TableContents"/>
              <w:spacing w:before="0" w:after="283"/>
              <w:rPr/>
            </w:pPr>
            <w:r>
              <w:rPr/>
              <w:t> </w:t>
            </w:r>
          </w:p>
        </w:tc>
        <w:tc>
          <w:tcPr>
            <w:tcW w:w="240" w:type="dxa"/>
            <w:tcBorders>
              <w:bottom w:val="single" w:sz="2" w:space="0" w:color="000000"/>
            </w:tcBorders>
            <w:shd w:fill="CCEEFF" w:val="clear"/>
            <w:vAlign w:val="bottom"/>
          </w:tcPr>
          <w:p>
            <w:pPr>
              <w:pStyle w:val="TableContents"/>
              <w:spacing w:before="0" w:after="283"/>
              <w:jc w:val="left"/>
              <w:rPr/>
            </w:pPr>
            <w:r>
              <w:rPr/>
              <w:t> </w:t>
            </w:r>
          </w:p>
        </w:tc>
        <w:tc>
          <w:tcPr>
            <w:tcW w:w="1231"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 xml:space="preserve">1,506 </w:t>
            </w:r>
          </w:p>
        </w:tc>
        <w:tc>
          <w:tcPr>
            <w:tcW w:w="200" w:type="dxa"/>
            <w:tcBorders>
              <w:bottom w:val="single" w:sz="2" w:space="0" w:color="CCEEFF"/>
            </w:tcBorders>
            <w:shd w:fill="CCEEFF" w:val="clear"/>
            <w:vAlign w:val="bottom"/>
          </w:tcPr>
          <w:p>
            <w:pPr>
              <w:pStyle w:val="TableContents"/>
              <w:spacing w:before="0" w:after="283"/>
              <w:jc w:val="left"/>
              <w:rPr/>
            </w:pPr>
            <w:r>
              <w:rPr/>
              <w:t> </w:t>
            </w:r>
          </w:p>
        </w:tc>
        <w:tc>
          <w:tcPr>
            <w:tcW w:w="262" w:type="dxa"/>
            <w:tcBorders>
              <w:bottom w:val="single" w:sz="2" w:space="0" w:color="000000"/>
            </w:tcBorders>
            <w:shd w:fill="CCEEFF" w:val="clear"/>
            <w:vAlign w:val="bottom"/>
          </w:tcPr>
          <w:p>
            <w:pPr>
              <w:pStyle w:val="TableContents"/>
              <w:spacing w:before="0" w:after="283"/>
              <w:jc w:val="left"/>
              <w:rPr/>
            </w:pPr>
            <w:r>
              <w:rPr/>
              <w:t> </w:t>
            </w:r>
          </w:p>
        </w:tc>
        <w:tc>
          <w:tcPr>
            <w:tcW w:w="1358"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 xml:space="preserve">863 </w:t>
            </w:r>
          </w:p>
        </w:tc>
        <w:tc>
          <w:tcPr>
            <w:tcW w:w="135" w:type="dxa"/>
            <w:tcBorders>
              <w:bottom w:val="single" w:sz="2" w:space="0" w:color="CCEEFF"/>
            </w:tcBorders>
            <w:shd w:fill="CCEEFF" w:val="clear"/>
            <w:vAlign w:val="bottom"/>
          </w:tcPr>
          <w:p>
            <w:pPr>
              <w:pStyle w:val="TableContents"/>
              <w:spacing w:before="0" w:after="283"/>
              <w:jc w:val="left"/>
              <w:rPr/>
            </w:pPr>
            <w:r>
              <w:rPr/>
              <w:t> </w:t>
            </w:r>
          </w:p>
        </w:tc>
      </w:tr>
      <w:tr>
        <w:trPr/>
        <w:tc>
          <w:tcPr>
            <w:tcW w:w="6579" w:type="dxa"/>
            <w:tcBorders/>
            <w:shd w:fill="FFFFFF" w:val="clear"/>
            <w:tcMar>
              <w:bottom w:w="0" w:type="dxa"/>
            </w:tcMar>
            <w:vAlign w:val="bottom"/>
          </w:tcPr>
          <w:p>
            <w:pPr>
              <w:pStyle w:val="TableContents"/>
              <w:spacing w:before="0" w:after="283"/>
              <w:jc w:val="left"/>
              <w:rPr/>
            </w:pPr>
            <w:r>
              <w:rPr/>
              <w:t> </w:t>
            </w:r>
          </w:p>
        </w:tc>
        <w:tc>
          <w:tcPr>
            <w:tcW w:w="200" w:type="dxa"/>
            <w:tcBorders/>
            <w:shd w:fill="FFFFFF" w:val="clear"/>
            <w:tcMar>
              <w:bottom w:w="0" w:type="dxa"/>
            </w:tcMar>
            <w:vAlign w:val="center"/>
          </w:tcPr>
          <w:p>
            <w:pPr>
              <w:pStyle w:val="TableContents"/>
              <w:spacing w:before="0" w:after="283"/>
              <w:rPr/>
            </w:pPr>
            <w:r>
              <w:rPr/>
              <w:t> </w:t>
            </w:r>
          </w:p>
        </w:tc>
        <w:tc>
          <w:tcPr>
            <w:tcW w:w="240" w:type="dxa"/>
            <w:tcBorders/>
            <w:shd w:fill="FFFFFF" w:val="clear"/>
            <w:tcMar>
              <w:bottom w:w="0" w:type="dxa"/>
            </w:tcMar>
            <w:vAlign w:val="bottom"/>
          </w:tcPr>
          <w:p>
            <w:pPr>
              <w:pStyle w:val="TableContents"/>
              <w:spacing w:before="0" w:after="283"/>
              <w:jc w:val="left"/>
              <w:rPr/>
            </w:pPr>
            <w:r>
              <w:rPr/>
              <w:t> </w:t>
            </w:r>
          </w:p>
        </w:tc>
        <w:tc>
          <w:tcPr>
            <w:tcW w:w="1231" w:type="dxa"/>
            <w:tcBorders/>
            <w:shd w:fill="FFFFFF" w:val="clear"/>
            <w:tcMar>
              <w:bottom w:w="0" w:type="dxa"/>
            </w:tcMar>
            <w:vAlign w:val="bottom"/>
          </w:tcPr>
          <w:p>
            <w:pPr>
              <w:pStyle w:val="TableContents"/>
              <w:spacing w:before="0" w:after="283"/>
              <w:jc w:val="right"/>
              <w:rPr/>
            </w:pPr>
            <w:r>
              <w:rPr/>
              <w:t> </w:t>
            </w:r>
          </w:p>
        </w:tc>
        <w:tc>
          <w:tcPr>
            <w:tcW w:w="200" w:type="dxa"/>
            <w:tcBorders/>
            <w:shd w:fill="FFFFFF" w:val="clear"/>
            <w:tcMar>
              <w:bottom w:w="0" w:type="dxa"/>
            </w:tcMar>
            <w:vAlign w:val="bottom"/>
          </w:tcPr>
          <w:p>
            <w:pPr>
              <w:pStyle w:val="TableContents"/>
              <w:spacing w:before="0" w:after="283"/>
              <w:jc w:val="left"/>
              <w:rPr/>
            </w:pPr>
            <w:r>
              <w:rPr/>
              <w:t> </w:t>
            </w:r>
          </w:p>
        </w:tc>
        <w:tc>
          <w:tcPr>
            <w:tcW w:w="262" w:type="dxa"/>
            <w:tcBorders/>
            <w:shd w:fill="FFFFFF" w:val="clear"/>
            <w:tcMar>
              <w:bottom w:w="0" w:type="dxa"/>
            </w:tcMar>
            <w:vAlign w:val="bottom"/>
          </w:tcPr>
          <w:p>
            <w:pPr>
              <w:pStyle w:val="TableContents"/>
              <w:spacing w:before="0" w:after="283"/>
              <w:jc w:val="left"/>
              <w:rPr/>
            </w:pPr>
            <w:r>
              <w:rPr/>
              <w:t> </w:t>
            </w:r>
          </w:p>
        </w:tc>
        <w:tc>
          <w:tcPr>
            <w:tcW w:w="1358" w:type="dxa"/>
            <w:tcBorders/>
            <w:shd w:fill="FFFFFF" w:val="clear"/>
            <w:tcMar>
              <w:bottom w:w="0" w:type="dxa"/>
            </w:tcMar>
            <w:vAlign w:val="bottom"/>
          </w:tcPr>
          <w:p>
            <w:pPr>
              <w:pStyle w:val="TableContents"/>
              <w:spacing w:before="0" w:after="283"/>
              <w:jc w:val="right"/>
              <w:rPr/>
            </w:pPr>
            <w:r>
              <w:rPr/>
              <w:t> </w:t>
            </w:r>
          </w:p>
        </w:tc>
        <w:tc>
          <w:tcPr>
            <w:tcW w:w="135" w:type="dxa"/>
            <w:tcBorders/>
            <w:shd w:fill="FFFFFF" w:val="clear"/>
            <w:tcMar>
              <w:bottom w:w="0" w:type="dxa"/>
            </w:tcMar>
            <w:vAlign w:val="bottom"/>
          </w:tcPr>
          <w:p>
            <w:pPr>
              <w:pStyle w:val="TableContents"/>
              <w:spacing w:before="0" w:after="283"/>
              <w:jc w:val="left"/>
              <w:rPr/>
            </w:pPr>
            <w:r>
              <w:rPr/>
              <w:t> </w:t>
            </w:r>
          </w:p>
        </w:tc>
      </w:tr>
      <w:tr>
        <w:trPr/>
        <w:tc>
          <w:tcPr>
            <w:tcW w:w="6579" w:type="dxa"/>
            <w:tcBorders>
              <w:bottom w:val="single" w:sz="2" w:space="0" w:color="000000"/>
            </w:tcBorders>
            <w:shd w:fill="CCEE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less : Costs allocated to condominium units sold</w:t>
            </w:r>
          </w:p>
        </w:tc>
        <w:tc>
          <w:tcPr>
            <w:tcW w:w="200" w:type="dxa"/>
            <w:tcBorders>
              <w:bottom w:val="single" w:sz="4" w:space="0" w:color="CCEEFF"/>
            </w:tcBorders>
            <w:shd w:fill="CCEEFF" w:val="clear"/>
            <w:vAlign w:val="center"/>
          </w:tcPr>
          <w:p>
            <w:pPr>
              <w:pStyle w:val="TableContents"/>
              <w:spacing w:before="0" w:after="283"/>
              <w:rPr/>
            </w:pPr>
            <w:r>
              <w:rPr/>
              <w:t> </w:t>
            </w:r>
          </w:p>
        </w:tc>
        <w:tc>
          <w:tcPr>
            <w:tcW w:w="240" w:type="dxa"/>
            <w:tcBorders>
              <w:bottom w:val="single" w:sz="2" w:space="0" w:color="000000"/>
            </w:tcBorders>
            <w:shd w:fill="CCEEFF" w:val="clear"/>
            <w:vAlign w:val="bottom"/>
          </w:tcPr>
          <w:p>
            <w:pPr>
              <w:pStyle w:val="TableContents"/>
              <w:spacing w:before="0" w:after="283"/>
              <w:jc w:val="left"/>
              <w:rPr/>
            </w:pPr>
            <w:r>
              <w:rPr/>
              <w:t> </w:t>
            </w:r>
          </w:p>
        </w:tc>
        <w:tc>
          <w:tcPr>
            <w:tcW w:w="1231"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 xml:space="preserve">1,198 </w:t>
            </w:r>
          </w:p>
        </w:tc>
        <w:tc>
          <w:tcPr>
            <w:tcW w:w="200" w:type="dxa"/>
            <w:tcBorders>
              <w:bottom w:val="single" w:sz="4" w:space="0" w:color="CCEEFF"/>
            </w:tcBorders>
            <w:shd w:fill="CCEEFF" w:val="clear"/>
            <w:vAlign w:val="bottom"/>
          </w:tcPr>
          <w:p>
            <w:pPr>
              <w:pStyle w:val="TableContents"/>
              <w:spacing w:before="0" w:after="283"/>
              <w:jc w:val="left"/>
              <w:rPr/>
            </w:pPr>
            <w:r>
              <w:rPr/>
              <w:t> </w:t>
            </w:r>
          </w:p>
        </w:tc>
        <w:tc>
          <w:tcPr>
            <w:tcW w:w="262" w:type="dxa"/>
            <w:tcBorders>
              <w:bottom w:val="single" w:sz="2" w:space="0" w:color="000000"/>
            </w:tcBorders>
            <w:shd w:fill="CCEEFF" w:val="clear"/>
            <w:vAlign w:val="bottom"/>
          </w:tcPr>
          <w:p>
            <w:pPr>
              <w:pStyle w:val="TableContents"/>
              <w:spacing w:before="0" w:after="283"/>
              <w:jc w:val="left"/>
              <w:rPr/>
            </w:pPr>
            <w:r>
              <w:rPr/>
              <w:t> </w:t>
            </w:r>
          </w:p>
        </w:tc>
        <w:tc>
          <w:tcPr>
            <w:tcW w:w="1358" w:type="dxa"/>
            <w:tcBorders>
              <w:bottom w:val="single" w:sz="2" w:space="0" w:color="000000"/>
            </w:tcBorders>
            <w:shd w:fill="CCEE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 xml:space="preserve">-- </w:t>
            </w:r>
          </w:p>
        </w:tc>
        <w:tc>
          <w:tcPr>
            <w:tcW w:w="135" w:type="dxa"/>
            <w:tcBorders>
              <w:bottom w:val="single" w:sz="4" w:space="0" w:color="CCEEFF"/>
            </w:tcBorders>
            <w:shd w:fill="CCEEFF" w:val="clear"/>
            <w:vAlign w:val="bottom"/>
          </w:tcPr>
          <w:p>
            <w:pPr>
              <w:pStyle w:val="TableContents"/>
              <w:spacing w:before="0" w:after="283"/>
              <w:jc w:val="left"/>
              <w:rPr/>
            </w:pPr>
            <w:r>
              <w:rPr/>
              <w:t> </w:t>
            </w:r>
          </w:p>
        </w:tc>
      </w:tr>
      <w:tr>
        <w:trPr/>
        <w:tc>
          <w:tcPr>
            <w:tcW w:w="6579" w:type="dxa"/>
            <w:tcBorders>
              <w:bottom w:val="sing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Net Negotiable Certificates</w:t>
            </w:r>
          </w:p>
        </w:tc>
        <w:tc>
          <w:tcPr>
            <w:tcW w:w="200" w:type="dxa"/>
            <w:tcBorders>
              <w:bottom w:val="single" w:sz="2" w:space="0" w:color="FFFFFF"/>
            </w:tcBorders>
            <w:shd w:fill="FFFFFF" w:val="clear"/>
            <w:vAlign w:val="center"/>
          </w:tcPr>
          <w:p>
            <w:pPr>
              <w:pStyle w:val="TableContents"/>
              <w:spacing w:before="0" w:after="283"/>
              <w:rPr/>
            </w:pPr>
            <w:r>
              <w:rPr/>
              <w:t> </w:t>
            </w:r>
          </w:p>
        </w:tc>
        <w:tc>
          <w:tcPr>
            <w:tcW w:w="240" w:type="dxa"/>
            <w:tcBorders>
              <w:bottom w:val="sing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231"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 xml:space="preserve">308 </w:t>
            </w:r>
          </w:p>
        </w:tc>
        <w:tc>
          <w:tcPr>
            <w:tcW w:w="200" w:type="dxa"/>
            <w:tcBorders>
              <w:bottom w:val="single" w:sz="2" w:space="0" w:color="FFFFFF"/>
            </w:tcBorders>
            <w:shd w:fill="FFFFFF" w:val="clear"/>
            <w:vAlign w:val="bottom"/>
          </w:tcPr>
          <w:p>
            <w:pPr>
              <w:pStyle w:val="TableContents"/>
              <w:spacing w:before="0" w:after="283"/>
              <w:jc w:val="left"/>
              <w:rPr/>
            </w:pPr>
            <w:r>
              <w:rPr/>
              <w:t> </w:t>
            </w:r>
          </w:p>
        </w:tc>
        <w:tc>
          <w:tcPr>
            <w:tcW w:w="262" w:type="dxa"/>
            <w:tcBorders>
              <w:bottom w:val="sing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358"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863</w:t>
            </w:r>
          </w:p>
        </w:tc>
        <w:tc>
          <w:tcPr>
            <w:tcW w:w="135" w:type="dxa"/>
            <w:tcBorders>
              <w:bottom w:val="single" w:sz="2" w:space="0" w:color="FFFFFF"/>
            </w:tcBorders>
            <w:shd w:fill="FFFFFF" w:val="clear"/>
            <w:vAlign w:val="bottom"/>
          </w:tcPr>
          <w:p>
            <w:pPr>
              <w:pStyle w:val="TableContents"/>
              <w:spacing w:before="0" w:after="283"/>
              <w:jc w:val="left"/>
              <w:rPr/>
            </w:pPr>
            <w:r>
              <w:rPr/>
              <w:t> </w:t>
            </w:r>
          </w:p>
        </w:tc>
      </w:tr>
    </w:tbl>
    <w:p>
      <w:pPr>
        <w:pStyle w:val="TextBody"/>
        <w:spacing w:lineRule="auto" w:line="300" w:before="0" w:after="0"/>
        <w:ind w:left="0" w:right="0" w:hanging="0"/>
        <w:jc w:val="left"/>
        <w:rPr/>
      </w:pPr>
      <w:r>
        <w:rPr/>
      </w:r>
    </w:p>
    <w:p>
      <w:pPr>
        <w:pStyle w:val="TextBody"/>
        <w:spacing w:lineRule="auto" w:line="300" w:before="0" w:after="0"/>
        <w:ind w:left="0" w:right="0" w:hanging="0"/>
        <w:jc w:val="left"/>
        <w:rPr/>
      </w:pPr>
      <w:r>
        <w:rPr>
          <w:rStyle w:val="StrongEmphasis"/>
          <w:rFonts w:ascii="Times New Roman" w:hAnsi="Times New Roman"/>
          <w:sz w:val="20"/>
        </w:rPr>
        <w:t>NOTE 6 -</w:t>
      </w:r>
      <w:bookmarkStart w:id="4724" w:name="TAB2301"/>
      <w:bookmarkEnd w:id="4724"/>
      <w:r>
        <w:rPr>
          <w:color w:val="000000"/>
          <w:spacing w:val="540"/>
        </w:rPr>
        <w:t> </w:t>
      </w:r>
      <w:r>
        <w:rPr>
          <w:rStyle w:val="StrongEmphasis"/>
          <w:rFonts w:ascii="Times New Roman" w:hAnsi="Times New Roman"/>
          <w:sz w:val="20"/>
          <w:u w:val="single"/>
        </w:rPr>
        <w:t>AIR RIGHTS</w:t>
      </w:r>
    </w:p>
    <w:p>
      <w:pPr>
        <w:pStyle w:val="TextBody"/>
        <w:spacing w:lineRule="auto" w:line="300" w:before="0" w:after="0"/>
        <w:ind w:left="0" w:right="0" w:hanging="0"/>
        <w:jc w:val="left"/>
        <w:rPr/>
      </w:pPr>
      <w:r>
        <w:rPr/>
      </w:r>
    </w:p>
    <w:p>
      <w:pPr>
        <w:pStyle w:val="TextBody"/>
        <w:spacing w:lineRule="auto" w:line="300" w:before="0" w:after="0"/>
        <w:ind w:left="360" w:right="0" w:hanging="0"/>
        <w:jc w:val="both"/>
        <w:rPr>
          <w:rFonts w:ascii="Times New Roman" w:hAnsi="Times New Roman"/>
          <w:sz w:val="20"/>
        </w:rPr>
      </w:pPr>
      <w:r>
        <w:rPr>
          <w:rFonts w:ascii="Times New Roman" w:hAnsi="Times New Roman"/>
          <w:sz w:val="20"/>
        </w:rPr>
        <w:t>In 2003, the Company purchased 25,550 square feet of inclusionary air rights in order to generate an inclusionary building bonus (air rights) under The Inclusionary Housing Program, as defined in the Zoning Resolution of the City of New York. The purchase price was $2,499,750, which has been capitalized and is included in land.</w:t>
      </w:r>
    </w:p>
    <w:p>
      <w:pPr>
        <w:pStyle w:val="TextBody"/>
        <w:spacing w:lineRule="auto" w:line="300" w:before="0" w:after="0"/>
        <w:ind w:left="0" w:right="0" w:hanging="0"/>
        <w:jc w:val="center"/>
        <w:rPr/>
      </w:pPr>
      <w:r>
        <w:rPr/>
      </w:r>
    </w:p>
    <w:p>
      <w:pPr>
        <w:pStyle w:val="TextBody"/>
        <w:spacing w:lineRule="auto" w:line="300" w:before="0" w:after="0"/>
        <w:ind w:left="360" w:right="0" w:hanging="0"/>
        <w:jc w:val="both"/>
        <w:rPr>
          <w:rFonts w:ascii="Times New Roman" w:hAnsi="Times New Roman"/>
          <w:sz w:val="20"/>
        </w:rPr>
      </w:pPr>
      <w:r>
        <w:rPr>
          <w:rFonts w:ascii="Times New Roman" w:hAnsi="Times New Roman"/>
          <w:sz w:val="20"/>
        </w:rPr>
        <w:t xml:space="preserve">On July 21, 2004, the Company entered into an exchange agreement with Joseph E. Marx Company, Inc. (“Marx”) to exchange like-kind property. The Company exchanged previously acquired land located at 957 </w:t>
      </w:r>
    </w:p>
    <w:p>
      <w:pPr>
        <w:pStyle w:val="TextBody"/>
        <w:spacing w:lineRule="auto" w:line="300" w:before="0" w:after="0"/>
        <w:ind w:left="36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725" w:name="PGBRK129"/>
      <w:bookmarkStart w:id="4726" w:name="PGBRK129"/>
      <w:bookmarkEnd w:id="472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727" w:name="FTR129"/>
      <w:bookmarkStart w:id="4728" w:name="FTR129"/>
      <w:bookmarkEnd w:id="47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729" w:name="GLFTR129"/>
      <w:bookmarkStart w:id="4730" w:name="GLFTR129"/>
      <w:bookmarkEnd w:id="473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4731" w:name="PN129"/>
      <w:bookmarkEnd w:id="4731"/>
      <w:r>
        <w:rPr>
          <w:rFonts w:ascii="Times New Roman" w:hAnsi="Times New Roman"/>
          <w:sz w:val="16"/>
        </w:rPr>
        <w:t>-129-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732" w:name="HDR129"/>
      <w:bookmarkStart w:id="4733" w:name="HDR129"/>
      <w:bookmarkEnd w:id="473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4734" w:name="GLHDR129"/>
        <w:bookmarkEnd w:id="4734"/>
        <w:r>
          <w:rPr>
            <w:rStyle w:val="Emphasis"/>
            <w:rFonts w:ascii="Times New Roman" w:hAnsi="Times New Roman"/>
            <w:color w:val="000000"/>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0"/>
        <w:ind w:left="360" w:right="0" w:hanging="0"/>
        <w:jc w:val="both"/>
        <w:rPr/>
      </w:pPr>
      <w:r>
        <w:rPr/>
        <w:t> </w:t>
      </w:r>
    </w:p>
    <w:p>
      <w:pPr>
        <w:pStyle w:val="TextBody"/>
        <w:spacing w:lineRule="auto" w:line="300" w:before="0" w:after="0"/>
        <w:ind w:left="360" w:right="0" w:hanging="0"/>
        <w:jc w:val="both"/>
        <w:rPr>
          <w:rFonts w:ascii="Times New Roman" w:hAnsi="Times New Roman"/>
          <w:sz w:val="20"/>
        </w:rPr>
      </w:pPr>
      <w:r>
        <w:rPr>
          <w:rFonts w:ascii="Times New Roman" w:hAnsi="Times New Roman"/>
          <w:sz w:val="20"/>
        </w:rPr>
        <w:t>Third Avenue, New York, New York, plus cash of $1,300,000, for excess floor area rights (“air rights”) having an agreed value of $4,410,000. The value of the air rights has been capitalized and is included in land.</w:t>
      </w:r>
    </w:p>
    <w:p>
      <w:pPr>
        <w:pStyle w:val="TextBody"/>
        <w:spacing w:lineRule="auto" w:line="300" w:before="0" w:after="0"/>
        <w:ind w:left="0" w:right="0" w:hanging="0"/>
        <w:jc w:val="center"/>
        <w:rPr/>
      </w:pPr>
      <w:r>
        <w:rPr/>
      </w:r>
    </w:p>
    <w:p>
      <w:pPr>
        <w:pStyle w:val="TextBody"/>
        <w:spacing w:lineRule="auto" w:line="300" w:before="0" w:after="0"/>
        <w:ind w:left="360" w:right="0" w:hanging="0"/>
        <w:jc w:val="both"/>
        <w:rPr>
          <w:rFonts w:ascii="Times New Roman" w:hAnsi="Times New Roman"/>
          <w:sz w:val="20"/>
        </w:rPr>
      </w:pPr>
      <w:r>
        <w:rPr>
          <w:rFonts w:ascii="Times New Roman" w:hAnsi="Times New Roman"/>
          <w:sz w:val="20"/>
        </w:rPr>
        <w:t>During the year ended December 31, 2006, 127,391 square feet out of a total of 128,560 square feet of Inclusionary air rights were utilized to build the condominium development project. The Company estimates that the remaining 1,169 square feet of development air rights will not be able to be sold separately and, accordingly, are included in costs of sales of condominium units.</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pPr>
      <w:r>
        <w:rPr>
          <w:rStyle w:val="StrongEmphasis"/>
          <w:rFonts w:ascii="Times New Roman" w:hAnsi="Times New Roman"/>
          <w:sz w:val="20"/>
        </w:rPr>
        <w:t xml:space="preserve">NOTE 7 - </w:t>
      </w:r>
      <w:bookmarkStart w:id="4735" w:name="TAB2302"/>
      <w:bookmarkEnd w:id="4735"/>
      <w:r>
        <w:rPr>
          <w:color w:val="000000"/>
          <w:spacing w:val="540"/>
        </w:rPr>
        <w:t> </w:t>
      </w:r>
      <w:r>
        <w:rPr>
          <w:rStyle w:val="StrongEmphasis"/>
          <w:rFonts w:ascii="Times New Roman" w:hAnsi="Times New Roman"/>
          <w:sz w:val="20"/>
          <w:u w:val="single"/>
        </w:rPr>
        <w:t>CONSTRUCTION LOAN PAYABLE</w:t>
      </w:r>
    </w:p>
    <w:p>
      <w:pPr>
        <w:pStyle w:val="TextBody"/>
        <w:spacing w:lineRule="auto" w:line="300" w:before="0" w:after="0"/>
        <w:ind w:left="0" w:right="0" w:hanging="0"/>
        <w:jc w:val="both"/>
        <w:rPr/>
      </w:pPr>
      <w:r>
        <w:rPr/>
      </w:r>
    </w:p>
    <w:p>
      <w:pPr>
        <w:pStyle w:val="TextBody"/>
        <w:spacing w:lineRule="auto" w:line="300" w:before="0" w:after="0"/>
        <w:ind w:left="360" w:right="0" w:hanging="0"/>
        <w:jc w:val="both"/>
        <w:rPr/>
      </w:pPr>
      <w:r>
        <w:rPr>
          <w:rFonts w:ascii="Times New Roman" w:hAnsi="Times New Roman"/>
          <w:sz w:val="20"/>
        </w:rPr>
        <w:t>On September 14, 2004, the Company obtained nonrecourse financing in the form of a $80,602,000 construction loan facility (the “Construction Project Loan”) from Corus Bank N.A. (“Construction Lender”) for the development of the property located at 205-209 East 57</w:t>
      </w:r>
      <w:r>
        <w:rPr>
          <w:rFonts w:ascii="Times New Roman" w:hAnsi="Times New Roman"/>
          <w:position w:val="7"/>
          <w:sz w:val="16"/>
          <w:sz w:val="20"/>
        </w:rPr>
        <w:t>th</w:t>
      </w:r>
      <w:r>
        <w:rPr/>
        <w:t xml:space="preserve"> </w:t>
      </w:r>
      <w:r>
        <w:rPr>
          <w:rFonts w:ascii="Times New Roman" w:hAnsi="Times New Roman"/>
          <w:sz w:val="20"/>
        </w:rPr>
        <w:t xml:space="preserve">Street and 957 Third Avenue, New York, New York. </w:t>
      </w:r>
    </w:p>
    <w:p>
      <w:pPr>
        <w:pStyle w:val="TextBody"/>
        <w:spacing w:lineRule="auto" w:line="300" w:before="0" w:after="0"/>
        <w:ind w:left="360" w:right="0" w:hanging="0"/>
        <w:jc w:val="both"/>
        <w:rPr/>
      </w:pPr>
      <w:r>
        <w:rPr/>
      </w:r>
    </w:p>
    <w:p>
      <w:pPr>
        <w:pStyle w:val="TextBody"/>
        <w:spacing w:lineRule="auto" w:line="300" w:before="0" w:after="0"/>
        <w:ind w:left="360" w:right="0" w:hanging="0"/>
        <w:jc w:val="both"/>
        <w:rPr>
          <w:rFonts w:ascii="Times New Roman" w:hAnsi="Times New Roman"/>
          <w:sz w:val="20"/>
        </w:rPr>
      </w:pPr>
      <w:r>
        <w:rPr>
          <w:rFonts w:ascii="Times New Roman" w:hAnsi="Times New Roman"/>
          <w:sz w:val="20"/>
        </w:rPr>
        <w:t>The Construction Project Loan was comprised of three separate facilities: a $14,300,000 acquisition loan to retire the $13,000,000 existing mortgage with Citadel and to finance the payment of $1,300,000 made in connection with the acquisition of the air rights from Marx (Note 6), a $44,133,805 building loan facility and a $22,168,195 soft cost loan facility.</w:t>
      </w:r>
    </w:p>
    <w:p>
      <w:pPr>
        <w:pStyle w:val="TextBody"/>
        <w:spacing w:lineRule="auto" w:line="300" w:before="0" w:after="0"/>
        <w:ind w:left="0" w:right="0" w:hanging="0"/>
        <w:jc w:val="both"/>
        <w:rPr/>
      </w:pPr>
      <w:r>
        <w:rPr/>
      </w:r>
    </w:p>
    <w:p>
      <w:pPr>
        <w:pStyle w:val="TextBody"/>
        <w:spacing w:lineRule="auto" w:line="300" w:before="0" w:after="0"/>
        <w:ind w:left="360" w:right="0" w:hanging="0"/>
        <w:jc w:val="both"/>
        <w:rPr>
          <w:rFonts w:ascii="Times New Roman" w:hAnsi="Times New Roman"/>
          <w:sz w:val="20"/>
        </w:rPr>
      </w:pPr>
      <w:r>
        <w:rPr>
          <w:rFonts w:ascii="Times New Roman" w:hAnsi="Times New Roman"/>
          <w:sz w:val="20"/>
        </w:rPr>
        <w:t xml:space="preserve">Each loan component was evidenced by a separate note (the “Notes”) and was secured by the land, including improvements and equipment thereon, a security agreement and the assignment of leases and rents. The loan was guaranteed by Clarett Capital. </w:t>
      </w:r>
    </w:p>
    <w:p>
      <w:pPr>
        <w:pStyle w:val="TextBody"/>
        <w:spacing w:lineRule="auto" w:line="300" w:before="0" w:after="0"/>
        <w:ind w:left="0" w:right="0" w:hanging="0"/>
        <w:jc w:val="both"/>
        <w:rPr/>
      </w:pPr>
      <w:r>
        <w:rPr/>
      </w:r>
    </w:p>
    <w:p>
      <w:pPr>
        <w:pStyle w:val="TextBody"/>
        <w:spacing w:lineRule="auto" w:line="300" w:before="0" w:after="0"/>
        <w:ind w:left="360" w:right="0" w:hanging="0"/>
        <w:jc w:val="both"/>
        <w:rPr>
          <w:rFonts w:ascii="Times New Roman" w:hAnsi="Times New Roman"/>
          <w:sz w:val="20"/>
        </w:rPr>
      </w:pPr>
      <w:r>
        <w:rPr>
          <w:rFonts w:ascii="Times New Roman" w:hAnsi="Times New Roman"/>
          <w:sz w:val="20"/>
        </w:rPr>
        <w:t>The building loan facility was required to be used to pay for certain hard construction costs incurred in connection with the construction, conversion and completion of the condominium project. The soft cost facility was required to be used for soft costs incurred in connection with the project, such as interest, real estate taxes and certain other fees.</w:t>
      </w:r>
    </w:p>
    <w:p>
      <w:pPr>
        <w:pStyle w:val="TextBody"/>
        <w:spacing w:lineRule="auto" w:line="300" w:before="0" w:after="0"/>
        <w:ind w:left="1080" w:right="0" w:hanging="0"/>
        <w:jc w:val="both"/>
        <w:rPr/>
      </w:pPr>
      <w:r>
        <w:rPr/>
      </w:r>
    </w:p>
    <w:p>
      <w:pPr>
        <w:pStyle w:val="TextBody"/>
        <w:spacing w:lineRule="auto" w:line="300" w:before="0" w:after="0"/>
        <w:ind w:left="360" w:right="0" w:hanging="0"/>
        <w:jc w:val="both"/>
        <w:rPr>
          <w:rFonts w:ascii="Times New Roman" w:hAnsi="Times New Roman"/>
          <w:sz w:val="20"/>
        </w:rPr>
      </w:pPr>
      <w:r>
        <w:rPr>
          <w:rFonts w:ascii="Times New Roman" w:hAnsi="Times New Roman"/>
          <w:sz w:val="20"/>
        </w:rPr>
        <w:t>The $14,300,000 acquisition loan was separated into two tranches each of which accrued interest at different rates. Tranche A, in the amount of $5,598,000, bore interest per annum at the greater of 5% or a defined three-month LIBOR rate plus 3.5%. Tranche B, in the amount of $8,702,000, bore interest at the rate of 12% per annum and could not be repaid until the entire balance of the building loan facility, the Tranche A and Tranche 1 (see below) loans had been paid. The building loan facility bore interest per annum at the greater of 5% or a defined three-month LIBOR rate plus 3.5%.</w:t>
      </w:r>
    </w:p>
    <w:p>
      <w:pPr>
        <w:pStyle w:val="TextBody"/>
        <w:spacing w:lineRule="auto" w:line="300" w:before="0" w:after="0"/>
        <w:ind w:left="360" w:right="0" w:hanging="0"/>
        <w:jc w:val="both"/>
        <w:rPr/>
      </w:pPr>
      <w:r>
        <w:rPr/>
      </w:r>
    </w:p>
    <w:p>
      <w:pPr>
        <w:pStyle w:val="TextBody"/>
        <w:spacing w:lineRule="auto" w:line="300" w:before="0" w:after="0"/>
        <w:ind w:left="360" w:right="0" w:hanging="0"/>
        <w:jc w:val="both"/>
        <w:rPr>
          <w:rFonts w:ascii="Times New Roman" w:hAnsi="Times New Roman"/>
          <w:sz w:val="20"/>
        </w:rPr>
      </w:pPr>
      <w:r>
        <w:rPr>
          <w:rFonts w:ascii="Times New Roman" w:hAnsi="Times New Roman"/>
          <w:sz w:val="20"/>
        </w:rPr>
        <w:t>The soft cost loan facility was comprised of two tranches, each of which accrued at different interest rates. Tranche 1, in the amount of $20,092,195, bore interest per annum at the greater of 5% or a defined three-month LIBOR rate plus 3.5%. Tranche 2, in the amount of $2,076,000, bore interest at the rate of 12% per annum and could not be repaid until the entire balance of the building loan facility, the Tranche A and Tranche 1 loans had been paid.</w:t>
      </w:r>
    </w:p>
    <w:p>
      <w:pPr>
        <w:pStyle w:val="TextBody"/>
        <w:spacing w:lineRule="auto" w:line="300" w:before="0" w:after="0"/>
        <w:ind w:left="360" w:right="0" w:hanging="0"/>
        <w:jc w:val="both"/>
        <w:rPr/>
      </w:pPr>
      <w:r>
        <w:rPr/>
      </w:r>
    </w:p>
    <w:p>
      <w:pPr>
        <w:pStyle w:val="TextBody"/>
        <w:spacing w:lineRule="auto" w:line="300" w:before="0" w:after="0"/>
        <w:ind w:left="360" w:right="0" w:hanging="0"/>
        <w:jc w:val="both"/>
        <w:rPr>
          <w:rFonts w:ascii="Times New Roman" w:hAnsi="Times New Roman"/>
          <w:sz w:val="20"/>
        </w:rPr>
      </w:pPr>
      <w:r>
        <w:rPr>
          <w:rFonts w:ascii="Times New Roman" w:hAnsi="Times New Roman"/>
          <w:sz w:val="20"/>
        </w:rPr>
        <w:t xml:space="preserve">Construction loan interest incurred by the Company for the years ended December 31, 2006, 2005 and 2004 amounted to $3,846,469, $2,776,884 and $478,773, respectively. Construction loan interest was capitalized as construction and development costs throughout the construction period. </w:t>
      </w:r>
    </w:p>
    <w:p>
      <w:pPr>
        <w:pStyle w:val="TextBody"/>
        <w:spacing w:lineRule="auto" w:line="300" w:before="0" w:after="0"/>
        <w:ind w:left="0" w:right="0" w:hanging="0"/>
        <w:jc w:val="left"/>
        <w:rPr/>
      </w:pPr>
      <w:r>
        <w:rPr/>
      </w:r>
    </w:p>
    <w:p>
      <w:pPr>
        <w:pStyle w:val="TextBody"/>
        <w:spacing w:lineRule="auto" w:line="300" w:before="0" w:after="0"/>
        <w:ind w:left="360" w:right="0" w:hanging="0"/>
        <w:jc w:val="both"/>
        <w:rPr>
          <w:rFonts w:ascii="Times New Roman" w:hAnsi="Times New Roman"/>
          <w:sz w:val="20"/>
        </w:rPr>
      </w:pPr>
      <w:r>
        <w:rPr>
          <w:rFonts w:ascii="Times New Roman" w:hAnsi="Times New Roman"/>
          <w:sz w:val="20"/>
        </w:rPr>
        <w:t>The Construction Project Loan agreement provided for the outstanding principal balance of the loan to be paid to the Lender upon the closing of sale of each residential condominium unit in an amount equal to the greater of 100% of the Net Sales Proceeds from each unit, as defined, or 92% of the contract sales price for the unit.</w:t>
      </w:r>
    </w:p>
    <w:p>
      <w:pPr>
        <w:pStyle w:val="TextBody"/>
        <w:spacing w:lineRule="auto" w:line="300" w:before="0" w:after="0"/>
        <w:ind w:left="0" w:right="0" w:hanging="0"/>
        <w:jc w:val="both"/>
        <w:rPr/>
      </w:pPr>
      <w:r>
        <w:rPr/>
      </w:r>
    </w:p>
    <w:p>
      <w:pPr>
        <w:pStyle w:val="TextBody"/>
        <w:spacing w:lineRule="auto" w:line="300" w:before="0" w:after="0"/>
        <w:ind w:left="360" w:right="0" w:hanging="0"/>
        <w:jc w:val="both"/>
        <w:rPr>
          <w:rFonts w:ascii="Times New Roman" w:hAnsi="Times New Roman"/>
          <w:sz w:val="20"/>
        </w:rPr>
      </w:pPr>
      <w:r>
        <w:rPr>
          <w:rFonts w:ascii="Times New Roman" w:hAnsi="Times New Roman"/>
          <w:sz w:val="20"/>
        </w:rPr>
        <w:t xml:space="preserve">In the event of the sale of any retail units, the Construction Project Loan principal to be paid was to be the greater of 100% of the Net Sales Proceeds, as defined, or $1,083 per square foot of the ground floor of the retail unit sold. </w:t>
      </w:r>
    </w:p>
    <w:p>
      <w:pPr>
        <w:pStyle w:val="TextBody"/>
        <w:spacing w:lineRule="auto" w:line="300" w:before="0" w:after="0"/>
        <w:ind w:left="36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736" w:name="PGBRK130"/>
      <w:bookmarkStart w:id="4737" w:name="PGBRK130"/>
      <w:bookmarkEnd w:id="473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738" w:name="FTR130"/>
      <w:bookmarkStart w:id="4739" w:name="FTR130"/>
      <w:bookmarkEnd w:id="473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740" w:name="GLFTR130"/>
      <w:bookmarkStart w:id="4741" w:name="GLFTR130"/>
      <w:bookmarkEnd w:id="474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4742" w:name="PN130"/>
      <w:bookmarkEnd w:id="4742"/>
      <w:r>
        <w:rPr>
          <w:rFonts w:ascii="Times New Roman" w:hAnsi="Times New Roman"/>
          <w:sz w:val="16"/>
        </w:rPr>
        <w:t>-130-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743" w:name="HDR130"/>
      <w:bookmarkStart w:id="4744" w:name="HDR130"/>
      <w:bookmarkEnd w:id="474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4745" w:name="GLHDR130"/>
        <w:bookmarkEnd w:id="4745"/>
        <w:r>
          <w:rPr>
            <w:rStyle w:val="Emphasis"/>
            <w:rFonts w:ascii="Times New Roman" w:hAnsi="Times New Roman"/>
            <w:color w:val="000000"/>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0"/>
        <w:ind w:left="360" w:right="0" w:hanging="0"/>
        <w:jc w:val="both"/>
        <w:rPr/>
      </w:pPr>
      <w:r>
        <w:rPr/>
        <w:t> </w:t>
      </w:r>
    </w:p>
    <w:p>
      <w:pPr>
        <w:pStyle w:val="TextBody"/>
        <w:spacing w:lineRule="auto" w:line="300" w:before="0" w:after="0"/>
        <w:ind w:left="360" w:right="0" w:hanging="0"/>
        <w:jc w:val="both"/>
        <w:rPr>
          <w:rFonts w:ascii="Times New Roman" w:hAnsi="Times New Roman"/>
          <w:sz w:val="20"/>
        </w:rPr>
      </w:pPr>
      <w:r>
        <w:rPr>
          <w:rFonts w:ascii="Times New Roman" w:hAnsi="Times New Roman"/>
          <w:sz w:val="20"/>
        </w:rPr>
        <w:t>As of December 31, 2005 and 2004, the combined outstanding principal balance of all three components of the Construction Project Loan amounted to $57,931,969 and $19,802,244, respectively. During the year ended December 31, 2006, the Company fully repaid the entire outstanding principal balance of the Construction Loan, which amounted to $77,156,151 using proceeds from the sale of the condominium units.</w:t>
      </w:r>
    </w:p>
    <w:p>
      <w:pPr>
        <w:pStyle w:val="TextBody"/>
        <w:spacing w:lineRule="auto" w:line="300" w:before="0" w:after="0"/>
        <w:ind w:left="0" w:right="0" w:hanging="0"/>
        <w:jc w:val="both"/>
        <w:rPr/>
      </w:pPr>
      <w:r>
        <w:rPr/>
      </w:r>
    </w:p>
    <w:p>
      <w:pPr>
        <w:pStyle w:val="TextBody"/>
        <w:spacing w:lineRule="auto" w:line="300" w:before="0" w:after="0"/>
        <w:ind w:left="360" w:right="0" w:hanging="0"/>
        <w:jc w:val="both"/>
        <w:rPr>
          <w:rFonts w:ascii="Times New Roman" w:hAnsi="Times New Roman"/>
          <w:sz w:val="20"/>
        </w:rPr>
      </w:pPr>
      <w:r>
        <w:rPr>
          <w:rFonts w:ascii="Times New Roman" w:hAnsi="Times New Roman"/>
          <w:sz w:val="20"/>
        </w:rPr>
        <w:t>The Company was obligated to pay an exit fee to the Construction Lender in the amount of $403,010 (the “Exit Fee”). Portions of this fee were required to be paid upon the closing of the sale of each condominium unit at a rate of $15,000 per unit until the Exit Fee was paid in full. This obligation has been paid in full during 2006.</w:t>
      </w:r>
    </w:p>
    <w:p>
      <w:pPr>
        <w:pStyle w:val="TextBody"/>
        <w:spacing w:lineRule="auto" w:line="300" w:before="0" w:after="0"/>
        <w:ind w:left="360" w:right="0" w:hanging="0"/>
        <w:jc w:val="both"/>
        <w:rPr/>
      </w:pPr>
      <w:r>
        <w:rPr/>
      </w:r>
    </w:p>
    <w:p>
      <w:pPr>
        <w:pStyle w:val="TextBody"/>
        <w:spacing w:lineRule="auto" w:line="300" w:before="0" w:after="0"/>
        <w:ind w:left="0" w:right="0" w:hanging="0"/>
        <w:jc w:val="both"/>
        <w:rPr/>
      </w:pPr>
      <w:r>
        <w:rPr>
          <w:rStyle w:val="StrongEmphasis"/>
          <w:rFonts w:ascii="Times New Roman" w:hAnsi="Times New Roman"/>
          <w:sz w:val="20"/>
        </w:rPr>
        <w:t xml:space="preserve">NOTE 8 - </w:t>
      </w:r>
      <w:bookmarkStart w:id="4746" w:name="TAB2303"/>
      <w:bookmarkEnd w:id="4746"/>
      <w:r>
        <w:rPr>
          <w:color w:val="000000"/>
          <w:spacing w:val="540"/>
        </w:rPr>
        <w:t> </w:t>
      </w:r>
      <w:r>
        <w:rPr>
          <w:rStyle w:val="StrongEmphasis"/>
          <w:rFonts w:ascii="Times New Roman" w:hAnsi="Times New Roman"/>
          <w:sz w:val="20"/>
          <w:u w:val="single"/>
        </w:rPr>
        <w:t>RETAINAGE PAYABLE</w:t>
      </w:r>
    </w:p>
    <w:p>
      <w:pPr>
        <w:pStyle w:val="TextBody"/>
        <w:spacing w:before="0" w:after="0"/>
        <w:rPr/>
      </w:pPr>
      <w:r>
        <w:rPr/>
        <w:t> </w:t>
      </w:r>
    </w:p>
    <w:p>
      <w:pPr>
        <w:pStyle w:val="TextBody"/>
        <w:spacing w:lineRule="auto" w:line="300" w:before="0" w:after="0"/>
        <w:ind w:left="360" w:right="0" w:hanging="0"/>
        <w:jc w:val="both"/>
        <w:rPr>
          <w:rFonts w:ascii="Times New Roman" w:hAnsi="Times New Roman"/>
          <w:sz w:val="20"/>
        </w:rPr>
      </w:pPr>
      <w:r>
        <w:rPr>
          <w:rFonts w:ascii="Times New Roman" w:hAnsi="Times New Roman"/>
          <w:sz w:val="20"/>
        </w:rPr>
        <w:t>The construction agreement requires retainage of not less than ten percent of the costs incurred to the contractor until fifty percent of the work is completed. Thereafter, Bovis Lend Lease (“Construction manager”) has the discretion to determine the retainage percentage on a subcontractor-by-subcontractor basis. For the years ended December 31, 2006, 2005 and 2004 the retainage payable amounted to $751,369, $1,704,298 and $28,525, respectively.</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pPr>
      <w:r>
        <w:rPr>
          <w:rStyle w:val="StrongEmphasis"/>
          <w:rFonts w:ascii="Times New Roman" w:hAnsi="Times New Roman"/>
          <w:sz w:val="20"/>
        </w:rPr>
        <w:t xml:space="preserve">NOTE 9 - </w:t>
      </w:r>
      <w:bookmarkStart w:id="4747" w:name="TAB2304"/>
      <w:bookmarkEnd w:id="4747"/>
      <w:r>
        <w:rPr>
          <w:color w:val="000000"/>
          <w:spacing w:val="540"/>
        </w:rPr>
        <w:t> </w:t>
      </w:r>
      <w:r>
        <w:rPr>
          <w:rStyle w:val="StrongEmphasis"/>
          <w:rFonts w:ascii="Times New Roman" w:hAnsi="Times New Roman"/>
          <w:sz w:val="20"/>
          <w:u w:val="single"/>
        </w:rPr>
        <w:t>CONDOMINIUM SALES</w:t>
      </w:r>
    </w:p>
    <w:p>
      <w:pPr>
        <w:pStyle w:val="TextBody"/>
        <w:spacing w:lineRule="auto" w:line="300" w:before="0" w:after="0"/>
        <w:ind w:left="0" w:right="0" w:firstLine="720"/>
        <w:jc w:val="left"/>
        <w:rPr/>
      </w:pPr>
      <w:r>
        <w:rPr/>
      </w:r>
    </w:p>
    <w:p>
      <w:pPr>
        <w:pStyle w:val="TextBody"/>
        <w:spacing w:lineRule="auto" w:line="300" w:before="0" w:after="0"/>
        <w:ind w:left="360" w:right="0" w:hanging="0"/>
        <w:jc w:val="both"/>
        <w:rPr>
          <w:rFonts w:ascii="Times New Roman" w:hAnsi="Times New Roman"/>
          <w:sz w:val="20"/>
        </w:rPr>
      </w:pPr>
      <w:r>
        <w:rPr>
          <w:rFonts w:ascii="Times New Roman" w:hAnsi="Times New Roman"/>
          <w:sz w:val="20"/>
        </w:rPr>
        <w:t xml:space="preserve">In 2004, the Company initiated a condominium offering plan, which obtained the necessary approvals in 2005 and 2006. The condominium consists of 68 residential units and one commercial unit. 67 residential units were offered for sale and one residential unit will be retained by the Company and leased to the condominium association. </w:t>
      </w:r>
    </w:p>
    <w:p>
      <w:pPr>
        <w:pStyle w:val="TextBody"/>
        <w:spacing w:lineRule="auto" w:line="300" w:before="0" w:after="0"/>
        <w:ind w:left="360" w:right="0" w:hanging="0"/>
        <w:jc w:val="both"/>
        <w:rPr/>
      </w:pPr>
      <w:r>
        <w:rPr/>
      </w:r>
    </w:p>
    <w:p>
      <w:pPr>
        <w:pStyle w:val="TextBody"/>
        <w:spacing w:lineRule="auto" w:line="300" w:before="0" w:after="0"/>
        <w:ind w:left="360" w:right="0" w:hanging="0"/>
        <w:jc w:val="both"/>
        <w:rPr>
          <w:rFonts w:ascii="Times New Roman" w:hAnsi="Times New Roman"/>
          <w:sz w:val="20"/>
        </w:rPr>
      </w:pPr>
      <w:r>
        <w:rPr>
          <w:rFonts w:ascii="Times New Roman" w:hAnsi="Times New Roman"/>
          <w:sz w:val="20"/>
        </w:rPr>
        <w:t xml:space="preserve">The Company entered into contracts to sell 65 of the saleable residential condominium units. 59 of the units closed as of December 31, 2006, and for the remaining units the selling prices are estimated to be approximately $25,152,000. At December 31, 2006, down payments of $1,967,700, plus interest of $66,065, are being held in third-party attorney escrow accounts in connection with 6 units under contracts of sale. All interest earned on the escrow deposits belong to the buyer. The commercial unit, which has a projected selling price of approximately $4,500,000, is still available for sale. </w:t>
      </w:r>
    </w:p>
    <w:p>
      <w:pPr>
        <w:pStyle w:val="TextBody"/>
        <w:spacing w:lineRule="auto" w:line="300" w:before="0" w:after="0"/>
        <w:ind w:left="0" w:right="0" w:hanging="0"/>
        <w:jc w:val="left"/>
        <w:rPr/>
      </w:pPr>
      <w:r>
        <w:rPr/>
      </w:r>
    </w:p>
    <w:p>
      <w:pPr>
        <w:pStyle w:val="TextBody"/>
        <w:spacing w:lineRule="auto" w:line="300" w:before="0" w:after="0"/>
        <w:ind w:left="0" w:right="0" w:hanging="0"/>
        <w:jc w:val="both"/>
        <w:rPr/>
      </w:pPr>
      <w:r>
        <w:rPr>
          <w:rStyle w:val="StrongEmphasis"/>
          <w:rFonts w:ascii="Times New Roman" w:hAnsi="Times New Roman"/>
          <w:sz w:val="20"/>
        </w:rPr>
        <w:t>NOTE 10 -</w:t>
      </w:r>
      <w:bookmarkStart w:id="4748" w:name="TAB2305"/>
      <w:bookmarkEnd w:id="4748"/>
      <w:r>
        <w:rPr>
          <w:color w:val="000000"/>
          <w:spacing w:val="540"/>
        </w:rPr>
        <w:t> </w:t>
      </w:r>
      <w:r>
        <w:rPr>
          <w:rStyle w:val="StrongEmphasis"/>
          <w:rFonts w:ascii="Times New Roman" w:hAnsi="Times New Roman"/>
          <w:sz w:val="20"/>
          <w:u w:val="single"/>
        </w:rPr>
        <w:t>SELLING COSTS</w:t>
      </w:r>
    </w:p>
    <w:p>
      <w:pPr>
        <w:pStyle w:val="TextBody"/>
        <w:spacing w:lineRule="auto" w:line="300" w:before="0" w:after="0"/>
        <w:ind w:left="0" w:right="0" w:hanging="0"/>
        <w:jc w:val="both"/>
        <w:rPr/>
      </w:pPr>
      <w:r>
        <w:rPr/>
      </w:r>
    </w:p>
    <w:p>
      <w:pPr>
        <w:pStyle w:val="TextBody"/>
        <w:spacing w:lineRule="auto" w:line="300" w:before="0" w:after="0"/>
        <w:ind w:left="360" w:right="0" w:hanging="0"/>
        <w:jc w:val="both"/>
        <w:rPr>
          <w:rFonts w:ascii="Times New Roman" w:hAnsi="Times New Roman"/>
          <w:sz w:val="20"/>
        </w:rPr>
      </w:pPr>
      <w:r>
        <w:rPr>
          <w:rFonts w:ascii="Times New Roman" w:hAnsi="Times New Roman"/>
          <w:sz w:val="20"/>
        </w:rPr>
        <w:t>At December 31, 2006, selling costs are comprised of the following (dollars in thousands):</w:t>
      </w:r>
    </w:p>
    <w:p>
      <w:pPr>
        <w:pStyle w:val="TextBody"/>
        <w:spacing w:lineRule="auto" w:line="300" w:before="0" w:after="0"/>
        <w:ind w:left="360" w:right="0" w:hanging="0"/>
        <w:jc w:val="both"/>
        <w:rPr/>
      </w:pPr>
      <w:r>
        <w:rPr/>
      </w:r>
    </w:p>
    <w:p>
      <w:pPr>
        <w:pStyle w:val="Normal"/>
        <w:spacing w:before="0" w:after="0"/>
        <w:rPr>
          <w:sz w:val="4"/>
          <w:szCs w:val="4"/>
        </w:rPr>
      </w:pPr>
      <w:r>
        <w:rPr>
          <w:sz w:val="4"/>
          <w:szCs w:val="4"/>
        </w:rPr>
      </w:r>
      <w:bookmarkStart w:id="4749" w:name="ftable70"/>
      <w:bookmarkStart w:id="4750" w:name="ftable70"/>
      <w:bookmarkEnd w:id="4750"/>
    </w:p>
    <w:tbl>
      <w:tblPr>
        <w:tblW w:w="5000" w:type="pct"/>
        <w:jc w:val="left"/>
        <w:tblInd w:w="0" w:type="dxa"/>
        <w:tblCellMar>
          <w:top w:w="0" w:type="dxa"/>
          <w:left w:w="0" w:type="dxa"/>
          <w:bottom w:w="0" w:type="dxa"/>
          <w:right w:w="0" w:type="dxa"/>
        </w:tblCellMar>
      </w:tblPr>
      <w:tblGrid>
        <w:gridCol w:w="8573"/>
        <w:gridCol w:w="208"/>
        <w:gridCol w:w="125"/>
        <w:gridCol w:w="1182"/>
        <w:gridCol w:w="117"/>
      </w:tblGrid>
      <w:tr>
        <w:trPr/>
        <w:tc>
          <w:tcPr>
            <w:tcW w:w="8573" w:type="dxa"/>
            <w:tcBorders/>
            <w:shd w:fill="CCEE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Broker fees</w:t>
            </w:r>
          </w:p>
        </w:tc>
        <w:tc>
          <w:tcPr>
            <w:tcW w:w="208" w:type="dxa"/>
            <w:tcBorders/>
            <w:shd w:fill="CCEEFF" w:val="clear"/>
            <w:vAlign w:val="center"/>
          </w:tcPr>
          <w:p>
            <w:pPr>
              <w:pStyle w:val="TableContents"/>
              <w:spacing w:before="0" w:after="283"/>
              <w:rPr/>
            </w:pPr>
            <w:r>
              <w:rPr/>
              <w:t> </w:t>
            </w:r>
          </w:p>
        </w:tc>
        <w:tc>
          <w:tcPr>
            <w:tcW w:w="125" w:type="dxa"/>
            <w:tcBorders/>
            <w:shd w:fill="CCEEFF" w:val="clear"/>
            <w:vAlign w:val="bottom"/>
          </w:tcPr>
          <w:p>
            <w:pPr>
              <w:pStyle w:val="TableContents"/>
              <w:spacing w:lineRule="auto" w:line="300" w:before="0" w:after="0"/>
              <w:ind w:left="0" w:right="0" w:hanging="0"/>
              <w:jc w:val="left"/>
              <w:rPr>
                <w:rFonts w:ascii="Times New Roman" w:hAnsi="Times New Roman"/>
                <w:sz w:val="20"/>
              </w:rPr>
            </w:pPr>
            <w:bookmarkStart w:id="4751" w:name="TAB12349"/>
            <w:bookmarkEnd w:id="4751"/>
            <w:r>
              <w:rPr>
                <w:rFonts w:ascii="Times New Roman" w:hAnsi="Times New Roman"/>
                <w:sz w:val="20"/>
              </w:rPr>
              <w:t>$</w:t>
            </w:r>
          </w:p>
        </w:tc>
        <w:tc>
          <w:tcPr>
            <w:tcW w:w="1182" w:type="dxa"/>
            <w:tcBorders/>
            <w:shd w:fill="CCEEFF" w:val="clear"/>
            <w:vAlign w:val="bottom"/>
          </w:tcPr>
          <w:p>
            <w:pPr>
              <w:pStyle w:val="TableContents"/>
              <w:spacing w:lineRule="auto" w:line="300" w:before="0" w:after="0"/>
              <w:ind w:left="0" w:right="0" w:hanging="0"/>
              <w:jc w:val="right"/>
              <w:rPr>
                <w:rFonts w:ascii="Times New Roman" w:hAnsi="Times New Roman"/>
                <w:sz w:val="20"/>
              </w:rPr>
            </w:pPr>
            <w:bookmarkStart w:id="4752" w:name="TAB12350"/>
            <w:bookmarkEnd w:id="4752"/>
            <w:r>
              <w:rPr>
                <w:rFonts w:ascii="Times New Roman" w:hAnsi="Times New Roman"/>
                <w:sz w:val="20"/>
              </w:rPr>
              <w:t>3,720</w:t>
            </w:r>
          </w:p>
        </w:tc>
        <w:tc>
          <w:tcPr>
            <w:tcW w:w="117" w:type="dxa"/>
            <w:tcBorders/>
            <w:shd w:fill="CCEEFF" w:val="clear"/>
            <w:vAlign w:val="bottom"/>
          </w:tcPr>
          <w:p>
            <w:pPr>
              <w:pStyle w:val="TableContents"/>
              <w:spacing w:before="0" w:after="283"/>
              <w:jc w:val="left"/>
              <w:rPr/>
            </w:pPr>
            <w:r>
              <w:rPr/>
              <w:t> </w:t>
            </w:r>
          </w:p>
        </w:tc>
      </w:tr>
      <w:tr>
        <w:trPr/>
        <w:tc>
          <w:tcPr>
            <w:tcW w:w="8573" w:type="dxa"/>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Commissions</w:t>
            </w:r>
          </w:p>
        </w:tc>
        <w:tc>
          <w:tcPr>
            <w:tcW w:w="208" w:type="dxa"/>
            <w:tcBorders/>
            <w:shd w:fill="FFFFFF" w:val="clear"/>
            <w:vAlign w:val="center"/>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82" w:type="dxa"/>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2,783</w:t>
            </w:r>
          </w:p>
        </w:tc>
        <w:tc>
          <w:tcPr>
            <w:tcW w:w="117" w:type="dxa"/>
            <w:tcBorders/>
            <w:shd w:fill="FFFFFF" w:val="clear"/>
            <w:vAlign w:val="bottom"/>
          </w:tcPr>
          <w:p>
            <w:pPr>
              <w:pStyle w:val="TableContents"/>
              <w:spacing w:before="0" w:after="283"/>
              <w:jc w:val="left"/>
              <w:rPr/>
            </w:pPr>
            <w:r>
              <w:rPr/>
              <w:t> </w:t>
            </w:r>
          </w:p>
        </w:tc>
      </w:tr>
      <w:tr>
        <w:trPr/>
        <w:tc>
          <w:tcPr>
            <w:tcW w:w="8573" w:type="dxa"/>
            <w:tcBorders>
              <w:bottom w:val="single" w:sz="2" w:space="0" w:color="000000"/>
            </w:tcBorders>
            <w:shd w:fill="CCEEFF" w:val="clear"/>
            <w:tcMar>
              <w:bottom w:w="28"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Title recording</w:t>
            </w:r>
          </w:p>
        </w:tc>
        <w:tc>
          <w:tcPr>
            <w:tcW w:w="208" w:type="dxa"/>
            <w:tcBorders>
              <w:bottom w:val="single" w:sz="4" w:space="0" w:color="CCEEFF"/>
            </w:tcBorders>
            <w:shd w:fill="CCEEFF" w:val="clear"/>
            <w:tcMar>
              <w:bottom w:w="28" w:type="dxa"/>
            </w:tcM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bottom"/>
          </w:tcPr>
          <w:p>
            <w:pPr>
              <w:pStyle w:val="TableContents"/>
              <w:spacing w:before="0" w:after="283"/>
              <w:jc w:val="left"/>
              <w:rPr/>
            </w:pPr>
            <w:r>
              <w:rPr/>
              <w:t> </w:t>
            </w:r>
          </w:p>
        </w:tc>
        <w:tc>
          <w:tcPr>
            <w:tcW w:w="1182" w:type="dxa"/>
            <w:tcBorders>
              <w:bottom w:val="single" w:sz="2" w:space="0" w:color="000000"/>
            </w:tcBorders>
            <w:shd w:fill="CCEEFF" w:val="clear"/>
            <w:tcMar>
              <w:bottom w:w="28"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20</w:t>
            </w:r>
          </w:p>
        </w:tc>
        <w:tc>
          <w:tcPr>
            <w:tcW w:w="117" w:type="dxa"/>
            <w:tcBorders>
              <w:bottom w:val="single" w:sz="4" w:space="0" w:color="CCEEFF"/>
            </w:tcBorders>
            <w:shd w:fill="CCEEFF" w:val="clear"/>
            <w:tcMar>
              <w:bottom w:w="28" w:type="dxa"/>
            </w:tcMar>
            <w:vAlign w:val="bottom"/>
          </w:tcPr>
          <w:p>
            <w:pPr>
              <w:pStyle w:val="TableContents"/>
              <w:spacing w:before="0" w:after="283"/>
              <w:jc w:val="left"/>
              <w:rPr/>
            </w:pPr>
            <w:r>
              <w:rPr/>
              <w:t> </w:t>
            </w:r>
          </w:p>
        </w:tc>
      </w:tr>
      <w:tr>
        <w:trPr/>
        <w:tc>
          <w:tcPr>
            <w:tcW w:w="8573" w:type="dxa"/>
            <w:tcBorders>
              <w:bottom w:val="double" w:sz="2" w:space="0" w:color="000000"/>
            </w:tcBorders>
            <w:shd w:fill="FFFFFF" w:val="clear"/>
            <w:tcMar>
              <w:bottom w:w="28" w:type="dxa"/>
            </w:tcMar>
            <w:vAlign w:val="bottom"/>
          </w:tcPr>
          <w:p>
            <w:pPr>
              <w:pStyle w:val="TableContents"/>
              <w:spacing w:before="0" w:after="283"/>
              <w:jc w:val="left"/>
              <w:rPr/>
            </w:pPr>
            <w:r>
              <w:rPr/>
              <w:t> </w:t>
            </w:r>
          </w:p>
        </w:tc>
        <w:tc>
          <w:tcPr>
            <w:tcW w:w="208" w:type="dxa"/>
            <w:tcBorders>
              <w:bottom w:val="single" w:sz="4" w:space="0" w:color="FFFFFF"/>
            </w:tcBorders>
            <w:shd w:fill="FFFFFF" w:val="clear"/>
            <w:tcMar>
              <w:bottom w:w="28" w:type="dxa"/>
            </w:tcMar>
            <w:vAlign w:val="center"/>
          </w:tcPr>
          <w:p>
            <w:pPr>
              <w:pStyle w:val="TableContents"/>
              <w:spacing w:before="0" w:after="283"/>
              <w:rPr/>
            </w:pPr>
            <w:r>
              <w:rPr/>
              <w:t> </w:t>
            </w:r>
          </w:p>
        </w:tc>
        <w:tc>
          <w:tcPr>
            <w:tcW w:w="125" w:type="dxa"/>
            <w:tcBorders>
              <w:bottom w:val="double" w:sz="2" w:space="0" w:color="000000"/>
            </w:tcBorders>
            <w:shd w:fill="FFFFFF" w:val="clear"/>
            <w:tcMar>
              <w:bottom w:w="28" w:type="dxa"/>
            </w:tcMar>
            <w:vAlign w:val="bottom"/>
          </w:tcPr>
          <w:p>
            <w:pPr>
              <w:pStyle w:val="TableContents"/>
              <w:spacing w:lineRule="auto" w:line="300" w:before="0" w:after="0"/>
              <w:ind w:left="0" w:right="0" w:hanging="0"/>
              <w:jc w:val="left"/>
              <w:rPr>
                <w:rFonts w:ascii="Times New Roman" w:hAnsi="Times New Roman"/>
                <w:sz w:val="20"/>
              </w:rPr>
            </w:pPr>
            <w:bookmarkStart w:id="4753" w:name="TAB12351"/>
            <w:bookmarkEnd w:id="4753"/>
            <w:r>
              <w:rPr>
                <w:rFonts w:ascii="Times New Roman" w:hAnsi="Times New Roman"/>
                <w:sz w:val="20"/>
              </w:rPr>
              <w:t>$</w:t>
            </w:r>
          </w:p>
        </w:tc>
        <w:tc>
          <w:tcPr>
            <w:tcW w:w="1182" w:type="dxa"/>
            <w:tcBorders>
              <w:bottom w:val="double" w:sz="2" w:space="0" w:color="000000"/>
            </w:tcBorders>
            <w:shd w:fill="FFFFFF" w:val="clear"/>
            <w:tcMar>
              <w:bottom w:w="28" w:type="dxa"/>
            </w:tcMar>
            <w:vAlign w:val="bottom"/>
          </w:tcPr>
          <w:p>
            <w:pPr>
              <w:pStyle w:val="TableContents"/>
              <w:spacing w:lineRule="auto" w:line="300" w:before="0" w:after="0"/>
              <w:ind w:left="0" w:right="0" w:hanging="0"/>
              <w:jc w:val="right"/>
              <w:rPr>
                <w:rFonts w:ascii="Times New Roman" w:hAnsi="Times New Roman"/>
                <w:sz w:val="20"/>
              </w:rPr>
            </w:pPr>
            <w:bookmarkStart w:id="4754" w:name="TAB12352"/>
            <w:bookmarkEnd w:id="4754"/>
            <w:r>
              <w:rPr>
                <w:rFonts w:ascii="Times New Roman" w:hAnsi="Times New Roman"/>
                <w:sz w:val="20"/>
              </w:rPr>
              <w:t>6,523</w:t>
            </w:r>
          </w:p>
        </w:tc>
        <w:tc>
          <w:tcPr>
            <w:tcW w:w="117" w:type="dxa"/>
            <w:tcBorders>
              <w:bottom w:val="single" w:sz="4" w:space="0" w:color="FFFFFF"/>
            </w:tcBorders>
            <w:shd w:fill="FFFFFF" w:val="clear"/>
            <w:tcMar>
              <w:bottom w:w="28" w:type="dxa"/>
            </w:tcMar>
            <w:vAlign w:val="bottom"/>
          </w:tcPr>
          <w:p>
            <w:pPr>
              <w:pStyle w:val="TableContents"/>
              <w:spacing w:before="0" w:after="283"/>
              <w:jc w:val="left"/>
              <w:rPr/>
            </w:pPr>
            <w:r>
              <w:rPr/>
              <w:t> </w:t>
            </w:r>
          </w:p>
        </w:tc>
      </w:tr>
    </w:tbl>
    <w:p>
      <w:pPr>
        <w:pStyle w:val="TextBody"/>
        <w:spacing w:lineRule="auto" w:line="300" w:before="0" w:after="0"/>
        <w:ind w:left="360" w:right="0" w:hanging="0"/>
        <w:jc w:val="both"/>
        <w:rPr/>
      </w:pPr>
      <w:r>
        <w:rPr/>
      </w:r>
    </w:p>
    <w:p>
      <w:pPr>
        <w:pStyle w:val="TextBody"/>
        <w:spacing w:lineRule="auto" w:line="300" w:before="0" w:after="0"/>
        <w:ind w:left="0" w:right="0" w:hanging="0"/>
        <w:jc w:val="left"/>
        <w:rPr/>
      </w:pPr>
      <w:r>
        <w:rPr>
          <w:rStyle w:val="StrongEmphasis"/>
          <w:rFonts w:ascii="Times New Roman" w:hAnsi="Times New Roman"/>
          <w:sz w:val="20"/>
        </w:rPr>
        <w:t>NOTE 11 -</w:t>
      </w:r>
      <w:bookmarkStart w:id="4755" w:name="TAB2306"/>
      <w:bookmarkEnd w:id="4755"/>
      <w:r>
        <w:rPr>
          <w:color w:val="000000"/>
          <w:spacing w:val="540"/>
        </w:rPr>
        <w:t> </w:t>
      </w:r>
      <w:r>
        <w:rPr>
          <w:rStyle w:val="StrongEmphasis"/>
        </w:rPr>
        <w:t> </w:t>
      </w:r>
      <w:r>
        <w:rPr>
          <w:rStyle w:val="StrongEmphasis"/>
          <w:rFonts w:ascii="Times New Roman" w:hAnsi="Times New Roman"/>
          <w:sz w:val="20"/>
          <w:u w:val="single"/>
        </w:rPr>
        <w:t>RELATED PARTY TRANSACTIONS</w:t>
      </w:r>
    </w:p>
    <w:p>
      <w:pPr>
        <w:pStyle w:val="TextBody"/>
        <w:spacing w:lineRule="auto" w:line="300" w:before="0" w:after="0"/>
        <w:ind w:left="0" w:right="0" w:hanging="0"/>
        <w:jc w:val="left"/>
        <w:rPr/>
      </w:pPr>
      <w:r>
        <w:rPr/>
      </w:r>
    </w:p>
    <w:p>
      <w:pPr>
        <w:pStyle w:val="Normal"/>
        <w:spacing w:before="0" w:after="0"/>
        <w:rPr>
          <w:sz w:val="4"/>
          <w:szCs w:val="4"/>
        </w:rPr>
      </w:pPr>
      <w:r>
        <w:rPr>
          <w:sz w:val="4"/>
          <w:szCs w:val="4"/>
        </w:rPr>
      </w:r>
      <w:bookmarkStart w:id="4756" w:name="list"/>
      <w:bookmarkStart w:id="4757" w:name="list"/>
      <w:bookmarkEnd w:id="4757"/>
    </w:p>
    <w:tbl>
      <w:tblPr>
        <w:tblW w:w="5000" w:type="pct"/>
        <w:jc w:val="left"/>
        <w:tblInd w:w="0" w:type="dxa"/>
        <w:tblCellMar>
          <w:top w:w="0" w:type="dxa"/>
          <w:left w:w="0" w:type="dxa"/>
          <w:bottom w:w="0" w:type="dxa"/>
          <w:right w:w="0" w:type="dxa"/>
        </w:tblCellMar>
      </w:tblPr>
      <w:tblGrid>
        <w:gridCol w:w="2097"/>
        <w:gridCol w:w="8108"/>
      </w:tblGrid>
      <w:tr>
        <w:trPr/>
        <w:tc>
          <w:tcPr>
            <w:tcW w:w="2097"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(a)  </w:t>
            </w:r>
          </w:p>
        </w:tc>
        <w:tc>
          <w:tcPr>
            <w:tcW w:w="810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Due to Affiliate</w:t>
            </w:r>
          </w:p>
        </w:tc>
      </w:tr>
    </w:tbl>
    <w:p>
      <w:pPr>
        <w:pStyle w:val="TextBody"/>
        <w:spacing w:lineRule="auto" w:line="300" w:before="0" w:after="0"/>
        <w:ind w:left="360" w:right="0" w:hanging="0"/>
        <w:jc w:val="left"/>
        <w:rPr/>
      </w:pPr>
      <w:r>
        <w:rPr/>
      </w:r>
    </w:p>
    <w:p>
      <w:pPr>
        <w:pStyle w:val="TextBody"/>
        <w:spacing w:lineRule="auto" w:line="300" w:before="0" w:after="0"/>
        <w:ind w:left="720" w:right="0" w:hanging="0"/>
        <w:jc w:val="both"/>
        <w:rPr>
          <w:rFonts w:ascii="Times New Roman" w:hAnsi="Times New Roman"/>
          <w:sz w:val="20"/>
        </w:rPr>
      </w:pPr>
      <w:r>
        <w:rPr>
          <w:rFonts w:ascii="Times New Roman" w:hAnsi="Times New Roman"/>
          <w:sz w:val="20"/>
        </w:rPr>
        <w:t xml:space="preserve">At December 31, 2006, the Company owes $236,014 to The Clarett Group (“Clarett Group”) for marketing commissions and other reimbursable expenses paid on behalf of the Company. Members of the Company are also members in Clarett Group. </w:t>
      </w:r>
    </w:p>
    <w:p>
      <w:pPr>
        <w:pStyle w:val="TextBody"/>
        <w:spacing w:lineRule="auto" w:line="300" w:before="0" w:after="0"/>
        <w:ind w:left="0" w:right="0" w:hanging="0"/>
        <w:jc w:val="left"/>
        <w:rPr/>
      </w:pPr>
      <w:r>
        <w:rPr/>
      </w:r>
    </w:p>
    <w:p>
      <w:pPr>
        <w:pStyle w:val="Normal"/>
        <w:spacing w:before="0" w:after="0"/>
        <w:rPr>
          <w:sz w:val="4"/>
          <w:szCs w:val="4"/>
        </w:rPr>
      </w:pPr>
      <w:r>
        <w:rPr>
          <w:sz w:val="4"/>
          <w:szCs w:val="4"/>
        </w:rPr>
      </w:r>
      <w:bookmarkStart w:id="4758" w:name="list1"/>
      <w:bookmarkStart w:id="4759" w:name="list1"/>
      <w:bookmarkEnd w:id="4759"/>
    </w:p>
    <w:tbl>
      <w:tblPr>
        <w:tblW w:w="5000" w:type="pct"/>
        <w:jc w:val="left"/>
        <w:tblInd w:w="0" w:type="dxa"/>
        <w:tblCellMar>
          <w:top w:w="0" w:type="dxa"/>
          <w:left w:w="0" w:type="dxa"/>
          <w:bottom w:w="0" w:type="dxa"/>
          <w:right w:w="0" w:type="dxa"/>
        </w:tblCellMar>
      </w:tblPr>
      <w:tblGrid>
        <w:gridCol w:w="1894"/>
        <w:gridCol w:w="8311"/>
      </w:tblGrid>
      <w:tr>
        <w:trPr/>
        <w:tc>
          <w:tcPr>
            <w:tcW w:w="1894"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(b)  </w:t>
            </w:r>
          </w:p>
        </w:tc>
        <w:tc>
          <w:tcPr>
            <w:tcW w:w="831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Development Fees</w:t>
            </w:r>
          </w:p>
        </w:tc>
      </w:tr>
    </w:tbl>
    <w:p>
      <w:pPr>
        <w:pStyle w:val="TextBody"/>
        <w:spacing w:lineRule="auto" w:line="300" w:before="0" w:after="0"/>
        <w:ind w:left="360" w:right="0" w:hanging="0"/>
        <w:jc w:val="left"/>
        <w:rPr/>
      </w:pPr>
      <w:r>
        <w:rPr/>
      </w:r>
    </w:p>
    <w:p>
      <w:pPr>
        <w:pStyle w:val="TextBody"/>
        <w:spacing w:lineRule="auto" w:line="300" w:before="0" w:after="0"/>
        <w:ind w:left="720" w:right="0" w:hanging="0"/>
        <w:jc w:val="both"/>
        <w:rPr>
          <w:rFonts w:ascii="Times New Roman" w:hAnsi="Times New Roman"/>
          <w:sz w:val="20"/>
        </w:rPr>
      </w:pPr>
      <w:r>
        <w:rPr>
          <w:rFonts w:ascii="Times New Roman" w:hAnsi="Times New Roman"/>
          <w:sz w:val="20"/>
        </w:rPr>
        <w:t xml:space="preserve">In accordance with a development services agreement, the Company is to pay development fees and expense reimbursements to CC Developer, LLC (“CC Developer”). The members of CC Developer are also members of CC Sutton and Clarett Partners. The development services agreement provides for a total project development fee of $2,685,960, of which 80% is required to be paid in equal monthly installments </w:t>
      </w:r>
    </w:p>
    <w:p>
      <w:pPr>
        <w:pStyle w:val="TextBody"/>
        <w:spacing w:lineRule="auto" w:line="300" w:before="0" w:after="0"/>
        <w:ind w:left="72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760" w:name="PGBRK131"/>
      <w:bookmarkStart w:id="4761" w:name="PGBRK131"/>
      <w:bookmarkEnd w:id="476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762" w:name="FTR131"/>
      <w:bookmarkStart w:id="4763" w:name="FTR131"/>
      <w:bookmarkEnd w:id="476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764" w:name="GLFTR131"/>
      <w:bookmarkStart w:id="4765" w:name="GLFTR131"/>
      <w:bookmarkEnd w:id="476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4766" w:name="PN131"/>
      <w:bookmarkEnd w:id="4766"/>
      <w:r>
        <w:rPr>
          <w:rFonts w:ascii="Times New Roman" w:hAnsi="Times New Roman"/>
          <w:sz w:val="16"/>
        </w:rPr>
        <w:t>-131-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767" w:name="HDR131"/>
      <w:bookmarkStart w:id="4768" w:name="HDR131"/>
      <w:bookmarkEnd w:id="476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4769" w:name="GLHDR131"/>
        <w:bookmarkEnd w:id="4769"/>
        <w:r>
          <w:rPr>
            <w:rStyle w:val="Emphasis"/>
            <w:rFonts w:ascii="Times New Roman" w:hAnsi="Times New Roman"/>
            <w:color w:val="000000"/>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0"/>
        <w:ind w:left="720" w:right="0" w:hanging="0"/>
        <w:jc w:val="both"/>
        <w:rPr/>
      </w:pPr>
      <w:r>
        <w:rPr/>
        <w:t> </w:t>
      </w:r>
    </w:p>
    <w:p>
      <w:pPr>
        <w:pStyle w:val="TextBody"/>
        <w:spacing w:lineRule="auto" w:line="300" w:before="0" w:after="0"/>
        <w:ind w:left="720" w:right="0" w:hanging="0"/>
        <w:jc w:val="both"/>
        <w:rPr>
          <w:rFonts w:ascii="Times New Roman" w:hAnsi="Times New Roman"/>
          <w:sz w:val="20"/>
        </w:rPr>
      </w:pPr>
      <w:r>
        <w:rPr>
          <w:rFonts w:ascii="Times New Roman" w:hAnsi="Times New Roman"/>
          <w:sz w:val="20"/>
        </w:rPr>
        <w:t xml:space="preserve">of $149,220 during the development period and the remaining 20% to be paid within 30 days of the later of the closing of the sale of the last residential or commercial unit. </w:t>
      </w:r>
    </w:p>
    <w:p>
      <w:pPr>
        <w:pStyle w:val="TextBody"/>
        <w:spacing w:lineRule="auto" w:line="300" w:before="0" w:after="0"/>
        <w:ind w:left="720" w:right="0" w:hanging="0"/>
        <w:jc w:val="both"/>
        <w:rPr/>
      </w:pPr>
      <w:r>
        <w:rPr/>
      </w:r>
    </w:p>
    <w:p>
      <w:pPr>
        <w:pStyle w:val="TextBody"/>
        <w:spacing w:lineRule="auto" w:line="300" w:before="0" w:after="0"/>
        <w:ind w:left="720" w:right="0" w:hanging="0"/>
        <w:jc w:val="both"/>
        <w:rPr>
          <w:rFonts w:ascii="Times New Roman" w:hAnsi="Times New Roman"/>
          <w:sz w:val="20"/>
        </w:rPr>
      </w:pPr>
      <w:r>
        <w:rPr>
          <w:rFonts w:ascii="Times New Roman" w:hAnsi="Times New Roman"/>
          <w:sz w:val="20"/>
        </w:rPr>
        <w:t>This development fee has been fully paid, and for the year ended December 31, 2006, charges from this affiliate for development fees and expense reimbursements aggregated $381,773.</w:t>
      </w:r>
    </w:p>
    <w:p>
      <w:pPr>
        <w:pStyle w:val="TextBody"/>
        <w:spacing w:lineRule="auto" w:line="300" w:before="0" w:after="0"/>
        <w:ind w:left="720" w:right="0" w:hanging="0"/>
        <w:jc w:val="left"/>
        <w:rPr/>
      </w:pPr>
      <w:r>
        <w:rPr/>
        <w:t> </w:t>
      </w:r>
    </w:p>
    <w:p>
      <w:pPr>
        <w:pStyle w:val="Normal"/>
        <w:spacing w:before="0" w:after="0"/>
        <w:ind w:left="0" w:right="0" w:hanging="0"/>
        <w:rPr>
          <w:sz w:val="4"/>
          <w:szCs w:val="4"/>
        </w:rPr>
      </w:pPr>
      <w:r>
        <w:rPr>
          <w:sz w:val="4"/>
          <w:szCs w:val="4"/>
        </w:rPr>
      </w:r>
      <w:bookmarkStart w:id="4770" w:name="hangingindent310"/>
      <w:bookmarkStart w:id="4771" w:name="hangingindent310"/>
      <w:bookmarkEnd w:id="4771"/>
    </w:p>
    <w:tbl>
      <w:tblPr>
        <w:tblW w:w="5000" w:type="pct"/>
        <w:jc w:val="center"/>
        <w:tblInd w:w="0" w:type="dxa"/>
        <w:tblCellMar>
          <w:top w:w="0" w:type="dxa"/>
          <w:left w:w="0" w:type="dxa"/>
          <w:bottom w:w="0" w:type="dxa"/>
          <w:right w:w="0" w:type="dxa"/>
        </w:tblCellMar>
      </w:tblPr>
      <w:tblGrid>
        <w:gridCol w:w="435"/>
        <w:gridCol w:w="1671"/>
        <w:gridCol w:w="8099"/>
      </w:tblGrid>
      <w:tr>
        <w:trPr/>
        <w:tc>
          <w:tcPr>
            <w:tcW w:w="435" w:type="dxa"/>
            <w:tcBorders/>
            <w:shd w:fill="auto" w:val="clear"/>
          </w:tcPr>
          <w:p>
            <w:pPr>
              <w:pStyle w:val="TableContents"/>
              <w:spacing w:before="0" w:after="283"/>
              <w:rPr/>
            </w:pPr>
            <w:r>
              <w:rPr/>
              <w:t> </w:t>
            </w:r>
          </w:p>
        </w:tc>
        <w:tc>
          <w:tcPr>
            <w:tcW w:w="167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w:t>
            </w:r>
          </w:p>
        </w:tc>
        <w:tc>
          <w:tcPr>
            <w:tcW w:w="809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Commissions</w:t>
            </w:r>
          </w:p>
        </w:tc>
      </w:tr>
    </w:tbl>
    <w:p>
      <w:pPr>
        <w:pStyle w:val="TextBody"/>
        <w:spacing w:lineRule="auto" w:line="300" w:before="0" w:after="0"/>
        <w:ind w:left="0" w:right="0" w:hanging="0"/>
        <w:jc w:val="both"/>
        <w:rPr/>
      </w:pPr>
      <w:r>
        <w:rPr/>
      </w:r>
    </w:p>
    <w:p>
      <w:pPr>
        <w:pStyle w:val="TextBody"/>
        <w:spacing w:lineRule="auto" w:line="300" w:before="0" w:after="0"/>
        <w:ind w:left="720" w:right="0" w:hanging="0"/>
        <w:jc w:val="left"/>
        <w:rPr>
          <w:rFonts w:ascii="Times New Roman" w:hAnsi="Times New Roman"/>
          <w:sz w:val="20"/>
        </w:rPr>
      </w:pPr>
      <w:r>
        <w:rPr>
          <w:rFonts w:ascii="Times New Roman" w:hAnsi="Times New Roman"/>
          <w:sz w:val="20"/>
        </w:rPr>
        <w:t>Clarett Group had been designated as the exclusive sales agent for selling residential units pursuant to a Sales Agreement. The Sales Agreement provides for a commission equal to four percent of the gross sales price of each unit sold and a sales commission of two percent when sales involve a third-party broker. As of December 31, 2006, the Company paid $2,783,140 of commissions to Clarett Group.</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pPr>
      <w:r>
        <w:rPr>
          <w:rStyle w:val="StrongEmphasis"/>
          <w:rFonts w:ascii="Times New Roman" w:hAnsi="Times New Roman"/>
          <w:sz w:val="20"/>
        </w:rPr>
        <w:t>NOTE 12 -</w:t>
      </w:r>
      <w:bookmarkStart w:id="4772" w:name="TAB2307"/>
      <w:bookmarkEnd w:id="4772"/>
      <w:r>
        <w:rPr>
          <w:color w:val="000000"/>
          <w:spacing w:val="540"/>
        </w:rPr>
        <w:t> </w:t>
      </w:r>
      <w:r>
        <w:rPr>
          <w:rStyle w:val="StrongEmphasis"/>
        </w:rPr>
        <w:t> </w:t>
      </w:r>
      <w:r>
        <w:rPr>
          <w:rStyle w:val="StrongEmphasis"/>
          <w:rFonts w:ascii="Times New Roman" w:hAnsi="Times New Roman"/>
          <w:sz w:val="20"/>
          <w:u w:val="single"/>
        </w:rPr>
        <w:t>COMMITMENTS AND CONTINGENCIES</w:t>
      </w:r>
    </w:p>
    <w:p>
      <w:pPr>
        <w:pStyle w:val="TextBody"/>
        <w:spacing w:lineRule="auto" w:line="300" w:before="0" w:after="0"/>
        <w:ind w:left="0" w:right="0" w:hanging="0"/>
        <w:jc w:val="left"/>
        <w:rPr/>
      </w:pPr>
      <w:r>
        <w:rPr/>
        <w:t> </w:t>
      </w:r>
    </w:p>
    <w:p>
      <w:pPr>
        <w:pStyle w:val="Normal"/>
        <w:spacing w:lineRule="auto" w:line="300" w:before="0" w:after="0"/>
        <w:ind w:left="0" w:right="0" w:hanging="0"/>
        <w:jc w:val="left"/>
        <w:rPr>
          <w:sz w:val="4"/>
          <w:szCs w:val="4"/>
        </w:rPr>
      </w:pPr>
      <w:r>
        <w:rPr>
          <w:sz w:val="4"/>
          <w:szCs w:val="4"/>
        </w:rPr>
      </w:r>
      <w:bookmarkStart w:id="4773" w:name="hangingindent311"/>
      <w:bookmarkStart w:id="4774" w:name="hangingindent311"/>
      <w:bookmarkEnd w:id="4774"/>
    </w:p>
    <w:tbl>
      <w:tblPr>
        <w:tblW w:w="5000" w:type="pct"/>
        <w:jc w:val="center"/>
        <w:tblInd w:w="0" w:type="dxa"/>
        <w:tblCellMar>
          <w:top w:w="0" w:type="dxa"/>
          <w:left w:w="0" w:type="dxa"/>
          <w:bottom w:w="0" w:type="dxa"/>
          <w:right w:w="0" w:type="dxa"/>
        </w:tblCellMar>
      </w:tblPr>
      <w:tblGrid>
        <w:gridCol w:w="375"/>
        <w:gridCol w:w="1440"/>
        <w:gridCol w:w="8390"/>
      </w:tblGrid>
      <w:tr>
        <w:trPr/>
        <w:tc>
          <w:tcPr>
            <w:tcW w:w="375" w:type="dxa"/>
            <w:tcBorders/>
            <w:shd w:fill="auto" w:val="clear"/>
          </w:tcPr>
          <w:p>
            <w:pPr>
              <w:pStyle w:val="TableContents"/>
              <w:spacing w:before="0" w:after="283"/>
              <w:rPr/>
            </w:pPr>
            <w:r>
              <w:rPr/>
              <w:t> </w:t>
            </w:r>
          </w:p>
        </w:tc>
        <w:tc>
          <w:tcPr>
            <w:tcW w:w="1440"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(a)</w:t>
            </w:r>
          </w:p>
        </w:tc>
        <w:tc>
          <w:tcPr>
            <w:tcW w:w="8390"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Operating Lease</w:t>
            </w:r>
          </w:p>
        </w:tc>
      </w:tr>
    </w:tbl>
    <w:p>
      <w:pPr>
        <w:pStyle w:val="TextBody"/>
        <w:spacing w:lineRule="auto" w:line="300" w:before="0" w:after="0"/>
        <w:ind w:left="0" w:right="0" w:hanging="0"/>
        <w:jc w:val="left"/>
        <w:rPr/>
      </w:pPr>
      <w:r>
        <w:rPr/>
      </w:r>
    </w:p>
    <w:p>
      <w:pPr>
        <w:pStyle w:val="TextBody"/>
        <w:spacing w:lineRule="auto" w:line="300" w:before="0" w:after="0"/>
        <w:ind w:left="720" w:right="0" w:hanging="0"/>
        <w:jc w:val="both"/>
        <w:rPr>
          <w:rFonts w:ascii="Times New Roman" w:hAnsi="Times New Roman"/>
          <w:sz w:val="20"/>
        </w:rPr>
      </w:pPr>
      <w:r>
        <w:rPr>
          <w:rFonts w:ascii="Times New Roman" w:hAnsi="Times New Roman"/>
          <w:sz w:val="20"/>
        </w:rPr>
        <w:t xml:space="preserve">The Company leased a sales office in New York, New York under a two-year operating lease, which expired in July 2006. The lease provided for monthly rental payments of $15,000 plus escalation provisions. In connection with obtaining the lease, the Company paid a $30,000 security deposit to the landlord in 2004. $15,000 of the security deposit was returned to the Company and the remaining $15,000 was used to pay the final month’s rent. </w:t>
      </w:r>
    </w:p>
    <w:p>
      <w:pPr>
        <w:pStyle w:val="TextBody"/>
        <w:spacing w:lineRule="auto" w:line="300" w:before="0" w:after="0"/>
        <w:ind w:left="720" w:right="0" w:hanging="0"/>
        <w:jc w:val="both"/>
        <w:rPr/>
      </w:pPr>
      <w:r>
        <w:rPr/>
      </w:r>
    </w:p>
    <w:p>
      <w:pPr>
        <w:pStyle w:val="TextBody"/>
        <w:spacing w:lineRule="auto" w:line="300" w:before="0" w:after="0"/>
        <w:ind w:left="720" w:right="0" w:hanging="0"/>
        <w:jc w:val="both"/>
        <w:rPr>
          <w:rFonts w:ascii="Times New Roman" w:hAnsi="Times New Roman"/>
          <w:sz w:val="20"/>
        </w:rPr>
      </w:pPr>
      <w:r>
        <w:rPr>
          <w:rFonts w:ascii="Times New Roman" w:hAnsi="Times New Roman"/>
          <w:sz w:val="20"/>
        </w:rPr>
        <w:t>Rent expenditures for the sales office for the years ended December 31, 2006, 2005 and 2004 amounted to $120,000, $180,000 and $45,723, respectively.</w:t>
      </w:r>
    </w:p>
    <w:p>
      <w:pPr>
        <w:pStyle w:val="TextBody"/>
        <w:spacing w:lineRule="auto" w:line="300" w:before="0" w:after="0"/>
        <w:ind w:left="720" w:right="0" w:hanging="0"/>
        <w:jc w:val="left"/>
        <w:rPr/>
      </w:pPr>
      <w:r>
        <w:rPr/>
      </w:r>
    </w:p>
    <w:p>
      <w:pPr>
        <w:pStyle w:val="Normal"/>
        <w:spacing w:lineRule="auto" w:line="300" w:before="0" w:after="0"/>
        <w:jc w:val="left"/>
        <w:rPr>
          <w:sz w:val="4"/>
          <w:szCs w:val="4"/>
        </w:rPr>
      </w:pPr>
      <w:r>
        <w:rPr>
          <w:sz w:val="4"/>
          <w:szCs w:val="4"/>
        </w:rPr>
      </w:r>
      <w:bookmarkStart w:id="4775" w:name="hangingindent312"/>
      <w:bookmarkStart w:id="4776" w:name="hangingindent312"/>
      <w:bookmarkEnd w:id="4776"/>
    </w:p>
    <w:tbl>
      <w:tblPr>
        <w:tblW w:w="5000" w:type="pct"/>
        <w:jc w:val="center"/>
        <w:tblInd w:w="0" w:type="dxa"/>
        <w:tblCellMar>
          <w:top w:w="0" w:type="dxa"/>
          <w:left w:w="0" w:type="dxa"/>
          <w:bottom w:w="0" w:type="dxa"/>
          <w:right w:w="0" w:type="dxa"/>
        </w:tblCellMar>
      </w:tblPr>
      <w:tblGrid>
        <w:gridCol w:w="246"/>
        <w:gridCol w:w="1006"/>
        <w:gridCol w:w="8953"/>
      </w:tblGrid>
      <w:tr>
        <w:trPr/>
        <w:tc>
          <w:tcPr>
            <w:tcW w:w="246" w:type="dxa"/>
            <w:tcBorders/>
            <w:shd w:fill="auto" w:val="clear"/>
          </w:tcPr>
          <w:p>
            <w:pPr>
              <w:pStyle w:val="TableContents"/>
              <w:spacing w:before="0" w:after="283"/>
              <w:rPr/>
            </w:pPr>
            <w:r>
              <w:rPr/>
              <w:t> </w:t>
            </w:r>
          </w:p>
        </w:tc>
        <w:tc>
          <w:tcPr>
            <w:tcW w:w="1006"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(b)</w:t>
            </w:r>
          </w:p>
        </w:tc>
        <w:tc>
          <w:tcPr>
            <w:tcW w:w="895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Sponsor Common Charges</w:t>
            </w:r>
          </w:p>
        </w:tc>
      </w:tr>
    </w:tbl>
    <w:p>
      <w:pPr>
        <w:pStyle w:val="TextBody"/>
        <w:spacing w:lineRule="auto" w:line="300" w:before="0" w:after="0"/>
        <w:ind w:left="720" w:right="0" w:hanging="0"/>
        <w:jc w:val="both"/>
        <w:rPr/>
      </w:pPr>
      <w:r>
        <w:rPr/>
      </w:r>
    </w:p>
    <w:p>
      <w:pPr>
        <w:pStyle w:val="TextBody"/>
        <w:spacing w:lineRule="auto" w:line="300" w:before="0" w:after="0"/>
        <w:ind w:left="720" w:right="0" w:hanging="0"/>
        <w:jc w:val="left"/>
        <w:rPr>
          <w:rFonts w:ascii="Times New Roman" w:hAnsi="Times New Roman"/>
          <w:sz w:val="20"/>
        </w:rPr>
      </w:pPr>
      <w:r>
        <w:rPr>
          <w:rFonts w:ascii="Times New Roman" w:hAnsi="Times New Roman"/>
          <w:sz w:val="20"/>
        </w:rPr>
        <w:t>The Company is the sponsor for the condominium and is obligated to pay all common charges, special assessments and real estate taxes allocated to any unsold units or commercial units in accordance with the provisions of the By-Laws. During the year ended December 31, 2006, the Company incurred $420,949 of sponsor common charges, which is reflected in the accompanying statement of operations.</w:t>
      </w:r>
    </w:p>
    <w:p>
      <w:pPr>
        <w:pStyle w:val="TextBody"/>
        <w:spacing w:lineRule="auto" w:line="300" w:before="0" w:after="0"/>
        <w:ind w:left="0" w:right="0" w:hanging="0"/>
        <w:jc w:val="left"/>
        <w:rPr/>
      </w:pPr>
      <w:r>
        <w:rPr/>
      </w:r>
    </w:p>
    <w:p>
      <w:pPr>
        <w:pStyle w:val="Normal"/>
        <w:spacing w:lineRule="auto" w:line="300" w:before="0" w:after="0"/>
        <w:jc w:val="left"/>
        <w:rPr>
          <w:sz w:val="4"/>
          <w:szCs w:val="4"/>
        </w:rPr>
      </w:pPr>
      <w:r>
        <w:rPr>
          <w:sz w:val="4"/>
          <w:szCs w:val="4"/>
        </w:rPr>
      </w:r>
      <w:bookmarkStart w:id="4777" w:name="hangingindent313"/>
      <w:bookmarkStart w:id="4778" w:name="hangingindent313"/>
      <w:bookmarkEnd w:id="4778"/>
    </w:p>
    <w:tbl>
      <w:tblPr>
        <w:tblW w:w="5000" w:type="pct"/>
        <w:jc w:val="center"/>
        <w:tblInd w:w="0" w:type="dxa"/>
        <w:tblCellMar>
          <w:top w:w="0" w:type="dxa"/>
          <w:left w:w="0" w:type="dxa"/>
          <w:bottom w:w="0" w:type="dxa"/>
          <w:right w:w="0" w:type="dxa"/>
        </w:tblCellMar>
      </w:tblPr>
      <w:tblGrid>
        <w:gridCol w:w="229"/>
        <w:gridCol w:w="881"/>
        <w:gridCol w:w="9095"/>
      </w:tblGrid>
      <w:tr>
        <w:trPr/>
        <w:tc>
          <w:tcPr>
            <w:tcW w:w="229" w:type="dxa"/>
            <w:tcBorders/>
            <w:shd w:fill="auto" w:val="clear"/>
          </w:tcPr>
          <w:p>
            <w:pPr>
              <w:pStyle w:val="TableContents"/>
              <w:spacing w:before="0" w:after="283"/>
              <w:rPr/>
            </w:pPr>
            <w:r>
              <w:rPr/>
              <w:t> </w:t>
            </w:r>
          </w:p>
        </w:tc>
        <w:tc>
          <w:tcPr>
            <w:tcW w:w="881"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(c)</w:t>
            </w:r>
          </w:p>
        </w:tc>
        <w:tc>
          <w:tcPr>
            <w:tcW w:w="9095"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Estimated Costs to Complete</w:t>
            </w:r>
          </w:p>
        </w:tc>
      </w:tr>
    </w:tbl>
    <w:p>
      <w:pPr>
        <w:pStyle w:val="TextBody"/>
        <w:spacing w:lineRule="auto" w:line="300" w:before="0" w:after="0"/>
        <w:ind w:left="0" w:right="0" w:hanging="0"/>
        <w:jc w:val="left"/>
        <w:rPr/>
      </w:pPr>
      <w:r>
        <w:rPr/>
      </w:r>
    </w:p>
    <w:p>
      <w:pPr>
        <w:pStyle w:val="TextBody"/>
        <w:spacing w:lineRule="auto" w:line="300" w:before="0" w:after="0"/>
        <w:ind w:left="720" w:right="0" w:hanging="0"/>
        <w:jc w:val="left"/>
        <w:rPr>
          <w:rFonts w:ascii="Times New Roman" w:hAnsi="Times New Roman"/>
          <w:sz w:val="20"/>
        </w:rPr>
      </w:pPr>
      <w:r>
        <w:rPr>
          <w:rFonts w:ascii="Times New Roman" w:hAnsi="Times New Roman"/>
          <w:sz w:val="20"/>
        </w:rPr>
        <w:t>At December 31, 2006, the Company estimates the cost to complete the development project to be approximately $1,012,000.</w:t>
      </w:r>
    </w:p>
    <w:p>
      <w:pPr>
        <w:pStyle w:val="TextBody"/>
        <w:spacing w:lineRule="auto" w:line="300" w:before="0" w:after="0"/>
        <w:ind w:left="720" w:right="0" w:hanging="0"/>
        <w:jc w:val="left"/>
        <w:rPr/>
      </w:pPr>
      <w:r>
        <w:rPr/>
        <w:t> </w:t>
      </w:r>
    </w:p>
    <w:p>
      <w:pPr>
        <w:pStyle w:val="TextBody"/>
        <w:spacing w:lineRule="auto" w:line="300" w:before="0" w:after="0"/>
        <w:ind w:left="0" w:right="0" w:hanging="0"/>
        <w:jc w:val="both"/>
        <w:rPr/>
      </w:pPr>
      <w:r>
        <w:rPr>
          <w:rStyle w:val="StrongEmphasis"/>
          <w:rFonts w:ascii="Times New Roman" w:hAnsi="Times New Roman"/>
          <w:sz w:val="20"/>
        </w:rPr>
        <w:t xml:space="preserve">NOTE 13 - </w:t>
      </w:r>
      <w:bookmarkStart w:id="4779" w:name="TAB2308"/>
      <w:bookmarkEnd w:id="4779"/>
      <w:r>
        <w:rPr>
          <w:color w:val="000000"/>
          <w:spacing w:val="540"/>
        </w:rPr>
        <w:t> </w:t>
      </w:r>
      <w:r>
        <w:rPr>
          <w:rStyle w:val="StrongEmphasis"/>
          <w:rFonts w:ascii="Times New Roman" w:hAnsi="Times New Roman"/>
          <w:sz w:val="20"/>
          <w:u w:val="single"/>
        </w:rPr>
        <w:t>CONSTRUCTION MANAGER INCENTIVE</w:t>
      </w:r>
    </w:p>
    <w:p>
      <w:pPr>
        <w:pStyle w:val="TextBody"/>
        <w:spacing w:lineRule="auto" w:line="300" w:before="0" w:after="0"/>
        <w:ind w:left="540" w:right="0" w:hanging="0"/>
        <w:jc w:val="center"/>
        <w:rPr/>
      </w:pPr>
      <w:r>
        <w:rPr/>
      </w:r>
    </w:p>
    <w:p>
      <w:pPr>
        <w:pStyle w:val="TextBody"/>
        <w:spacing w:lineRule="auto" w:line="300" w:before="0" w:after="0"/>
        <w:ind w:left="540" w:right="0" w:hanging="0"/>
        <w:jc w:val="both"/>
        <w:rPr>
          <w:rFonts w:ascii="Times New Roman" w:hAnsi="Times New Roman"/>
          <w:sz w:val="20"/>
        </w:rPr>
      </w:pPr>
      <w:r>
        <w:rPr>
          <w:rFonts w:ascii="Times New Roman" w:hAnsi="Times New Roman"/>
          <w:sz w:val="20"/>
        </w:rPr>
        <w:t>The construction management agreement provides for an incentive fee to be paid to the construction manager in the event that the total cost of construction, as defined, is less than the guaranteed maximum price of $49,217,811. Total project costs are expected to exceed the original projected cost of construction. Accordingly, no construction manager fee will be paid.</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pPr>
      <w:r>
        <w:rPr>
          <w:rStyle w:val="StrongEmphasis"/>
          <w:rFonts w:ascii="Times New Roman" w:hAnsi="Times New Roman"/>
          <w:sz w:val="20"/>
        </w:rPr>
        <w:t xml:space="preserve">NOTE 14 - </w:t>
      </w:r>
      <w:bookmarkStart w:id="4780" w:name="TAB2309"/>
      <w:bookmarkEnd w:id="4780"/>
      <w:r>
        <w:rPr>
          <w:color w:val="000000"/>
          <w:spacing w:val="540"/>
        </w:rPr>
        <w:t> </w:t>
      </w:r>
      <w:r>
        <w:rPr>
          <w:rStyle w:val="StrongEmphasis"/>
          <w:rFonts w:ascii="Times New Roman" w:hAnsi="Times New Roman"/>
          <w:sz w:val="20"/>
          <w:u w:val="single"/>
        </w:rPr>
        <w:t>CONCENTRATIONS OF RISK</w:t>
      </w:r>
    </w:p>
    <w:p>
      <w:pPr>
        <w:pStyle w:val="TextBody"/>
        <w:spacing w:lineRule="auto" w:line="300" w:before="0" w:after="0"/>
        <w:ind w:left="0" w:right="0" w:hanging="0"/>
        <w:jc w:val="both"/>
        <w:rPr/>
      </w:pPr>
      <w:r>
        <w:rPr/>
      </w:r>
    </w:p>
    <w:p>
      <w:pPr>
        <w:pStyle w:val="TextBody"/>
        <w:spacing w:lineRule="auto" w:line="300" w:before="0" w:after="0"/>
        <w:ind w:left="540" w:right="0" w:hanging="0"/>
        <w:jc w:val="both"/>
        <w:rPr>
          <w:rFonts w:ascii="Times New Roman" w:hAnsi="Times New Roman"/>
          <w:sz w:val="20"/>
        </w:rPr>
      </w:pPr>
      <w:r>
        <w:rPr>
          <w:rFonts w:ascii="Times New Roman" w:hAnsi="Times New Roman"/>
          <w:sz w:val="20"/>
        </w:rPr>
        <w:t>At December 31, 2006, the Company’s deposits with banks exceeded federal deposit insurance coverage of $100,000.</w:t>
      </w:r>
    </w:p>
    <w:p>
      <w:pPr>
        <w:pStyle w:val="TextBody"/>
        <w:spacing w:lineRule="auto" w:line="300" w:before="0" w:after="0"/>
        <w:ind w:left="540" w:right="0" w:hanging="0"/>
        <w:jc w:val="both"/>
        <w:rPr/>
      </w:pPr>
      <w:r>
        <w:rPr/>
      </w:r>
    </w:p>
    <w:p>
      <w:pPr>
        <w:pStyle w:val="TextBody"/>
        <w:spacing w:lineRule="auto" w:line="300" w:before="0" w:after="0"/>
        <w:ind w:left="540" w:right="0" w:hanging="0"/>
        <w:jc w:val="both"/>
        <w:rPr>
          <w:rFonts w:ascii="Times New Roman" w:hAnsi="Times New Roman"/>
          <w:sz w:val="20"/>
        </w:rPr>
      </w:pPr>
      <w:r>
        <w:rPr>
          <w:rFonts w:ascii="Times New Roman" w:hAnsi="Times New Roman"/>
          <w:sz w:val="20"/>
        </w:rPr>
        <w:t>The Company and the constructed property are located in New York City and are subject to local economic conditions.</w:t>
      </w:r>
    </w:p>
    <w:p>
      <w:pPr>
        <w:pStyle w:val="TextBody"/>
        <w:spacing w:lineRule="auto" w:line="300" w:before="0" w:after="0"/>
        <w:ind w:left="540" w:right="0" w:hanging="0"/>
        <w:jc w:val="both"/>
        <w:rPr/>
      </w:pPr>
      <w:r>
        <w:rPr/>
      </w:r>
    </w:p>
    <w:p>
      <w:pPr>
        <w:pStyle w:val="TextBody"/>
        <w:spacing w:lineRule="auto" w:line="300" w:before="0" w:after="0"/>
        <w:ind w:left="540" w:right="0" w:hanging="0"/>
        <w:jc w:val="both"/>
        <w:rPr>
          <w:rFonts w:ascii="Times New Roman" w:hAnsi="Times New Roman"/>
          <w:sz w:val="20"/>
        </w:rPr>
      </w:pPr>
      <w:r>
        <w:rPr>
          <w:rFonts w:ascii="Times New Roman" w:hAnsi="Times New Roman"/>
          <w:sz w:val="20"/>
        </w:rPr>
        <w:t>The Company contracted with a single company, Bovis Lend Lease, as the construction manager for the project.</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781" w:name="PGBRK132"/>
      <w:bookmarkStart w:id="4782" w:name="PGBRK132"/>
      <w:bookmarkEnd w:id="478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783" w:name="FTR132"/>
      <w:bookmarkStart w:id="4784" w:name="FTR132"/>
      <w:bookmarkEnd w:id="478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785" w:name="GLFTR132"/>
      <w:bookmarkStart w:id="4786" w:name="GLFTR132"/>
      <w:bookmarkEnd w:id="478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4787" w:name="PN132"/>
      <w:bookmarkEnd w:id="4787"/>
      <w:r>
        <w:rPr>
          <w:rFonts w:ascii="Times New Roman" w:hAnsi="Times New Roman"/>
          <w:sz w:val="16"/>
        </w:rPr>
        <w:t>-132-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788" w:name="HDR132"/>
      <w:bookmarkStart w:id="4789" w:name="HDR132"/>
      <w:bookmarkEnd w:id="478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4790" w:name="GLHDR132"/>
        <w:bookmarkEnd w:id="4790"/>
        <w:r>
          <w:rPr>
            <w:rStyle w:val="Emphasis"/>
            <w:rFonts w:ascii="Times New Roman" w:hAnsi="Times New Roman"/>
            <w:color w:val="000000"/>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pStyle w:val="TextBody"/>
        <w:spacing w:lineRule="auto" w:line="300" w:before="0" w:after="0"/>
        <w:ind w:left="0" w:right="0" w:hanging="0"/>
        <w:jc w:val="center"/>
        <w:rPr/>
      </w:pPr>
      <w:r>
        <w:rPr>
          <w:rStyle w:val="StrongEmphasis"/>
          <w:rFonts w:ascii="Times New Roman" w:hAnsi="Times New Roman"/>
          <w:sz w:val="20"/>
        </w:rPr>
        <w:t>Report of Independent Auditors</w:t>
      </w:r>
    </w:p>
    <w:p>
      <w:pPr>
        <w:pStyle w:val="TextBody"/>
        <w:spacing w:lineRule="auto" w:line="300" w:before="0" w:after="0"/>
        <w:ind w:left="0" w:right="0" w:hanging="0"/>
        <w:jc w:val="left"/>
        <w:rPr/>
      </w:pPr>
      <w:r>
        <w:rPr/>
        <w:t> </w:t>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 xml:space="preserve">To the Members of </w:t>
      </w:r>
    </w:p>
    <w:p>
      <w:pPr>
        <w:pStyle w:val="TextBody"/>
        <w:spacing w:lineRule="auto" w:line="300" w:before="0" w:after="0"/>
        <w:ind w:left="0" w:right="0" w:hanging="0"/>
        <w:jc w:val="left"/>
        <w:rPr/>
      </w:pPr>
      <w:r>
        <w:rPr>
          <w:rFonts w:ascii="Times New Roman" w:hAnsi="Times New Roman"/>
          <w:sz w:val="20"/>
        </w:rPr>
        <w:t>205-209 East 57</w:t>
      </w:r>
      <w:r>
        <w:rPr>
          <w:rFonts w:ascii="Times New Roman" w:hAnsi="Times New Roman"/>
          <w:position w:val="7"/>
          <w:sz w:val="16"/>
          <w:sz w:val="20"/>
        </w:rPr>
        <w:t>th</w:t>
      </w:r>
      <w:r>
        <w:rPr/>
        <w:t xml:space="preserve"> </w:t>
      </w:r>
      <w:r>
        <w:rPr>
          <w:rFonts w:ascii="Times New Roman" w:hAnsi="Times New Roman"/>
          <w:sz w:val="20"/>
        </w:rPr>
        <w:t>Street Associates, LLC:</w:t>
      </w:r>
    </w:p>
    <w:p>
      <w:pPr>
        <w:pStyle w:val="TextBody"/>
        <w:spacing w:lineRule="auto" w:line="300" w:before="0" w:after="0"/>
        <w:ind w:left="0" w:right="0" w:hanging="0"/>
        <w:jc w:val="left"/>
        <w:rPr/>
      </w:pPr>
      <w:r>
        <w:rPr/>
      </w:r>
    </w:p>
    <w:p>
      <w:pPr>
        <w:pStyle w:val="TextBody"/>
        <w:spacing w:lineRule="auto" w:line="300" w:before="0" w:after="0"/>
        <w:ind w:left="0" w:right="0" w:hanging="0"/>
        <w:jc w:val="both"/>
        <w:rPr/>
      </w:pPr>
      <w:r>
        <w:rPr>
          <w:rFonts w:ascii="Times New Roman" w:hAnsi="Times New Roman"/>
          <w:sz w:val="20"/>
        </w:rPr>
        <w:t>In our opinion, the accompanying balance sheet and the related statements of operations, changes in members' equity, and cash flows present fairly, in all material respects, the financial position of 205-209 East 57</w:t>
      </w:r>
      <w:r>
        <w:rPr>
          <w:rFonts w:ascii="Times New Roman" w:hAnsi="Times New Roman"/>
          <w:position w:val="7"/>
          <w:sz w:val="16"/>
          <w:sz w:val="20"/>
        </w:rPr>
        <w:t>th</w:t>
      </w:r>
      <w:r>
        <w:rPr/>
        <w:t xml:space="preserve"> </w:t>
      </w:r>
      <w:r>
        <w:rPr>
          <w:rFonts w:ascii="Times New Roman" w:hAnsi="Times New Roman"/>
          <w:sz w:val="20"/>
        </w:rPr>
        <w:t>Street Associates, LLC</w:t>
      </w:r>
      <w:r>
        <w:rPr/>
        <w:t xml:space="preserve"> </w:t>
      </w:r>
      <w:r>
        <w:rPr>
          <w:rFonts w:ascii="Times New Roman" w:hAnsi="Times New Roman"/>
          <w:sz w:val="20"/>
        </w:rPr>
        <w:t>(the "Company") at December 31, 2006, and the results of its operations and its</w:t>
      </w:r>
      <w:r>
        <w:rPr/>
        <w:t xml:space="preserve"> </w:t>
      </w:r>
      <w:r>
        <w:rPr>
          <w:rFonts w:ascii="Times New Roman" w:hAnsi="Times New Roman"/>
          <w:sz w:val="20"/>
        </w:rPr>
        <w:t>cash flows for the year then ended</w:t>
      </w:r>
      <w:r>
        <w:rPr>
          <w:rStyle w:val="StrongEmphasis"/>
        </w:rPr>
        <w:t> </w:t>
      </w:r>
      <w:r>
        <w:rPr>
          <w:rFonts w:ascii="Times New Roman" w:hAnsi="Times New Roman"/>
          <w:sz w:val="20"/>
        </w:rPr>
        <w:t xml:space="preserve">in conformity with accounting principles generally accepted in the United States of America. These financial statements are the responsibility of the Company’s management. Our responsibility is to express an opinion on these financial statements based on our audit. We conducted our audit of these statements in accordance with auditing standards generally accepted in the United States of America,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 provides a reasonable basis for our opinion. </w:t>
      </w:r>
    </w:p>
    <w:p>
      <w:pPr>
        <w:pStyle w:val="TextBody"/>
        <w:spacing w:lineRule="auto" w:line="300" w:before="0" w:after="0"/>
        <w:ind w:left="0" w:right="0" w:hanging="0"/>
        <w:jc w:val="left"/>
        <w:rPr/>
      </w:pPr>
      <w:r>
        <w:rPr/>
        <w:t> </w:t>
      </w:r>
    </w:p>
    <w:p>
      <w:pPr>
        <w:pStyle w:val="TextBody"/>
        <w:spacing w:lineRule="auto" w:line="300" w:before="0" w:after="0"/>
        <w:ind w:left="0" w:right="0" w:hanging="0"/>
        <w:jc w:val="left"/>
        <w:rPr/>
      </w:pPr>
      <w:r>
        <w:rPr>
          <w:rStyle w:val="Emphasis"/>
          <w:rFonts w:ascii="Times New Roman" w:hAnsi="Times New Roman"/>
          <w:sz w:val="20"/>
        </w:rPr>
        <w:t>PRICEWATERHOUSECOOOPERS LLP</w:t>
      </w:r>
    </w:p>
    <w:p>
      <w:pPr>
        <w:pStyle w:val="TextBody"/>
        <w:spacing w:lineRule="auto" w:line="300" w:before="0" w:after="0"/>
        <w:ind w:left="0" w:right="0" w:hanging="0"/>
        <w:jc w:val="both"/>
        <w:rPr/>
      </w:pPr>
      <w:r>
        <w:rPr/>
        <w:t> </w:t>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New York, New York</w:t>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 xml:space="preserve">February 9, 2007 </w:t>
      </w:r>
    </w:p>
    <w:p>
      <w:pPr>
        <w:pStyle w:val="TextBody"/>
        <w:spacing w:lineRule="auto" w:line="300"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791" w:name="PGBRK133"/>
      <w:bookmarkStart w:id="4792" w:name="PGBRK133"/>
      <w:bookmarkEnd w:id="47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793" w:name="FTR133"/>
      <w:bookmarkStart w:id="4794" w:name="FTR133"/>
      <w:bookmarkEnd w:id="479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795" w:name="GLFTR133"/>
      <w:bookmarkStart w:id="4796" w:name="GLFTR133"/>
      <w:bookmarkEnd w:id="479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4797" w:name="PN133"/>
      <w:bookmarkEnd w:id="4797"/>
      <w:r>
        <w:rPr>
          <w:rFonts w:ascii="Times New Roman" w:hAnsi="Times New Roman"/>
          <w:sz w:val="16"/>
        </w:rPr>
        <w:t>-133-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798" w:name="HDR133"/>
      <w:bookmarkStart w:id="4799" w:name="HDR133"/>
      <w:bookmarkEnd w:id="479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4800" w:name="GLHDR133"/>
        <w:bookmarkEnd w:id="4800"/>
        <w:r>
          <w:rPr>
            <w:rStyle w:val="Emphasis"/>
            <w:rFonts w:ascii="Times New Roman" w:hAnsi="Times New Roman"/>
            <w:color w:val="000000"/>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300" w:before="0" w:after="0"/>
        <w:ind w:left="360" w:right="0" w:hanging="0"/>
        <w:jc w:val="both"/>
        <w:rPr/>
      </w:pPr>
      <w:r>
        <w:rPr>
          <w:rStyle w:val="Emphasis"/>
          <w:rFonts w:ascii="Times New Roman" w:hAnsi="Times New Roman"/>
          <w:sz w:val="20"/>
        </w:rPr>
        <w:t>Exhibits (Listed by numbers corresponding to Item 601 of Regulation S-K)</w:t>
      </w:r>
    </w:p>
    <w:p>
      <w:pPr>
        <w:pStyle w:val="TextBody"/>
        <w:spacing w:lineRule="auto" w:line="300" w:before="0" w:after="0"/>
        <w:ind w:left="0" w:right="0" w:hanging="0"/>
        <w:jc w:val="left"/>
        <w:rPr/>
      </w:pPr>
      <w:r>
        <w:rPr/>
        <w:t> </w:t>
      </w:r>
    </w:p>
    <w:p>
      <w:pPr>
        <w:pStyle w:val="Normal"/>
        <w:spacing w:before="0" w:after="0"/>
        <w:rPr>
          <w:sz w:val="4"/>
          <w:szCs w:val="4"/>
        </w:rPr>
      </w:pPr>
      <w:r>
        <w:rPr>
          <w:sz w:val="4"/>
          <w:szCs w:val="4"/>
        </w:rPr>
      </w:r>
      <w:bookmarkStart w:id="4801" w:name="hangingindent314"/>
      <w:bookmarkStart w:id="4802" w:name="hangingindent314"/>
      <w:bookmarkEnd w:id="4802"/>
    </w:p>
    <w:tbl>
      <w:tblPr>
        <w:tblW w:w="5000" w:type="pct"/>
        <w:jc w:val="center"/>
        <w:tblInd w:w="0" w:type="dxa"/>
        <w:tblCellMar>
          <w:top w:w="0" w:type="dxa"/>
          <w:left w:w="0" w:type="dxa"/>
          <w:bottom w:w="0" w:type="dxa"/>
          <w:right w:w="0" w:type="dxa"/>
        </w:tblCellMar>
      </w:tblPr>
      <w:tblGrid>
        <w:gridCol w:w="274"/>
        <w:gridCol w:w="9931"/>
      </w:tblGrid>
      <w:tr>
        <w:trPr/>
        <w:tc>
          <w:tcPr>
            <w:tcW w:w="27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3.1</w:t>
            </w:r>
          </w:p>
        </w:tc>
        <w:tc>
          <w:tcPr>
            <w:tcW w:w="993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Certificate of Amendment of Restatement Articles of Incorporation of Citadel Holding Corporation (filed as Exhibit 3.1 to the Company’s Annual Report on Form 10-K for the year ended December 31, 1999, and incorporated herein by reference). </w:t>
            </w:r>
          </w:p>
        </w:tc>
      </w:tr>
    </w:tbl>
    <w:p>
      <w:pPr>
        <w:pStyle w:val="TextBody"/>
        <w:spacing w:lineRule="auto" w:line="300" w:before="0" w:after="0"/>
        <w:ind w:left="0" w:right="0" w:hanging="0"/>
        <w:jc w:val="left"/>
        <w:rPr/>
      </w:pPr>
      <w:r>
        <w:rPr/>
      </w:r>
    </w:p>
    <w:p>
      <w:pPr>
        <w:pStyle w:val="Normal"/>
        <w:spacing w:before="0" w:after="0"/>
        <w:rPr>
          <w:sz w:val="4"/>
          <w:szCs w:val="4"/>
        </w:rPr>
      </w:pPr>
      <w:r>
        <w:rPr>
          <w:sz w:val="4"/>
          <w:szCs w:val="4"/>
        </w:rPr>
      </w:r>
      <w:bookmarkStart w:id="4803" w:name="hangingindent315"/>
      <w:bookmarkStart w:id="4804" w:name="hangingindent315"/>
      <w:bookmarkEnd w:id="4804"/>
    </w:p>
    <w:tbl>
      <w:tblPr>
        <w:tblW w:w="5000" w:type="pct"/>
        <w:jc w:val="center"/>
        <w:tblInd w:w="0" w:type="dxa"/>
        <w:tblCellMar>
          <w:top w:w="0" w:type="dxa"/>
          <w:left w:w="0" w:type="dxa"/>
          <w:bottom w:w="0" w:type="dxa"/>
          <w:right w:w="0" w:type="dxa"/>
        </w:tblCellMar>
      </w:tblPr>
      <w:tblGrid>
        <w:gridCol w:w="274"/>
        <w:gridCol w:w="9931"/>
      </w:tblGrid>
      <w:tr>
        <w:trPr/>
        <w:tc>
          <w:tcPr>
            <w:tcW w:w="27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3.2</w:t>
            </w:r>
          </w:p>
        </w:tc>
        <w:tc>
          <w:tcPr>
            <w:tcW w:w="993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Restated By-laws of Citadel Holding Corporation, a Nevada corporation (filed as Exhibit 3.2 to the Company’s Annual Report on Form 10-K for the year ended December 31, 1999, and incorporated herein by reference). </w:t>
            </w:r>
          </w:p>
        </w:tc>
      </w:tr>
    </w:tbl>
    <w:p>
      <w:pPr>
        <w:pStyle w:val="TextBody"/>
        <w:spacing w:lineRule="auto" w:line="300" w:before="0" w:after="0"/>
        <w:ind w:left="720" w:right="0" w:hanging="720"/>
        <w:jc w:val="both"/>
        <w:rPr/>
      </w:pPr>
      <w:r>
        <w:rPr/>
      </w:r>
    </w:p>
    <w:p>
      <w:pPr>
        <w:pStyle w:val="Normal"/>
        <w:spacing w:before="0" w:after="0"/>
        <w:rPr>
          <w:sz w:val="4"/>
          <w:szCs w:val="4"/>
        </w:rPr>
      </w:pPr>
      <w:r>
        <w:rPr>
          <w:sz w:val="4"/>
          <w:szCs w:val="4"/>
        </w:rPr>
      </w:r>
      <w:bookmarkStart w:id="4805" w:name="hangingindent316"/>
      <w:bookmarkStart w:id="4806" w:name="hangingindent316"/>
      <w:bookmarkEnd w:id="4806"/>
    </w:p>
    <w:tbl>
      <w:tblPr>
        <w:tblW w:w="5000" w:type="pct"/>
        <w:jc w:val="center"/>
        <w:tblInd w:w="0" w:type="dxa"/>
        <w:tblCellMar>
          <w:top w:w="0" w:type="dxa"/>
          <w:left w:w="0" w:type="dxa"/>
          <w:bottom w:w="0" w:type="dxa"/>
          <w:right w:w="0" w:type="dxa"/>
        </w:tblCellMar>
      </w:tblPr>
      <w:tblGrid>
        <w:gridCol w:w="274"/>
        <w:gridCol w:w="9931"/>
      </w:tblGrid>
      <w:tr>
        <w:trPr/>
        <w:tc>
          <w:tcPr>
            <w:tcW w:w="27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3.3</w:t>
            </w:r>
          </w:p>
        </w:tc>
        <w:tc>
          <w:tcPr>
            <w:tcW w:w="993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Certificate of Amendment of Articles of Incorporation of Citadel Holding Corporation (filed as Exhibit 3.3 to the Company’s Annual Report on Form 10-K for the year ended December 31, 2001).</w:t>
            </w:r>
          </w:p>
        </w:tc>
      </w:tr>
    </w:tbl>
    <w:p>
      <w:pPr>
        <w:pStyle w:val="TextBody"/>
        <w:spacing w:lineRule="auto" w:line="300" w:before="0" w:after="0"/>
        <w:ind w:left="0" w:right="0" w:hanging="0"/>
        <w:jc w:val="both"/>
        <w:rPr/>
      </w:pPr>
      <w:r>
        <w:rPr/>
      </w:r>
    </w:p>
    <w:p>
      <w:pPr>
        <w:pStyle w:val="Normal"/>
        <w:spacing w:before="0" w:after="0"/>
        <w:rPr>
          <w:sz w:val="4"/>
          <w:szCs w:val="4"/>
        </w:rPr>
      </w:pPr>
      <w:r>
        <w:rPr>
          <w:sz w:val="4"/>
          <w:szCs w:val="4"/>
        </w:rPr>
      </w:r>
      <w:bookmarkStart w:id="4807" w:name="hangingindent317"/>
      <w:bookmarkStart w:id="4808" w:name="hangingindent317"/>
      <w:bookmarkEnd w:id="4808"/>
    </w:p>
    <w:tbl>
      <w:tblPr>
        <w:tblW w:w="5000" w:type="pct"/>
        <w:jc w:val="center"/>
        <w:tblInd w:w="0" w:type="dxa"/>
        <w:tblCellMar>
          <w:top w:w="0" w:type="dxa"/>
          <w:left w:w="0" w:type="dxa"/>
          <w:bottom w:w="0" w:type="dxa"/>
          <w:right w:w="0" w:type="dxa"/>
        </w:tblCellMar>
      </w:tblPr>
      <w:tblGrid>
        <w:gridCol w:w="274"/>
        <w:gridCol w:w="9931"/>
      </w:tblGrid>
      <w:tr>
        <w:trPr/>
        <w:tc>
          <w:tcPr>
            <w:tcW w:w="27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3.4</w:t>
            </w:r>
          </w:p>
        </w:tc>
        <w:tc>
          <w:tcPr>
            <w:tcW w:w="993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Articles of Merger of Craig Merger Sub, Inc. with and into Craig Corporation (filed as Exhibit 3.4 to the Company’s Annual Report on Form 10-K for the year ended December 31, 2001).</w:t>
            </w:r>
          </w:p>
        </w:tc>
      </w:tr>
    </w:tbl>
    <w:p>
      <w:pPr>
        <w:pStyle w:val="TextBody"/>
        <w:spacing w:lineRule="auto" w:line="300" w:before="0" w:after="0"/>
        <w:ind w:left="0" w:right="0" w:hanging="0"/>
        <w:jc w:val="both"/>
        <w:rPr/>
      </w:pPr>
      <w:r>
        <w:rPr/>
      </w:r>
    </w:p>
    <w:p>
      <w:pPr>
        <w:pStyle w:val="Normal"/>
        <w:spacing w:before="0" w:after="0"/>
        <w:rPr>
          <w:sz w:val="4"/>
          <w:szCs w:val="4"/>
        </w:rPr>
      </w:pPr>
      <w:r>
        <w:rPr>
          <w:sz w:val="4"/>
          <w:szCs w:val="4"/>
        </w:rPr>
      </w:r>
      <w:bookmarkStart w:id="4809" w:name="hangingindent318"/>
      <w:bookmarkStart w:id="4810" w:name="hangingindent318"/>
      <w:bookmarkEnd w:id="4810"/>
    </w:p>
    <w:tbl>
      <w:tblPr>
        <w:tblW w:w="5000" w:type="pct"/>
        <w:jc w:val="center"/>
        <w:tblInd w:w="0" w:type="dxa"/>
        <w:tblCellMar>
          <w:top w:w="0" w:type="dxa"/>
          <w:left w:w="0" w:type="dxa"/>
          <w:bottom w:w="0" w:type="dxa"/>
          <w:right w:w="0" w:type="dxa"/>
        </w:tblCellMar>
      </w:tblPr>
      <w:tblGrid>
        <w:gridCol w:w="274"/>
        <w:gridCol w:w="9931"/>
      </w:tblGrid>
      <w:tr>
        <w:trPr/>
        <w:tc>
          <w:tcPr>
            <w:tcW w:w="27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3.5</w:t>
            </w:r>
          </w:p>
        </w:tc>
        <w:tc>
          <w:tcPr>
            <w:tcW w:w="993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Articles of Merger of Reading Merger Sub, Inc. with and into Reading Entertainment, Inc. (filed as Exhibit 3.5 to the Company’s Annual Report on Form 10-K for the year ended December 31, 2001).</w:t>
            </w:r>
          </w:p>
        </w:tc>
      </w:tr>
    </w:tbl>
    <w:p>
      <w:pPr>
        <w:pStyle w:val="TextBody"/>
        <w:spacing w:lineRule="auto" w:line="300" w:before="0" w:after="0"/>
        <w:ind w:left="0" w:right="0" w:hanging="0"/>
        <w:jc w:val="both"/>
        <w:rPr/>
      </w:pPr>
      <w:r>
        <w:rPr/>
      </w:r>
    </w:p>
    <w:p>
      <w:pPr>
        <w:pStyle w:val="Normal"/>
        <w:spacing w:before="0" w:after="0"/>
        <w:rPr>
          <w:sz w:val="4"/>
          <w:szCs w:val="4"/>
        </w:rPr>
      </w:pPr>
      <w:r>
        <w:rPr>
          <w:sz w:val="4"/>
          <w:szCs w:val="4"/>
        </w:rPr>
      </w:r>
      <w:bookmarkStart w:id="4811" w:name="hangingindent319"/>
      <w:bookmarkStart w:id="4812" w:name="hangingindent319"/>
      <w:bookmarkEnd w:id="4812"/>
    </w:p>
    <w:tbl>
      <w:tblPr>
        <w:tblW w:w="5000" w:type="pct"/>
        <w:jc w:val="center"/>
        <w:tblInd w:w="0" w:type="dxa"/>
        <w:tblCellMar>
          <w:top w:w="0" w:type="dxa"/>
          <w:left w:w="0" w:type="dxa"/>
          <w:bottom w:w="0" w:type="dxa"/>
          <w:right w:w="0" w:type="dxa"/>
        </w:tblCellMar>
      </w:tblPr>
      <w:tblGrid>
        <w:gridCol w:w="274"/>
        <w:gridCol w:w="9931"/>
      </w:tblGrid>
      <w:tr>
        <w:trPr/>
        <w:tc>
          <w:tcPr>
            <w:tcW w:w="27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3.6</w:t>
            </w:r>
          </w:p>
        </w:tc>
        <w:tc>
          <w:tcPr>
            <w:tcW w:w="993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Restated By-laws of Reading International, Inc., a Nevada corporation (filed as Exhibit 3.6 to the Company’s Annual Report on Form 10-K for the year ended December 31, 2004, and incorporated herein by reference).</w:t>
            </w:r>
          </w:p>
        </w:tc>
      </w:tr>
    </w:tbl>
    <w:p>
      <w:pPr>
        <w:pStyle w:val="TextBody"/>
        <w:spacing w:lineRule="auto" w:line="300" w:before="0" w:after="0"/>
        <w:ind w:left="0" w:right="0" w:hanging="0"/>
        <w:jc w:val="both"/>
        <w:rPr/>
      </w:pPr>
      <w:r>
        <w:rPr/>
      </w:r>
    </w:p>
    <w:p>
      <w:pPr>
        <w:pStyle w:val="Normal"/>
        <w:spacing w:before="0" w:after="0"/>
        <w:rPr>
          <w:sz w:val="4"/>
          <w:szCs w:val="4"/>
        </w:rPr>
      </w:pPr>
      <w:r>
        <w:rPr>
          <w:sz w:val="4"/>
          <w:szCs w:val="4"/>
        </w:rPr>
      </w:r>
      <w:bookmarkStart w:id="4813" w:name="hangingindent320"/>
      <w:bookmarkStart w:id="4814" w:name="hangingindent320"/>
      <w:bookmarkEnd w:id="4814"/>
    </w:p>
    <w:tbl>
      <w:tblPr>
        <w:tblW w:w="5000" w:type="pct"/>
        <w:jc w:val="center"/>
        <w:tblInd w:w="0" w:type="dxa"/>
        <w:tblCellMar>
          <w:top w:w="0" w:type="dxa"/>
          <w:left w:w="0" w:type="dxa"/>
          <w:bottom w:w="0" w:type="dxa"/>
          <w:right w:w="0" w:type="dxa"/>
        </w:tblCellMar>
      </w:tblPr>
      <w:tblGrid>
        <w:gridCol w:w="274"/>
        <w:gridCol w:w="9931"/>
      </w:tblGrid>
      <w:tr>
        <w:trPr/>
        <w:tc>
          <w:tcPr>
            <w:tcW w:w="27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4.1</w:t>
            </w:r>
          </w:p>
        </w:tc>
        <w:tc>
          <w:tcPr>
            <w:tcW w:w="993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1999 Stock Option Plan of Reading International, Inc. as amended on December 31, 2001 (filed as Exhibit 4.1 to the Company’s Registration Statement on Form S-8 filed on January 21, 2004, and incorporated herein by reference).</w:t>
            </w:r>
          </w:p>
        </w:tc>
      </w:tr>
    </w:tbl>
    <w:p>
      <w:pPr>
        <w:pStyle w:val="TextBody"/>
        <w:spacing w:lineRule="auto" w:line="300" w:before="0" w:after="0"/>
        <w:ind w:left="720" w:right="0" w:hanging="720"/>
        <w:jc w:val="both"/>
        <w:rPr/>
      </w:pPr>
      <w:r>
        <w:rPr/>
      </w:r>
    </w:p>
    <w:p>
      <w:pPr>
        <w:pStyle w:val="Normal"/>
        <w:spacing w:before="0" w:after="0"/>
        <w:rPr>
          <w:sz w:val="4"/>
          <w:szCs w:val="4"/>
        </w:rPr>
      </w:pPr>
      <w:r>
        <w:rPr>
          <w:sz w:val="4"/>
          <w:szCs w:val="4"/>
        </w:rPr>
      </w:r>
      <w:bookmarkStart w:id="4815" w:name="hangingindent321"/>
      <w:bookmarkStart w:id="4816" w:name="hangingindent321"/>
      <w:bookmarkEnd w:id="4816"/>
    </w:p>
    <w:tbl>
      <w:tblPr>
        <w:tblW w:w="5000" w:type="pct"/>
        <w:jc w:val="center"/>
        <w:tblInd w:w="0" w:type="dxa"/>
        <w:tblCellMar>
          <w:top w:w="0" w:type="dxa"/>
          <w:left w:w="0" w:type="dxa"/>
          <w:bottom w:w="0" w:type="dxa"/>
          <w:right w:w="0" w:type="dxa"/>
        </w:tblCellMar>
      </w:tblPr>
      <w:tblGrid>
        <w:gridCol w:w="274"/>
        <w:gridCol w:w="9931"/>
      </w:tblGrid>
      <w:tr>
        <w:trPr/>
        <w:tc>
          <w:tcPr>
            <w:tcW w:w="27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4.2</w:t>
            </w:r>
          </w:p>
        </w:tc>
        <w:tc>
          <w:tcPr>
            <w:tcW w:w="993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Form of Preferred Security Certificate evidencing the preferred securities of Reading International Trust I (filed as Exhibit 4.1 to the Company’s report on Form 8-K dated February 5, 2007, and incorporated herein by reference).</w:t>
            </w:r>
          </w:p>
        </w:tc>
      </w:tr>
    </w:tbl>
    <w:p>
      <w:pPr>
        <w:pStyle w:val="TextBody"/>
        <w:spacing w:lineRule="auto" w:line="300" w:before="0" w:after="0"/>
        <w:ind w:left="720" w:right="0" w:hanging="720"/>
        <w:jc w:val="both"/>
        <w:rPr/>
      </w:pPr>
      <w:r>
        <w:rPr/>
      </w:r>
    </w:p>
    <w:p>
      <w:pPr>
        <w:pStyle w:val="Normal"/>
        <w:spacing w:before="0" w:after="0"/>
        <w:rPr>
          <w:sz w:val="4"/>
          <w:szCs w:val="4"/>
        </w:rPr>
      </w:pPr>
      <w:r>
        <w:rPr>
          <w:sz w:val="4"/>
          <w:szCs w:val="4"/>
        </w:rPr>
      </w:r>
      <w:bookmarkStart w:id="4817" w:name="hangingindent322"/>
      <w:bookmarkStart w:id="4818" w:name="hangingindent322"/>
      <w:bookmarkEnd w:id="4818"/>
    </w:p>
    <w:tbl>
      <w:tblPr>
        <w:tblW w:w="5000" w:type="pct"/>
        <w:jc w:val="center"/>
        <w:tblInd w:w="0" w:type="dxa"/>
        <w:tblCellMar>
          <w:top w:w="0" w:type="dxa"/>
          <w:left w:w="0" w:type="dxa"/>
          <w:bottom w:w="0" w:type="dxa"/>
          <w:right w:w="0" w:type="dxa"/>
        </w:tblCellMar>
      </w:tblPr>
      <w:tblGrid>
        <w:gridCol w:w="274"/>
        <w:gridCol w:w="9931"/>
      </w:tblGrid>
      <w:tr>
        <w:trPr/>
        <w:tc>
          <w:tcPr>
            <w:tcW w:w="27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4.3</w:t>
            </w:r>
          </w:p>
        </w:tc>
        <w:tc>
          <w:tcPr>
            <w:tcW w:w="993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Form of Common Security Certificate evidencing common securities of Reading International Trust I (filed as Exhibit 4.2 to the Company’s report on Form 8-K dated February 5, 2007, and incorporated herein by reference).</w:t>
            </w:r>
          </w:p>
        </w:tc>
      </w:tr>
    </w:tbl>
    <w:p>
      <w:pPr>
        <w:pStyle w:val="TextBody"/>
        <w:spacing w:lineRule="auto" w:line="300" w:before="0" w:after="0"/>
        <w:ind w:left="720" w:right="0" w:hanging="720"/>
        <w:jc w:val="both"/>
        <w:rPr/>
      </w:pPr>
      <w:r>
        <w:rPr/>
      </w:r>
    </w:p>
    <w:p>
      <w:pPr>
        <w:pStyle w:val="Normal"/>
        <w:spacing w:before="0" w:after="0"/>
        <w:rPr>
          <w:sz w:val="4"/>
          <w:szCs w:val="4"/>
        </w:rPr>
      </w:pPr>
      <w:r>
        <w:rPr>
          <w:sz w:val="4"/>
          <w:szCs w:val="4"/>
        </w:rPr>
      </w:r>
      <w:bookmarkStart w:id="4819" w:name="hangingindent323"/>
      <w:bookmarkStart w:id="4820" w:name="hangingindent323"/>
      <w:bookmarkEnd w:id="4820"/>
    </w:p>
    <w:tbl>
      <w:tblPr>
        <w:tblW w:w="5000" w:type="pct"/>
        <w:jc w:val="center"/>
        <w:tblInd w:w="0" w:type="dxa"/>
        <w:tblCellMar>
          <w:top w:w="0" w:type="dxa"/>
          <w:left w:w="0" w:type="dxa"/>
          <w:bottom w:w="0" w:type="dxa"/>
          <w:right w:w="0" w:type="dxa"/>
        </w:tblCellMar>
      </w:tblPr>
      <w:tblGrid>
        <w:gridCol w:w="274"/>
        <w:gridCol w:w="9931"/>
      </w:tblGrid>
      <w:tr>
        <w:trPr/>
        <w:tc>
          <w:tcPr>
            <w:tcW w:w="27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4.4</w:t>
            </w:r>
          </w:p>
        </w:tc>
        <w:tc>
          <w:tcPr>
            <w:tcW w:w="993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Form of Reading International, Inc. Floating Rate Junior Subordinated Debt Security due 2027 (filed as Exhibit 4.3 to the Company’s report on Form 8-K dated February 5, 2007, and incorporated herein by reference).</w:t>
            </w:r>
          </w:p>
        </w:tc>
      </w:tr>
    </w:tbl>
    <w:p>
      <w:pPr>
        <w:pStyle w:val="TextBody"/>
        <w:spacing w:lineRule="auto" w:line="300" w:before="0" w:after="0"/>
        <w:ind w:left="0" w:right="0" w:hanging="0"/>
        <w:jc w:val="left"/>
        <w:rPr/>
      </w:pPr>
      <w:r>
        <w:rPr/>
      </w:r>
    </w:p>
    <w:p>
      <w:pPr>
        <w:pStyle w:val="Normal"/>
        <w:spacing w:before="0" w:after="0"/>
        <w:rPr>
          <w:sz w:val="4"/>
          <w:szCs w:val="4"/>
        </w:rPr>
      </w:pPr>
      <w:r>
        <w:rPr>
          <w:sz w:val="4"/>
          <w:szCs w:val="4"/>
        </w:rPr>
      </w:r>
      <w:bookmarkStart w:id="4821" w:name="hangingindent324"/>
      <w:bookmarkStart w:id="4822" w:name="hangingindent324"/>
      <w:bookmarkEnd w:id="4822"/>
    </w:p>
    <w:tbl>
      <w:tblPr>
        <w:tblW w:w="5000" w:type="pct"/>
        <w:jc w:val="center"/>
        <w:tblInd w:w="0" w:type="dxa"/>
        <w:tblCellMar>
          <w:top w:w="0" w:type="dxa"/>
          <w:left w:w="0" w:type="dxa"/>
          <w:bottom w:w="0" w:type="dxa"/>
          <w:right w:w="0" w:type="dxa"/>
        </w:tblCellMar>
      </w:tblPr>
      <w:tblGrid>
        <w:gridCol w:w="379"/>
        <w:gridCol w:w="9826"/>
      </w:tblGrid>
      <w:tr>
        <w:trPr/>
        <w:tc>
          <w:tcPr>
            <w:tcW w:w="37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10.1</w:t>
            </w:r>
          </w:p>
        </w:tc>
        <w:tc>
          <w:tcPr>
            <w:tcW w:w="982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Tax Disaffiliation Agreement, dated as of August 4, 1994, by and between Citadel Holding Corporation and Fidelity Federal Bank (filed as Exhibit 10.27 to the Company’s Quarterly Report on Form 10-Q for the quarter ended June 30, 1994, and incorporated herein by reference).</w:t>
            </w:r>
          </w:p>
        </w:tc>
      </w:tr>
    </w:tbl>
    <w:p>
      <w:pPr>
        <w:pStyle w:val="TextBody"/>
        <w:spacing w:lineRule="auto" w:line="300" w:before="0" w:after="0"/>
        <w:ind w:left="0" w:right="0" w:hanging="0"/>
        <w:jc w:val="left"/>
        <w:rPr/>
      </w:pPr>
      <w:r>
        <w:rPr/>
      </w:r>
    </w:p>
    <w:p>
      <w:pPr>
        <w:pStyle w:val="Normal"/>
        <w:spacing w:before="0" w:after="0"/>
        <w:rPr>
          <w:sz w:val="4"/>
          <w:szCs w:val="4"/>
        </w:rPr>
      </w:pPr>
      <w:r>
        <w:rPr>
          <w:sz w:val="4"/>
          <w:szCs w:val="4"/>
        </w:rPr>
      </w:r>
      <w:bookmarkStart w:id="4823" w:name="hangingindent325"/>
      <w:bookmarkStart w:id="4824" w:name="hangingindent325"/>
      <w:bookmarkEnd w:id="4824"/>
    </w:p>
    <w:tbl>
      <w:tblPr>
        <w:tblW w:w="5000" w:type="pct"/>
        <w:jc w:val="center"/>
        <w:tblInd w:w="0" w:type="dxa"/>
        <w:tblCellMar>
          <w:top w:w="0" w:type="dxa"/>
          <w:left w:w="0" w:type="dxa"/>
          <w:bottom w:w="0" w:type="dxa"/>
          <w:right w:w="0" w:type="dxa"/>
        </w:tblCellMar>
      </w:tblPr>
      <w:tblGrid>
        <w:gridCol w:w="379"/>
        <w:gridCol w:w="9826"/>
      </w:tblGrid>
      <w:tr>
        <w:trPr/>
        <w:tc>
          <w:tcPr>
            <w:tcW w:w="37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10.2</w:t>
            </w:r>
          </w:p>
        </w:tc>
        <w:tc>
          <w:tcPr>
            <w:tcW w:w="982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Standard Office lease, dated as of July 15, 1994, by and between Citadel Realty, Inc. and Fidelity Federal Bank (filed as Exhibit 10.42 to the Company’s Quarterly Report on Form 10-Q for the quarter ended March 31, 1995, and incorporated herein by reference).</w:t>
            </w:r>
          </w:p>
        </w:tc>
      </w:tr>
    </w:tbl>
    <w:p>
      <w:pPr>
        <w:pStyle w:val="TextBody"/>
        <w:spacing w:lineRule="auto" w:line="300" w:before="0" w:after="0"/>
        <w:ind w:left="720" w:right="0" w:hanging="720"/>
        <w:jc w:val="both"/>
        <w:rPr/>
      </w:pPr>
      <w:r>
        <w:rPr/>
      </w:r>
    </w:p>
    <w:p>
      <w:pPr>
        <w:pStyle w:val="Normal"/>
        <w:spacing w:before="0" w:after="0"/>
        <w:rPr>
          <w:sz w:val="4"/>
          <w:szCs w:val="4"/>
        </w:rPr>
      </w:pPr>
      <w:r>
        <w:rPr>
          <w:sz w:val="4"/>
          <w:szCs w:val="4"/>
        </w:rPr>
      </w:r>
      <w:bookmarkStart w:id="4825" w:name="hangingindent326"/>
      <w:bookmarkStart w:id="4826" w:name="hangingindent326"/>
      <w:bookmarkEnd w:id="4826"/>
    </w:p>
    <w:tbl>
      <w:tblPr>
        <w:tblW w:w="5000" w:type="pct"/>
        <w:jc w:val="center"/>
        <w:tblInd w:w="0" w:type="dxa"/>
        <w:tblCellMar>
          <w:top w:w="0" w:type="dxa"/>
          <w:left w:w="0" w:type="dxa"/>
          <w:bottom w:w="0" w:type="dxa"/>
          <w:right w:w="0" w:type="dxa"/>
        </w:tblCellMar>
      </w:tblPr>
      <w:tblGrid>
        <w:gridCol w:w="379"/>
        <w:gridCol w:w="9826"/>
      </w:tblGrid>
      <w:tr>
        <w:trPr/>
        <w:tc>
          <w:tcPr>
            <w:tcW w:w="37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10.3</w:t>
            </w:r>
          </w:p>
        </w:tc>
        <w:tc>
          <w:tcPr>
            <w:tcW w:w="982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First Amendment to Standard Office Lease, dated May 15, 1995, by and between Citadel Realty, Inc. and Fidelity Federal Bank (filed as Exhibit 10.43 to the Company’s Quarterly Report on Form 10-Q for the quarter ended March 31, 1995, and incorporated herein by reference).</w:t>
            </w:r>
          </w:p>
        </w:tc>
      </w:tr>
    </w:tbl>
    <w:p>
      <w:pPr>
        <w:pStyle w:val="TextBody"/>
        <w:spacing w:lineRule="auto" w:line="300" w:before="0" w:after="0"/>
        <w:ind w:left="0" w:right="0" w:hanging="0"/>
        <w:jc w:val="left"/>
        <w:rPr/>
      </w:pPr>
      <w:r>
        <w:rPr/>
      </w:r>
    </w:p>
    <w:p>
      <w:pPr>
        <w:pStyle w:val="Normal"/>
        <w:spacing w:before="0" w:after="0"/>
        <w:rPr>
          <w:sz w:val="4"/>
          <w:szCs w:val="4"/>
        </w:rPr>
      </w:pPr>
      <w:r>
        <w:rPr>
          <w:sz w:val="4"/>
          <w:szCs w:val="4"/>
        </w:rPr>
      </w:r>
      <w:bookmarkStart w:id="4827" w:name="hangingindent327"/>
      <w:bookmarkStart w:id="4828" w:name="hangingindent327"/>
      <w:bookmarkEnd w:id="4828"/>
    </w:p>
    <w:tbl>
      <w:tblPr>
        <w:tblW w:w="5000" w:type="pct"/>
        <w:jc w:val="center"/>
        <w:tblInd w:w="0" w:type="dxa"/>
        <w:tblCellMar>
          <w:top w:w="0" w:type="dxa"/>
          <w:left w:w="0" w:type="dxa"/>
          <w:bottom w:w="0" w:type="dxa"/>
          <w:right w:w="0" w:type="dxa"/>
        </w:tblCellMar>
      </w:tblPr>
      <w:tblGrid>
        <w:gridCol w:w="379"/>
        <w:gridCol w:w="9826"/>
      </w:tblGrid>
      <w:tr>
        <w:trPr/>
        <w:tc>
          <w:tcPr>
            <w:tcW w:w="37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10.4</w:t>
            </w:r>
          </w:p>
        </w:tc>
        <w:tc>
          <w:tcPr>
            <w:tcW w:w="982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Guaranty of Payment dated May 15, 1995 by Citadel Holding Corporation in favor of Fidelity Federal Bank (filed as Exhibit 10.47 to the Company’s Quarterly Report on Form 10-Q for the quarter ended March 31, 1995, and incorporated herein by reference).</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829" w:name="PGBRK134"/>
      <w:bookmarkStart w:id="4830" w:name="PGBRK134"/>
      <w:bookmarkEnd w:id="483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831" w:name="FTR134"/>
      <w:bookmarkStart w:id="4832" w:name="FTR134"/>
      <w:bookmarkEnd w:id="48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833" w:name="GLFTR134"/>
      <w:bookmarkStart w:id="4834" w:name="GLFTR134"/>
      <w:bookmarkEnd w:id="483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4835" w:name="PN134"/>
      <w:bookmarkEnd w:id="4835"/>
      <w:r>
        <w:rPr>
          <w:rFonts w:ascii="Times New Roman" w:hAnsi="Times New Roman"/>
          <w:sz w:val="16"/>
        </w:rPr>
        <w:t>-134-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836" w:name="HDR134"/>
      <w:bookmarkStart w:id="4837" w:name="HDR134"/>
      <w:bookmarkEnd w:id="483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4838" w:name="GLHDR134"/>
        <w:bookmarkEnd w:id="4838"/>
        <w:r>
          <w:rPr>
            <w:rStyle w:val="Emphasis"/>
            <w:rFonts w:ascii="Times New Roman" w:hAnsi="Times New Roman"/>
            <w:color w:val="000000"/>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pStyle w:val="Normal"/>
        <w:spacing w:before="0" w:after="0"/>
        <w:rPr>
          <w:sz w:val="4"/>
          <w:szCs w:val="4"/>
        </w:rPr>
      </w:pPr>
      <w:r>
        <w:rPr>
          <w:sz w:val="4"/>
          <w:szCs w:val="4"/>
        </w:rPr>
      </w:r>
      <w:bookmarkStart w:id="4839" w:name="hangingindent328"/>
      <w:bookmarkStart w:id="4840" w:name="hangingindent328"/>
      <w:bookmarkEnd w:id="4840"/>
    </w:p>
    <w:tbl>
      <w:tblPr>
        <w:tblW w:w="5000" w:type="pct"/>
        <w:jc w:val="center"/>
        <w:tblInd w:w="0" w:type="dxa"/>
        <w:tblCellMar>
          <w:top w:w="0" w:type="dxa"/>
          <w:left w:w="0" w:type="dxa"/>
          <w:bottom w:w="0" w:type="dxa"/>
          <w:right w:w="0" w:type="dxa"/>
        </w:tblCellMar>
      </w:tblPr>
      <w:tblGrid>
        <w:gridCol w:w="379"/>
        <w:gridCol w:w="9826"/>
      </w:tblGrid>
      <w:tr>
        <w:trPr/>
        <w:tc>
          <w:tcPr>
            <w:tcW w:w="37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10.5</w:t>
            </w:r>
          </w:p>
        </w:tc>
        <w:tc>
          <w:tcPr>
            <w:tcW w:w="982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Exchange Agreement dated September 4, 1996 among Citadel Holding Corporation, Citadel Acquisition Corp., Inc. Craig Corporation, Craig Management, Inc., Reading Entertainment, Inc., Reading Company (filed as Exhibit 10.51 to the Company’s Annual Report on Form 10-K for the year ended December 31, 1996 and incorporated herein by reference).</w:t>
            </w:r>
          </w:p>
        </w:tc>
      </w:tr>
    </w:tbl>
    <w:p>
      <w:pPr>
        <w:pStyle w:val="TextBody"/>
        <w:spacing w:lineRule="auto" w:line="300" w:before="0" w:after="0"/>
        <w:ind w:left="0" w:right="0" w:hanging="0"/>
        <w:jc w:val="left"/>
        <w:rPr/>
      </w:pPr>
      <w:r>
        <w:rPr/>
      </w:r>
    </w:p>
    <w:p>
      <w:pPr>
        <w:pStyle w:val="Normal"/>
        <w:spacing w:before="0" w:after="0"/>
        <w:rPr>
          <w:sz w:val="4"/>
          <w:szCs w:val="4"/>
        </w:rPr>
      </w:pPr>
      <w:r>
        <w:rPr>
          <w:sz w:val="4"/>
          <w:szCs w:val="4"/>
        </w:rPr>
      </w:r>
      <w:bookmarkStart w:id="4841" w:name="hangingindent329"/>
      <w:bookmarkStart w:id="4842" w:name="hangingindent329"/>
      <w:bookmarkEnd w:id="4842"/>
    </w:p>
    <w:tbl>
      <w:tblPr>
        <w:tblW w:w="5000" w:type="pct"/>
        <w:jc w:val="center"/>
        <w:tblInd w:w="0" w:type="dxa"/>
        <w:tblCellMar>
          <w:top w:w="0" w:type="dxa"/>
          <w:left w:w="0" w:type="dxa"/>
          <w:bottom w:w="0" w:type="dxa"/>
          <w:right w:w="0" w:type="dxa"/>
        </w:tblCellMar>
      </w:tblPr>
      <w:tblGrid>
        <w:gridCol w:w="379"/>
        <w:gridCol w:w="9826"/>
      </w:tblGrid>
      <w:tr>
        <w:trPr/>
        <w:tc>
          <w:tcPr>
            <w:tcW w:w="37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10.6</w:t>
            </w:r>
          </w:p>
        </w:tc>
        <w:tc>
          <w:tcPr>
            <w:tcW w:w="982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Asset Put and Registration Rights Agreement dated October 15, 1996 among Citadel Holding Corporation, Citadel Acquisition Corp., Inc., Reading Entertainment, Inc., and Craig Corporation (filed as Exhibit 10.52 to the Company’s Annual Report on Form 10-K for the year ended December 31, 1996 and incorporated herein by reference).</w:t>
            </w:r>
          </w:p>
        </w:tc>
      </w:tr>
    </w:tbl>
    <w:p>
      <w:pPr>
        <w:pStyle w:val="TextBody"/>
        <w:spacing w:lineRule="auto" w:line="300" w:before="0" w:after="0"/>
        <w:ind w:left="0" w:right="0" w:hanging="0"/>
        <w:jc w:val="left"/>
        <w:rPr/>
      </w:pPr>
      <w:r>
        <w:rPr/>
      </w:r>
    </w:p>
    <w:p>
      <w:pPr>
        <w:pStyle w:val="Normal"/>
        <w:spacing w:before="0" w:after="0"/>
        <w:rPr>
          <w:sz w:val="4"/>
          <w:szCs w:val="4"/>
        </w:rPr>
      </w:pPr>
      <w:r>
        <w:rPr>
          <w:sz w:val="4"/>
          <w:szCs w:val="4"/>
        </w:rPr>
      </w:r>
      <w:bookmarkStart w:id="4843" w:name="hangingindent330"/>
      <w:bookmarkStart w:id="4844" w:name="hangingindent330"/>
      <w:bookmarkEnd w:id="4844"/>
    </w:p>
    <w:tbl>
      <w:tblPr>
        <w:tblW w:w="5000" w:type="pct"/>
        <w:jc w:val="center"/>
        <w:tblInd w:w="0" w:type="dxa"/>
        <w:tblCellMar>
          <w:top w:w="0" w:type="dxa"/>
          <w:left w:w="0" w:type="dxa"/>
          <w:bottom w:w="0" w:type="dxa"/>
          <w:right w:w="0" w:type="dxa"/>
        </w:tblCellMar>
      </w:tblPr>
      <w:tblGrid>
        <w:gridCol w:w="379"/>
        <w:gridCol w:w="9826"/>
      </w:tblGrid>
      <w:tr>
        <w:trPr/>
        <w:tc>
          <w:tcPr>
            <w:tcW w:w="37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10.7</w:t>
            </w:r>
          </w:p>
        </w:tc>
        <w:tc>
          <w:tcPr>
            <w:tcW w:w="982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Articles of Incorporation of Reading Entertainment, Inc., A Nevada Corporation (filed as Exhibit 10.7 to the Company’s Annual Report on Form 10-K for the year ended December 31, 1999, and incorporated herein by reference). </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4845" w:name="hangingindent331"/>
      <w:bookmarkStart w:id="4846" w:name="hangingindent331"/>
      <w:bookmarkEnd w:id="4846"/>
    </w:p>
    <w:tbl>
      <w:tblPr>
        <w:tblW w:w="5000" w:type="pct"/>
        <w:jc w:val="center"/>
        <w:tblInd w:w="0" w:type="dxa"/>
        <w:tblCellMar>
          <w:top w:w="0" w:type="dxa"/>
          <w:left w:w="0" w:type="dxa"/>
          <w:bottom w:w="0" w:type="dxa"/>
          <w:right w:w="0" w:type="dxa"/>
        </w:tblCellMar>
      </w:tblPr>
      <w:tblGrid>
        <w:gridCol w:w="469"/>
        <w:gridCol w:w="9736"/>
      </w:tblGrid>
      <w:tr>
        <w:trPr/>
        <w:tc>
          <w:tcPr>
            <w:tcW w:w="46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10.7a</w:t>
            </w:r>
          </w:p>
        </w:tc>
        <w:tc>
          <w:tcPr>
            <w:tcW w:w="973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Certificate of Designation of the Series A Voting Cumulative Convertible preferred stock of Reading Entertainment, Inc. (filed as Exhibit 10.7a to the Company’s Annual Report on Form 10-K for the year ended December 31, 1999, and incorporated herein by reference). </w:t>
            </w:r>
          </w:p>
        </w:tc>
      </w:tr>
    </w:tbl>
    <w:p>
      <w:pPr>
        <w:pStyle w:val="TextBody"/>
        <w:spacing w:lineRule="auto" w:line="300" w:before="0" w:after="0"/>
        <w:ind w:left="720" w:right="0" w:hanging="720"/>
        <w:jc w:val="both"/>
        <w:rPr/>
      </w:pPr>
      <w:r>
        <w:rPr/>
      </w:r>
    </w:p>
    <w:p>
      <w:pPr>
        <w:pStyle w:val="Normal"/>
        <w:spacing w:before="0" w:after="0"/>
        <w:rPr>
          <w:sz w:val="4"/>
          <w:szCs w:val="4"/>
        </w:rPr>
      </w:pPr>
      <w:r>
        <w:rPr>
          <w:sz w:val="4"/>
          <w:szCs w:val="4"/>
        </w:rPr>
      </w:r>
      <w:bookmarkStart w:id="4847" w:name="hangingindent332"/>
      <w:bookmarkStart w:id="4848" w:name="hangingindent332"/>
      <w:bookmarkEnd w:id="4848"/>
    </w:p>
    <w:tbl>
      <w:tblPr>
        <w:tblW w:w="5000" w:type="pct"/>
        <w:jc w:val="center"/>
        <w:tblInd w:w="0" w:type="dxa"/>
        <w:tblCellMar>
          <w:top w:w="0" w:type="dxa"/>
          <w:left w:w="0" w:type="dxa"/>
          <w:bottom w:w="0" w:type="dxa"/>
          <w:right w:w="0" w:type="dxa"/>
        </w:tblCellMar>
      </w:tblPr>
      <w:tblGrid>
        <w:gridCol w:w="379"/>
        <w:gridCol w:w="9826"/>
      </w:tblGrid>
      <w:tr>
        <w:trPr/>
        <w:tc>
          <w:tcPr>
            <w:tcW w:w="37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10.8</w:t>
            </w:r>
          </w:p>
        </w:tc>
        <w:tc>
          <w:tcPr>
            <w:tcW w:w="982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Lease between Citadel Realty, Inc., Lesser and Disney Enterprises, Inc., Lessee dated October 1, 1996 (filed as Exhibit 10.54 to the Company’s Quarterly Report on Form 10-Q for the quarter ended September 30, 1996, and incorporated herein by reference).</w:t>
            </w:r>
          </w:p>
        </w:tc>
      </w:tr>
    </w:tbl>
    <w:p>
      <w:pPr>
        <w:pStyle w:val="TextBody"/>
        <w:spacing w:lineRule="auto" w:line="300" w:before="0" w:after="0"/>
        <w:ind w:left="0" w:right="0" w:hanging="0"/>
        <w:jc w:val="both"/>
        <w:rPr/>
      </w:pPr>
      <w:r>
        <w:rPr/>
      </w:r>
    </w:p>
    <w:p>
      <w:pPr>
        <w:pStyle w:val="Normal"/>
        <w:spacing w:before="0" w:after="0"/>
        <w:rPr>
          <w:sz w:val="4"/>
          <w:szCs w:val="4"/>
        </w:rPr>
      </w:pPr>
      <w:r>
        <w:rPr>
          <w:sz w:val="4"/>
          <w:szCs w:val="4"/>
        </w:rPr>
      </w:r>
      <w:bookmarkStart w:id="4849" w:name="hangingindent333"/>
      <w:bookmarkStart w:id="4850" w:name="hangingindent333"/>
      <w:bookmarkEnd w:id="4850"/>
    </w:p>
    <w:tbl>
      <w:tblPr>
        <w:tblW w:w="5000" w:type="pct"/>
        <w:jc w:val="center"/>
        <w:tblInd w:w="0" w:type="dxa"/>
        <w:tblCellMar>
          <w:top w:w="0" w:type="dxa"/>
          <w:left w:w="0" w:type="dxa"/>
          <w:bottom w:w="0" w:type="dxa"/>
          <w:right w:w="0" w:type="dxa"/>
        </w:tblCellMar>
      </w:tblPr>
      <w:tblGrid>
        <w:gridCol w:w="379"/>
        <w:gridCol w:w="9826"/>
      </w:tblGrid>
      <w:tr>
        <w:trPr/>
        <w:tc>
          <w:tcPr>
            <w:tcW w:w="37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10.9</w:t>
            </w:r>
          </w:p>
        </w:tc>
        <w:tc>
          <w:tcPr>
            <w:tcW w:w="982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Second Amendment to Standard Office Lease between Citadel Realty, Inc. and Fidelity Federal Bank dated October 1, 1996 (filed as Exhibit 10.55 to the Company’s Quarterly Report on Form 10-Q for the quarter ended September 30, 1996, and incorporated herein by reference).</w:t>
            </w:r>
          </w:p>
        </w:tc>
      </w:tr>
    </w:tbl>
    <w:p>
      <w:pPr>
        <w:pStyle w:val="TextBody"/>
        <w:spacing w:lineRule="auto" w:line="300" w:before="0" w:after="0"/>
        <w:ind w:left="0" w:right="0" w:hanging="0"/>
        <w:jc w:val="left"/>
        <w:rPr/>
      </w:pPr>
      <w:r>
        <w:rPr/>
      </w:r>
    </w:p>
    <w:p>
      <w:pPr>
        <w:pStyle w:val="Normal"/>
        <w:spacing w:before="0" w:after="0"/>
        <w:rPr>
          <w:sz w:val="4"/>
          <w:szCs w:val="4"/>
        </w:rPr>
      </w:pPr>
      <w:r>
        <w:rPr>
          <w:sz w:val="4"/>
          <w:szCs w:val="4"/>
        </w:rPr>
      </w:r>
      <w:bookmarkStart w:id="4851" w:name="hangingindent334"/>
      <w:bookmarkStart w:id="4852" w:name="hangingindent334"/>
      <w:bookmarkEnd w:id="4852"/>
    </w:p>
    <w:tbl>
      <w:tblPr>
        <w:tblW w:w="5000" w:type="pct"/>
        <w:jc w:val="center"/>
        <w:tblInd w:w="0" w:type="dxa"/>
        <w:tblCellMar>
          <w:top w:w="0" w:type="dxa"/>
          <w:left w:w="0" w:type="dxa"/>
          <w:bottom w:w="0" w:type="dxa"/>
          <w:right w:w="0" w:type="dxa"/>
        </w:tblCellMar>
      </w:tblPr>
      <w:tblGrid>
        <w:gridCol w:w="484"/>
        <w:gridCol w:w="9721"/>
      </w:tblGrid>
      <w:tr>
        <w:trPr/>
        <w:tc>
          <w:tcPr>
            <w:tcW w:w="48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10.10</w:t>
            </w:r>
          </w:p>
        </w:tc>
        <w:tc>
          <w:tcPr>
            <w:tcW w:w="972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Citadel 1996 Non-employee Director Stock Option Plan (filed as Exhibit 10.57 to the Company’s Annual Report on Form 10-K for the year ended December 31, 1996, and incorporated herein by reference).</w:t>
            </w:r>
          </w:p>
        </w:tc>
      </w:tr>
    </w:tbl>
    <w:p>
      <w:pPr>
        <w:pStyle w:val="TextBody"/>
        <w:spacing w:lineRule="auto" w:line="300" w:before="0" w:after="0"/>
        <w:ind w:left="0" w:right="0" w:hanging="0"/>
        <w:jc w:val="left"/>
        <w:rPr/>
      </w:pPr>
      <w:r>
        <w:rPr/>
      </w:r>
    </w:p>
    <w:p>
      <w:pPr>
        <w:pStyle w:val="Normal"/>
        <w:spacing w:before="0" w:after="0"/>
        <w:rPr>
          <w:sz w:val="4"/>
          <w:szCs w:val="4"/>
        </w:rPr>
      </w:pPr>
      <w:r>
        <w:rPr>
          <w:sz w:val="4"/>
          <w:szCs w:val="4"/>
        </w:rPr>
      </w:r>
      <w:bookmarkStart w:id="4853" w:name="hangingindent335"/>
      <w:bookmarkStart w:id="4854" w:name="hangingindent335"/>
      <w:bookmarkEnd w:id="4854"/>
    </w:p>
    <w:tbl>
      <w:tblPr>
        <w:tblW w:w="5000" w:type="pct"/>
        <w:jc w:val="center"/>
        <w:tblInd w:w="0" w:type="dxa"/>
        <w:tblCellMar>
          <w:top w:w="0" w:type="dxa"/>
          <w:left w:w="0" w:type="dxa"/>
          <w:bottom w:w="0" w:type="dxa"/>
          <w:right w:w="0" w:type="dxa"/>
        </w:tblCellMar>
      </w:tblPr>
      <w:tblGrid>
        <w:gridCol w:w="484"/>
        <w:gridCol w:w="9721"/>
      </w:tblGrid>
      <w:tr>
        <w:trPr/>
        <w:tc>
          <w:tcPr>
            <w:tcW w:w="48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10.11</w:t>
            </w:r>
          </w:p>
        </w:tc>
        <w:tc>
          <w:tcPr>
            <w:tcW w:w="972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Reading Entertainment, Inc. Annual Report on Form 10-K for the year ended December 31, 1997 (filed as Exhibit 10.58 to the Company’s Annual Report on Form 10-K for the year ended December 31, 1997 and incorporated herein by reference).</w:t>
            </w:r>
          </w:p>
        </w:tc>
      </w:tr>
    </w:tbl>
    <w:p>
      <w:pPr>
        <w:pStyle w:val="TextBody"/>
        <w:spacing w:lineRule="auto" w:line="300" w:before="0" w:after="0"/>
        <w:ind w:left="0" w:right="0" w:hanging="0"/>
        <w:jc w:val="both"/>
        <w:rPr/>
      </w:pPr>
      <w:r>
        <w:rPr/>
      </w:r>
    </w:p>
    <w:p>
      <w:pPr>
        <w:pStyle w:val="Normal"/>
        <w:spacing w:before="0" w:after="0"/>
        <w:rPr>
          <w:sz w:val="4"/>
          <w:szCs w:val="4"/>
        </w:rPr>
      </w:pPr>
      <w:r>
        <w:rPr>
          <w:sz w:val="4"/>
          <w:szCs w:val="4"/>
        </w:rPr>
      </w:r>
      <w:bookmarkStart w:id="4855" w:name="hangingindent336"/>
      <w:bookmarkStart w:id="4856" w:name="hangingindent336"/>
      <w:bookmarkEnd w:id="4856"/>
    </w:p>
    <w:tbl>
      <w:tblPr>
        <w:tblW w:w="5000" w:type="pct"/>
        <w:jc w:val="center"/>
        <w:tblInd w:w="0" w:type="dxa"/>
        <w:tblCellMar>
          <w:top w:w="0" w:type="dxa"/>
          <w:left w:w="0" w:type="dxa"/>
          <w:bottom w:w="0" w:type="dxa"/>
          <w:right w:w="0" w:type="dxa"/>
        </w:tblCellMar>
      </w:tblPr>
      <w:tblGrid>
        <w:gridCol w:w="484"/>
        <w:gridCol w:w="9721"/>
      </w:tblGrid>
      <w:tr>
        <w:trPr/>
        <w:tc>
          <w:tcPr>
            <w:tcW w:w="48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10.12</w:t>
            </w:r>
          </w:p>
        </w:tc>
        <w:tc>
          <w:tcPr>
            <w:tcW w:w="972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Stock Purchase Agreement dated as of April 11, 1997 by and between Citadel Holding Corporation and Craig Corporation (filed as Exhibit 10.56 to the Company’s Quarterly Report on Form 10-Q for the quarter ended March 31, 1997).</w:t>
            </w:r>
          </w:p>
        </w:tc>
      </w:tr>
    </w:tbl>
    <w:p>
      <w:pPr>
        <w:pStyle w:val="TextBody"/>
        <w:spacing w:lineRule="auto" w:line="300" w:before="0" w:after="0"/>
        <w:ind w:left="0" w:right="0" w:hanging="0"/>
        <w:jc w:val="both"/>
        <w:rPr/>
      </w:pPr>
      <w:r>
        <w:rPr/>
      </w:r>
    </w:p>
    <w:p>
      <w:pPr>
        <w:pStyle w:val="Normal"/>
        <w:spacing w:before="0" w:after="0"/>
        <w:rPr>
          <w:sz w:val="4"/>
          <w:szCs w:val="4"/>
        </w:rPr>
      </w:pPr>
      <w:r>
        <w:rPr>
          <w:sz w:val="4"/>
          <w:szCs w:val="4"/>
        </w:rPr>
      </w:r>
      <w:bookmarkStart w:id="4857" w:name="hangingindent337"/>
      <w:bookmarkStart w:id="4858" w:name="hangingindent337"/>
      <w:bookmarkEnd w:id="4858"/>
    </w:p>
    <w:tbl>
      <w:tblPr>
        <w:tblW w:w="5000" w:type="pct"/>
        <w:jc w:val="center"/>
        <w:tblInd w:w="0" w:type="dxa"/>
        <w:tblCellMar>
          <w:top w:w="0" w:type="dxa"/>
          <w:left w:w="0" w:type="dxa"/>
          <w:bottom w:w="0" w:type="dxa"/>
          <w:right w:w="0" w:type="dxa"/>
        </w:tblCellMar>
      </w:tblPr>
      <w:tblGrid>
        <w:gridCol w:w="484"/>
        <w:gridCol w:w="9721"/>
      </w:tblGrid>
      <w:tr>
        <w:trPr/>
        <w:tc>
          <w:tcPr>
            <w:tcW w:w="48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10.13</w:t>
            </w:r>
          </w:p>
        </w:tc>
        <w:tc>
          <w:tcPr>
            <w:tcW w:w="972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Secured Promissory Note dated as of April 11, 1997 issued by Craig Corporation to Citadel Holding Corporation in the principal amount of $1,998,000 (filed as Exhibit 10.60 to the Company’s Quarterly Report on Form 10-Q for the quarter ended March 31, 1997).</w:t>
            </w:r>
          </w:p>
        </w:tc>
      </w:tr>
    </w:tbl>
    <w:p>
      <w:pPr>
        <w:pStyle w:val="TextBody"/>
        <w:spacing w:lineRule="auto" w:line="300" w:before="0" w:after="0"/>
        <w:ind w:left="0" w:right="0" w:hanging="0"/>
        <w:jc w:val="both"/>
        <w:rPr/>
      </w:pPr>
      <w:r>
        <w:rPr/>
      </w:r>
    </w:p>
    <w:p>
      <w:pPr>
        <w:pStyle w:val="Normal"/>
        <w:spacing w:before="0" w:after="0"/>
        <w:rPr>
          <w:sz w:val="4"/>
          <w:szCs w:val="4"/>
        </w:rPr>
      </w:pPr>
      <w:r>
        <w:rPr>
          <w:sz w:val="4"/>
          <w:szCs w:val="4"/>
        </w:rPr>
      </w:r>
      <w:bookmarkStart w:id="4859" w:name="hangingindent338"/>
      <w:bookmarkStart w:id="4860" w:name="hangingindent338"/>
      <w:bookmarkEnd w:id="4860"/>
    </w:p>
    <w:tbl>
      <w:tblPr>
        <w:tblW w:w="5000" w:type="pct"/>
        <w:jc w:val="center"/>
        <w:tblInd w:w="0" w:type="dxa"/>
        <w:tblCellMar>
          <w:top w:w="0" w:type="dxa"/>
          <w:left w:w="0" w:type="dxa"/>
          <w:bottom w:w="0" w:type="dxa"/>
          <w:right w:w="0" w:type="dxa"/>
        </w:tblCellMar>
      </w:tblPr>
      <w:tblGrid>
        <w:gridCol w:w="484"/>
        <w:gridCol w:w="9721"/>
      </w:tblGrid>
      <w:tr>
        <w:trPr/>
        <w:tc>
          <w:tcPr>
            <w:tcW w:w="48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10.14</w:t>
            </w:r>
          </w:p>
        </w:tc>
        <w:tc>
          <w:tcPr>
            <w:tcW w:w="972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Agreement for Purchase and Sale of Real Property between Prudential Insurance Company of America and Big 4 Farming LLC dated August 29, 1997 (filed as Exhibit 10.61 to the Company’s Quarterly Report on Form 10-Q for the quarter ended September 30, 1997).</w:t>
            </w:r>
          </w:p>
        </w:tc>
      </w:tr>
    </w:tbl>
    <w:p>
      <w:pPr>
        <w:pStyle w:val="TextBody"/>
        <w:spacing w:lineRule="auto" w:line="300" w:before="0" w:after="0"/>
        <w:ind w:left="720" w:right="0" w:hanging="720"/>
        <w:jc w:val="both"/>
        <w:rPr/>
      </w:pPr>
      <w:r>
        <w:rPr/>
      </w:r>
    </w:p>
    <w:p>
      <w:pPr>
        <w:pStyle w:val="Normal"/>
        <w:spacing w:before="0" w:after="0"/>
        <w:rPr>
          <w:sz w:val="4"/>
          <w:szCs w:val="4"/>
        </w:rPr>
      </w:pPr>
      <w:r>
        <w:rPr>
          <w:sz w:val="4"/>
          <w:szCs w:val="4"/>
        </w:rPr>
      </w:r>
      <w:bookmarkStart w:id="4861" w:name="hangingindent339"/>
      <w:bookmarkStart w:id="4862" w:name="hangingindent339"/>
      <w:bookmarkEnd w:id="4862"/>
    </w:p>
    <w:tbl>
      <w:tblPr>
        <w:tblW w:w="5000" w:type="pct"/>
        <w:jc w:val="center"/>
        <w:tblInd w:w="0" w:type="dxa"/>
        <w:tblCellMar>
          <w:top w:w="0" w:type="dxa"/>
          <w:left w:w="0" w:type="dxa"/>
          <w:bottom w:w="0" w:type="dxa"/>
          <w:right w:w="0" w:type="dxa"/>
        </w:tblCellMar>
      </w:tblPr>
      <w:tblGrid>
        <w:gridCol w:w="484"/>
        <w:gridCol w:w="9721"/>
      </w:tblGrid>
      <w:tr>
        <w:trPr/>
        <w:tc>
          <w:tcPr>
            <w:tcW w:w="48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10.15</w:t>
            </w:r>
          </w:p>
        </w:tc>
        <w:tc>
          <w:tcPr>
            <w:tcW w:w="972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Second Amendment to Agreement of Purchase and Sale between Prudential Insurance Company of America and Big 4 Farming LLC dated November 5, 1997 (filed as Exhibit 10.62 to the Company’s Quarterly Report on Form 10-Q for the quarter ended September 30, 1997).</w:t>
            </w:r>
          </w:p>
        </w:tc>
      </w:tr>
    </w:tbl>
    <w:p>
      <w:pPr>
        <w:pStyle w:val="TextBody"/>
        <w:spacing w:lineRule="auto" w:line="300" w:before="0" w:after="0"/>
        <w:ind w:left="0" w:right="0" w:hanging="0"/>
        <w:jc w:val="both"/>
        <w:rPr/>
      </w:pPr>
      <w:r>
        <w:rPr/>
        <w:t> </w:t>
      </w:r>
    </w:p>
    <w:p>
      <w:pPr>
        <w:pStyle w:val="Normal"/>
        <w:spacing w:before="0" w:after="0"/>
        <w:ind w:left="0" w:right="0" w:hanging="0"/>
        <w:rPr>
          <w:sz w:val="4"/>
          <w:szCs w:val="4"/>
        </w:rPr>
      </w:pPr>
      <w:r>
        <w:rPr>
          <w:sz w:val="4"/>
          <w:szCs w:val="4"/>
        </w:rPr>
      </w:r>
      <w:bookmarkStart w:id="4863" w:name="hangingindent340"/>
      <w:bookmarkStart w:id="4864" w:name="hangingindent340"/>
      <w:bookmarkEnd w:id="4864"/>
    </w:p>
    <w:tbl>
      <w:tblPr>
        <w:tblW w:w="5000" w:type="pct"/>
        <w:jc w:val="center"/>
        <w:tblInd w:w="0" w:type="dxa"/>
        <w:tblCellMar>
          <w:top w:w="0" w:type="dxa"/>
          <w:left w:w="0" w:type="dxa"/>
          <w:bottom w:w="0" w:type="dxa"/>
          <w:right w:w="0" w:type="dxa"/>
        </w:tblCellMar>
      </w:tblPr>
      <w:tblGrid>
        <w:gridCol w:w="484"/>
        <w:gridCol w:w="9721"/>
      </w:tblGrid>
      <w:tr>
        <w:trPr/>
        <w:tc>
          <w:tcPr>
            <w:tcW w:w="48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10.16</w:t>
            </w:r>
          </w:p>
        </w:tc>
        <w:tc>
          <w:tcPr>
            <w:tcW w:w="972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Partnership Agreement of Citadel Agricultural Partners No. 1 dated December 19, 1997 (filed as Exhibit 10.63 to the Company’s Annual Report on Form 10-K for the year ended December 31, 1997 and incorporated herein by reference).</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865" w:name="PGBRK135"/>
      <w:bookmarkStart w:id="4866" w:name="PGBRK135"/>
      <w:bookmarkEnd w:id="486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867" w:name="FTR135"/>
      <w:bookmarkStart w:id="4868" w:name="FTR135"/>
      <w:bookmarkEnd w:id="486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869" w:name="GLFTR135"/>
      <w:bookmarkStart w:id="4870" w:name="GLFTR135"/>
      <w:bookmarkEnd w:id="487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4871" w:name="PN135"/>
      <w:bookmarkEnd w:id="4871"/>
      <w:r>
        <w:rPr>
          <w:rFonts w:ascii="Times New Roman" w:hAnsi="Times New Roman"/>
          <w:sz w:val="16"/>
        </w:rPr>
        <w:t>-135-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872" w:name="HDR135"/>
      <w:bookmarkStart w:id="4873" w:name="HDR135"/>
      <w:bookmarkEnd w:id="487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4874" w:name="GLHDR135"/>
        <w:bookmarkEnd w:id="4874"/>
        <w:r>
          <w:rPr>
            <w:rStyle w:val="Emphasis"/>
            <w:rFonts w:ascii="Times New Roman" w:hAnsi="Times New Roman"/>
            <w:color w:val="000000"/>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pStyle w:val="Normal"/>
        <w:spacing w:before="0" w:after="0"/>
        <w:rPr>
          <w:sz w:val="4"/>
          <w:szCs w:val="4"/>
        </w:rPr>
      </w:pPr>
      <w:r>
        <w:rPr>
          <w:sz w:val="4"/>
          <w:szCs w:val="4"/>
        </w:rPr>
      </w:r>
      <w:bookmarkStart w:id="4875" w:name="hangingindent341"/>
      <w:bookmarkStart w:id="4876" w:name="hangingindent341"/>
      <w:bookmarkEnd w:id="4876"/>
    </w:p>
    <w:tbl>
      <w:tblPr>
        <w:tblW w:w="5000" w:type="pct"/>
        <w:jc w:val="center"/>
        <w:tblInd w:w="0" w:type="dxa"/>
        <w:tblCellMar>
          <w:top w:w="0" w:type="dxa"/>
          <w:left w:w="0" w:type="dxa"/>
          <w:bottom w:w="0" w:type="dxa"/>
          <w:right w:w="0" w:type="dxa"/>
        </w:tblCellMar>
      </w:tblPr>
      <w:tblGrid>
        <w:gridCol w:w="484"/>
        <w:gridCol w:w="9721"/>
      </w:tblGrid>
      <w:tr>
        <w:trPr/>
        <w:tc>
          <w:tcPr>
            <w:tcW w:w="48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10.17</w:t>
            </w:r>
          </w:p>
        </w:tc>
        <w:tc>
          <w:tcPr>
            <w:tcW w:w="972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Partnership Agreement of Citadel Agricultural Partners No. 2 dated December 19, 1997 (filed as Exhibit 10.64 to the Company’s Annual Report on Form 10-K for the year ended December 31, 1997 and incorporated herein by reference).</w:t>
            </w:r>
          </w:p>
        </w:tc>
      </w:tr>
    </w:tbl>
    <w:p>
      <w:pPr>
        <w:pStyle w:val="TextBody"/>
        <w:spacing w:lineRule="auto" w:line="300" w:before="0" w:after="0"/>
        <w:ind w:left="0" w:right="0" w:hanging="0"/>
        <w:jc w:val="both"/>
        <w:rPr/>
      </w:pPr>
      <w:r>
        <w:rPr/>
      </w:r>
    </w:p>
    <w:p>
      <w:pPr>
        <w:pStyle w:val="Normal"/>
        <w:spacing w:before="0" w:after="0"/>
        <w:rPr>
          <w:sz w:val="4"/>
          <w:szCs w:val="4"/>
        </w:rPr>
      </w:pPr>
      <w:r>
        <w:rPr>
          <w:sz w:val="4"/>
          <w:szCs w:val="4"/>
        </w:rPr>
      </w:r>
      <w:bookmarkStart w:id="4877" w:name="hangingindent342"/>
      <w:bookmarkStart w:id="4878" w:name="hangingindent342"/>
      <w:bookmarkEnd w:id="4878"/>
    </w:p>
    <w:tbl>
      <w:tblPr>
        <w:tblW w:w="5000" w:type="pct"/>
        <w:jc w:val="center"/>
        <w:tblInd w:w="0" w:type="dxa"/>
        <w:tblCellMar>
          <w:top w:w="0" w:type="dxa"/>
          <w:left w:w="0" w:type="dxa"/>
          <w:bottom w:w="0" w:type="dxa"/>
          <w:right w:w="0" w:type="dxa"/>
        </w:tblCellMar>
      </w:tblPr>
      <w:tblGrid>
        <w:gridCol w:w="484"/>
        <w:gridCol w:w="9721"/>
      </w:tblGrid>
      <w:tr>
        <w:trPr/>
        <w:tc>
          <w:tcPr>
            <w:tcW w:w="48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10.18</w:t>
            </w:r>
          </w:p>
        </w:tc>
        <w:tc>
          <w:tcPr>
            <w:tcW w:w="972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Partnership Agreement of Citadel Agricultural Partners No. 3 dated December 19, 1997 (filed as Exhibit 10.65 to the Company’s Annual Report on Form 10-K for the year ended December 31, 1997 and incorporated herein by reference).</w:t>
            </w:r>
          </w:p>
        </w:tc>
      </w:tr>
    </w:tbl>
    <w:p>
      <w:pPr>
        <w:pStyle w:val="TextBody"/>
        <w:spacing w:lineRule="auto" w:line="300" w:before="0" w:after="0"/>
        <w:ind w:left="0" w:right="0" w:hanging="0"/>
        <w:jc w:val="both"/>
        <w:rPr/>
      </w:pPr>
      <w:r>
        <w:rPr/>
      </w:r>
    </w:p>
    <w:p>
      <w:pPr>
        <w:pStyle w:val="Normal"/>
        <w:spacing w:before="0" w:after="0"/>
        <w:rPr>
          <w:sz w:val="4"/>
          <w:szCs w:val="4"/>
        </w:rPr>
      </w:pPr>
      <w:r>
        <w:rPr>
          <w:sz w:val="4"/>
          <w:szCs w:val="4"/>
        </w:rPr>
      </w:r>
      <w:bookmarkStart w:id="4879" w:name="hangingindent343"/>
      <w:bookmarkStart w:id="4880" w:name="hangingindent343"/>
      <w:bookmarkEnd w:id="4880"/>
    </w:p>
    <w:tbl>
      <w:tblPr>
        <w:tblW w:w="5000" w:type="pct"/>
        <w:jc w:val="center"/>
        <w:tblInd w:w="0" w:type="dxa"/>
        <w:tblCellMar>
          <w:top w:w="0" w:type="dxa"/>
          <w:left w:w="0" w:type="dxa"/>
          <w:bottom w:w="0" w:type="dxa"/>
          <w:right w:w="0" w:type="dxa"/>
        </w:tblCellMar>
      </w:tblPr>
      <w:tblGrid>
        <w:gridCol w:w="484"/>
        <w:gridCol w:w="9721"/>
      </w:tblGrid>
      <w:tr>
        <w:trPr/>
        <w:tc>
          <w:tcPr>
            <w:tcW w:w="48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10.19</w:t>
            </w:r>
          </w:p>
        </w:tc>
        <w:tc>
          <w:tcPr>
            <w:tcW w:w="972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Farm Management Agreement dated December 26, 1997 between Citadel Agricultural Partner No. 1 and Big 4 Farming LLC (filed as Exhibit 10.67 to the Company’s Annual Report on Form 10-K for the year ended December 31, 1997 and incorporated herein by reference).</w:t>
            </w:r>
          </w:p>
        </w:tc>
      </w:tr>
    </w:tbl>
    <w:p>
      <w:pPr>
        <w:pStyle w:val="TextBody"/>
        <w:spacing w:lineRule="auto" w:line="300" w:before="0" w:after="0"/>
        <w:ind w:left="0" w:right="0" w:hanging="0"/>
        <w:jc w:val="both"/>
        <w:rPr/>
      </w:pPr>
      <w:r>
        <w:rPr/>
      </w:r>
    </w:p>
    <w:p>
      <w:pPr>
        <w:pStyle w:val="Normal"/>
        <w:spacing w:before="0" w:after="0"/>
        <w:rPr>
          <w:sz w:val="4"/>
          <w:szCs w:val="4"/>
        </w:rPr>
      </w:pPr>
      <w:r>
        <w:rPr>
          <w:sz w:val="4"/>
          <w:szCs w:val="4"/>
        </w:rPr>
      </w:r>
      <w:bookmarkStart w:id="4881" w:name="hangingindent344"/>
      <w:bookmarkStart w:id="4882" w:name="hangingindent344"/>
      <w:bookmarkEnd w:id="4882"/>
    </w:p>
    <w:tbl>
      <w:tblPr>
        <w:tblW w:w="5000" w:type="pct"/>
        <w:jc w:val="center"/>
        <w:tblInd w:w="0" w:type="dxa"/>
        <w:tblCellMar>
          <w:top w:w="0" w:type="dxa"/>
          <w:left w:w="0" w:type="dxa"/>
          <w:bottom w:w="0" w:type="dxa"/>
          <w:right w:w="0" w:type="dxa"/>
        </w:tblCellMar>
      </w:tblPr>
      <w:tblGrid>
        <w:gridCol w:w="484"/>
        <w:gridCol w:w="9721"/>
      </w:tblGrid>
      <w:tr>
        <w:trPr/>
        <w:tc>
          <w:tcPr>
            <w:tcW w:w="48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10.20</w:t>
            </w:r>
          </w:p>
        </w:tc>
        <w:tc>
          <w:tcPr>
            <w:tcW w:w="972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Farm Management Agreement dated December 26, 1997 between Citadel Agricultural Partner No. 2 and Big 4 Farming LLC (filed as Exhibit 10.68 to the Company’s Annual Report on Form 10-K for the year ended December 31, 1997 and incorporated herein by reference).</w:t>
            </w:r>
          </w:p>
        </w:tc>
      </w:tr>
    </w:tbl>
    <w:p>
      <w:pPr>
        <w:pStyle w:val="TextBody"/>
        <w:spacing w:lineRule="auto" w:line="300" w:before="0" w:after="0"/>
        <w:ind w:left="0" w:right="0" w:hanging="0"/>
        <w:jc w:val="both"/>
        <w:rPr/>
      </w:pPr>
      <w:r>
        <w:rPr/>
      </w:r>
    </w:p>
    <w:p>
      <w:pPr>
        <w:pStyle w:val="Normal"/>
        <w:spacing w:before="0" w:after="0"/>
        <w:rPr>
          <w:sz w:val="4"/>
          <w:szCs w:val="4"/>
        </w:rPr>
      </w:pPr>
      <w:r>
        <w:rPr>
          <w:sz w:val="4"/>
          <w:szCs w:val="4"/>
        </w:rPr>
      </w:r>
      <w:bookmarkStart w:id="4883" w:name="hangingindent345"/>
      <w:bookmarkStart w:id="4884" w:name="hangingindent345"/>
      <w:bookmarkEnd w:id="4884"/>
    </w:p>
    <w:tbl>
      <w:tblPr>
        <w:tblW w:w="5000" w:type="pct"/>
        <w:jc w:val="center"/>
        <w:tblInd w:w="0" w:type="dxa"/>
        <w:tblCellMar>
          <w:top w:w="0" w:type="dxa"/>
          <w:left w:w="0" w:type="dxa"/>
          <w:bottom w:w="0" w:type="dxa"/>
          <w:right w:w="0" w:type="dxa"/>
        </w:tblCellMar>
      </w:tblPr>
      <w:tblGrid>
        <w:gridCol w:w="484"/>
        <w:gridCol w:w="9721"/>
      </w:tblGrid>
      <w:tr>
        <w:trPr/>
        <w:tc>
          <w:tcPr>
            <w:tcW w:w="48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10.21</w:t>
            </w:r>
          </w:p>
        </w:tc>
        <w:tc>
          <w:tcPr>
            <w:tcW w:w="972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Farm Management Agreement dated December 26, 1997 between Citadel Agricultural Partner No. 3 and Big 4 Farming LLC (filed as Exhibit 10.69 to the Company’s Annual Report on Form 10-K for the year ended December 31, 1997 and incorporated herein by reference).</w:t>
            </w:r>
          </w:p>
        </w:tc>
      </w:tr>
    </w:tbl>
    <w:p>
      <w:pPr>
        <w:pStyle w:val="TextBody"/>
        <w:spacing w:lineRule="auto" w:line="300" w:before="0" w:after="0"/>
        <w:ind w:left="720" w:right="0" w:hanging="720"/>
        <w:jc w:val="both"/>
        <w:rPr/>
      </w:pPr>
      <w:r>
        <w:rPr/>
      </w:r>
    </w:p>
    <w:p>
      <w:pPr>
        <w:pStyle w:val="Normal"/>
        <w:spacing w:before="0" w:after="0"/>
        <w:rPr>
          <w:sz w:val="4"/>
          <w:szCs w:val="4"/>
        </w:rPr>
      </w:pPr>
      <w:r>
        <w:rPr>
          <w:sz w:val="4"/>
          <w:szCs w:val="4"/>
        </w:rPr>
      </w:r>
      <w:bookmarkStart w:id="4885" w:name="hangingindent346"/>
      <w:bookmarkStart w:id="4886" w:name="hangingindent346"/>
      <w:bookmarkEnd w:id="4886"/>
    </w:p>
    <w:tbl>
      <w:tblPr>
        <w:tblW w:w="5000" w:type="pct"/>
        <w:jc w:val="center"/>
        <w:tblInd w:w="0" w:type="dxa"/>
        <w:tblCellMar>
          <w:top w:w="0" w:type="dxa"/>
          <w:left w:w="0" w:type="dxa"/>
          <w:bottom w:w="0" w:type="dxa"/>
          <w:right w:w="0" w:type="dxa"/>
        </w:tblCellMar>
      </w:tblPr>
      <w:tblGrid>
        <w:gridCol w:w="484"/>
        <w:gridCol w:w="9721"/>
      </w:tblGrid>
      <w:tr>
        <w:trPr/>
        <w:tc>
          <w:tcPr>
            <w:tcW w:w="48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10.22</w:t>
            </w:r>
          </w:p>
        </w:tc>
        <w:tc>
          <w:tcPr>
            <w:tcW w:w="972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Line of Credit Agreement dated December 29, 1997 between Citadel Holding Corporation and Big 4 Ranch, Inc. (filed as Exhibit 10.70 to the Company’s Annual Report on Form 10-K for the year ended December 31, 1997 and incorporated herein by reference).</w:t>
            </w:r>
          </w:p>
        </w:tc>
      </w:tr>
    </w:tbl>
    <w:p>
      <w:pPr>
        <w:pStyle w:val="TextBody"/>
        <w:spacing w:lineRule="auto" w:line="300" w:before="0" w:after="0"/>
        <w:ind w:left="0" w:right="0" w:hanging="0"/>
        <w:jc w:val="both"/>
        <w:rPr/>
      </w:pPr>
      <w:r>
        <w:rPr/>
      </w:r>
    </w:p>
    <w:p>
      <w:pPr>
        <w:pStyle w:val="Normal"/>
        <w:spacing w:before="0" w:after="0"/>
        <w:rPr>
          <w:sz w:val="4"/>
          <w:szCs w:val="4"/>
        </w:rPr>
      </w:pPr>
      <w:r>
        <w:rPr>
          <w:sz w:val="4"/>
          <w:szCs w:val="4"/>
        </w:rPr>
      </w:r>
      <w:bookmarkStart w:id="4887" w:name="hangingindent347"/>
      <w:bookmarkStart w:id="4888" w:name="hangingindent347"/>
      <w:bookmarkEnd w:id="4888"/>
    </w:p>
    <w:tbl>
      <w:tblPr>
        <w:tblW w:w="5000" w:type="pct"/>
        <w:jc w:val="center"/>
        <w:tblInd w:w="0" w:type="dxa"/>
        <w:tblCellMar>
          <w:top w:w="0" w:type="dxa"/>
          <w:left w:w="0" w:type="dxa"/>
          <w:bottom w:w="0" w:type="dxa"/>
          <w:right w:w="0" w:type="dxa"/>
        </w:tblCellMar>
      </w:tblPr>
      <w:tblGrid>
        <w:gridCol w:w="484"/>
        <w:gridCol w:w="9721"/>
      </w:tblGrid>
      <w:tr>
        <w:trPr/>
        <w:tc>
          <w:tcPr>
            <w:tcW w:w="48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10.23</w:t>
            </w:r>
          </w:p>
        </w:tc>
        <w:tc>
          <w:tcPr>
            <w:tcW w:w="972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Management Services Agreement dated December 26, 1997 between Big 4 Farming LLC and Cecelia Packing (filed as Exhibit 10.71 to the Company’s Annual Report on Form 10-K for the year ended December 31, 1997 and incorporated herein by reference).</w:t>
            </w:r>
          </w:p>
        </w:tc>
      </w:tr>
    </w:tbl>
    <w:p>
      <w:pPr>
        <w:pStyle w:val="TextBody"/>
        <w:spacing w:lineRule="auto" w:line="300" w:before="0" w:after="0"/>
        <w:ind w:left="0" w:right="0" w:hanging="0"/>
        <w:jc w:val="both"/>
        <w:rPr/>
      </w:pPr>
      <w:r>
        <w:rPr/>
      </w:r>
    </w:p>
    <w:p>
      <w:pPr>
        <w:pStyle w:val="Normal"/>
        <w:spacing w:before="0" w:after="0"/>
        <w:rPr>
          <w:sz w:val="4"/>
          <w:szCs w:val="4"/>
        </w:rPr>
      </w:pPr>
      <w:r>
        <w:rPr>
          <w:sz w:val="4"/>
          <w:szCs w:val="4"/>
        </w:rPr>
      </w:r>
      <w:bookmarkStart w:id="4889" w:name="hangingindent348"/>
      <w:bookmarkStart w:id="4890" w:name="hangingindent348"/>
      <w:bookmarkEnd w:id="4890"/>
    </w:p>
    <w:tbl>
      <w:tblPr>
        <w:tblW w:w="5000" w:type="pct"/>
        <w:jc w:val="center"/>
        <w:tblInd w:w="0" w:type="dxa"/>
        <w:tblCellMar>
          <w:top w:w="0" w:type="dxa"/>
          <w:left w:w="0" w:type="dxa"/>
          <w:bottom w:w="0" w:type="dxa"/>
          <w:right w:w="0" w:type="dxa"/>
        </w:tblCellMar>
      </w:tblPr>
      <w:tblGrid>
        <w:gridCol w:w="484"/>
        <w:gridCol w:w="9721"/>
      </w:tblGrid>
      <w:tr>
        <w:trPr/>
        <w:tc>
          <w:tcPr>
            <w:tcW w:w="48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10.24</w:t>
            </w:r>
          </w:p>
        </w:tc>
        <w:tc>
          <w:tcPr>
            <w:tcW w:w="972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Agricultural Loan Agreement dated December 29, 1997 between Citadel Holding Corporation and Citadel Agriculture Partner No. 1 (filed as Exhibit 10.72 to the Company’s Annual Report on Form 10-K for the year ended December 31, 1997 and incorporated herein by reference).</w:t>
            </w:r>
          </w:p>
        </w:tc>
      </w:tr>
    </w:tbl>
    <w:p>
      <w:pPr>
        <w:pStyle w:val="TextBody"/>
        <w:spacing w:lineRule="auto" w:line="300" w:before="0" w:after="0"/>
        <w:ind w:left="0" w:right="0" w:hanging="0"/>
        <w:jc w:val="both"/>
        <w:rPr/>
      </w:pPr>
      <w:r>
        <w:rPr/>
      </w:r>
    </w:p>
    <w:p>
      <w:pPr>
        <w:pStyle w:val="Normal"/>
        <w:spacing w:before="0" w:after="0"/>
        <w:rPr>
          <w:sz w:val="4"/>
          <w:szCs w:val="4"/>
        </w:rPr>
      </w:pPr>
      <w:r>
        <w:rPr>
          <w:sz w:val="4"/>
          <w:szCs w:val="4"/>
        </w:rPr>
      </w:r>
      <w:bookmarkStart w:id="4891" w:name="hangingindent349"/>
      <w:bookmarkStart w:id="4892" w:name="hangingindent349"/>
      <w:bookmarkEnd w:id="4892"/>
    </w:p>
    <w:tbl>
      <w:tblPr>
        <w:tblW w:w="5000" w:type="pct"/>
        <w:jc w:val="center"/>
        <w:tblInd w:w="0" w:type="dxa"/>
        <w:tblCellMar>
          <w:top w:w="0" w:type="dxa"/>
          <w:left w:w="0" w:type="dxa"/>
          <w:bottom w:w="0" w:type="dxa"/>
          <w:right w:w="0" w:type="dxa"/>
        </w:tblCellMar>
      </w:tblPr>
      <w:tblGrid>
        <w:gridCol w:w="484"/>
        <w:gridCol w:w="9721"/>
      </w:tblGrid>
      <w:tr>
        <w:trPr/>
        <w:tc>
          <w:tcPr>
            <w:tcW w:w="48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10.25</w:t>
            </w:r>
          </w:p>
        </w:tc>
        <w:tc>
          <w:tcPr>
            <w:tcW w:w="972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Agricultural Loan Agreement dated December 29, 1997 between Citadel Holding Corporation and Citadel Agriculture Partner No. 2 (filed as Exhibit 10.73 to the Company’s Annual Report on Form 10-K for the year ended December 31, 1997 and incorporated herein by reference).</w:t>
            </w:r>
          </w:p>
        </w:tc>
      </w:tr>
    </w:tbl>
    <w:p>
      <w:pPr>
        <w:pStyle w:val="TextBody"/>
        <w:spacing w:lineRule="auto" w:line="300" w:before="0" w:after="0"/>
        <w:ind w:left="0" w:right="0" w:hanging="0"/>
        <w:jc w:val="both"/>
        <w:rPr/>
      </w:pPr>
      <w:r>
        <w:rPr/>
      </w:r>
    </w:p>
    <w:p>
      <w:pPr>
        <w:pStyle w:val="Normal"/>
        <w:spacing w:before="0" w:after="0"/>
        <w:rPr>
          <w:sz w:val="4"/>
          <w:szCs w:val="4"/>
        </w:rPr>
      </w:pPr>
      <w:r>
        <w:rPr>
          <w:sz w:val="4"/>
          <w:szCs w:val="4"/>
        </w:rPr>
      </w:r>
      <w:bookmarkStart w:id="4893" w:name="hangingindent350"/>
      <w:bookmarkStart w:id="4894" w:name="hangingindent350"/>
      <w:bookmarkEnd w:id="4894"/>
    </w:p>
    <w:tbl>
      <w:tblPr>
        <w:tblW w:w="5000" w:type="pct"/>
        <w:jc w:val="center"/>
        <w:tblInd w:w="0" w:type="dxa"/>
        <w:tblCellMar>
          <w:top w:w="0" w:type="dxa"/>
          <w:left w:w="0" w:type="dxa"/>
          <w:bottom w:w="0" w:type="dxa"/>
          <w:right w:w="0" w:type="dxa"/>
        </w:tblCellMar>
      </w:tblPr>
      <w:tblGrid>
        <w:gridCol w:w="484"/>
        <w:gridCol w:w="9721"/>
      </w:tblGrid>
      <w:tr>
        <w:trPr/>
        <w:tc>
          <w:tcPr>
            <w:tcW w:w="48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10.26</w:t>
            </w:r>
          </w:p>
        </w:tc>
        <w:tc>
          <w:tcPr>
            <w:tcW w:w="972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Agricultural Loan Agreement dated December 29, 1997 between Citadel Holding Corporation and Citadel Agriculture Partner No. 3 (filed as Exhibit 10.74 to the Company’s Annual Report on Form 10-K for the year ended December 31, 1997 and incorporated herein by reference).</w:t>
            </w:r>
          </w:p>
        </w:tc>
      </w:tr>
    </w:tbl>
    <w:p>
      <w:pPr>
        <w:pStyle w:val="TextBody"/>
        <w:spacing w:lineRule="auto" w:line="300" w:before="0" w:after="0"/>
        <w:ind w:left="0" w:right="0" w:hanging="0"/>
        <w:jc w:val="both"/>
        <w:rPr/>
      </w:pPr>
      <w:r>
        <w:rPr/>
      </w:r>
    </w:p>
    <w:p>
      <w:pPr>
        <w:pStyle w:val="Normal"/>
        <w:spacing w:before="0" w:after="0"/>
        <w:rPr>
          <w:sz w:val="4"/>
          <w:szCs w:val="4"/>
        </w:rPr>
      </w:pPr>
      <w:r>
        <w:rPr>
          <w:sz w:val="4"/>
          <w:szCs w:val="4"/>
        </w:rPr>
      </w:r>
      <w:bookmarkStart w:id="4895" w:name="hangingindent351"/>
      <w:bookmarkStart w:id="4896" w:name="hangingindent351"/>
      <w:bookmarkEnd w:id="4896"/>
    </w:p>
    <w:tbl>
      <w:tblPr>
        <w:tblW w:w="5000" w:type="pct"/>
        <w:jc w:val="center"/>
        <w:tblInd w:w="0" w:type="dxa"/>
        <w:tblCellMar>
          <w:top w:w="0" w:type="dxa"/>
          <w:left w:w="0" w:type="dxa"/>
          <w:bottom w:w="0" w:type="dxa"/>
          <w:right w:w="0" w:type="dxa"/>
        </w:tblCellMar>
      </w:tblPr>
      <w:tblGrid>
        <w:gridCol w:w="484"/>
        <w:gridCol w:w="9721"/>
      </w:tblGrid>
      <w:tr>
        <w:trPr/>
        <w:tc>
          <w:tcPr>
            <w:tcW w:w="48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10.27</w:t>
            </w:r>
          </w:p>
        </w:tc>
        <w:tc>
          <w:tcPr>
            <w:tcW w:w="972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Promissory Note dated December 29, 1997 between Citadel Holding Corporation and Citadel Agricultural Partners No. 1 (filed as Exhibit 10.75 to the Company’s Annual Report on Form 10-K for the year ended December 31, 1997 and incorporated herein by reference).</w:t>
            </w:r>
          </w:p>
        </w:tc>
      </w:tr>
    </w:tbl>
    <w:p>
      <w:pPr>
        <w:pStyle w:val="TextBody"/>
        <w:spacing w:lineRule="auto" w:line="300" w:before="0" w:after="0"/>
        <w:ind w:left="0" w:right="0" w:hanging="0"/>
        <w:jc w:val="both"/>
        <w:rPr/>
      </w:pPr>
      <w:r>
        <w:rPr/>
      </w:r>
    </w:p>
    <w:p>
      <w:pPr>
        <w:pStyle w:val="Normal"/>
        <w:spacing w:before="0" w:after="0"/>
        <w:rPr>
          <w:sz w:val="4"/>
          <w:szCs w:val="4"/>
        </w:rPr>
      </w:pPr>
      <w:r>
        <w:rPr>
          <w:sz w:val="4"/>
          <w:szCs w:val="4"/>
        </w:rPr>
      </w:r>
      <w:bookmarkStart w:id="4897" w:name="hangingindent352"/>
      <w:bookmarkStart w:id="4898" w:name="hangingindent352"/>
      <w:bookmarkEnd w:id="4898"/>
    </w:p>
    <w:tbl>
      <w:tblPr>
        <w:tblW w:w="5000" w:type="pct"/>
        <w:jc w:val="center"/>
        <w:tblInd w:w="0" w:type="dxa"/>
        <w:tblCellMar>
          <w:top w:w="0" w:type="dxa"/>
          <w:left w:w="0" w:type="dxa"/>
          <w:bottom w:w="0" w:type="dxa"/>
          <w:right w:w="0" w:type="dxa"/>
        </w:tblCellMar>
      </w:tblPr>
      <w:tblGrid>
        <w:gridCol w:w="484"/>
        <w:gridCol w:w="9721"/>
      </w:tblGrid>
      <w:tr>
        <w:trPr/>
        <w:tc>
          <w:tcPr>
            <w:tcW w:w="48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10.28</w:t>
            </w:r>
          </w:p>
        </w:tc>
        <w:tc>
          <w:tcPr>
            <w:tcW w:w="972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Promissory Note dated December 29, 1997 between Citadel Holding Corporation and Citadel Agricultural Partners No. 2 (filed as Exhibit 10.76 to the Company’s Annual Report on Form 10-K for the year ended December 31, 1997 and incorporated herein by reference).</w:t>
            </w:r>
          </w:p>
        </w:tc>
      </w:tr>
    </w:tbl>
    <w:p>
      <w:pPr>
        <w:pStyle w:val="TextBody"/>
        <w:spacing w:lineRule="auto" w:line="300" w:before="0" w:after="0"/>
        <w:ind w:left="0" w:right="0" w:hanging="0"/>
        <w:jc w:val="both"/>
        <w:rPr/>
      </w:pPr>
      <w:r>
        <w:rPr/>
      </w:r>
    </w:p>
    <w:p>
      <w:pPr>
        <w:pStyle w:val="Normal"/>
        <w:spacing w:before="0" w:after="0"/>
        <w:rPr>
          <w:sz w:val="4"/>
          <w:szCs w:val="4"/>
        </w:rPr>
      </w:pPr>
      <w:r>
        <w:rPr>
          <w:sz w:val="4"/>
          <w:szCs w:val="4"/>
        </w:rPr>
      </w:r>
      <w:bookmarkStart w:id="4899" w:name="hangingindent353"/>
      <w:bookmarkStart w:id="4900" w:name="hangingindent353"/>
      <w:bookmarkEnd w:id="4900"/>
    </w:p>
    <w:tbl>
      <w:tblPr>
        <w:tblW w:w="5000" w:type="pct"/>
        <w:jc w:val="center"/>
        <w:tblInd w:w="0" w:type="dxa"/>
        <w:tblCellMar>
          <w:top w:w="0" w:type="dxa"/>
          <w:left w:w="0" w:type="dxa"/>
          <w:bottom w:w="0" w:type="dxa"/>
          <w:right w:w="0" w:type="dxa"/>
        </w:tblCellMar>
      </w:tblPr>
      <w:tblGrid>
        <w:gridCol w:w="484"/>
        <w:gridCol w:w="9721"/>
      </w:tblGrid>
      <w:tr>
        <w:trPr/>
        <w:tc>
          <w:tcPr>
            <w:tcW w:w="48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10.29</w:t>
            </w:r>
          </w:p>
        </w:tc>
        <w:tc>
          <w:tcPr>
            <w:tcW w:w="972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Promissory Note dated December 29, 1997 between Citadel Holding Corporation and Citadel Agricultural Partners No. 3 (filed as Exhibit 10.77 to the Company’s Annual Report on Form 10-K for the year ended December 31, 1997 and incorporated herein by reference).</w:t>
            </w:r>
          </w:p>
        </w:tc>
      </w:tr>
    </w:tbl>
    <w:p>
      <w:pPr>
        <w:pStyle w:val="TextBody"/>
        <w:spacing w:lineRule="auto" w:line="300" w:before="0" w:after="0"/>
        <w:ind w:left="0" w:right="0" w:hanging="0"/>
        <w:jc w:val="both"/>
        <w:rPr/>
      </w:pPr>
      <w:r>
        <w:rPr/>
      </w:r>
    </w:p>
    <w:p>
      <w:pPr>
        <w:pStyle w:val="Normal"/>
        <w:spacing w:before="0" w:after="0"/>
        <w:rPr>
          <w:sz w:val="4"/>
          <w:szCs w:val="4"/>
        </w:rPr>
      </w:pPr>
      <w:r>
        <w:rPr>
          <w:sz w:val="4"/>
          <w:szCs w:val="4"/>
        </w:rPr>
      </w:r>
      <w:bookmarkStart w:id="4901" w:name="hangingindent354"/>
      <w:bookmarkStart w:id="4902" w:name="hangingindent354"/>
      <w:bookmarkEnd w:id="4902"/>
    </w:p>
    <w:tbl>
      <w:tblPr>
        <w:tblW w:w="5000" w:type="pct"/>
        <w:jc w:val="center"/>
        <w:tblInd w:w="0" w:type="dxa"/>
        <w:tblCellMar>
          <w:top w:w="0" w:type="dxa"/>
          <w:left w:w="0" w:type="dxa"/>
          <w:bottom w:w="0" w:type="dxa"/>
          <w:right w:w="0" w:type="dxa"/>
        </w:tblCellMar>
      </w:tblPr>
      <w:tblGrid>
        <w:gridCol w:w="484"/>
        <w:gridCol w:w="9721"/>
      </w:tblGrid>
      <w:tr>
        <w:trPr/>
        <w:tc>
          <w:tcPr>
            <w:tcW w:w="48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10.30</w:t>
            </w:r>
          </w:p>
        </w:tc>
        <w:tc>
          <w:tcPr>
            <w:tcW w:w="972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Security Agreement dated December 29, 1997 between Citadel Holding Corporation and Citadel Agricultural Partnership No. 1 (filed as Exhibit 10.78 to the Company’s Annual Report on Form 10-K for the year ended December 31, 1997 and incorporated herein by reference).</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903" w:name="PGBRK136"/>
      <w:bookmarkStart w:id="4904" w:name="PGBRK136"/>
      <w:bookmarkEnd w:id="490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905" w:name="FTR136"/>
      <w:bookmarkStart w:id="4906" w:name="FTR136"/>
      <w:bookmarkEnd w:id="490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907" w:name="GLFTR136"/>
      <w:bookmarkStart w:id="4908" w:name="GLFTR136"/>
      <w:bookmarkEnd w:id="490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4909" w:name="PN136"/>
      <w:bookmarkEnd w:id="4909"/>
      <w:r>
        <w:rPr>
          <w:rFonts w:ascii="Times New Roman" w:hAnsi="Times New Roman"/>
          <w:sz w:val="16"/>
        </w:rPr>
        <w:t>-136-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910" w:name="HDR136"/>
      <w:bookmarkStart w:id="4911" w:name="HDR136"/>
      <w:bookmarkEnd w:id="491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4912" w:name="GLHDR136"/>
        <w:bookmarkEnd w:id="4912"/>
        <w:r>
          <w:rPr>
            <w:rStyle w:val="Emphasis"/>
            <w:rFonts w:ascii="Times New Roman" w:hAnsi="Times New Roman"/>
            <w:color w:val="000000"/>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pStyle w:val="Normal"/>
        <w:spacing w:before="0" w:after="0"/>
        <w:rPr>
          <w:sz w:val="4"/>
          <w:szCs w:val="4"/>
        </w:rPr>
      </w:pPr>
      <w:r>
        <w:rPr>
          <w:sz w:val="4"/>
          <w:szCs w:val="4"/>
        </w:rPr>
      </w:r>
      <w:bookmarkStart w:id="4913" w:name="hangingindent355"/>
      <w:bookmarkStart w:id="4914" w:name="hangingindent355"/>
      <w:bookmarkEnd w:id="4914"/>
    </w:p>
    <w:tbl>
      <w:tblPr>
        <w:tblW w:w="5000" w:type="pct"/>
        <w:jc w:val="center"/>
        <w:tblInd w:w="0" w:type="dxa"/>
        <w:tblCellMar>
          <w:top w:w="0" w:type="dxa"/>
          <w:left w:w="0" w:type="dxa"/>
          <w:bottom w:w="0" w:type="dxa"/>
          <w:right w:w="0" w:type="dxa"/>
        </w:tblCellMar>
      </w:tblPr>
      <w:tblGrid>
        <w:gridCol w:w="484"/>
        <w:gridCol w:w="9721"/>
      </w:tblGrid>
      <w:tr>
        <w:trPr/>
        <w:tc>
          <w:tcPr>
            <w:tcW w:w="48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10.31</w:t>
            </w:r>
          </w:p>
        </w:tc>
        <w:tc>
          <w:tcPr>
            <w:tcW w:w="972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Security Agreement dated December 29, 1997 between Citadel Holding Corporation and Citadel Agricultural Partnership No. 2 (filed as Exhibit 10.79 to the Company’s Annual Report on Form 10-K for the year ended December 31, 1997 and incorporated herein by reference).</w:t>
            </w:r>
          </w:p>
        </w:tc>
      </w:tr>
    </w:tbl>
    <w:p>
      <w:pPr>
        <w:pStyle w:val="TextBody"/>
        <w:spacing w:lineRule="auto" w:line="300" w:before="0" w:after="0"/>
        <w:ind w:left="0" w:right="0" w:hanging="0"/>
        <w:jc w:val="both"/>
        <w:rPr/>
      </w:pPr>
      <w:r>
        <w:rPr/>
      </w:r>
    </w:p>
    <w:p>
      <w:pPr>
        <w:pStyle w:val="Normal"/>
        <w:spacing w:before="0" w:after="0"/>
        <w:rPr>
          <w:sz w:val="4"/>
          <w:szCs w:val="4"/>
        </w:rPr>
      </w:pPr>
      <w:r>
        <w:rPr>
          <w:sz w:val="4"/>
          <w:szCs w:val="4"/>
        </w:rPr>
      </w:r>
      <w:bookmarkStart w:id="4915" w:name="hangingindent356"/>
      <w:bookmarkStart w:id="4916" w:name="hangingindent356"/>
      <w:bookmarkEnd w:id="4916"/>
    </w:p>
    <w:tbl>
      <w:tblPr>
        <w:tblW w:w="5000" w:type="pct"/>
        <w:jc w:val="center"/>
        <w:tblInd w:w="0" w:type="dxa"/>
        <w:tblCellMar>
          <w:top w:w="0" w:type="dxa"/>
          <w:left w:w="0" w:type="dxa"/>
          <w:bottom w:w="0" w:type="dxa"/>
          <w:right w:w="0" w:type="dxa"/>
        </w:tblCellMar>
      </w:tblPr>
      <w:tblGrid>
        <w:gridCol w:w="484"/>
        <w:gridCol w:w="9721"/>
      </w:tblGrid>
      <w:tr>
        <w:trPr/>
        <w:tc>
          <w:tcPr>
            <w:tcW w:w="48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10.32</w:t>
            </w:r>
          </w:p>
        </w:tc>
        <w:tc>
          <w:tcPr>
            <w:tcW w:w="972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Security Agreement dated December 29, 1997 between Citadel Holding Corporation and Citadel Agricultural Partnership No. 3 (filed as Exhibit 10.80 to the Company’s Annual Report on Form 10-K for the year ended December 31, 1997 and incorporated herein by reference).</w:t>
            </w:r>
          </w:p>
        </w:tc>
      </w:tr>
    </w:tbl>
    <w:p>
      <w:pPr>
        <w:pStyle w:val="TextBody"/>
        <w:spacing w:lineRule="auto" w:line="300" w:before="0" w:after="0"/>
        <w:ind w:left="0" w:right="0" w:hanging="0"/>
        <w:jc w:val="both"/>
        <w:rPr/>
      </w:pPr>
      <w:r>
        <w:rPr/>
      </w:r>
    </w:p>
    <w:p>
      <w:pPr>
        <w:pStyle w:val="Normal"/>
        <w:spacing w:before="0" w:after="0"/>
        <w:rPr>
          <w:sz w:val="4"/>
          <w:szCs w:val="4"/>
        </w:rPr>
      </w:pPr>
      <w:r>
        <w:rPr>
          <w:sz w:val="4"/>
          <w:szCs w:val="4"/>
        </w:rPr>
      </w:r>
      <w:bookmarkStart w:id="4917" w:name="hangingindent357"/>
      <w:bookmarkStart w:id="4918" w:name="hangingindent357"/>
      <w:bookmarkEnd w:id="4918"/>
    </w:p>
    <w:tbl>
      <w:tblPr>
        <w:tblW w:w="5000" w:type="pct"/>
        <w:jc w:val="center"/>
        <w:tblInd w:w="0" w:type="dxa"/>
        <w:tblCellMar>
          <w:top w:w="0" w:type="dxa"/>
          <w:left w:w="0" w:type="dxa"/>
          <w:bottom w:w="0" w:type="dxa"/>
          <w:right w:w="0" w:type="dxa"/>
        </w:tblCellMar>
      </w:tblPr>
      <w:tblGrid>
        <w:gridCol w:w="484"/>
        <w:gridCol w:w="9721"/>
      </w:tblGrid>
      <w:tr>
        <w:trPr/>
        <w:tc>
          <w:tcPr>
            <w:tcW w:w="48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10.33</w:t>
            </w:r>
          </w:p>
        </w:tc>
        <w:tc>
          <w:tcPr>
            <w:tcW w:w="972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Administrative Services Agreement between Citadel Holding Corporation and Big 4 Ranch, Inc. dated December 29, 1997 (filed as Exhibit 10.81 to the Company’s Annual Report on Form 10-K for the year ended December 31, 1997 and incorporated herein by reference).</w:t>
            </w:r>
          </w:p>
        </w:tc>
      </w:tr>
    </w:tbl>
    <w:p>
      <w:pPr>
        <w:pStyle w:val="TextBody"/>
        <w:spacing w:lineRule="auto" w:line="300" w:before="0" w:after="0"/>
        <w:ind w:left="0" w:right="0" w:hanging="0"/>
        <w:jc w:val="left"/>
        <w:rPr/>
      </w:pPr>
      <w:r>
        <w:rPr/>
      </w:r>
    </w:p>
    <w:p>
      <w:pPr>
        <w:pStyle w:val="Normal"/>
        <w:spacing w:before="0" w:after="0"/>
        <w:rPr>
          <w:sz w:val="4"/>
          <w:szCs w:val="4"/>
        </w:rPr>
      </w:pPr>
      <w:r>
        <w:rPr>
          <w:sz w:val="4"/>
          <w:szCs w:val="4"/>
        </w:rPr>
      </w:r>
      <w:bookmarkStart w:id="4919" w:name="hangingindent358"/>
      <w:bookmarkStart w:id="4920" w:name="hangingindent358"/>
      <w:bookmarkEnd w:id="4920"/>
    </w:p>
    <w:tbl>
      <w:tblPr>
        <w:tblW w:w="5000" w:type="pct"/>
        <w:jc w:val="center"/>
        <w:tblInd w:w="0" w:type="dxa"/>
        <w:tblCellMar>
          <w:top w:w="0" w:type="dxa"/>
          <w:left w:w="0" w:type="dxa"/>
          <w:bottom w:w="0" w:type="dxa"/>
          <w:right w:w="0" w:type="dxa"/>
        </w:tblCellMar>
      </w:tblPr>
      <w:tblGrid>
        <w:gridCol w:w="484"/>
        <w:gridCol w:w="9721"/>
      </w:tblGrid>
      <w:tr>
        <w:trPr/>
        <w:tc>
          <w:tcPr>
            <w:tcW w:w="48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10.34</w:t>
            </w:r>
          </w:p>
        </w:tc>
        <w:tc>
          <w:tcPr>
            <w:tcW w:w="972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Reading Entertainment, Inc. Annual Report on Form 10-K for the year ended December 31, 1998 (filed as Exhibit as 10.41 to the Company’s Annual Report on Form 10-K for the year ended December 31, 1998 and incorporated herein by reference).</w:t>
            </w:r>
          </w:p>
        </w:tc>
      </w:tr>
    </w:tbl>
    <w:p>
      <w:pPr>
        <w:pStyle w:val="TextBody"/>
        <w:spacing w:lineRule="auto" w:line="300" w:before="0" w:after="0"/>
        <w:ind w:left="0" w:right="0" w:hanging="0"/>
        <w:jc w:val="both"/>
        <w:rPr/>
      </w:pPr>
      <w:r>
        <w:rPr/>
      </w:r>
    </w:p>
    <w:p>
      <w:pPr>
        <w:pStyle w:val="Normal"/>
        <w:spacing w:before="0" w:after="0"/>
        <w:rPr>
          <w:sz w:val="4"/>
          <w:szCs w:val="4"/>
        </w:rPr>
      </w:pPr>
      <w:r>
        <w:rPr>
          <w:sz w:val="4"/>
          <w:szCs w:val="4"/>
        </w:rPr>
      </w:r>
      <w:bookmarkStart w:id="4921" w:name="hangingindent359"/>
      <w:bookmarkStart w:id="4922" w:name="hangingindent359"/>
      <w:bookmarkEnd w:id="4922"/>
    </w:p>
    <w:tbl>
      <w:tblPr>
        <w:tblW w:w="5000" w:type="pct"/>
        <w:jc w:val="center"/>
        <w:tblInd w:w="0" w:type="dxa"/>
        <w:tblCellMar>
          <w:top w:w="0" w:type="dxa"/>
          <w:left w:w="0" w:type="dxa"/>
          <w:bottom w:w="0" w:type="dxa"/>
          <w:right w:w="0" w:type="dxa"/>
        </w:tblCellMar>
      </w:tblPr>
      <w:tblGrid>
        <w:gridCol w:w="484"/>
        <w:gridCol w:w="9721"/>
      </w:tblGrid>
      <w:tr>
        <w:trPr/>
        <w:tc>
          <w:tcPr>
            <w:tcW w:w="48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10.35</w:t>
            </w:r>
          </w:p>
        </w:tc>
        <w:tc>
          <w:tcPr>
            <w:tcW w:w="972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Reading Entertainment, Inc. Annual Report on Form 10-K for the year ended December 31, 1999 (filed by Reading Entertainment Inc. as Form 10-K for the year ended December 31, 1999 on April 14, 2000 and incorporated herein by reference).</w:t>
            </w:r>
          </w:p>
        </w:tc>
      </w:tr>
    </w:tbl>
    <w:p>
      <w:pPr>
        <w:pStyle w:val="TextBody"/>
        <w:spacing w:lineRule="auto" w:line="300" w:before="0" w:after="0"/>
        <w:ind w:left="0" w:right="0" w:hanging="0"/>
        <w:jc w:val="both"/>
        <w:rPr/>
      </w:pPr>
      <w:r>
        <w:rPr/>
      </w:r>
    </w:p>
    <w:p>
      <w:pPr>
        <w:pStyle w:val="Normal"/>
        <w:spacing w:before="0" w:after="0"/>
        <w:rPr>
          <w:sz w:val="4"/>
          <w:szCs w:val="4"/>
        </w:rPr>
      </w:pPr>
      <w:r>
        <w:rPr>
          <w:sz w:val="4"/>
          <w:szCs w:val="4"/>
        </w:rPr>
      </w:r>
      <w:bookmarkStart w:id="4923" w:name="hangingindent360"/>
      <w:bookmarkStart w:id="4924" w:name="hangingindent360"/>
      <w:bookmarkEnd w:id="4924"/>
    </w:p>
    <w:tbl>
      <w:tblPr>
        <w:tblW w:w="5000" w:type="pct"/>
        <w:jc w:val="center"/>
        <w:tblInd w:w="0" w:type="dxa"/>
        <w:tblCellMar>
          <w:top w:w="0" w:type="dxa"/>
          <w:left w:w="0" w:type="dxa"/>
          <w:bottom w:w="0" w:type="dxa"/>
          <w:right w:w="0" w:type="dxa"/>
        </w:tblCellMar>
      </w:tblPr>
      <w:tblGrid>
        <w:gridCol w:w="484"/>
        <w:gridCol w:w="9721"/>
      </w:tblGrid>
      <w:tr>
        <w:trPr/>
        <w:tc>
          <w:tcPr>
            <w:tcW w:w="48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10.36</w:t>
            </w:r>
          </w:p>
        </w:tc>
        <w:tc>
          <w:tcPr>
            <w:tcW w:w="972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Promissory note dated December 20, 1999 between Citadel Holding Corporation and Nationwide Life Insurance 3 (filed as Exhibit 10.36 to the Company’s Annual Report on Form 10-K for the year ended December 31, 1999 and incorporated herein by reference).</w:t>
            </w:r>
          </w:p>
        </w:tc>
      </w:tr>
    </w:tbl>
    <w:p>
      <w:pPr>
        <w:pStyle w:val="TextBody"/>
        <w:spacing w:lineRule="auto" w:line="300" w:before="0" w:after="0"/>
        <w:ind w:left="0" w:right="0" w:hanging="0"/>
        <w:jc w:val="both"/>
        <w:rPr/>
      </w:pPr>
      <w:r>
        <w:rPr/>
      </w:r>
    </w:p>
    <w:p>
      <w:pPr>
        <w:pStyle w:val="Normal"/>
        <w:spacing w:before="0" w:after="0"/>
        <w:rPr>
          <w:sz w:val="4"/>
          <w:szCs w:val="4"/>
        </w:rPr>
      </w:pPr>
      <w:r>
        <w:rPr>
          <w:sz w:val="4"/>
          <w:szCs w:val="4"/>
        </w:rPr>
      </w:r>
      <w:bookmarkStart w:id="4925" w:name="hangingindent361"/>
      <w:bookmarkStart w:id="4926" w:name="hangingindent361"/>
      <w:bookmarkEnd w:id="4926"/>
    </w:p>
    <w:tbl>
      <w:tblPr>
        <w:tblW w:w="5000" w:type="pct"/>
        <w:jc w:val="center"/>
        <w:tblInd w:w="0" w:type="dxa"/>
        <w:tblCellMar>
          <w:top w:w="0" w:type="dxa"/>
          <w:left w:w="0" w:type="dxa"/>
          <w:bottom w:w="0" w:type="dxa"/>
          <w:right w:w="0" w:type="dxa"/>
        </w:tblCellMar>
      </w:tblPr>
      <w:tblGrid>
        <w:gridCol w:w="533"/>
        <w:gridCol w:w="9672"/>
      </w:tblGrid>
      <w:tr>
        <w:trPr/>
        <w:tc>
          <w:tcPr>
            <w:tcW w:w="53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10.37*</w:t>
            </w:r>
          </w:p>
        </w:tc>
        <w:tc>
          <w:tcPr>
            <w:tcW w:w="967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Employment Agreement between Citadel Holding Corporation and Andrzej Matyczynski (filed as Exhibit 10.37 to the Company’s Annual Report on Form 10-K for the year ended December 31, 1999 and incorporated herein by reference).</w:t>
            </w:r>
          </w:p>
        </w:tc>
      </w:tr>
    </w:tbl>
    <w:p>
      <w:pPr>
        <w:pStyle w:val="TextBody"/>
        <w:spacing w:lineRule="auto" w:line="300" w:before="0" w:after="0"/>
        <w:ind w:left="720" w:right="0" w:hanging="720"/>
        <w:jc w:val="both"/>
        <w:rPr/>
      </w:pPr>
      <w:r>
        <w:rPr/>
        <w:t> </w:t>
      </w:r>
    </w:p>
    <w:p>
      <w:pPr>
        <w:pStyle w:val="Normal"/>
        <w:spacing w:before="0" w:after="0"/>
        <w:ind w:left="0" w:right="0" w:hanging="0"/>
        <w:rPr>
          <w:sz w:val="4"/>
          <w:szCs w:val="4"/>
        </w:rPr>
      </w:pPr>
      <w:r>
        <w:rPr>
          <w:sz w:val="4"/>
          <w:szCs w:val="4"/>
        </w:rPr>
      </w:r>
      <w:bookmarkStart w:id="4927" w:name="hangingindent362"/>
      <w:bookmarkStart w:id="4928" w:name="hangingindent362"/>
      <w:bookmarkEnd w:id="4928"/>
    </w:p>
    <w:tbl>
      <w:tblPr>
        <w:tblW w:w="5000" w:type="pct"/>
        <w:jc w:val="center"/>
        <w:tblInd w:w="0" w:type="dxa"/>
        <w:tblCellMar>
          <w:top w:w="0" w:type="dxa"/>
          <w:left w:w="0" w:type="dxa"/>
          <w:bottom w:w="0" w:type="dxa"/>
          <w:right w:w="0" w:type="dxa"/>
        </w:tblCellMar>
      </w:tblPr>
      <w:tblGrid>
        <w:gridCol w:w="484"/>
        <w:gridCol w:w="9721"/>
      </w:tblGrid>
      <w:tr>
        <w:trPr/>
        <w:tc>
          <w:tcPr>
            <w:tcW w:w="48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10.38</w:t>
            </w:r>
          </w:p>
        </w:tc>
        <w:tc>
          <w:tcPr>
            <w:tcW w:w="972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Citadel 1999 Employee Stock Option Plan (filed as Exhibit 10.38 to the Company’s Annual Report on Form 10-K for the year ended December 31, 1999 and incorporated herein by reference).</w:t>
            </w:r>
          </w:p>
        </w:tc>
      </w:tr>
    </w:tbl>
    <w:p>
      <w:pPr>
        <w:pStyle w:val="TextBody"/>
        <w:spacing w:lineRule="auto" w:line="300" w:before="0" w:after="0"/>
        <w:ind w:left="720" w:right="0" w:hanging="0"/>
        <w:jc w:val="both"/>
        <w:rPr/>
      </w:pPr>
      <w:r>
        <w:rPr/>
      </w:r>
    </w:p>
    <w:p>
      <w:pPr>
        <w:pStyle w:val="Normal"/>
        <w:spacing w:lineRule="auto" w:line="300" w:before="0" w:after="0"/>
        <w:jc w:val="both"/>
        <w:rPr>
          <w:sz w:val="4"/>
          <w:szCs w:val="4"/>
        </w:rPr>
      </w:pPr>
      <w:r>
        <w:rPr>
          <w:sz w:val="4"/>
          <w:szCs w:val="4"/>
        </w:rPr>
      </w:r>
      <w:bookmarkStart w:id="4929" w:name="hangingindent363"/>
      <w:bookmarkStart w:id="4930" w:name="hangingindent363"/>
      <w:bookmarkEnd w:id="4930"/>
    </w:p>
    <w:tbl>
      <w:tblPr>
        <w:tblW w:w="5000" w:type="pct"/>
        <w:jc w:val="center"/>
        <w:tblInd w:w="0" w:type="dxa"/>
        <w:tblCellMar>
          <w:top w:w="0" w:type="dxa"/>
          <w:left w:w="0" w:type="dxa"/>
          <w:bottom w:w="0" w:type="dxa"/>
          <w:right w:w="0" w:type="dxa"/>
        </w:tblCellMar>
      </w:tblPr>
      <w:tblGrid>
        <w:gridCol w:w="484"/>
        <w:gridCol w:w="9721"/>
      </w:tblGrid>
      <w:tr>
        <w:trPr/>
        <w:tc>
          <w:tcPr>
            <w:tcW w:w="48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10.39</w:t>
            </w:r>
          </w:p>
        </w:tc>
        <w:tc>
          <w:tcPr>
            <w:tcW w:w="972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Amendment and Plan of Merger By and Among Citadel Holding Corporation and Off-Broadway Theatres, Inc. (filed as Exhibit A to the Company’s Proxy Statement and incorporated herein by reference).</w:t>
            </w:r>
          </w:p>
        </w:tc>
      </w:tr>
    </w:tbl>
    <w:p>
      <w:pPr>
        <w:pStyle w:val="TextBody"/>
        <w:spacing w:lineRule="auto" w:line="300" w:before="0" w:after="0"/>
        <w:ind w:left="720" w:right="0" w:hanging="0"/>
        <w:jc w:val="both"/>
        <w:rPr/>
      </w:pPr>
      <w:r>
        <w:rPr/>
      </w:r>
    </w:p>
    <w:p>
      <w:pPr>
        <w:pStyle w:val="Normal"/>
        <w:spacing w:lineRule="auto" w:line="300" w:before="0" w:after="0"/>
        <w:jc w:val="both"/>
        <w:rPr>
          <w:sz w:val="4"/>
          <w:szCs w:val="4"/>
        </w:rPr>
      </w:pPr>
      <w:r>
        <w:rPr>
          <w:sz w:val="4"/>
          <w:szCs w:val="4"/>
        </w:rPr>
      </w:r>
      <w:bookmarkStart w:id="4931" w:name="hangingindent364"/>
      <w:bookmarkStart w:id="4932" w:name="hangingindent364"/>
      <w:bookmarkEnd w:id="4932"/>
    </w:p>
    <w:tbl>
      <w:tblPr>
        <w:tblW w:w="5000" w:type="pct"/>
        <w:jc w:val="center"/>
        <w:tblInd w:w="0" w:type="dxa"/>
        <w:tblCellMar>
          <w:top w:w="0" w:type="dxa"/>
          <w:left w:w="0" w:type="dxa"/>
          <w:bottom w:w="0" w:type="dxa"/>
          <w:right w:w="0" w:type="dxa"/>
        </w:tblCellMar>
      </w:tblPr>
      <w:tblGrid>
        <w:gridCol w:w="484"/>
        <w:gridCol w:w="9721"/>
      </w:tblGrid>
      <w:tr>
        <w:trPr/>
        <w:tc>
          <w:tcPr>
            <w:tcW w:w="48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10.40</w:t>
            </w:r>
          </w:p>
        </w:tc>
        <w:tc>
          <w:tcPr>
            <w:tcW w:w="972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Amended and Restated Lease Agreement dated as of July 28, 2000 as amended and restated as of January 29, 2002 between Sutton Hill Capital, L.L.C. and Citadel Cinemas, Inc. (filed as Exhibit 10.40 to the Company’s Annual Report on Form 10-K for the year ended December 31, 2002 and incorporated herein by reference).</w:t>
            </w:r>
          </w:p>
        </w:tc>
      </w:tr>
    </w:tbl>
    <w:p>
      <w:pPr>
        <w:pStyle w:val="TextBody"/>
        <w:spacing w:lineRule="auto" w:line="300" w:before="0" w:after="0"/>
        <w:ind w:left="720" w:right="0" w:hanging="0"/>
        <w:jc w:val="both"/>
        <w:rPr/>
      </w:pPr>
      <w:r>
        <w:rPr/>
      </w:r>
    </w:p>
    <w:p>
      <w:pPr>
        <w:pStyle w:val="Normal"/>
        <w:spacing w:lineRule="auto" w:line="300" w:before="0" w:after="0"/>
        <w:jc w:val="both"/>
        <w:rPr>
          <w:sz w:val="4"/>
          <w:szCs w:val="4"/>
        </w:rPr>
      </w:pPr>
      <w:r>
        <w:rPr>
          <w:sz w:val="4"/>
          <w:szCs w:val="4"/>
        </w:rPr>
      </w:r>
      <w:bookmarkStart w:id="4933" w:name="hangingindent365"/>
      <w:bookmarkStart w:id="4934" w:name="hangingindent365"/>
      <w:bookmarkEnd w:id="4934"/>
    </w:p>
    <w:tbl>
      <w:tblPr>
        <w:tblW w:w="5000" w:type="pct"/>
        <w:jc w:val="center"/>
        <w:tblInd w:w="0" w:type="dxa"/>
        <w:tblCellMar>
          <w:top w:w="0" w:type="dxa"/>
          <w:left w:w="0" w:type="dxa"/>
          <w:bottom w:w="0" w:type="dxa"/>
          <w:right w:w="0" w:type="dxa"/>
        </w:tblCellMar>
      </w:tblPr>
      <w:tblGrid>
        <w:gridCol w:w="484"/>
        <w:gridCol w:w="9721"/>
      </w:tblGrid>
      <w:tr>
        <w:trPr/>
        <w:tc>
          <w:tcPr>
            <w:tcW w:w="48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10.41</w:t>
            </w:r>
          </w:p>
        </w:tc>
        <w:tc>
          <w:tcPr>
            <w:tcW w:w="972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Amended and Restated Citadel Standby Credit Facility dated as of July 28, 2000 as amended and restated as of January 29, 2002 between Sutton Hill Capital, L.L.C. and Reading International, Inc. (filed as Exhibit 10.40 to the Company’s Annual Report on Form 10-K for the year ended December 31, 2002 and incorporated herein by reference).</w:t>
            </w:r>
          </w:p>
        </w:tc>
      </w:tr>
    </w:tbl>
    <w:p>
      <w:pPr>
        <w:pStyle w:val="TextBody"/>
        <w:spacing w:lineRule="auto" w:line="300" w:before="0" w:after="0"/>
        <w:ind w:left="720" w:right="0" w:hanging="0"/>
        <w:jc w:val="both"/>
        <w:rPr/>
      </w:pPr>
      <w:r>
        <w:rPr/>
      </w:r>
    </w:p>
    <w:p>
      <w:pPr>
        <w:pStyle w:val="Normal"/>
        <w:spacing w:lineRule="auto" w:line="300" w:before="0" w:after="0"/>
        <w:jc w:val="both"/>
        <w:rPr>
          <w:sz w:val="4"/>
          <w:szCs w:val="4"/>
        </w:rPr>
      </w:pPr>
      <w:r>
        <w:rPr>
          <w:sz w:val="4"/>
          <w:szCs w:val="4"/>
        </w:rPr>
      </w:r>
      <w:bookmarkStart w:id="4935" w:name="hangingindent366"/>
      <w:bookmarkStart w:id="4936" w:name="hangingindent366"/>
      <w:bookmarkEnd w:id="4936"/>
    </w:p>
    <w:tbl>
      <w:tblPr>
        <w:tblW w:w="5000" w:type="pct"/>
        <w:jc w:val="center"/>
        <w:tblInd w:w="0" w:type="dxa"/>
        <w:tblCellMar>
          <w:top w:w="0" w:type="dxa"/>
          <w:left w:w="0" w:type="dxa"/>
          <w:bottom w:w="0" w:type="dxa"/>
          <w:right w:w="0" w:type="dxa"/>
        </w:tblCellMar>
      </w:tblPr>
      <w:tblGrid>
        <w:gridCol w:w="484"/>
        <w:gridCol w:w="9721"/>
      </w:tblGrid>
      <w:tr>
        <w:trPr/>
        <w:tc>
          <w:tcPr>
            <w:tcW w:w="48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10.42</w:t>
            </w:r>
          </w:p>
        </w:tc>
        <w:tc>
          <w:tcPr>
            <w:tcW w:w="972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Amended and Restated Security Agreement dated as of July 28, 2000 as amended and restated as of January 29, 2002 between Sutton Hill Capital, L.L.C. and Reading International, Inc. (filed as Exhibit 10.40 to the Company’s Annual Report on Form 10-K for the year ended December 31, 2002 and incorporated herein by reference).</w:t>
            </w:r>
          </w:p>
        </w:tc>
      </w:tr>
    </w:tbl>
    <w:p>
      <w:pPr>
        <w:pStyle w:val="TextBody"/>
        <w:spacing w:lineRule="auto" w:line="300" w:before="0" w:after="0"/>
        <w:ind w:left="720" w:right="0" w:hanging="0"/>
        <w:jc w:val="both"/>
        <w:rPr/>
      </w:pPr>
      <w:r>
        <w:rPr/>
      </w:r>
    </w:p>
    <w:p>
      <w:pPr>
        <w:pStyle w:val="Normal"/>
        <w:spacing w:lineRule="auto" w:line="300" w:before="0" w:after="0"/>
        <w:jc w:val="both"/>
        <w:rPr>
          <w:sz w:val="4"/>
          <w:szCs w:val="4"/>
        </w:rPr>
      </w:pPr>
      <w:r>
        <w:rPr>
          <w:sz w:val="4"/>
          <w:szCs w:val="4"/>
        </w:rPr>
      </w:r>
      <w:bookmarkStart w:id="4937" w:name="hangingindent367"/>
      <w:bookmarkStart w:id="4938" w:name="hangingindent367"/>
      <w:bookmarkEnd w:id="4938"/>
    </w:p>
    <w:tbl>
      <w:tblPr>
        <w:tblW w:w="5000" w:type="pct"/>
        <w:jc w:val="center"/>
        <w:tblInd w:w="0" w:type="dxa"/>
        <w:tblCellMar>
          <w:top w:w="0" w:type="dxa"/>
          <w:left w:w="0" w:type="dxa"/>
          <w:bottom w:w="0" w:type="dxa"/>
          <w:right w:w="0" w:type="dxa"/>
        </w:tblCellMar>
      </w:tblPr>
      <w:tblGrid>
        <w:gridCol w:w="484"/>
        <w:gridCol w:w="9721"/>
      </w:tblGrid>
      <w:tr>
        <w:trPr/>
        <w:tc>
          <w:tcPr>
            <w:tcW w:w="48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10.43</w:t>
            </w:r>
          </w:p>
        </w:tc>
        <w:tc>
          <w:tcPr>
            <w:tcW w:w="972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Amended and Restated Pledge Agreement dated as of July 28, 2000 as amended and restated as of January 29, 2002 between Sutton Hill Capital, L.L.C. and Reading International, Inc. (filed as Exhibit 10.40 to the Company’s Annual Report on Form 10-K for the year ended December 31, 2002 and incorporated herein by reference).</w:t>
            </w:r>
          </w:p>
        </w:tc>
      </w:tr>
    </w:tbl>
    <w:p>
      <w:pPr>
        <w:pStyle w:val="TextBody"/>
        <w:spacing w:lineRule="auto" w:line="300" w:before="0" w:after="0"/>
        <w:ind w:left="720" w:right="0" w:hanging="72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939" w:name="PGBRK137"/>
      <w:bookmarkStart w:id="4940" w:name="PGBRK137"/>
      <w:bookmarkEnd w:id="494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941" w:name="FTR137"/>
      <w:bookmarkStart w:id="4942" w:name="FTR137"/>
      <w:bookmarkEnd w:id="494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943" w:name="GLFTR137"/>
      <w:bookmarkStart w:id="4944" w:name="GLFTR137"/>
      <w:bookmarkEnd w:id="494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4945" w:name="PN137"/>
      <w:bookmarkEnd w:id="4945"/>
      <w:r>
        <w:rPr>
          <w:rFonts w:ascii="Times New Roman" w:hAnsi="Times New Roman"/>
          <w:sz w:val="16"/>
        </w:rPr>
        <w:t>-137-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946" w:name="HDR137"/>
      <w:bookmarkStart w:id="4947" w:name="HDR137"/>
      <w:bookmarkEnd w:id="494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4948" w:name="GLHDR137"/>
        <w:bookmarkEnd w:id="4948"/>
        <w:r>
          <w:rPr>
            <w:rStyle w:val="Emphasis"/>
            <w:rFonts w:ascii="Times New Roman" w:hAnsi="Times New Roman"/>
            <w:color w:val="000000"/>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pStyle w:val="Normal"/>
        <w:spacing w:before="0" w:after="0"/>
        <w:ind w:left="0" w:right="0" w:hanging="0"/>
        <w:rPr>
          <w:sz w:val="4"/>
          <w:szCs w:val="4"/>
        </w:rPr>
      </w:pPr>
      <w:r>
        <w:rPr>
          <w:sz w:val="4"/>
          <w:szCs w:val="4"/>
        </w:rPr>
      </w:r>
      <w:bookmarkStart w:id="4949" w:name="hangingindent368"/>
      <w:bookmarkStart w:id="4950" w:name="hangingindent368"/>
      <w:bookmarkEnd w:id="4950"/>
    </w:p>
    <w:tbl>
      <w:tblPr>
        <w:tblW w:w="5000" w:type="pct"/>
        <w:jc w:val="center"/>
        <w:tblInd w:w="0" w:type="dxa"/>
        <w:tblCellMar>
          <w:top w:w="0" w:type="dxa"/>
          <w:left w:w="0" w:type="dxa"/>
          <w:bottom w:w="0" w:type="dxa"/>
          <w:right w:w="0" w:type="dxa"/>
        </w:tblCellMar>
      </w:tblPr>
      <w:tblGrid>
        <w:gridCol w:w="484"/>
        <w:gridCol w:w="9721"/>
      </w:tblGrid>
      <w:tr>
        <w:trPr/>
        <w:tc>
          <w:tcPr>
            <w:tcW w:w="48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10.44</w:t>
            </w:r>
          </w:p>
        </w:tc>
        <w:tc>
          <w:tcPr>
            <w:tcW w:w="972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Amended and Restated Intercreditor Agreement dated as of July 28, 2000 as amended and restated as of January 29, 2002 between Sutton Hill Capital, L.L.C. and Reading International, Inc. and Nationwide Theatres Corp. (filed as Exhibit 10.40 to the Company’s Annual Report on Form 10-K for the year ended December 31, 2002 and incorporated herein by reference).</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4951" w:name="hangingindent369"/>
      <w:bookmarkStart w:id="4952" w:name="hangingindent369"/>
      <w:bookmarkEnd w:id="4952"/>
    </w:p>
    <w:tbl>
      <w:tblPr>
        <w:tblW w:w="5000" w:type="pct"/>
        <w:jc w:val="center"/>
        <w:tblInd w:w="0" w:type="dxa"/>
        <w:tblCellMar>
          <w:top w:w="0" w:type="dxa"/>
          <w:left w:w="0" w:type="dxa"/>
          <w:bottom w:w="0" w:type="dxa"/>
          <w:right w:w="0" w:type="dxa"/>
        </w:tblCellMar>
      </w:tblPr>
      <w:tblGrid>
        <w:gridCol w:w="484"/>
        <w:gridCol w:w="9721"/>
      </w:tblGrid>
      <w:tr>
        <w:trPr/>
        <w:tc>
          <w:tcPr>
            <w:tcW w:w="48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10.45</w:t>
            </w:r>
          </w:p>
        </w:tc>
        <w:tc>
          <w:tcPr>
            <w:tcW w:w="972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Guaranty dated July 28, 2000 by Michael R. Forman and James J. Cotter in favor of Citadel Cinemas, Inc. and Citadel Realty, Inc. (filed as Exhibit 10.40 to the Company’s Annual Report on Form 10-K for the year ended December 31, 2002 and incorporated herein by reference).</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4953" w:name="hangingindent370"/>
      <w:bookmarkStart w:id="4954" w:name="hangingindent370"/>
      <w:bookmarkEnd w:id="4954"/>
    </w:p>
    <w:tbl>
      <w:tblPr>
        <w:tblW w:w="5000" w:type="pct"/>
        <w:jc w:val="center"/>
        <w:tblInd w:w="0" w:type="dxa"/>
        <w:tblCellMar>
          <w:top w:w="0" w:type="dxa"/>
          <w:left w:w="0" w:type="dxa"/>
          <w:bottom w:w="0" w:type="dxa"/>
          <w:right w:w="0" w:type="dxa"/>
        </w:tblCellMar>
      </w:tblPr>
      <w:tblGrid>
        <w:gridCol w:w="484"/>
        <w:gridCol w:w="9721"/>
      </w:tblGrid>
      <w:tr>
        <w:trPr/>
        <w:tc>
          <w:tcPr>
            <w:tcW w:w="48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10.46</w:t>
            </w:r>
          </w:p>
        </w:tc>
        <w:tc>
          <w:tcPr>
            <w:tcW w:w="972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Amended and Restated Agreement with Respect to Fee Option dated as of July 28, 2000 as amended and restated as of January 29, 2002 between Sutton Hill Capital, L.L.C. and Citadel Realty, Inc. (filed as Exhibit 10.40 to the Company’s Annual Report on Form 10-K for the year ended December 31, 2002 and incorporated herein by reference).</w:t>
            </w:r>
          </w:p>
        </w:tc>
      </w:tr>
    </w:tbl>
    <w:p>
      <w:pPr>
        <w:pStyle w:val="TextBody"/>
        <w:spacing w:lineRule="auto" w:line="300" w:before="0" w:after="0"/>
        <w:ind w:left="0" w:right="0" w:hanging="0"/>
        <w:jc w:val="both"/>
        <w:rPr/>
      </w:pPr>
      <w:r>
        <w:rPr/>
        <w:t> </w:t>
      </w:r>
    </w:p>
    <w:p>
      <w:pPr>
        <w:pStyle w:val="Normal"/>
        <w:spacing w:before="0" w:after="0"/>
        <w:ind w:left="0" w:right="0" w:hanging="0"/>
        <w:rPr>
          <w:sz w:val="4"/>
          <w:szCs w:val="4"/>
        </w:rPr>
      </w:pPr>
      <w:r>
        <w:rPr>
          <w:sz w:val="4"/>
          <w:szCs w:val="4"/>
        </w:rPr>
      </w:r>
      <w:bookmarkStart w:id="4955" w:name="hangingindent371"/>
      <w:bookmarkStart w:id="4956" w:name="hangingindent371"/>
      <w:bookmarkEnd w:id="4956"/>
    </w:p>
    <w:tbl>
      <w:tblPr>
        <w:tblW w:w="5000" w:type="pct"/>
        <w:jc w:val="center"/>
        <w:tblInd w:w="0" w:type="dxa"/>
        <w:tblCellMar>
          <w:top w:w="0" w:type="dxa"/>
          <w:left w:w="0" w:type="dxa"/>
          <w:bottom w:w="0" w:type="dxa"/>
          <w:right w:w="0" w:type="dxa"/>
        </w:tblCellMar>
      </w:tblPr>
      <w:tblGrid>
        <w:gridCol w:w="484"/>
        <w:gridCol w:w="9721"/>
      </w:tblGrid>
      <w:tr>
        <w:trPr/>
        <w:tc>
          <w:tcPr>
            <w:tcW w:w="48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10.47</w:t>
            </w:r>
          </w:p>
        </w:tc>
        <w:tc>
          <w:tcPr>
            <w:tcW w:w="972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Theater Management Agreement between Liberty Theaters, Inc. and OBI LLC (filed as Exhibit 10.40 to the Company’s Annual Report on Form 10-K for the year ended December 31, 2002 and incorporated herein by reference).</w:t>
            </w:r>
          </w:p>
        </w:tc>
      </w:tr>
    </w:tbl>
    <w:p>
      <w:pPr>
        <w:pStyle w:val="TextBody"/>
        <w:spacing w:lineRule="auto" w:line="300" w:before="0" w:after="0"/>
        <w:ind w:left="0" w:right="0" w:hanging="0"/>
        <w:jc w:val="both"/>
        <w:rPr/>
      </w:pPr>
      <w:r>
        <w:rPr/>
      </w:r>
    </w:p>
    <w:p>
      <w:pPr>
        <w:pStyle w:val="Normal"/>
        <w:spacing w:before="0" w:after="0"/>
        <w:rPr>
          <w:sz w:val="4"/>
          <w:szCs w:val="4"/>
        </w:rPr>
      </w:pPr>
      <w:r>
        <w:rPr>
          <w:sz w:val="4"/>
          <w:szCs w:val="4"/>
        </w:rPr>
      </w:r>
      <w:bookmarkStart w:id="4957" w:name="hangingindent372"/>
      <w:bookmarkStart w:id="4958" w:name="hangingindent372"/>
      <w:bookmarkEnd w:id="4958"/>
    </w:p>
    <w:tbl>
      <w:tblPr>
        <w:tblW w:w="5000" w:type="pct"/>
        <w:jc w:val="center"/>
        <w:tblInd w:w="0" w:type="dxa"/>
        <w:tblCellMar>
          <w:top w:w="0" w:type="dxa"/>
          <w:left w:w="0" w:type="dxa"/>
          <w:bottom w:w="0" w:type="dxa"/>
          <w:right w:w="0" w:type="dxa"/>
        </w:tblCellMar>
      </w:tblPr>
      <w:tblGrid>
        <w:gridCol w:w="532"/>
        <w:gridCol w:w="9673"/>
      </w:tblGrid>
      <w:tr>
        <w:trPr/>
        <w:tc>
          <w:tcPr>
            <w:tcW w:w="53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10.48*</w:t>
            </w:r>
          </w:p>
        </w:tc>
        <w:tc>
          <w:tcPr>
            <w:tcW w:w="967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Non-qualified Stock Option Agreement between Reading International, Inc. and James J. Cotter (filed as Exhibit 10.40 to the Company’s Annual Report on Form 10-K for the year ended December 31, 2002 and incorporated herein by reference).</w:t>
            </w:r>
          </w:p>
        </w:tc>
      </w:tr>
    </w:tbl>
    <w:p>
      <w:pPr>
        <w:pStyle w:val="TextBody"/>
        <w:spacing w:lineRule="auto" w:line="300" w:before="0" w:after="0"/>
        <w:ind w:left="720" w:right="0" w:hanging="720"/>
        <w:jc w:val="both"/>
        <w:rPr/>
      </w:pPr>
      <w:r>
        <w:rPr/>
      </w:r>
    </w:p>
    <w:p>
      <w:pPr>
        <w:pStyle w:val="Normal"/>
        <w:spacing w:before="0" w:after="0"/>
        <w:rPr>
          <w:sz w:val="4"/>
          <w:szCs w:val="4"/>
        </w:rPr>
      </w:pPr>
      <w:r>
        <w:rPr>
          <w:sz w:val="4"/>
          <w:szCs w:val="4"/>
        </w:rPr>
      </w:r>
      <w:bookmarkStart w:id="4959" w:name="hangingindent373"/>
      <w:bookmarkStart w:id="4960" w:name="hangingindent373"/>
      <w:bookmarkEnd w:id="4960"/>
    </w:p>
    <w:tbl>
      <w:tblPr>
        <w:tblW w:w="5000" w:type="pct"/>
        <w:jc w:val="center"/>
        <w:tblInd w:w="0" w:type="dxa"/>
        <w:tblCellMar>
          <w:top w:w="0" w:type="dxa"/>
          <w:left w:w="0" w:type="dxa"/>
          <w:bottom w:w="0" w:type="dxa"/>
          <w:right w:w="0" w:type="dxa"/>
        </w:tblCellMar>
      </w:tblPr>
      <w:tblGrid>
        <w:gridCol w:w="484"/>
        <w:gridCol w:w="9721"/>
      </w:tblGrid>
      <w:tr>
        <w:trPr/>
        <w:tc>
          <w:tcPr>
            <w:tcW w:w="48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10.49</w:t>
            </w:r>
          </w:p>
        </w:tc>
        <w:tc>
          <w:tcPr>
            <w:tcW w:w="972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Omnibus Agreement between Citadel Cinemas, Inc. and Sutton Hill Capital, LLC, dated October 22, 2003 (filed on Quarterly Report Form 10-Q for the period ended September 30, 2003 and incorporated herein by reference).</w:t>
            </w:r>
          </w:p>
        </w:tc>
      </w:tr>
    </w:tbl>
    <w:p>
      <w:pPr>
        <w:pStyle w:val="TextBody"/>
        <w:spacing w:lineRule="auto" w:line="300" w:before="0" w:after="0"/>
        <w:ind w:left="0" w:right="0" w:hanging="0"/>
        <w:jc w:val="both"/>
        <w:rPr/>
      </w:pPr>
      <w:r>
        <w:rPr/>
      </w:r>
    </w:p>
    <w:p>
      <w:pPr>
        <w:pStyle w:val="Normal"/>
        <w:spacing w:before="0" w:after="0"/>
        <w:rPr>
          <w:sz w:val="4"/>
          <w:szCs w:val="4"/>
        </w:rPr>
      </w:pPr>
      <w:r>
        <w:rPr>
          <w:sz w:val="4"/>
          <w:szCs w:val="4"/>
        </w:rPr>
      </w:r>
      <w:bookmarkStart w:id="4961" w:name="hangingindent374"/>
      <w:bookmarkStart w:id="4962" w:name="hangingindent374"/>
      <w:bookmarkEnd w:id="4962"/>
    </w:p>
    <w:tbl>
      <w:tblPr>
        <w:tblW w:w="5000" w:type="pct"/>
        <w:jc w:val="center"/>
        <w:tblInd w:w="0" w:type="dxa"/>
        <w:tblCellMar>
          <w:top w:w="0" w:type="dxa"/>
          <w:left w:w="0" w:type="dxa"/>
          <w:bottom w:w="0" w:type="dxa"/>
          <w:right w:w="0" w:type="dxa"/>
        </w:tblCellMar>
      </w:tblPr>
      <w:tblGrid>
        <w:gridCol w:w="484"/>
        <w:gridCol w:w="9721"/>
      </w:tblGrid>
      <w:tr>
        <w:trPr/>
        <w:tc>
          <w:tcPr>
            <w:tcW w:w="48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10.50</w:t>
            </w:r>
          </w:p>
        </w:tc>
        <w:tc>
          <w:tcPr>
            <w:tcW w:w="972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Pledge Agreement between Citadel Cinemas, Inc. and Sutton Hill Capital, LLC, dated October 22, 2003 (filed on Quarterly Report Form 10-Q for the period ended September 30, 2003 and incorporated herein by reference).</w:t>
            </w:r>
          </w:p>
        </w:tc>
      </w:tr>
    </w:tbl>
    <w:p>
      <w:pPr>
        <w:pStyle w:val="TextBody"/>
        <w:spacing w:lineRule="auto" w:line="300" w:before="0" w:after="0"/>
        <w:ind w:left="0" w:right="0" w:hanging="0"/>
        <w:jc w:val="both"/>
        <w:rPr/>
      </w:pPr>
      <w:r>
        <w:rPr/>
      </w:r>
    </w:p>
    <w:p>
      <w:pPr>
        <w:pStyle w:val="Normal"/>
        <w:spacing w:before="0" w:after="0"/>
        <w:rPr>
          <w:sz w:val="4"/>
          <w:szCs w:val="4"/>
        </w:rPr>
      </w:pPr>
      <w:r>
        <w:rPr>
          <w:sz w:val="4"/>
          <w:szCs w:val="4"/>
        </w:rPr>
      </w:r>
      <w:bookmarkStart w:id="4963" w:name="hangingindent375"/>
      <w:bookmarkStart w:id="4964" w:name="hangingindent375"/>
      <w:bookmarkEnd w:id="4964"/>
    </w:p>
    <w:tbl>
      <w:tblPr>
        <w:tblW w:w="5000" w:type="pct"/>
        <w:jc w:val="center"/>
        <w:tblInd w:w="0" w:type="dxa"/>
        <w:tblCellMar>
          <w:top w:w="0" w:type="dxa"/>
          <w:left w:w="0" w:type="dxa"/>
          <w:bottom w:w="0" w:type="dxa"/>
          <w:right w:w="0" w:type="dxa"/>
        </w:tblCellMar>
      </w:tblPr>
      <w:tblGrid>
        <w:gridCol w:w="484"/>
        <w:gridCol w:w="9721"/>
      </w:tblGrid>
      <w:tr>
        <w:trPr/>
        <w:tc>
          <w:tcPr>
            <w:tcW w:w="48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10.51</w:t>
            </w:r>
          </w:p>
        </w:tc>
        <w:tc>
          <w:tcPr>
            <w:tcW w:w="972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Guarantee of Lenders Obligation Under Standby Credit Agreement in favor of Sutton Hill Capital, LLC, dated October 22, 2003 (filed on Quarterly Report Form 10-Q for the period ended September 30, 2003 and incorporated herein by reference).</w:t>
            </w:r>
          </w:p>
        </w:tc>
      </w:tr>
    </w:tbl>
    <w:p>
      <w:pPr>
        <w:pStyle w:val="TextBody"/>
        <w:spacing w:lineRule="auto" w:line="300" w:before="0" w:after="0"/>
        <w:ind w:left="0" w:right="0" w:hanging="0"/>
        <w:jc w:val="both"/>
        <w:rPr/>
      </w:pPr>
      <w:r>
        <w:rPr/>
      </w:r>
    </w:p>
    <w:p>
      <w:pPr>
        <w:pStyle w:val="Normal"/>
        <w:spacing w:before="0" w:after="0"/>
        <w:rPr>
          <w:sz w:val="4"/>
          <w:szCs w:val="4"/>
        </w:rPr>
      </w:pPr>
      <w:r>
        <w:rPr>
          <w:sz w:val="4"/>
          <w:szCs w:val="4"/>
        </w:rPr>
      </w:r>
      <w:bookmarkStart w:id="4965" w:name="hangingindent376"/>
      <w:bookmarkStart w:id="4966" w:name="hangingindent376"/>
      <w:bookmarkEnd w:id="4966"/>
    </w:p>
    <w:tbl>
      <w:tblPr>
        <w:tblW w:w="5000" w:type="pct"/>
        <w:jc w:val="center"/>
        <w:tblInd w:w="0" w:type="dxa"/>
        <w:tblCellMar>
          <w:top w:w="0" w:type="dxa"/>
          <w:left w:w="0" w:type="dxa"/>
          <w:bottom w:w="0" w:type="dxa"/>
          <w:right w:w="0" w:type="dxa"/>
        </w:tblCellMar>
      </w:tblPr>
      <w:tblGrid>
        <w:gridCol w:w="535"/>
        <w:gridCol w:w="9670"/>
      </w:tblGrid>
      <w:tr>
        <w:trPr/>
        <w:tc>
          <w:tcPr>
            <w:tcW w:w="53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10.52*</w:t>
            </w:r>
          </w:p>
        </w:tc>
        <w:tc>
          <w:tcPr>
            <w:tcW w:w="967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Employment agreement between Reading International, Inc. and Wayne D. Smith (filed as exhibit 10.52 to the Company’s Annual Report on Form 10-K for the year ended December 31, 2004, and incorporated herein by reference).</w:t>
            </w:r>
          </w:p>
        </w:tc>
      </w:tr>
    </w:tbl>
    <w:p>
      <w:pPr>
        <w:pStyle w:val="TextBody"/>
        <w:spacing w:lineRule="auto" w:line="300" w:before="0" w:after="0"/>
        <w:ind w:left="720" w:right="0" w:hanging="720"/>
        <w:jc w:val="both"/>
        <w:rPr/>
      </w:pPr>
      <w:r>
        <w:rPr/>
      </w:r>
    </w:p>
    <w:p>
      <w:pPr>
        <w:pStyle w:val="Normal"/>
        <w:spacing w:before="0" w:after="0"/>
        <w:rPr>
          <w:sz w:val="4"/>
          <w:szCs w:val="4"/>
        </w:rPr>
      </w:pPr>
      <w:r>
        <w:rPr>
          <w:sz w:val="4"/>
          <w:szCs w:val="4"/>
        </w:rPr>
      </w:r>
      <w:bookmarkStart w:id="4967" w:name="hangingindent377"/>
      <w:bookmarkStart w:id="4968" w:name="hangingindent377"/>
      <w:bookmarkEnd w:id="4968"/>
    </w:p>
    <w:tbl>
      <w:tblPr>
        <w:tblW w:w="5000" w:type="pct"/>
        <w:jc w:val="center"/>
        <w:tblInd w:w="0" w:type="dxa"/>
        <w:tblCellMar>
          <w:top w:w="0" w:type="dxa"/>
          <w:left w:w="0" w:type="dxa"/>
          <w:bottom w:w="0" w:type="dxa"/>
          <w:right w:w="0" w:type="dxa"/>
        </w:tblCellMar>
      </w:tblPr>
      <w:tblGrid>
        <w:gridCol w:w="484"/>
        <w:gridCol w:w="9721"/>
      </w:tblGrid>
      <w:tr>
        <w:trPr/>
        <w:tc>
          <w:tcPr>
            <w:tcW w:w="48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10.53</w:t>
            </w:r>
          </w:p>
        </w:tc>
        <w:tc>
          <w:tcPr>
            <w:tcW w:w="972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Contract of Sale between Sutton Hill Capital L.L.C. and Sutton Hill Properties, LLC dated as of September 19, 2005 (filed as exhibit 10.53 to the Company’s report on Form 8-K filed on September 21, 2005, and incorporated herein by reference).</w:t>
            </w:r>
          </w:p>
        </w:tc>
      </w:tr>
    </w:tbl>
    <w:p>
      <w:pPr>
        <w:pStyle w:val="TextBody"/>
        <w:spacing w:lineRule="auto" w:line="300" w:before="0" w:after="0"/>
        <w:ind w:left="720" w:right="0" w:hanging="720"/>
        <w:jc w:val="both"/>
        <w:rPr/>
      </w:pPr>
      <w:r>
        <w:rPr/>
      </w:r>
    </w:p>
    <w:p>
      <w:pPr>
        <w:pStyle w:val="Normal"/>
        <w:spacing w:before="0" w:after="0"/>
        <w:rPr>
          <w:sz w:val="4"/>
          <w:szCs w:val="4"/>
        </w:rPr>
      </w:pPr>
      <w:r>
        <w:rPr>
          <w:sz w:val="4"/>
          <w:szCs w:val="4"/>
        </w:rPr>
      </w:r>
      <w:bookmarkStart w:id="4969" w:name="hangingindent378"/>
      <w:bookmarkStart w:id="4970" w:name="hangingindent378"/>
      <w:bookmarkEnd w:id="4970"/>
    </w:p>
    <w:tbl>
      <w:tblPr>
        <w:tblW w:w="5000" w:type="pct"/>
        <w:jc w:val="center"/>
        <w:tblInd w:w="0" w:type="dxa"/>
        <w:tblCellMar>
          <w:top w:w="0" w:type="dxa"/>
          <w:left w:w="0" w:type="dxa"/>
          <w:bottom w:w="0" w:type="dxa"/>
          <w:right w:w="0" w:type="dxa"/>
        </w:tblCellMar>
      </w:tblPr>
      <w:tblGrid>
        <w:gridCol w:w="484"/>
        <w:gridCol w:w="9721"/>
      </w:tblGrid>
      <w:tr>
        <w:trPr/>
        <w:tc>
          <w:tcPr>
            <w:tcW w:w="484"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10.54</w:t>
            </w:r>
          </w:p>
        </w:tc>
        <w:tc>
          <w:tcPr>
            <w:tcW w:w="9721"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Installment Sale Note dated as of September 19, 2005 (filed as exhibit 10.54 to the Company’s report on Form 8-K filed on September 21, 2005, and incorporated herein by reference).</w:t>
            </w:r>
          </w:p>
        </w:tc>
      </w:tr>
    </w:tbl>
    <w:p>
      <w:pPr>
        <w:pStyle w:val="TextBody"/>
        <w:spacing w:lineRule="auto" w:line="300" w:before="0" w:after="0"/>
        <w:ind w:left="720" w:right="0" w:hanging="720"/>
        <w:jc w:val="left"/>
        <w:rPr/>
      </w:pPr>
      <w:r>
        <w:rPr/>
      </w:r>
    </w:p>
    <w:p>
      <w:pPr>
        <w:pStyle w:val="Normal"/>
        <w:spacing w:before="0" w:after="0"/>
        <w:rPr>
          <w:sz w:val="4"/>
          <w:szCs w:val="4"/>
        </w:rPr>
      </w:pPr>
      <w:r>
        <w:rPr>
          <w:sz w:val="4"/>
          <w:szCs w:val="4"/>
        </w:rPr>
      </w:r>
      <w:bookmarkStart w:id="4971" w:name="hangingindent379"/>
      <w:bookmarkStart w:id="4972" w:name="hangingindent379"/>
      <w:bookmarkEnd w:id="4972"/>
    </w:p>
    <w:tbl>
      <w:tblPr>
        <w:tblW w:w="5000" w:type="pct"/>
        <w:jc w:val="center"/>
        <w:tblInd w:w="0" w:type="dxa"/>
        <w:tblCellMar>
          <w:top w:w="0" w:type="dxa"/>
          <w:left w:w="0" w:type="dxa"/>
          <w:bottom w:w="0" w:type="dxa"/>
          <w:right w:w="0" w:type="dxa"/>
        </w:tblCellMar>
      </w:tblPr>
      <w:tblGrid>
        <w:gridCol w:w="484"/>
        <w:gridCol w:w="9721"/>
      </w:tblGrid>
      <w:tr>
        <w:trPr/>
        <w:tc>
          <w:tcPr>
            <w:tcW w:w="484"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10.55</w:t>
            </w:r>
          </w:p>
        </w:tc>
        <w:tc>
          <w:tcPr>
            <w:tcW w:w="9721"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Guaranty by Reading International, Inc. dated as of September 1, 2005 (filed as exhibit 10.55 to the Company’s report on Form 8-K filed on September 21, 2005, and incorporated herein by reference).</w:t>
            </w:r>
          </w:p>
        </w:tc>
      </w:tr>
    </w:tbl>
    <w:p>
      <w:pPr>
        <w:pStyle w:val="TextBody"/>
        <w:spacing w:lineRule="auto" w:line="300" w:before="0" w:after="0"/>
        <w:ind w:left="720" w:right="0" w:hanging="720"/>
        <w:jc w:val="left"/>
        <w:rPr/>
      </w:pPr>
      <w:r>
        <w:rPr/>
      </w:r>
    </w:p>
    <w:p>
      <w:pPr>
        <w:pStyle w:val="Normal"/>
        <w:spacing w:before="0" w:after="0"/>
        <w:rPr>
          <w:sz w:val="4"/>
          <w:szCs w:val="4"/>
        </w:rPr>
      </w:pPr>
      <w:r>
        <w:rPr>
          <w:sz w:val="4"/>
          <w:szCs w:val="4"/>
        </w:rPr>
      </w:r>
      <w:bookmarkStart w:id="4973" w:name="hangingindent380"/>
      <w:bookmarkStart w:id="4974" w:name="hangingindent380"/>
      <w:bookmarkEnd w:id="4974"/>
    </w:p>
    <w:tbl>
      <w:tblPr>
        <w:tblW w:w="5000" w:type="pct"/>
        <w:jc w:val="center"/>
        <w:tblInd w:w="0" w:type="dxa"/>
        <w:tblCellMar>
          <w:top w:w="0" w:type="dxa"/>
          <w:left w:w="0" w:type="dxa"/>
          <w:bottom w:w="0" w:type="dxa"/>
          <w:right w:w="0" w:type="dxa"/>
        </w:tblCellMar>
      </w:tblPr>
      <w:tblGrid>
        <w:gridCol w:w="484"/>
        <w:gridCol w:w="9721"/>
      </w:tblGrid>
      <w:tr>
        <w:trPr/>
        <w:tc>
          <w:tcPr>
            <w:tcW w:w="484"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10.56</w:t>
            </w:r>
          </w:p>
        </w:tc>
        <w:tc>
          <w:tcPr>
            <w:tcW w:w="9721"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Assignment and Assumption of Lease between Sutton Hill Capital L.L.C. and Sutton Hill Properties, LLC dated as of September 19, 2005 (filed as exhibit 10.56 to the Company’s report on Form 8-K filed on September 21, 2005, and incorporated herein by reference).</w:t>
            </w:r>
          </w:p>
        </w:tc>
      </w:tr>
    </w:tbl>
    <w:p>
      <w:pPr>
        <w:pStyle w:val="TextBody"/>
        <w:spacing w:lineRule="auto" w:line="300" w:before="0" w:after="0"/>
        <w:ind w:left="720" w:right="0" w:hanging="720"/>
        <w:jc w:val="left"/>
        <w:rPr/>
      </w:pPr>
      <w:r>
        <w:rPr/>
      </w:r>
    </w:p>
    <w:p>
      <w:pPr>
        <w:pStyle w:val="Normal"/>
        <w:spacing w:before="0" w:after="0"/>
        <w:rPr>
          <w:sz w:val="4"/>
          <w:szCs w:val="4"/>
        </w:rPr>
      </w:pPr>
      <w:r>
        <w:rPr>
          <w:sz w:val="4"/>
          <w:szCs w:val="4"/>
        </w:rPr>
      </w:r>
      <w:bookmarkStart w:id="4975" w:name="hangingindent381"/>
      <w:bookmarkStart w:id="4976" w:name="hangingindent381"/>
      <w:bookmarkEnd w:id="4976"/>
    </w:p>
    <w:tbl>
      <w:tblPr>
        <w:tblW w:w="5000" w:type="pct"/>
        <w:jc w:val="center"/>
        <w:tblInd w:w="0" w:type="dxa"/>
        <w:tblCellMar>
          <w:top w:w="0" w:type="dxa"/>
          <w:left w:w="0" w:type="dxa"/>
          <w:bottom w:w="0" w:type="dxa"/>
          <w:right w:w="0" w:type="dxa"/>
        </w:tblCellMar>
      </w:tblPr>
      <w:tblGrid>
        <w:gridCol w:w="484"/>
        <w:gridCol w:w="9721"/>
      </w:tblGrid>
      <w:tr>
        <w:trPr/>
        <w:tc>
          <w:tcPr>
            <w:tcW w:w="484"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10.57</w:t>
            </w:r>
          </w:p>
        </w:tc>
        <w:tc>
          <w:tcPr>
            <w:tcW w:w="9721"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License and Option Agreement between Sutton Hill Properties, LLC and Sutton Hill Capital L.L.C. dated as of September 19, 2005 (filed as exhibit 10.57 to the Company’s report on Form 8-K filed on September 21, 2005, and incorporated herein by reference).</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977" w:name="PGBRK138"/>
      <w:bookmarkStart w:id="4978" w:name="PGBRK138"/>
      <w:bookmarkEnd w:id="497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979" w:name="FTR138"/>
      <w:bookmarkStart w:id="4980" w:name="FTR138"/>
      <w:bookmarkEnd w:id="498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981" w:name="GLFTR138"/>
      <w:bookmarkStart w:id="4982" w:name="GLFTR138"/>
      <w:bookmarkEnd w:id="498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4983" w:name="PN138"/>
      <w:bookmarkEnd w:id="4983"/>
      <w:r>
        <w:rPr>
          <w:rFonts w:ascii="Times New Roman" w:hAnsi="Times New Roman"/>
          <w:sz w:val="16"/>
        </w:rPr>
        <w:t>-138-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984" w:name="HDR138"/>
      <w:bookmarkStart w:id="4985" w:name="HDR138"/>
      <w:bookmarkEnd w:id="498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4986" w:name="GLHDR138"/>
        <w:bookmarkEnd w:id="4986"/>
        <w:r>
          <w:rPr>
            <w:rStyle w:val="Emphasis"/>
            <w:rFonts w:ascii="Times New Roman" w:hAnsi="Times New Roman"/>
            <w:color w:val="000000"/>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pStyle w:val="Normal"/>
        <w:spacing w:before="0" w:after="0"/>
        <w:rPr>
          <w:sz w:val="4"/>
          <w:szCs w:val="4"/>
        </w:rPr>
      </w:pPr>
      <w:r>
        <w:rPr>
          <w:sz w:val="4"/>
          <w:szCs w:val="4"/>
        </w:rPr>
      </w:r>
      <w:bookmarkStart w:id="4987" w:name="hangingindent382"/>
      <w:bookmarkStart w:id="4988" w:name="hangingindent382"/>
      <w:bookmarkEnd w:id="4988"/>
    </w:p>
    <w:tbl>
      <w:tblPr>
        <w:tblW w:w="5000" w:type="pct"/>
        <w:jc w:val="center"/>
        <w:tblInd w:w="0" w:type="dxa"/>
        <w:tblCellMar>
          <w:top w:w="0" w:type="dxa"/>
          <w:left w:w="0" w:type="dxa"/>
          <w:bottom w:w="0" w:type="dxa"/>
          <w:right w:w="0" w:type="dxa"/>
        </w:tblCellMar>
      </w:tblPr>
      <w:tblGrid>
        <w:gridCol w:w="484"/>
        <w:gridCol w:w="9721"/>
      </w:tblGrid>
      <w:tr>
        <w:trPr/>
        <w:tc>
          <w:tcPr>
            <w:tcW w:w="484"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10.58</w:t>
            </w:r>
          </w:p>
        </w:tc>
        <w:tc>
          <w:tcPr>
            <w:tcW w:w="9721"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Second Amendment to Amended and Restated Master Operating Lease dated as of September 1, 2005 (filed as exhibit 10.58 to the Company’s report on Form 8-K filed on September 21, 2005, and incorporated herein by reference).</w:t>
            </w:r>
          </w:p>
        </w:tc>
      </w:tr>
    </w:tbl>
    <w:p>
      <w:pPr>
        <w:pStyle w:val="TextBody"/>
        <w:spacing w:lineRule="auto" w:line="300" w:before="0" w:after="0"/>
        <w:ind w:left="720" w:right="0" w:hanging="720"/>
        <w:jc w:val="left"/>
        <w:rPr/>
      </w:pPr>
      <w:r>
        <w:rPr/>
      </w:r>
    </w:p>
    <w:p>
      <w:pPr>
        <w:pStyle w:val="Normal"/>
        <w:spacing w:before="0" w:after="0"/>
        <w:rPr>
          <w:sz w:val="4"/>
          <w:szCs w:val="4"/>
        </w:rPr>
      </w:pPr>
      <w:r>
        <w:rPr>
          <w:sz w:val="4"/>
          <w:szCs w:val="4"/>
        </w:rPr>
      </w:r>
      <w:bookmarkStart w:id="4989" w:name="hangingindent383"/>
      <w:bookmarkStart w:id="4990" w:name="hangingindent383"/>
      <w:bookmarkEnd w:id="4990"/>
    </w:p>
    <w:tbl>
      <w:tblPr>
        <w:tblW w:w="5000" w:type="pct"/>
        <w:jc w:val="center"/>
        <w:tblInd w:w="0" w:type="dxa"/>
        <w:tblCellMar>
          <w:top w:w="0" w:type="dxa"/>
          <w:left w:w="0" w:type="dxa"/>
          <w:bottom w:w="0" w:type="dxa"/>
          <w:right w:w="0" w:type="dxa"/>
        </w:tblCellMar>
      </w:tblPr>
      <w:tblGrid>
        <w:gridCol w:w="484"/>
        <w:gridCol w:w="9721"/>
      </w:tblGrid>
      <w:tr>
        <w:trPr/>
        <w:tc>
          <w:tcPr>
            <w:tcW w:w="484"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10.59</w:t>
            </w:r>
          </w:p>
        </w:tc>
        <w:tc>
          <w:tcPr>
            <w:tcW w:w="9721"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Letter from James J. Cotter dated August 11, 2005 regarding liens (filed as exhibit 10.59 to the Company’s report on Form 8-K filed on September 21, 2005, and incorporated herein by reference).</w:t>
            </w:r>
          </w:p>
        </w:tc>
      </w:tr>
    </w:tbl>
    <w:p>
      <w:pPr>
        <w:pStyle w:val="TextBody"/>
        <w:spacing w:lineRule="auto" w:line="300" w:before="0" w:after="0"/>
        <w:ind w:left="720" w:right="0" w:hanging="720"/>
        <w:jc w:val="left"/>
        <w:rPr/>
      </w:pPr>
      <w:r>
        <w:rPr/>
      </w:r>
    </w:p>
    <w:p>
      <w:pPr>
        <w:pStyle w:val="Normal"/>
        <w:spacing w:before="0" w:after="0"/>
        <w:rPr>
          <w:sz w:val="4"/>
          <w:szCs w:val="4"/>
        </w:rPr>
      </w:pPr>
      <w:r>
        <w:rPr>
          <w:sz w:val="4"/>
          <w:szCs w:val="4"/>
        </w:rPr>
      </w:r>
      <w:bookmarkStart w:id="4991" w:name="hangingindent384"/>
      <w:bookmarkStart w:id="4992" w:name="hangingindent384"/>
      <w:bookmarkEnd w:id="4992"/>
    </w:p>
    <w:tbl>
      <w:tblPr>
        <w:tblW w:w="5000" w:type="pct"/>
        <w:jc w:val="center"/>
        <w:tblInd w:w="0" w:type="dxa"/>
        <w:tblCellMar>
          <w:top w:w="0" w:type="dxa"/>
          <w:left w:w="0" w:type="dxa"/>
          <w:bottom w:w="0" w:type="dxa"/>
          <w:right w:w="0" w:type="dxa"/>
        </w:tblCellMar>
      </w:tblPr>
      <w:tblGrid>
        <w:gridCol w:w="484"/>
        <w:gridCol w:w="9721"/>
      </w:tblGrid>
      <w:tr>
        <w:trPr/>
        <w:tc>
          <w:tcPr>
            <w:tcW w:w="48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10.60</w:t>
            </w:r>
          </w:p>
        </w:tc>
        <w:tc>
          <w:tcPr>
            <w:tcW w:w="9721" w:type="dxa"/>
            <w:tcBorders/>
            <w:shd w:fill="auto" w:val="clear"/>
          </w:tcPr>
          <w:p>
            <w:pPr>
              <w:pStyle w:val="TableContents"/>
              <w:spacing w:before="0" w:after="0"/>
              <w:ind w:left="0" w:right="0" w:hanging="0"/>
              <w:jc w:val="both"/>
              <w:rPr/>
            </w:pPr>
            <w:r>
              <w:rPr>
                <w:rFonts w:ascii="Times New Roman" w:hAnsi="Times New Roman"/>
                <w:sz w:val="20"/>
              </w:rPr>
              <w:t>Letter amending effective date of transaction to September 19, 2005</w:t>
            </w:r>
            <w:r>
              <w:rPr/>
              <w:t> </w:t>
            </w:r>
            <w:r>
              <w:rPr>
                <w:rFonts w:ascii="Times New Roman" w:hAnsi="Times New Roman"/>
                <w:sz w:val="20"/>
              </w:rPr>
              <w:t>(filed as exhibit 10.60 to the Company’s report on Form 8-K filed on September 21, 2005, and incorporated herein by reference).</w:t>
            </w:r>
          </w:p>
        </w:tc>
      </w:tr>
    </w:tbl>
    <w:p>
      <w:pPr>
        <w:pStyle w:val="TextBody"/>
        <w:spacing w:lineRule="auto" w:line="300" w:before="0" w:after="0"/>
        <w:ind w:left="720" w:right="0" w:hanging="720"/>
        <w:jc w:val="both"/>
        <w:rPr/>
      </w:pPr>
      <w:r>
        <w:rPr/>
      </w:r>
    </w:p>
    <w:p>
      <w:pPr>
        <w:pStyle w:val="Normal"/>
        <w:spacing w:before="0" w:after="0"/>
        <w:rPr>
          <w:sz w:val="4"/>
          <w:szCs w:val="4"/>
        </w:rPr>
      </w:pPr>
      <w:r>
        <w:rPr>
          <w:sz w:val="4"/>
          <w:szCs w:val="4"/>
        </w:rPr>
      </w:r>
      <w:bookmarkStart w:id="4993" w:name="hangingindent385"/>
      <w:bookmarkStart w:id="4994" w:name="hangingindent385"/>
      <w:bookmarkEnd w:id="4994"/>
    </w:p>
    <w:tbl>
      <w:tblPr>
        <w:tblW w:w="5000" w:type="pct"/>
        <w:jc w:val="center"/>
        <w:tblInd w:w="0" w:type="dxa"/>
        <w:tblCellMar>
          <w:top w:w="0" w:type="dxa"/>
          <w:left w:w="0" w:type="dxa"/>
          <w:bottom w:w="0" w:type="dxa"/>
          <w:right w:w="0" w:type="dxa"/>
        </w:tblCellMar>
      </w:tblPr>
      <w:tblGrid>
        <w:gridCol w:w="484"/>
        <w:gridCol w:w="9721"/>
      </w:tblGrid>
      <w:tr>
        <w:trPr/>
        <w:tc>
          <w:tcPr>
            <w:tcW w:w="48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10.61</w:t>
            </w:r>
          </w:p>
        </w:tc>
        <w:tc>
          <w:tcPr>
            <w:tcW w:w="972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Promissory Note by Citadel Cinemas, Inc. in favor of Sutton Hill Capital L.L.C. dated September 14, 2004 (filed as exhibit 10.61 to the Company’s Annual Report on Form 10-K for the year ended December 31, 2005, and incorporated herein by reference).</w:t>
            </w:r>
          </w:p>
        </w:tc>
      </w:tr>
    </w:tbl>
    <w:p>
      <w:pPr>
        <w:pStyle w:val="TextBody"/>
        <w:spacing w:lineRule="auto" w:line="300" w:before="0" w:after="0"/>
        <w:ind w:left="720" w:right="0" w:hanging="720"/>
        <w:jc w:val="both"/>
        <w:rPr/>
      </w:pPr>
      <w:r>
        <w:rPr/>
      </w:r>
    </w:p>
    <w:p>
      <w:pPr>
        <w:pStyle w:val="Normal"/>
        <w:spacing w:before="0" w:after="0"/>
        <w:rPr>
          <w:sz w:val="4"/>
          <w:szCs w:val="4"/>
        </w:rPr>
      </w:pPr>
      <w:r>
        <w:rPr>
          <w:sz w:val="4"/>
          <w:szCs w:val="4"/>
        </w:rPr>
      </w:r>
      <w:bookmarkStart w:id="4995" w:name="hangingindent386"/>
      <w:bookmarkStart w:id="4996" w:name="hangingindent386"/>
      <w:bookmarkEnd w:id="4996"/>
    </w:p>
    <w:tbl>
      <w:tblPr>
        <w:tblW w:w="5000" w:type="pct"/>
        <w:jc w:val="center"/>
        <w:tblInd w:w="0" w:type="dxa"/>
        <w:tblCellMar>
          <w:top w:w="0" w:type="dxa"/>
          <w:left w:w="0" w:type="dxa"/>
          <w:bottom w:w="0" w:type="dxa"/>
          <w:right w:w="0" w:type="dxa"/>
        </w:tblCellMar>
      </w:tblPr>
      <w:tblGrid>
        <w:gridCol w:w="484"/>
        <w:gridCol w:w="9721"/>
      </w:tblGrid>
      <w:tr>
        <w:trPr/>
        <w:tc>
          <w:tcPr>
            <w:tcW w:w="48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10.62</w:t>
            </w:r>
          </w:p>
        </w:tc>
        <w:tc>
          <w:tcPr>
            <w:tcW w:w="972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Guaranty by Reading International, Inc. in favor of Sutton Hill Capital L.L.C. dated September 14, 2004 (filed as exhibit 10.61 to the Company’s Annual Report on Form 10-K for the year ended December 31, 2005, and incorporated herein by reference).</w:t>
            </w:r>
          </w:p>
        </w:tc>
      </w:tr>
    </w:tbl>
    <w:p>
      <w:pPr>
        <w:pStyle w:val="TextBody"/>
        <w:spacing w:lineRule="auto" w:line="300" w:before="0" w:after="0"/>
        <w:ind w:left="720" w:right="0" w:hanging="720"/>
        <w:jc w:val="both"/>
        <w:rPr/>
      </w:pPr>
      <w:r>
        <w:rPr/>
      </w:r>
    </w:p>
    <w:p>
      <w:pPr>
        <w:pStyle w:val="Normal"/>
        <w:spacing w:before="0" w:after="0"/>
        <w:rPr>
          <w:sz w:val="4"/>
          <w:szCs w:val="4"/>
        </w:rPr>
      </w:pPr>
      <w:r>
        <w:rPr>
          <w:sz w:val="4"/>
          <w:szCs w:val="4"/>
        </w:rPr>
      </w:r>
      <w:bookmarkStart w:id="4997" w:name="hangingindent387"/>
      <w:bookmarkStart w:id="4998" w:name="hangingindent387"/>
      <w:bookmarkEnd w:id="4998"/>
    </w:p>
    <w:tbl>
      <w:tblPr>
        <w:tblW w:w="5000" w:type="pct"/>
        <w:jc w:val="center"/>
        <w:tblInd w:w="0" w:type="dxa"/>
        <w:tblCellMar>
          <w:top w:w="0" w:type="dxa"/>
          <w:left w:w="0" w:type="dxa"/>
          <w:bottom w:w="0" w:type="dxa"/>
          <w:right w:w="0" w:type="dxa"/>
        </w:tblCellMar>
      </w:tblPr>
      <w:tblGrid>
        <w:gridCol w:w="484"/>
        <w:gridCol w:w="9721"/>
      </w:tblGrid>
      <w:tr>
        <w:trPr/>
        <w:tc>
          <w:tcPr>
            <w:tcW w:w="48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10.63</w:t>
            </w:r>
          </w:p>
        </w:tc>
        <w:tc>
          <w:tcPr>
            <w:tcW w:w="972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Purchase Agreement, dated February 5, 2007, among Reading International, Inc., Reading International Trust I, and Kodiak Warehouse JPM LLC (filed as Exhibit 10.1 to the Company’s report on Form 8-K dated February 5, 2007, and incorporated herein by reference).</w:t>
            </w:r>
          </w:p>
        </w:tc>
      </w:tr>
    </w:tbl>
    <w:p>
      <w:pPr>
        <w:pStyle w:val="TextBody"/>
        <w:spacing w:lineRule="auto" w:line="300" w:before="0" w:after="0"/>
        <w:ind w:left="720" w:right="0" w:hanging="720"/>
        <w:jc w:val="both"/>
        <w:rPr/>
      </w:pPr>
      <w:r>
        <w:rPr/>
      </w:r>
    </w:p>
    <w:p>
      <w:pPr>
        <w:pStyle w:val="Normal"/>
        <w:spacing w:before="0" w:after="0"/>
        <w:rPr>
          <w:sz w:val="4"/>
          <w:szCs w:val="4"/>
        </w:rPr>
      </w:pPr>
      <w:r>
        <w:rPr>
          <w:sz w:val="4"/>
          <w:szCs w:val="4"/>
        </w:rPr>
      </w:r>
      <w:bookmarkStart w:id="4999" w:name="hangingindent388"/>
      <w:bookmarkStart w:id="5000" w:name="hangingindent388"/>
      <w:bookmarkEnd w:id="5000"/>
    </w:p>
    <w:tbl>
      <w:tblPr>
        <w:tblW w:w="5000" w:type="pct"/>
        <w:jc w:val="center"/>
        <w:tblInd w:w="0" w:type="dxa"/>
        <w:tblCellMar>
          <w:top w:w="0" w:type="dxa"/>
          <w:left w:w="0" w:type="dxa"/>
          <w:bottom w:w="0" w:type="dxa"/>
          <w:right w:w="0" w:type="dxa"/>
        </w:tblCellMar>
      </w:tblPr>
      <w:tblGrid>
        <w:gridCol w:w="484"/>
        <w:gridCol w:w="9721"/>
      </w:tblGrid>
      <w:tr>
        <w:trPr/>
        <w:tc>
          <w:tcPr>
            <w:tcW w:w="48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10.64</w:t>
            </w:r>
          </w:p>
        </w:tc>
        <w:tc>
          <w:tcPr>
            <w:tcW w:w="972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Amended and Restated Declaration of Trust, dated February 5, 2007, among Reading International Inc., as sponsor, the Administrators named therein, and Wells Fargo Bank, N.A., as property trustee, and Wells Fargo Delaware Trust Company as Delaware trustee (filed as Exhibit 10.2 to the Company’s report on Form 8-K dated February 5, 2007, and incorporated herein by reference).</w:t>
            </w:r>
          </w:p>
        </w:tc>
      </w:tr>
    </w:tbl>
    <w:p>
      <w:pPr>
        <w:pStyle w:val="TextBody"/>
        <w:spacing w:lineRule="auto" w:line="300" w:before="0" w:after="0"/>
        <w:ind w:left="720" w:right="0" w:hanging="720"/>
        <w:jc w:val="both"/>
        <w:rPr/>
      </w:pPr>
      <w:r>
        <w:rPr/>
      </w:r>
    </w:p>
    <w:p>
      <w:pPr>
        <w:pStyle w:val="Normal"/>
        <w:spacing w:before="0" w:after="0"/>
        <w:rPr>
          <w:sz w:val="4"/>
          <w:szCs w:val="4"/>
        </w:rPr>
      </w:pPr>
      <w:r>
        <w:rPr>
          <w:sz w:val="4"/>
          <w:szCs w:val="4"/>
        </w:rPr>
      </w:r>
      <w:bookmarkStart w:id="5001" w:name="hangingindent389"/>
      <w:bookmarkStart w:id="5002" w:name="hangingindent389"/>
      <w:bookmarkEnd w:id="5002"/>
    </w:p>
    <w:tbl>
      <w:tblPr>
        <w:tblW w:w="5000" w:type="pct"/>
        <w:jc w:val="center"/>
        <w:tblInd w:w="0" w:type="dxa"/>
        <w:tblCellMar>
          <w:top w:w="0" w:type="dxa"/>
          <w:left w:w="0" w:type="dxa"/>
          <w:bottom w:w="0" w:type="dxa"/>
          <w:right w:w="0" w:type="dxa"/>
        </w:tblCellMar>
      </w:tblPr>
      <w:tblGrid>
        <w:gridCol w:w="484"/>
        <w:gridCol w:w="9721"/>
      </w:tblGrid>
      <w:tr>
        <w:trPr/>
        <w:tc>
          <w:tcPr>
            <w:tcW w:w="48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10.65</w:t>
            </w:r>
          </w:p>
        </w:tc>
        <w:tc>
          <w:tcPr>
            <w:tcW w:w="972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Indenture among Reading International, Inc., Reading New Zealand Limited, and Wells Fargo Bank, N.A., as indenture trustee (filed as Exhibit 10.4 to the Company’s report on Form 8-K dated February 5, 2007, and incorporated herein by reference).</w:t>
            </w:r>
          </w:p>
        </w:tc>
      </w:tr>
    </w:tbl>
    <w:p>
      <w:pPr>
        <w:pStyle w:val="TextBody"/>
        <w:spacing w:lineRule="auto" w:line="300" w:before="0" w:after="0"/>
        <w:ind w:left="720" w:right="0" w:hanging="720"/>
        <w:jc w:val="both"/>
        <w:rPr/>
      </w:pPr>
      <w:r>
        <w:rPr/>
      </w:r>
    </w:p>
    <w:p>
      <w:pPr>
        <w:pStyle w:val="Normal"/>
        <w:spacing w:before="0" w:after="0"/>
        <w:rPr>
          <w:sz w:val="4"/>
          <w:szCs w:val="4"/>
        </w:rPr>
      </w:pPr>
      <w:r>
        <w:rPr>
          <w:sz w:val="4"/>
          <w:szCs w:val="4"/>
        </w:rPr>
      </w:r>
      <w:bookmarkStart w:id="5003" w:name="hangingindent390"/>
      <w:bookmarkStart w:id="5004" w:name="hangingindent390"/>
      <w:bookmarkEnd w:id="5004"/>
    </w:p>
    <w:tbl>
      <w:tblPr>
        <w:tblW w:w="5000" w:type="pct"/>
        <w:jc w:val="center"/>
        <w:tblInd w:w="0" w:type="dxa"/>
        <w:tblCellMar>
          <w:top w:w="0" w:type="dxa"/>
          <w:left w:w="0" w:type="dxa"/>
          <w:bottom w:w="0" w:type="dxa"/>
          <w:right w:w="0" w:type="dxa"/>
        </w:tblCellMar>
      </w:tblPr>
      <w:tblGrid>
        <w:gridCol w:w="730"/>
        <w:gridCol w:w="9475"/>
      </w:tblGrid>
      <w:tr>
        <w:trPr/>
        <w:tc>
          <w:tcPr>
            <w:tcW w:w="73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10.66*</w:t>
            </w:r>
          </w:p>
        </w:tc>
        <w:tc>
          <w:tcPr>
            <w:tcW w:w="947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Employment Agreement between Reading International, Inc. and John Hunter (filed herewith).</w:t>
            </w:r>
          </w:p>
        </w:tc>
      </w:tr>
    </w:tbl>
    <w:p>
      <w:pPr>
        <w:pStyle w:val="TextBody"/>
        <w:spacing w:lineRule="auto" w:line="300" w:before="0" w:after="0"/>
        <w:ind w:left="720" w:right="0" w:hanging="1980"/>
        <w:jc w:val="both"/>
        <w:rPr/>
      </w:pPr>
      <w:r>
        <w:rPr/>
        <w:t> </w:t>
      </w:r>
    </w:p>
    <w:p>
      <w:pPr>
        <w:pStyle w:val="Normal"/>
        <w:spacing w:before="0" w:after="0"/>
        <w:ind w:left="0" w:right="0" w:hanging="0"/>
        <w:rPr>
          <w:sz w:val="4"/>
          <w:szCs w:val="4"/>
        </w:rPr>
      </w:pPr>
      <w:r>
        <w:rPr>
          <w:sz w:val="4"/>
          <w:szCs w:val="4"/>
        </w:rPr>
      </w:r>
      <w:bookmarkStart w:id="5005" w:name="hangingindent391"/>
      <w:bookmarkStart w:id="5006" w:name="hangingindent391"/>
      <w:bookmarkEnd w:id="5006"/>
    </w:p>
    <w:tbl>
      <w:tblPr>
        <w:tblW w:w="5000" w:type="pct"/>
        <w:jc w:val="center"/>
        <w:tblInd w:w="0" w:type="dxa"/>
        <w:tblCellMar>
          <w:top w:w="0" w:type="dxa"/>
          <w:left w:w="0" w:type="dxa"/>
          <w:bottom w:w="0" w:type="dxa"/>
          <w:right w:w="0" w:type="dxa"/>
        </w:tblCellMar>
      </w:tblPr>
      <w:tblGrid>
        <w:gridCol w:w="746"/>
        <w:gridCol w:w="9459"/>
      </w:tblGrid>
      <w:tr>
        <w:trPr/>
        <w:tc>
          <w:tcPr>
            <w:tcW w:w="746"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21</w:t>
            </w:r>
          </w:p>
        </w:tc>
        <w:tc>
          <w:tcPr>
            <w:tcW w:w="9459"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List of Subsidiaries (filed herewith).</w:t>
            </w:r>
          </w:p>
        </w:tc>
      </w:tr>
    </w:tbl>
    <w:p>
      <w:pPr>
        <w:pStyle w:val="TextBody"/>
        <w:spacing w:lineRule="auto" w:line="300" w:before="0" w:after="0"/>
        <w:ind w:left="0" w:right="0" w:hanging="0"/>
        <w:jc w:val="left"/>
        <w:rPr/>
      </w:pPr>
      <w:r>
        <w:rPr/>
      </w:r>
    </w:p>
    <w:p>
      <w:pPr>
        <w:pStyle w:val="Normal"/>
        <w:spacing w:lineRule="auto" w:line="300" w:before="0" w:after="0"/>
        <w:jc w:val="left"/>
        <w:rPr>
          <w:sz w:val="4"/>
          <w:szCs w:val="4"/>
        </w:rPr>
      </w:pPr>
      <w:r>
        <w:rPr>
          <w:sz w:val="4"/>
          <w:szCs w:val="4"/>
        </w:rPr>
      </w:r>
      <w:bookmarkStart w:id="5007" w:name="hangingindent392"/>
      <w:bookmarkStart w:id="5008" w:name="hangingindent392"/>
      <w:bookmarkEnd w:id="5008"/>
    </w:p>
    <w:tbl>
      <w:tblPr>
        <w:tblW w:w="5000" w:type="pct"/>
        <w:jc w:val="center"/>
        <w:tblInd w:w="0" w:type="dxa"/>
        <w:tblCellMar>
          <w:top w:w="0" w:type="dxa"/>
          <w:left w:w="0" w:type="dxa"/>
          <w:bottom w:w="0" w:type="dxa"/>
          <w:right w:w="0" w:type="dxa"/>
        </w:tblCellMar>
      </w:tblPr>
      <w:tblGrid>
        <w:gridCol w:w="547"/>
        <w:gridCol w:w="9658"/>
      </w:tblGrid>
      <w:tr>
        <w:trPr/>
        <w:tc>
          <w:tcPr>
            <w:tcW w:w="547"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23</w:t>
            </w:r>
          </w:p>
        </w:tc>
        <w:tc>
          <w:tcPr>
            <w:tcW w:w="9658"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Consent of Independent Auditors (filed herewith).</w:t>
            </w:r>
          </w:p>
        </w:tc>
      </w:tr>
    </w:tbl>
    <w:p>
      <w:pPr>
        <w:pStyle w:val="TextBody"/>
        <w:spacing w:lineRule="auto" w:line="300" w:before="0" w:after="0"/>
        <w:ind w:left="1440" w:right="0" w:hanging="0"/>
        <w:jc w:val="both"/>
        <w:rPr/>
      </w:pPr>
      <w:r>
        <w:rPr/>
      </w:r>
    </w:p>
    <w:p>
      <w:pPr>
        <w:pStyle w:val="Normal"/>
        <w:spacing w:before="0" w:after="0"/>
        <w:rPr>
          <w:sz w:val="4"/>
          <w:szCs w:val="4"/>
        </w:rPr>
      </w:pPr>
      <w:r>
        <w:rPr>
          <w:sz w:val="4"/>
          <w:szCs w:val="4"/>
        </w:rPr>
      </w:r>
      <w:bookmarkStart w:id="5009" w:name="hangingindent393"/>
      <w:bookmarkStart w:id="5010" w:name="hangingindent393"/>
      <w:bookmarkEnd w:id="5010"/>
    </w:p>
    <w:tbl>
      <w:tblPr>
        <w:tblW w:w="5000" w:type="pct"/>
        <w:jc w:val="center"/>
        <w:tblInd w:w="0" w:type="dxa"/>
        <w:tblCellMar>
          <w:top w:w="0" w:type="dxa"/>
          <w:left w:w="0" w:type="dxa"/>
          <w:bottom w:w="0" w:type="dxa"/>
          <w:right w:w="0" w:type="dxa"/>
        </w:tblCellMar>
      </w:tblPr>
      <w:tblGrid>
        <w:gridCol w:w="379"/>
        <w:gridCol w:w="9826"/>
      </w:tblGrid>
      <w:tr>
        <w:trPr/>
        <w:tc>
          <w:tcPr>
            <w:tcW w:w="379"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31.1</w:t>
            </w:r>
          </w:p>
        </w:tc>
        <w:tc>
          <w:tcPr>
            <w:tcW w:w="9826"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Certification of Principal Executive Officer dated March 28, 2007 pursuant to Section 302 of the Sarbanes-Oxley Act of 2002 (filed herewith).</w:t>
            </w:r>
          </w:p>
        </w:tc>
      </w:tr>
    </w:tbl>
    <w:p>
      <w:pPr>
        <w:pStyle w:val="TextBody"/>
        <w:spacing w:lineRule="auto" w:line="300" w:before="0" w:after="0"/>
        <w:ind w:left="720" w:right="0" w:hanging="720"/>
        <w:jc w:val="left"/>
        <w:rPr/>
      </w:pPr>
      <w:r>
        <w:rPr/>
      </w:r>
    </w:p>
    <w:p>
      <w:pPr>
        <w:pStyle w:val="Normal"/>
        <w:spacing w:before="0" w:after="0"/>
        <w:rPr>
          <w:sz w:val="4"/>
          <w:szCs w:val="4"/>
        </w:rPr>
      </w:pPr>
      <w:r>
        <w:rPr>
          <w:sz w:val="4"/>
          <w:szCs w:val="4"/>
        </w:rPr>
      </w:r>
      <w:bookmarkStart w:id="5011" w:name="hangingindent394"/>
      <w:bookmarkStart w:id="5012" w:name="hangingindent394"/>
      <w:bookmarkEnd w:id="5012"/>
    </w:p>
    <w:tbl>
      <w:tblPr>
        <w:tblW w:w="5000" w:type="pct"/>
        <w:jc w:val="center"/>
        <w:tblInd w:w="0" w:type="dxa"/>
        <w:tblCellMar>
          <w:top w:w="0" w:type="dxa"/>
          <w:left w:w="0" w:type="dxa"/>
          <w:bottom w:w="0" w:type="dxa"/>
          <w:right w:w="0" w:type="dxa"/>
        </w:tblCellMar>
      </w:tblPr>
      <w:tblGrid>
        <w:gridCol w:w="379"/>
        <w:gridCol w:w="9826"/>
      </w:tblGrid>
      <w:tr>
        <w:trPr/>
        <w:tc>
          <w:tcPr>
            <w:tcW w:w="379"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31.2</w:t>
            </w:r>
          </w:p>
        </w:tc>
        <w:tc>
          <w:tcPr>
            <w:tcW w:w="9826"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Certification of Principal Financial Officer dated March 28, 2007 pursuant to Section 302 of the Sarbanes-Oxley Act of 2002 (filed herewith).</w:t>
            </w:r>
          </w:p>
        </w:tc>
      </w:tr>
    </w:tbl>
    <w:p>
      <w:pPr>
        <w:pStyle w:val="TextBody"/>
        <w:spacing w:lineRule="auto" w:line="300" w:before="0" w:after="0"/>
        <w:ind w:left="0" w:right="0" w:hanging="0"/>
        <w:jc w:val="left"/>
        <w:rPr/>
      </w:pPr>
      <w:r>
        <w:rPr/>
      </w:r>
    </w:p>
    <w:p>
      <w:pPr>
        <w:pStyle w:val="Normal"/>
        <w:spacing w:before="0" w:after="0"/>
        <w:rPr>
          <w:sz w:val="4"/>
          <w:szCs w:val="4"/>
        </w:rPr>
      </w:pPr>
      <w:r>
        <w:rPr>
          <w:sz w:val="4"/>
          <w:szCs w:val="4"/>
        </w:rPr>
      </w:r>
      <w:bookmarkStart w:id="5013" w:name="hangingindent395"/>
      <w:bookmarkStart w:id="5014" w:name="hangingindent395"/>
      <w:bookmarkEnd w:id="5014"/>
    </w:p>
    <w:tbl>
      <w:tblPr>
        <w:tblW w:w="5000" w:type="pct"/>
        <w:jc w:val="center"/>
        <w:tblInd w:w="0" w:type="dxa"/>
        <w:tblCellMar>
          <w:top w:w="0" w:type="dxa"/>
          <w:left w:w="0" w:type="dxa"/>
          <w:bottom w:w="0" w:type="dxa"/>
          <w:right w:w="0" w:type="dxa"/>
        </w:tblCellMar>
      </w:tblPr>
      <w:tblGrid>
        <w:gridCol w:w="379"/>
        <w:gridCol w:w="9826"/>
      </w:tblGrid>
      <w:tr>
        <w:trPr/>
        <w:tc>
          <w:tcPr>
            <w:tcW w:w="379"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32.1</w:t>
            </w:r>
          </w:p>
        </w:tc>
        <w:tc>
          <w:tcPr>
            <w:tcW w:w="9826"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Certification of Principal Executive Officer dated March 28, 2007 pursuant to 18 U.S.C. Section 1350, as adopted pursuant to Section 906 of the Sarbanes-Oxley Act of 2002 (filed herewith).</w:t>
            </w:r>
          </w:p>
        </w:tc>
      </w:tr>
    </w:tbl>
    <w:p>
      <w:pPr>
        <w:pStyle w:val="TextBody"/>
        <w:spacing w:lineRule="auto" w:line="300" w:before="0" w:after="0"/>
        <w:ind w:left="720" w:right="0" w:hanging="720"/>
        <w:jc w:val="left"/>
        <w:rPr/>
      </w:pPr>
      <w:r>
        <w:rPr/>
      </w:r>
    </w:p>
    <w:p>
      <w:pPr>
        <w:pStyle w:val="Normal"/>
        <w:spacing w:before="0" w:after="0"/>
        <w:rPr>
          <w:sz w:val="4"/>
          <w:szCs w:val="4"/>
        </w:rPr>
      </w:pPr>
      <w:r>
        <w:rPr>
          <w:sz w:val="4"/>
          <w:szCs w:val="4"/>
        </w:rPr>
      </w:r>
      <w:bookmarkStart w:id="5015" w:name="hangingindent396"/>
      <w:bookmarkStart w:id="5016" w:name="hangingindent396"/>
      <w:bookmarkEnd w:id="5016"/>
    </w:p>
    <w:tbl>
      <w:tblPr>
        <w:tblW w:w="5000" w:type="pct"/>
        <w:jc w:val="center"/>
        <w:tblInd w:w="0" w:type="dxa"/>
        <w:tblCellMar>
          <w:top w:w="0" w:type="dxa"/>
          <w:left w:w="0" w:type="dxa"/>
          <w:bottom w:w="0" w:type="dxa"/>
          <w:right w:w="0" w:type="dxa"/>
        </w:tblCellMar>
      </w:tblPr>
      <w:tblGrid>
        <w:gridCol w:w="379"/>
        <w:gridCol w:w="9826"/>
      </w:tblGrid>
      <w:tr>
        <w:trPr/>
        <w:tc>
          <w:tcPr>
            <w:tcW w:w="379"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32.2</w:t>
            </w:r>
          </w:p>
        </w:tc>
        <w:tc>
          <w:tcPr>
            <w:tcW w:w="9826"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Certification of Principal Financial Officer dated March 28, 2007 pursuant to 18 U.S.C. Section 1350, as adopted pursuant to Section 906 of the Sarbanes-Oxley Act of 2002 (filed herewith).</w:t>
            </w:r>
          </w:p>
        </w:tc>
      </w:tr>
    </w:tbl>
    <w:p>
      <w:pPr>
        <w:pStyle w:val="TextBody"/>
        <w:spacing w:lineRule="auto" w:line="300" w:before="0" w:after="0"/>
        <w:ind w:left="720" w:right="0" w:hanging="720"/>
        <w:jc w:val="left"/>
        <w:rPr/>
      </w:pPr>
      <w:r>
        <w:rPr/>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*These exhibits constitute the executive compensation plans and arrangements of the Company.</w:t>
      </w:r>
    </w:p>
    <w:p>
      <w:pPr>
        <w:pStyle w:val="TextBody"/>
        <w:spacing w:lineRule="auto" w:line="300" w:before="0" w:after="0"/>
        <w:ind w:left="0" w:right="0" w:hanging="0"/>
        <w:jc w:val="left"/>
        <w:rPr/>
      </w:pPr>
      <w:r>
        <w:rPr/>
      </w:r>
    </w:p>
    <w:p>
      <w:pPr>
        <w:pStyle w:val="Normal"/>
        <w:spacing w:before="0" w:after="0"/>
        <w:rPr>
          <w:sz w:val="4"/>
          <w:szCs w:val="4"/>
        </w:rPr>
      </w:pPr>
      <w:r>
        <w:rPr>
          <w:sz w:val="4"/>
          <w:szCs w:val="4"/>
        </w:rPr>
      </w:r>
      <w:bookmarkStart w:id="5017" w:name="hangingindent397"/>
      <w:bookmarkStart w:id="5018" w:name="hangingindent397"/>
      <w:bookmarkEnd w:id="5018"/>
    </w:p>
    <w:tbl>
      <w:tblPr>
        <w:tblW w:w="5000" w:type="pct"/>
        <w:jc w:val="center"/>
        <w:tblInd w:w="0" w:type="dxa"/>
        <w:tblCellMar>
          <w:top w:w="0" w:type="dxa"/>
          <w:left w:w="0" w:type="dxa"/>
          <w:bottom w:w="0" w:type="dxa"/>
          <w:right w:w="0" w:type="dxa"/>
        </w:tblCellMar>
      </w:tblPr>
      <w:tblGrid>
        <w:gridCol w:w="589"/>
        <w:gridCol w:w="9616"/>
      </w:tblGrid>
      <w:tr>
        <w:trPr/>
        <w:tc>
          <w:tcPr>
            <w:tcW w:w="589"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(b)</w:t>
            </w:r>
          </w:p>
        </w:tc>
        <w:tc>
          <w:tcPr>
            <w:tcW w:w="9616" w:type="dxa"/>
            <w:tcBorders/>
            <w:shd w:fill="auto" w:val="clear"/>
          </w:tcPr>
          <w:p>
            <w:pPr>
              <w:pStyle w:val="TableContents"/>
              <w:spacing w:before="0" w:after="0"/>
              <w:ind w:left="0" w:right="0" w:hanging="0"/>
              <w:jc w:val="left"/>
              <w:rPr/>
            </w:pPr>
            <w:r>
              <w:rPr>
                <w:rStyle w:val="Emphasis"/>
                <w:rFonts w:ascii="Times New Roman" w:hAnsi="Times New Roman"/>
                <w:sz w:val="20"/>
              </w:rPr>
              <w:t>Exhibits Required by Item 601 of Regulation S-K</w:t>
            </w:r>
          </w:p>
        </w:tc>
      </w:tr>
    </w:tbl>
    <w:p>
      <w:pPr>
        <w:pStyle w:val="TextBody"/>
        <w:spacing w:lineRule="auto" w:line="300" w:before="0" w:after="0"/>
        <w:ind w:left="0" w:right="0" w:hanging="0"/>
        <w:jc w:val="left"/>
        <w:rPr/>
      </w:pPr>
      <w:r>
        <w:rPr/>
      </w:r>
    </w:p>
    <w:p>
      <w:pPr>
        <w:pStyle w:val="TextBody"/>
        <w:spacing w:lineRule="auto" w:line="300" w:before="0" w:after="0"/>
        <w:ind w:left="0" w:right="0" w:firstLine="720"/>
        <w:jc w:val="left"/>
        <w:rPr>
          <w:rFonts w:ascii="Times New Roman" w:hAnsi="Times New Roman"/>
          <w:sz w:val="20"/>
        </w:rPr>
      </w:pPr>
      <w:r>
        <w:rPr>
          <w:rFonts w:ascii="Times New Roman" w:hAnsi="Times New Roman"/>
          <w:sz w:val="20"/>
        </w:rPr>
        <w:t>See Item (3) above.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019" w:name="PGBRK139"/>
      <w:bookmarkStart w:id="5020" w:name="PGBRK139"/>
      <w:bookmarkEnd w:id="502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021" w:name="FTR139"/>
      <w:bookmarkStart w:id="5022" w:name="FTR139"/>
      <w:bookmarkEnd w:id="502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023" w:name="GLFTR139"/>
      <w:bookmarkStart w:id="5024" w:name="GLFTR139"/>
      <w:bookmarkEnd w:id="502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5025" w:name="PN139"/>
      <w:bookmarkEnd w:id="5025"/>
      <w:r>
        <w:rPr>
          <w:rFonts w:ascii="Times New Roman" w:hAnsi="Times New Roman"/>
          <w:sz w:val="16"/>
        </w:rPr>
        <w:t>-139-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026" w:name="HDR139"/>
      <w:bookmarkStart w:id="5027" w:name="HDR139"/>
      <w:bookmarkEnd w:id="502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5028" w:name="GLHDR139"/>
        <w:bookmarkEnd w:id="5028"/>
        <w:r>
          <w:rPr>
            <w:rStyle w:val="Emphasis"/>
            <w:rFonts w:ascii="Times New Roman" w:hAnsi="Times New Roman"/>
            <w:color w:val="000000"/>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pStyle w:val="Normal"/>
        <w:spacing w:before="0" w:after="0"/>
        <w:rPr>
          <w:sz w:val="4"/>
          <w:szCs w:val="4"/>
        </w:rPr>
      </w:pPr>
      <w:r>
        <w:rPr>
          <w:sz w:val="4"/>
          <w:szCs w:val="4"/>
        </w:rPr>
      </w:r>
      <w:bookmarkStart w:id="5029" w:name="hangingindent398"/>
      <w:bookmarkStart w:id="5030" w:name="hangingindent398"/>
      <w:bookmarkEnd w:id="5030"/>
    </w:p>
    <w:tbl>
      <w:tblPr>
        <w:tblW w:w="5000" w:type="pct"/>
        <w:jc w:val="center"/>
        <w:tblInd w:w="0" w:type="dxa"/>
        <w:tblCellMar>
          <w:top w:w="0" w:type="dxa"/>
          <w:left w:w="0" w:type="dxa"/>
          <w:bottom w:w="0" w:type="dxa"/>
          <w:right w:w="0" w:type="dxa"/>
        </w:tblCellMar>
      </w:tblPr>
      <w:tblGrid>
        <w:gridCol w:w="866"/>
        <w:gridCol w:w="9339"/>
      </w:tblGrid>
      <w:tr>
        <w:trPr/>
        <w:tc>
          <w:tcPr>
            <w:tcW w:w="866"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(c)</w:t>
            </w:r>
          </w:p>
        </w:tc>
        <w:tc>
          <w:tcPr>
            <w:tcW w:w="9339" w:type="dxa"/>
            <w:tcBorders/>
            <w:shd w:fill="auto" w:val="clear"/>
          </w:tcPr>
          <w:p>
            <w:pPr>
              <w:pStyle w:val="TableContents"/>
              <w:spacing w:before="0" w:after="0"/>
              <w:ind w:left="0" w:right="0" w:hanging="0"/>
              <w:jc w:val="left"/>
              <w:rPr/>
            </w:pPr>
            <w:r>
              <w:rPr>
                <w:rStyle w:val="Emphasis"/>
                <w:rFonts w:ascii="Times New Roman" w:hAnsi="Times New Roman"/>
                <w:sz w:val="20"/>
              </w:rPr>
              <w:t>Financial Statement Schedule</w:t>
            </w:r>
          </w:p>
        </w:tc>
      </w:tr>
    </w:tbl>
    <w:p>
      <w:pPr>
        <w:pStyle w:val="TextBody"/>
        <w:spacing w:lineRule="auto" w:line="300" w:before="0" w:after="0"/>
        <w:ind w:left="360" w:right="0" w:hanging="0"/>
        <w:jc w:val="left"/>
        <w:rPr/>
      </w:pPr>
      <w:r>
        <w:rPr/>
      </w:r>
    </w:p>
    <w:p>
      <w:pPr>
        <w:pStyle w:val="TextBody"/>
        <w:spacing w:lineRule="auto" w:line="300" w:before="0" w:after="0"/>
        <w:ind w:left="720" w:right="0" w:hanging="0"/>
        <w:jc w:val="left"/>
        <w:rPr>
          <w:rFonts w:ascii="Times New Roman" w:hAnsi="Times New Roman"/>
          <w:sz w:val="20"/>
        </w:rPr>
      </w:pPr>
      <w:r>
        <w:rPr>
          <w:rFonts w:ascii="Times New Roman" w:hAnsi="Times New Roman"/>
          <w:sz w:val="20"/>
        </w:rPr>
        <w:t>See Item (2) above.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031" w:name="PGBRK140"/>
      <w:bookmarkStart w:id="5032" w:name="PGBRK140"/>
      <w:bookmarkEnd w:id="50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033" w:name="FTR140"/>
      <w:bookmarkStart w:id="5034" w:name="FTR140"/>
      <w:bookmarkEnd w:id="503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035" w:name="GLFTR140"/>
      <w:bookmarkStart w:id="5036" w:name="GLFTR140"/>
      <w:bookmarkEnd w:id="503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5037" w:name="PN140"/>
      <w:bookmarkEnd w:id="5037"/>
      <w:r>
        <w:rPr>
          <w:rFonts w:ascii="Times New Roman" w:hAnsi="Times New Roman"/>
          <w:sz w:val="16"/>
        </w:rPr>
        <w:t>-140-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038" w:name="HDR140"/>
      <w:bookmarkStart w:id="5039" w:name="HDR140"/>
      <w:bookmarkEnd w:id="503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ableofcontents">
        <w:bookmarkStart w:id="5040" w:name="GLHDR140"/>
        <w:bookmarkEnd w:id="5040"/>
        <w:r>
          <w:rPr>
            <w:rStyle w:val="Emphasis"/>
            <w:rFonts w:ascii="Times New Roman" w:hAnsi="Times New Roman"/>
            <w:color w:val="000000"/>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pStyle w:val="TextBody"/>
        <w:spacing w:lineRule="auto" w:line="300" w:before="0" w:after="0"/>
        <w:ind w:left="0" w:right="0" w:hanging="0"/>
        <w:jc w:val="center"/>
        <w:rPr/>
      </w:pPr>
      <w:bookmarkStart w:id="5041" w:name="signatures"/>
      <w:bookmarkEnd w:id="5041"/>
      <w:r>
        <w:rPr>
          <w:rStyle w:val="StrongEmphasis"/>
          <w:rFonts w:ascii="Times New Roman" w:hAnsi="Times New Roman"/>
          <w:sz w:val="20"/>
          <w:u w:val="single"/>
        </w:rPr>
        <w:t>SIGNATURES</w:t>
      </w:r>
    </w:p>
    <w:p>
      <w:pPr>
        <w:pStyle w:val="TextBody"/>
        <w:spacing w:lineRule="auto" w:line="300" w:before="0" w:after="0"/>
        <w:ind w:left="0" w:right="0" w:hanging="0"/>
        <w:jc w:val="both"/>
        <w:rPr/>
      </w:pPr>
      <w:r>
        <w:rPr/>
        <w:t> </w:t>
      </w:r>
    </w:p>
    <w:p>
      <w:pPr>
        <w:pStyle w:val="TextBody"/>
        <w:spacing w:lineRule="auto" w:line="300" w:before="0" w:after="0"/>
        <w:ind w:left="0" w:right="0" w:hanging="0"/>
        <w:jc w:val="both"/>
        <w:rPr/>
      </w:pPr>
      <w:r>
        <w:rPr>
          <w:rStyle w:val="StrongEmphasis"/>
          <w:rFonts w:ascii="Times New Roman" w:hAnsi="Times New Roman"/>
          <w:sz w:val="20"/>
        </w:rPr>
        <w:t>Pursuant to the requirements of the Securities Exchange Act of 1934, the registrant has duly caused this report to be signed on its behalf by the undersigned thereunto duly authorized.</w:t>
      </w:r>
    </w:p>
    <w:p>
      <w:pPr>
        <w:pStyle w:val="TextBody"/>
        <w:spacing w:lineRule="auto" w:line="300" w:before="0" w:after="0"/>
        <w:ind w:left="0" w:right="0" w:hanging="0"/>
        <w:jc w:val="left"/>
        <w:rPr/>
      </w:pPr>
      <w:r>
        <w:rPr/>
        <w:t> </w:t>
      </w:r>
    </w:p>
    <w:p>
      <w:pPr>
        <w:pStyle w:val="TextBody"/>
        <w:spacing w:lineRule="auto" w:line="300" w:before="0" w:after="0"/>
        <w:ind w:left="0" w:right="0" w:hanging="0"/>
        <w:jc w:val="center"/>
        <w:rPr/>
      </w:pPr>
      <w:r>
        <w:rPr>
          <w:rStyle w:val="StrongEmphasis"/>
          <w:rFonts w:ascii="Times New Roman" w:hAnsi="Times New Roman"/>
          <w:sz w:val="20"/>
        </w:rPr>
        <w:t>READING INTERNATIONAL, INC.</w:t>
      </w:r>
    </w:p>
    <w:p>
      <w:pPr>
        <w:pStyle w:val="TextBody"/>
        <w:spacing w:lineRule="auto" w:line="300" w:before="0" w:after="0"/>
        <w:ind w:left="0" w:right="0" w:hanging="0"/>
        <w:jc w:val="left"/>
        <w:rPr/>
      </w:pPr>
      <w:r>
        <w:rPr/>
      </w:r>
    </w:p>
    <w:p>
      <w:pPr>
        <w:pStyle w:val="TextBody"/>
        <w:spacing w:lineRule="auto" w:line="300" w:before="0" w:after="0"/>
        <w:ind w:left="0" w:right="0" w:hanging="0"/>
        <w:jc w:val="center"/>
        <w:rPr>
          <w:rFonts w:ascii="Times New Roman" w:hAnsi="Times New Roman"/>
          <w:sz w:val="20"/>
        </w:rPr>
      </w:pPr>
      <w:r>
        <w:rPr>
          <w:rFonts w:ascii="Times New Roman" w:hAnsi="Times New Roman"/>
          <w:sz w:val="20"/>
        </w:rPr>
        <w:t>(Registrant)</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5173"/>
        <w:gridCol w:w="698"/>
        <w:gridCol w:w="4334"/>
      </w:tblGrid>
      <w:tr>
        <w:trPr/>
        <w:tc>
          <w:tcPr>
            <w:tcW w:w="5173" w:type="dxa"/>
            <w:tcBorders/>
            <w:shd w:fill="auto" w:val="cle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Date: March 28, 2007</w:t>
            </w:r>
          </w:p>
        </w:tc>
        <w:tc>
          <w:tcPr>
            <w:tcW w:w="698" w:type="dxa"/>
            <w:tcBorders/>
            <w:shd w:fill="auto" w:val="cle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By:</w:t>
            </w:r>
          </w:p>
        </w:tc>
        <w:tc>
          <w:tcPr>
            <w:tcW w:w="4334" w:type="dxa"/>
            <w:tcBorders>
              <w:bottom w:val="single" w:sz="2" w:space="0" w:color="000000"/>
            </w:tcBorders>
            <w:shd w:fill="auto" w:val="clear"/>
            <w:tcMar>
              <w:bottom w:w="28" w:type="dxa"/>
            </w:tcM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/s/ Andrzej Matyczynski</w:t>
            </w:r>
          </w:p>
        </w:tc>
      </w:tr>
      <w:tr>
        <w:trPr/>
        <w:tc>
          <w:tcPr>
            <w:tcW w:w="5173" w:type="dxa"/>
            <w:tcBorders/>
            <w:shd w:fill="auto" w:val="clear"/>
          </w:tcPr>
          <w:p>
            <w:pPr>
              <w:pStyle w:val="TableContents"/>
              <w:spacing w:before="0" w:after="283"/>
              <w:jc w:val="left"/>
              <w:rPr/>
            </w:pPr>
            <w:r>
              <w:rPr/>
              <w:t> </w:t>
            </w:r>
          </w:p>
        </w:tc>
        <w:tc>
          <w:tcPr>
            <w:tcW w:w="698" w:type="dxa"/>
            <w:tcBorders/>
            <w:shd w:fill="auto" w:val="clear"/>
          </w:tcPr>
          <w:p>
            <w:pPr>
              <w:pStyle w:val="TableContents"/>
              <w:spacing w:before="0" w:after="283"/>
              <w:jc w:val="left"/>
              <w:rPr/>
            </w:pPr>
            <w:r>
              <w:rPr/>
              <w:t> </w:t>
            </w:r>
          </w:p>
        </w:tc>
        <w:tc>
          <w:tcPr>
            <w:tcW w:w="4334" w:type="dxa"/>
            <w:tcBorders/>
            <w:shd w:fill="auto" w:val="cle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Andrzej Matyczynski</w:t>
            </w:r>
          </w:p>
        </w:tc>
      </w:tr>
      <w:tr>
        <w:trPr/>
        <w:tc>
          <w:tcPr>
            <w:tcW w:w="5173" w:type="dxa"/>
            <w:tcBorders/>
            <w:shd w:fill="auto" w:val="clear"/>
          </w:tcPr>
          <w:p>
            <w:pPr>
              <w:pStyle w:val="TableContents"/>
              <w:spacing w:before="0" w:after="283"/>
              <w:jc w:val="left"/>
              <w:rPr/>
            </w:pPr>
            <w:r>
              <w:rPr/>
              <w:t> </w:t>
            </w:r>
          </w:p>
        </w:tc>
        <w:tc>
          <w:tcPr>
            <w:tcW w:w="698" w:type="dxa"/>
            <w:tcBorders/>
            <w:shd w:fill="auto" w:val="clear"/>
          </w:tcPr>
          <w:p>
            <w:pPr>
              <w:pStyle w:val="TableContents"/>
              <w:spacing w:before="0" w:after="283"/>
              <w:jc w:val="left"/>
              <w:rPr/>
            </w:pPr>
            <w:r>
              <w:rPr/>
              <w:t> </w:t>
            </w:r>
          </w:p>
        </w:tc>
        <w:tc>
          <w:tcPr>
            <w:tcW w:w="4334" w:type="dxa"/>
            <w:tcBorders/>
            <w:shd w:fill="auto" w:val="clear"/>
          </w:tcPr>
          <w:p>
            <w:pPr>
              <w:pStyle w:val="TableContents"/>
              <w:spacing w:lineRule="auto" w:line="300" w:before="0" w:after="0"/>
              <w:ind w:left="0" w:right="0" w:hanging="0"/>
              <w:jc w:val="left"/>
              <w:rPr/>
            </w:pPr>
            <w:r>
              <w:rPr>
                <w:rStyle w:val="Emphasis"/>
                <w:rFonts w:ascii="Times New Roman" w:hAnsi="Times New Roman"/>
                <w:sz w:val="20"/>
              </w:rPr>
              <w:t>Chief Financial Officer and Treasurer</w:t>
            </w:r>
          </w:p>
        </w:tc>
      </w:tr>
      <w:tr>
        <w:trPr/>
        <w:tc>
          <w:tcPr>
            <w:tcW w:w="5173" w:type="dxa"/>
            <w:tcBorders/>
            <w:shd w:fill="auto" w:val="clear"/>
          </w:tcPr>
          <w:p>
            <w:pPr>
              <w:pStyle w:val="TableContents"/>
              <w:spacing w:before="0" w:after="283"/>
              <w:jc w:val="left"/>
              <w:rPr/>
            </w:pPr>
            <w:r>
              <w:rPr/>
              <w:t> </w:t>
            </w:r>
          </w:p>
        </w:tc>
        <w:tc>
          <w:tcPr>
            <w:tcW w:w="698" w:type="dxa"/>
            <w:tcBorders/>
            <w:shd w:fill="auto" w:val="clear"/>
          </w:tcPr>
          <w:p>
            <w:pPr>
              <w:pStyle w:val="TableContents"/>
              <w:spacing w:before="0" w:after="283"/>
              <w:jc w:val="left"/>
              <w:rPr/>
            </w:pPr>
            <w:r>
              <w:rPr/>
              <w:t> </w:t>
            </w:r>
          </w:p>
        </w:tc>
        <w:tc>
          <w:tcPr>
            <w:tcW w:w="4334" w:type="dxa"/>
            <w:tcBorders/>
            <w:shd w:fill="auto" w:val="clear"/>
          </w:tcPr>
          <w:p>
            <w:pPr>
              <w:pStyle w:val="TableContents"/>
              <w:spacing w:lineRule="auto" w:line="300" w:before="0" w:after="0"/>
              <w:ind w:left="0" w:right="0" w:hanging="0"/>
              <w:jc w:val="left"/>
              <w:rPr/>
            </w:pPr>
            <w:r>
              <w:rPr>
                <w:rStyle w:val="Emphasis"/>
                <w:rFonts w:ascii="Times New Roman" w:hAnsi="Times New Roman"/>
                <w:sz w:val="20"/>
              </w:rPr>
              <w:t>(Principal Financial and Accounting Officer)</w:t>
            </w:r>
          </w:p>
        </w:tc>
      </w:tr>
    </w:tbl>
    <w:p>
      <w:pPr>
        <w:pStyle w:val="TextBody"/>
        <w:spacing w:lineRule="auto" w:line="300" w:before="0" w:after="0"/>
        <w:ind w:left="0" w:right="0" w:hanging="0"/>
        <w:jc w:val="left"/>
        <w:rPr/>
      </w:pPr>
      <w:r>
        <w:rPr/>
      </w:r>
    </w:p>
    <w:p>
      <w:pPr>
        <w:pStyle w:val="TextBody"/>
        <w:spacing w:lineRule="auto" w:line="300" w:before="0" w:after="0"/>
        <w:ind w:left="0" w:right="0" w:hanging="0"/>
        <w:jc w:val="both"/>
        <w:rPr/>
      </w:pPr>
      <w:r>
        <w:rPr>
          <w:rStyle w:val="StrongEmphasis"/>
          <w:rFonts w:ascii="Times New Roman" w:hAnsi="Times New Roman"/>
          <w:sz w:val="20"/>
        </w:rPr>
        <w:t>Pursuant to the requirements of the Securities and Exchange Act of 1934, this report has been signed below by the following persons on behalf of Registrant and in the capacities and on the dates indicated.</w:t>
      </w:r>
    </w:p>
    <w:p>
      <w:pPr>
        <w:pStyle w:val="TextBody"/>
        <w:spacing w:lineRule="auto" w:line="300" w:before="0" w:after="0"/>
        <w:ind w:left="0" w:right="0" w:hanging="0"/>
        <w:jc w:val="left"/>
        <w:rPr/>
      </w:pPr>
      <w:r>
        <w:rPr/>
        <w:t> </w:t>
      </w:r>
    </w:p>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2222"/>
        <w:gridCol w:w="5888"/>
        <w:gridCol w:w="2095"/>
      </w:tblGrid>
      <w:tr>
        <w:trPr/>
        <w:tc>
          <w:tcPr>
            <w:tcW w:w="2222" w:type="dxa"/>
            <w:tcBorders>
              <w:bottom w:val="single" w:sz="2" w:space="0" w:color="000000"/>
            </w:tcBorders>
            <w:shd w:fill="auto" w:val="clear"/>
            <w:vAlign w:val="bottom"/>
          </w:tcPr>
          <w:p>
            <w:pPr>
              <w:pStyle w:val="TableContents"/>
              <w:spacing w:lineRule="auto" w:line="300" w:before="0" w:after="0"/>
              <w:ind w:left="0" w:right="0" w:hanging="0"/>
              <w:jc w:val="left"/>
              <w:rPr/>
            </w:pPr>
            <w:r>
              <w:rPr>
                <w:rStyle w:val="StrongEmphasis"/>
                <w:rFonts w:ascii="Times New Roman" w:hAnsi="Times New Roman"/>
                <w:sz w:val="20"/>
              </w:rPr>
              <w:t>Signature</w:t>
            </w:r>
          </w:p>
        </w:tc>
        <w:tc>
          <w:tcPr>
            <w:tcW w:w="5888" w:type="dxa"/>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Title(s)</w:t>
            </w:r>
          </w:p>
        </w:tc>
        <w:tc>
          <w:tcPr>
            <w:tcW w:w="2095" w:type="dxa"/>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Date</w:t>
            </w:r>
          </w:p>
        </w:tc>
      </w:tr>
      <w:tr>
        <w:trPr/>
        <w:tc>
          <w:tcPr>
            <w:tcW w:w="2222" w:type="dxa"/>
            <w:tcBorders/>
            <w:shd w:fill="auto" w:val="clear"/>
            <w:tcMar>
              <w:bottom w:w="0" w:type="dxa"/>
            </w:tcMar>
            <w:vAlign w:val="bottom"/>
          </w:tcPr>
          <w:p>
            <w:pPr>
              <w:pStyle w:val="TableContents"/>
              <w:spacing w:before="0" w:after="283"/>
              <w:jc w:val="left"/>
              <w:rPr/>
            </w:pPr>
            <w:r>
              <w:rPr/>
              <w:t> </w:t>
            </w:r>
          </w:p>
        </w:tc>
        <w:tc>
          <w:tcPr>
            <w:tcW w:w="5888" w:type="dxa"/>
            <w:tcBorders/>
            <w:shd w:fill="auto" w:val="clear"/>
            <w:tcMar>
              <w:bottom w:w="0" w:type="dxa"/>
            </w:tcMar>
            <w:vAlign w:val="bottom"/>
          </w:tcPr>
          <w:p>
            <w:pPr>
              <w:pStyle w:val="TableContents"/>
              <w:spacing w:before="0" w:after="283"/>
              <w:jc w:val="left"/>
              <w:rPr/>
            </w:pPr>
            <w:r>
              <w:rPr/>
              <w:t> </w:t>
            </w:r>
          </w:p>
        </w:tc>
        <w:tc>
          <w:tcPr>
            <w:tcW w:w="2095" w:type="dxa"/>
            <w:tcBorders/>
            <w:shd w:fill="auto" w:val="clear"/>
            <w:tcMar>
              <w:bottom w:w="0" w:type="dxa"/>
            </w:tcMar>
            <w:vAlign w:val="bottom"/>
          </w:tcPr>
          <w:p>
            <w:pPr>
              <w:pStyle w:val="TableContents"/>
              <w:spacing w:before="0" w:after="283"/>
              <w:rPr/>
            </w:pPr>
            <w:r>
              <w:rPr/>
              <w:t> </w:t>
            </w:r>
          </w:p>
        </w:tc>
      </w:tr>
      <w:tr>
        <w:trPr/>
        <w:tc>
          <w:tcPr>
            <w:tcW w:w="2222" w:type="dxa"/>
            <w:tcBorders>
              <w:bottom w:val="single" w:sz="2" w:space="0" w:color="000000"/>
            </w:tcBorders>
            <w:shd w:fill="auto"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/s/ James J. Cotter</w:t>
            </w:r>
          </w:p>
        </w:tc>
        <w:tc>
          <w:tcPr>
            <w:tcW w:w="5888" w:type="dxa"/>
            <w:tcBorders/>
            <w:shd w:fill="auto"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Chairman of the Board and Director and Chief Executive Officer</w:t>
            </w:r>
          </w:p>
        </w:tc>
        <w:tc>
          <w:tcPr>
            <w:tcW w:w="2095" w:type="dxa"/>
            <w:tcBorders/>
            <w:shd w:fill="auto" w:val="clear"/>
            <w:tcMar>
              <w:bottom w:w="0" w:type="dxa"/>
            </w:tcM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March 28, 2007</w:t>
            </w:r>
          </w:p>
        </w:tc>
      </w:tr>
      <w:tr>
        <w:trPr/>
        <w:tc>
          <w:tcPr>
            <w:tcW w:w="2222" w:type="dxa"/>
            <w:tcBorders/>
            <w:shd w:fill="auto"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James J. Cotter</w:t>
            </w:r>
          </w:p>
        </w:tc>
        <w:tc>
          <w:tcPr>
            <w:tcW w:w="5888" w:type="dxa"/>
            <w:tcBorders/>
            <w:shd w:fill="auto" w:val="clear"/>
            <w:tcMar>
              <w:bottom w:w="0" w:type="dxa"/>
            </w:tcMar>
            <w:vAlign w:val="bottom"/>
          </w:tcPr>
          <w:p>
            <w:pPr>
              <w:pStyle w:val="TableContents"/>
              <w:spacing w:before="0" w:after="283"/>
              <w:jc w:val="left"/>
              <w:rPr/>
            </w:pPr>
            <w:r>
              <w:rPr/>
              <w:t> </w:t>
            </w:r>
          </w:p>
        </w:tc>
        <w:tc>
          <w:tcPr>
            <w:tcW w:w="2095" w:type="dxa"/>
            <w:tcBorders/>
            <w:shd w:fill="auto" w:val="clear"/>
            <w:tcMar>
              <w:bottom w:w="0" w:type="dxa"/>
            </w:tcMar>
            <w:vAlign w:val="bottom"/>
          </w:tcPr>
          <w:p>
            <w:pPr>
              <w:pStyle w:val="TableContents"/>
              <w:spacing w:before="0" w:after="283"/>
              <w:rPr/>
            </w:pPr>
            <w:r>
              <w:rPr/>
              <w:t> </w:t>
            </w:r>
          </w:p>
        </w:tc>
      </w:tr>
      <w:tr>
        <w:trPr/>
        <w:tc>
          <w:tcPr>
            <w:tcW w:w="2222" w:type="dxa"/>
            <w:tcBorders/>
            <w:shd w:fill="auto" w:val="clear"/>
            <w:tcMar>
              <w:bottom w:w="0" w:type="dxa"/>
            </w:tcMar>
            <w:vAlign w:val="bottom"/>
          </w:tcPr>
          <w:p>
            <w:pPr>
              <w:pStyle w:val="TableContents"/>
              <w:spacing w:before="0" w:after="283"/>
              <w:jc w:val="left"/>
              <w:rPr/>
            </w:pPr>
            <w:r>
              <w:rPr/>
              <w:t> </w:t>
            </w:r>
          </w:p>
        </w:tc>
        <w:tc>
          <w:tcPr>
            <w:tcW w:w="5888" w:type="dxa"/>
            <w:tcBorders/>
            <w:shd w:fill="auto" w:val="clear"/>
            <w:tcMar>
              <w:bottom w:w="0" w:type="dxa"/>
            </w:tcMar>
            <w:vAlign w:val="bottom"/>
          </w:tcPr>
          <w:p>
            <w:pPr>
              <w:pStyle w:val="TableContents"/>
              <w:spacing w:before="0" w:after="283"/>
              <w:jc w:val="left"/>
              <w:rPr/>
            </w:pPr>
            <w:r>
              <w:rPr/>
              <w:t> </w:t>
            </w:r>
          </w:p>
        </w:tc>
        <w:tc>
          <w:tcPr>
            <w:tcW w:w="2095" w:type="dxa"/>
            <w:tcBorders/>
            <w:shd w:fill="auto" w:val="clear"/>
            <w:tcMar>
              <w:bottom w:w="0" w:type="dxa"/>
            </w:tcMar>
            <w:vAlign w:val="bottom"/>
          </w:tcPr>
          <w:p>
            <w:pPr>
              <w:pStyle w:val="TableContents"/>
              <w:spacing w:before="0" w:after="283"/>
              <w:rPr/>
            </w:pPr>
            <w:r>
              <w:rPr/>
              <w:t> </w:t>
            </w:r>
          </w:p>
        </w:tc>
      </w:tr>
      <w:tr>
        <w:trPr/>
        <w:tc>
          <w:tcPr>
            <w:tcW w:w="2222" w:type="dxa"/>
            <w:tcBorders>
              <w:bottom w:val="single" w:sz="2" w:space="0" w:color="000000"/>
            </w:tcBorders>
            <w:shd w:fill="auto"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/s/ Eric Barr</w:t>
            </w:r>
          </w:p>
        </w:tc>
        <w:tc>
          <w:tcPr>
            <w:tcW w:w="5888" w:type="dxa"/>
            <w:tcBorders/>
            <w:shd w:fill="auto"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Director</w:t>
            </w:r>
          </w:p>
        </w:tc>
        <w:tc>
          <w:tcPr>
            <w:tcW w:w="2095" w:type="dxa"/>
            <w:tcBorders/>
            <w:shd w:fill="auto" w:val="clear"/>
            <w:tcMar>
              <w:bottom w:w="0" w:type="dxa"/>
            </w:tcM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March 28, 2007</w:t>
            </w:r>
          </w:p>
        </w:tc>
      </w:tr>
      <w:tr>
        <w:trPr/>
        <w:tc>
          <w:tcPr>
            <w:tcW w:w="2222" w:type="dxa"/>
            <w:tcBorders/>
            <w:shd w:fill="auto"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Eric Barr</w:t>
            </w:r>
          </w:p>
        </w:tc>
        <w:tc>
          <w:tcPr>
            <w:tcW w:w="5888" w:type="dxa"/>
            <w:tcBorders/>
            <w:shd w:fill="auto" w:val="clear"/>
            <w:tcMar>
              <w:bottom w:w="0" w:type="dxa"/>
            </w:tcMar>
            <w:vAlign w:val="bottom"/>
          </w:tcPr>
          <w:p>
            <w:pPr>
              <w:pStyle w:val="TableContents"/>
              <w:spacing w:before="0" w:after="283"/>
              <w:jc w:val="left"/>
              <w:rPr/>
            </w:pPr>
            <w:r>
              <w:rPr/>
              <w:t> </w:t>
            </w:r>
          </w:p>
        </w:tc>
        <w:tc>
          <w:tcPr>
            <w:tcW w:w="2095" w:type="dxa"/>
            <w:tcBorders/>
            <w:shd w:fill="auto" w:val="clear"/>
            <w:tcMar>
              <w:bottom w:w="0" w:type="dxa"/>
            </w:tcMar>
            <w:vAlign w:val="bottom"/>
          </w:tcPr>
          <w:p>
            <w:pPr>
              <w:pStyle w:val="TableContents"/>
              <w:spacing w:before="0" w:after="283"/>
              <w:rPr/>
            </w:pPr>
            <w:r>
              <w:rPr/>
              <w:t> </w:t>
            </w:r>
          </w:p>
        </w:tc>
      </w:tr>
      <w:tr>
        <w:trPr/>
        <w:tc>
          <w:tcPr>
            <w:tcW w:w="2222" w:type="dxa"/>
            <w:tcBorders/>
            <w:shd w:fill="auto" w:val="clear"/>
            <w:tcMar>
              <w:bottom w:w="0" w:type="dxa"/>
            </w:tcMar>
            <w:vAlign w:val="bottom"/>
          </w:tcPr>
          <w:p>
            <w:pPr>
              <w:pStyle w:val="TableContents"/>
              <w:spacing w:before="0" w:after="283"/>
              <w:jc w:val="left"/>
              <w:rPr/>
            </w:pPr>
            <w:r>
              <w:rPr/>
              <w:t> </w:t>
            </w:r>
          </w:p>
        </w:tc>
        <w:tc>
          <w:tcPr>
            <w:tcW w:w="5888" w:type="dxa"/>
            <w:tcBorders/>
            <w:shd w:fill="auto" w:val="clear"/>
            <w:tcMar>
              <w:bottom w:w="0" w:type="dxa"/>
            </w:tcMar>
            <w:vAlign w:val="bottom"/>
          </w:tcPr>
          <w:p>
            <w:pPr>
              <w:pStyle w:val="TableContents"/>
              <w:spacing w:before="0" w:after="283"/>
              <w:jc w:val="left"/>
              <w:rPr/>
            </w:pPr>
            <w:r>
              <w:rPr/>
              <w:t> </w:t>
            </w:r>
          </w:p>
        </w:tc>
        <w:tc>
          <w:tcPr>
            <w:tcW w:w="2095" w:type="dxa"/>
            <w:tcBorders/>
            <w:shd w:fill="auto" w:val="clear"/>
            <w:tcMar>
              <w:bottom w:w="0" w:type="dxa"/>
            </w:tcMar>
            <w:vAlign w:val="bottom"/>
          </w:tcPr>
          <w:p>
            <w:pPr>
              <w:pStyle w:val="TableContents"/>
              <w:spacing w:before="0" w:after="283"/>
              <w:rPr/>
            </w:pPr>
            <w:r>
              <w:rPr/>
              <w:t> </w:t>
            </w:r>
          </w:p>
        </w:tc>
      </w:tr>
      <w:tr>
        <w:trPr/>
        <w:tc>
          <w:tcPr>
            <w:tcW w:w="2222" w:type="dxa"/>
            <w:tcBorders>
              <w:bottom w:val="single" w:sz="2" w:space="0" w:color="000000"/>
            </w:tcBorders>
            <w:shd w:fill="auto"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/s/ James J. Cotter, Jr.</w:t>
            </w:r>
          </w:p>
        </w:tc>
        <w:tc>
          <w:tcPr>
            <w:tcW w:w="5888" w:type="dxa"/>
            <w:tcBorders/>
            <w:shd w:fill="auto"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Director</w:t>
            </w:r>
          </w:p>
        </w:tc>
        <w:tc>
          <w:tcPr>
            <w:tcW w:w="2095" w:type="dxa"/>
            <w:tcBorders/>
            <w:shd w:fill="auto" w:val="clear"/>
            <w:tcMar>
              <w:bottom w:w="0" w:type="dxa"/>
            </w:tcM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March 28, 2007</w:t>
            </w:r>
          </w:p>
        </w:tc>
      </w:tr>
      <w:tr>
        <w:trPr/>
        <w:tc>
          <w:tcPr>
            <w:tcW w:w="2222" w:type="dxa"/>
            <w:tcBorders/>
            <w:shd w:fill="auto"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James J. Cotter, Jr.</w:t>
            </w:r>
          </w:p>
        </w:tc>
        <w:tc>
          <w:tcPr>
            <w:tcW w:w="5888" w:type="dxa"/>
            <w:tcBorders/>
            <w:shd w:fill="auto" w:val="clear"/>
            <w:tcMar>
              <w:bottom w:w="0" w:type="dxa"/>
            </w:tcMar>
            <w:vAlign w:val="bottom"/>
          </w:tcPr>
          <w:p>
            <w:pPr>
              <w:pStyle w:val="TableContents"/>
              <w:spacing w:before="0" w:after="283"/>
              <w:jc w:val="left"/>
              <w:rPr/>
            </w:pPr>
            <w:r>
              <w:rPr/>
              <w:t> </w:t>
            </w:r>
          </w:p>
        </w:tc>
        <w:tc>
          <w:tcPr>
            <w:tcW w:w="2095" w:type="dxa"/>
            <w:tcBorders/>
            <w:shd w:fill="auto" w:val="clear"/>
            <w:tcMar>
              <w:bottom w:w="0" w:type="dxa"/>
            </w:tcMar>
            <w:vAlign w:val="bottom"/>
          </w:tcPr>
          <w:p>
            <w:pPr>
              <w:pStyle w:val="TableContents"/>
              <w:spacing w:before="0" w:after="283"/>
              <w:rPr/>
            </w:pPr>
            <w:r>
              <w:rPr/>
              <w:t> </w:t>
            </w:r>
          </w:p>
        </w:tc>
      </w:tr>
      <w:tr>
        <w:trPr/>
        <w:tc>
          <w:tcPr>
            <w:tcW w:w="2222" w:type="dxa"/>
            <w:tcBorders/>
            <w:shd w:fill="auto" w:val="clear"/>
            <w:tcMar>
              <w:bottom w:w="0" w:type="dxa"/>
            </w:tcMar>
            <w:vAlign w:val="bottom"/>
          </w:tcPr>
          <w:p>
            <w:pPr>
              <w:pStyle w:val="TableContents"/>
              <w:spacing w:before="0" w:after="283"/>
              <w:jc w:val="left"/>
              <w:rPr/>
            </w:pPr>
            <w:r>
              <w:rPr/>
              <w:t> </w:t>
            </w:r>
          </w:p>
        </w:tc>
        <w:tc>
          <w:tcPr>
            <w:tcW w:w="5888" w:type="dxa"/>
            <w:tcBorders/>
            <w:shd w:fill="auto" w:val="clear"/>
            <w:tcMar>
              <w:bottom w:w="0" w:type="dxa"/>
            </w:tcMar>
            <w:vAlign w:val="bottom"/>
          </w:tcPr>
          <w:p>
            <w:pPr>
              <w:pStyle w:val="TableContents"/>
              <w:spacing w:before="0" w:after="283"/>
              <w:jc w:val="left"/>
              <w:rPr/>
            </w:pPr>
            <w:r>
              <w:rPr/>
              <w:t> </w:t>
            </w:r>
          </w:p>
        </w:tc>
        <w:tc>
          <w:tcPr>
            <w:tcW w:w="2095" w:type="dxa"/>
            <w:tcBorders/>
            <w:shd w:fill="auto" w:val="clear"/>
            <w:tcMar>
              <w:bottom w:w="0" w:type="dxa"/>
            </w:tcMar>
            <w:vAlign w:val="bottom"/>
          </w:tcPr>
          <w:p>
            <w:pPr>
              <w:pStyle w:val="TableContents"/>
              <w:spacing w:before="0" w:after="283"/>
              <w:rPr/>
            </w:pPr>
            <w:r>
              <w:rPr/>
              <w:t> </w:t>
            </w:r>
          </w:p>
        </w:tc>
      </w:tr>
      <w:tr>
        <w:trPr/>
        <w:tc>
          <w:tcPr>
            <w:tcW w:w="2222" w:type="dxa"/>
            <w:tcBorders>
              <w:bottom w:val="single" w:sz="2" w:space="0" w:color="000000"/>
            </w:tcBorders>
            <w:shd w:fill="auto"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/s/ Margaret Cotter</w:t>
            </w:r>
          </w:p>
        </w:tc>
        <w:tc>
          <w:tcPr>
            <w:tcW w:w="5888" w:type="dxa"/>
            <w:tcBorders/>
            <w:shd w:fill="auto"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Director</w:t>
            </w:r>
          </w:p>
        </w:tc>
        <w:tc>
          <w:tcPr>
            <w:tcW w:w="2095" w:type="dxa"/>
            <w:tcBorders/>
            <w:shd w:fill="auto" w:val="clear"/>
            <w:tcMar>
              <w:bottom w:w="0" w:type="dxa"/>
            </w:tcM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March 28, 2007</w:t>
            </w:r>
          </w:p>
        </w:tc>
      </w:tr>
      <w:tr>
        <w:trPr/>
        <w:tc>
          <w:tcPr>
            <w:tcW w:w="2222" w:type="dxa"/>
            <w:tcBorders/>
            <w:shd w:fill="auto"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Margaret Cotter</w:t>
            </w:r>
          </w:p>
        </w:tc>
        <w:tc>
          <w:tcPr>
            <w:tcW w:w="5888" w:type="dxa"/>
            <w:tcBorders/>
            <w:shd w:fill="auto" w:val="clear"/>
            <w:tcMar>
              <w:bottom w:w="0" w:type="dxa"/>
            </w:tcMar>
            <w:vAlign w:val="bottom"/>
          </w:tcPr>
          <w:p>
            <w:pPr>
              <w:pStyle w:val="TableContents"/>
              <w:spacing w:before="0" w:after="283"/>
              <w:jc w:val="left"/>
              <w:rPr/>
            </w:pPr>
            <w:r>
              <w:rPr/>
              <w:t> </w:t>
            </w:r>
          </w:p>
        </w:tc>
        <w:tc>
          <w:tcPr>
            <w:tcW w:w="2095" w:type="dxa"/>
            <w:tcBorders/>
            <w:shd w:fill="auto" w:val="clear"/>
            <w:tcMar>
              <w:bottom w:w="0" w:type="dxa"/>
            </w:tcMar>
            <w:vAlign w:val="bottom"/>
          </w:tcPr>
          <w:p>
            <w:pPr>
              <w:pStyle w:val="TableContents"/>
              <w:spacing w:before="0" w:after="283"/>
              <w:rPr/>
            </w:pPr>
            <w:r>
              <w:rPr/>
              <w:t> </w:t>
            </w:r>
          </w:p>
        </w:tc>
      </w:tr>
      <w:tr>
        <w:trPr/>
        <w:tc>
          <w:tcPr>
            <w:tcW w:w="2222" w:type="dxa"/>
            <w:tcBorders/>
            <w:shd w:fill="auto" w:val="clear"/>
            <w:tcMar>
              <w:bottom w:w="0" w:type="dxa"/>
            </w:tcMar>
            <w:vAlign w:val="bottom"/>
          </w:tcPr>
          <w:p>
            <w:pPr>
              <w:pStyle w:val="TableContents"/>
              <w:spacing w:before="0" w:after="283"/>
              <w:jc w:val="left"/>
              <w:rPr/>
            </w:pPr>
            <w:r>
              <w:rPr/>
              <w:t> </w:t>
            </w:r>
          </w:p>
        </w:tc>
        <w:tc>
          <w:tcPr>
            <w:tcW w:w="5888" w:type="dxa"/>
            <w:tcBorders/>
            <w:shd w:fill="auto" w:val="clear"/>
            <w:tcMar>
              <w:bottom w:w="0" w:type="dxa"/>
            </w:tcMar>
            <w:vAlign w:val="bottom"/>
          </w:tcPr>
          <w:p>
            <w:pPr>
              <w:pStyle w:val="TableContents"/>
              <w:spacing w:before="0" w:after="283"/>
              <w:jc w:val="left"/>
              <w:rPr/>
            </w:pPr>
            <w:r>
              <w:rPr/>
              <w:t> </w:t>
            </w:r>
          </w:p>
        </w:tc>
        <w:tc>
          <w:tcPr>
            <w:tcW w:w="2095" w:type="dxa"/>
            <w:tcBorders/>
            <w:shd w:fill="auto" w:val="clear"/>
            <w:tcMar>
              <w:bottom w:w="0" w:type="dxa"/>
            </w:tcMar>
            <w:vAlign w:val="bottom"/>
          </w:tcPr>
          <w:p>
            <w:pPr>
              <w:pStyle w:val="TableContents"/>
              <w:spacing w:before="0" w:after="283"/>
              <w:rPr/>
            </w:pPr>
            <w:r>
              <w:rPr/>
              <w:t> </w:t>
            </w:r>
          </w:p>
        </w:tc>
      </w:tr>
      <w:tr>
        <w:trPr/>
        <w:tc>
          <w:tcPr>
            <w:tcW w:w="2222" w:type="dxa"/>
            <w:tcBorders>
              <w:bottom w:val="single" w:sz="2" w:space="0" w:color="000000"/>
            </w:tcBorders>
            <w:shd w:fill="auto"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/s/ William D. Gould</w:t>
            </w:r>
          </w:p>
        </w:tc>
        <w:tc>
          <w:tcPr>
            <w:tcW w:w="5888" w:type="dxa"/>
            <w:tcBorders/>
            <w:shd w:fill="auto"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Director</w:t>
            </w:r>
          </w:p>
        </w:tc>
        <w:tc>
          <w:tcPr>
            <w:tcW w:w="2095" w:type="dxa"/>
            <w:tcBorders/>
            <w:shd w:fill="auto" w:val="clear"/>
            <w:tcMar>
              <w:bottom w:w="0" w:type="dxa"/>
            </w:tcM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March 28, 2007</w:t>
            </w:r>
          </w:p>
        </w:tc>
      </w:tr>
      <w:tr>
        <w:trPr/>
        <w:tc>
          <w:tcPr>
            <w:tcW w:w="2222" w:type="dxa"/>
            <w:tcBorders/>
            <w:shd w:fill="auto"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William D. Gould</w:t>
            </w:r>
          </w:p>
        </w:tc>
        <w:tc>
          <w:tcPr>
            <w:tcW w:w="5888" w:type="dxa"/>
            <w:tcBorders/>
            <w:shd w:fill="auto" w:val="clear"/>
            <w:tcMar>
              <w:bottom w:w="0" w:type="dxa"/>
            </w:tcMar>
            <w:vAlign w:val="bottom"/>
          </w:tcPr>
          <w:p>
            <w:pPr>
              <w:pStyle w:val="TableContents"/>
              <w:spacing w:before="0" w:after="283"/>
              <w:jc w:val="left"/>
              <w:rPr/>
            </w:pPr>
            <w:r>
              <w:rPr/>
              <w:t> </w:t>
            </w:r>
          </w:p>
        </w:tc>
        <w:tc>
          <w:tcPr>
            <w:tcW w:w="2095" w:type="dxa"/>
            <w:tcBorders/>
            <w:shd w:fill="auto" w:val="clear"/>
            <w:tcMar>
              <w:bottom w:w="0" w:type="dxa"/>
            </w:tcMar>
            <w:vAlign w:val="bottom"/>
          </w:tcPr>
          <w:p>
            <w:pPr>
              <w:pStyle w:val="TableContents"/>
              <w:spacing w:before="0" w:after="283"/>
              <w:rPr/>
            </w:pPr>
            <w:r>
              <w:rPr/>
              <w:t> </w:t>
            </w:r>
          </w:p>
        </w:tc>
      </w:tr>
      <w:tr>
        <w:trPr/>
        <w:tc>
          <w:tcPr>
            <w:tcW w:w="2222" w:type="dxa"/>
            <w:tcBorders/>
            <w:shd w:fill="auto" w:val="clear"/>
            <w:tcMar>
              <w:bottom w:w="0" w:type="dxa"/>
            </w:tcMar>
            <w:vAlign w:val="bottom"/>
          </w:tcPr>
          <w:p>
            <w:pPr>
              <w:pStyle w:val="TableContents"/>
              <w:spacing w:before="0" w:after="283"/>
              <w:jc w:val="left"/>
              <w:rPr/>
            </w:pPr>
            <w:r>
              <w:rPr/>
              <w:t> </w:t>
            </w:r>
          </w:p>
        </w:tc>
        <w:tc>
          <w:tcPr>
            <w:tcW w:w="5888" w:type="dxa"/>
            <w:tcBorders/>
            <w:shd w:fill="auto" w:val="clear"/>
            <w:tcMar>
              <w:bottom w:w="0" w:type="dxa"/>
            </w:tcMar>
            <w:vAlign w:val="bottom"/>
          </w:tcPr>
          <w:p>
            <w:pPr>
              <w:pStyle w:val="TableContents"/>
              <w:spacing w:before="0" w:after="283"/>
              <w:jc w:val="left"/>
              <w:rPr/>
            </w:pPr>
            <w:r>
              <w:rPr/>
              <w:t> </w:t>
            </w:r>
          </w:p>
        </w:tc>
        <w:tc>
          <w:tcPr>
            <w:tcW w:w="2095" w:type="dxa"/>
            <w:tcBorders/>
            <w:shd w:fill="auto" w:val="clear"/>
            <w:tcMar>
              <w:bottom w:w="0" w:type="dxa"/>
            </w:tcMar>
            <w:vAlign w:val="bottom"/>
          </w:tcPr>
          <w:p>
            <w:pPr>
              <w:pStyle w:val="TableContents"/>
              <w:spacing w:before="0" w:after="283"/>
              <w:rPr/>
            </w:pPr>
            <w:r>
              <w:rPr/>
              <w:t> </w:t>
            </w:r>
          </w:p>
        </w:tc>
      </w:tr>
      <w:tr>
        <w:trPr/>
        <w:tc>
          <w:tcPr>
            <w:tcW w:w="2222" w:type="dxa"/>
            <w:tcBorders>
              <w:bottom w:val="single" w:sz="2" w:space="0" w:color="000000"/>
            </w:tcBorders>
            <w:shd w:fill="auto"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/s/ Edward L. Kane</w:t>
            </w:r>
          </w:p>
        </w:tc>
        <w:tc>
          <w:tcPr>
            <w:tcW w:w="5888" w:type="dxa"/>
            <w:tcBorders/>
            <w:shd w:fill="auto"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Director</w:t>
            </w:r>
          </w:p>
        </w:tc>
        <w:tc>
          <w:tcPr>
            <w:tcW w:w="2095" w:type="dxa"/>
            <w:tcBorders/>
            <w:shd w:fill="auto" w:val="clear"/>
            <w:tcMar>
              <w:bottom w:w="0" w:type="dxa"/>
            </w:tcM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March 28, 2007</w:t>
            </w:r>
          </w:p>
        </w:tc>
      </w:tr>
      <w:tr>
        <w:trPr/>
        <w:tc>
          <w:tcPr>
            <w:tcW w:w="2222" w:type="dxa"/>
            <w:tcBorders/>
            <w:shd w:fill="auto"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Edward L Kane</w:t>
            </w:r>
          </w:p>
        </w:tc>
        <w:tc>
          <w:tcPr>
            <w:tcW w:w="5888" w:type="dxa"/>
            <w:tcBorders/>
            <w:shd w:fill="auto" w:val="clear"/>
            <w:tcMar>
              <w:bottom w:w="0" w:type="dxa"/>
            </w:tcMar>
            <w:vAlign w:val="bottom"/>
          </w:tcPr>
          <w:p>
            <w:pPr>
              <w:pStyle w:val="TableContents"/>
              <w:spacing w:before="0" w:after="283"/>
              <w:jc w:val="left"/>
              <w:rPr/>
            </w:pPr>
            <w:r>
              <w:rPr/>
              <w:t> </w:t>
            </w:r>
          </w:p>
        </w:tc>
        <w:tc>
          <w:tcPr>
            <w:tcW w:w="2095" w:type="dxa"/>
            <w:tcBorders/>
            <w:shd w:fill="auto" w:val="clear"/>
            <w:tcMar>
              <w:bottom w:w="0" w:type="dxa"/>
            </w:tcMar>
            <w:vAlign w:val="bottom"/>
          </w:tcPr>
          <w:p>
            <w:pPr>
              <w:pStyle w:val="TableContents"/>
              <w:spacing w:before="0" w:after="283"/>
              <w:rPr/>
            </w:pPr>
            <w:r>
              <w:rPr/>
              <w:t> </w:t>
            </w:r>
          </w:p>
        </w:tc>
      </w:tr>
      <w:tr>
        <w:trPr/>
        <w:tc>
          <w:tcPr>
            <w:tcW w:w="2222" w:type="dxa"/>
            <w:tcBorders/>
            <w:shd w:fill="auto" w:val="clear"/>
            <w:tcMar>
              <w:bottom w:w="0" w:type="dxa"/>
            </w:tcMar>
            <w:vAlign w:val="bottom"/>
          </w:tcPr>
          <w:p>
            <w:pPr>
              <w:pStyle w:val="TableContents"/>
              <w:spacing w:before="0" w:after="283"/>
              <w:jc w:val="left"/>
              <w:rPr/>
            </w:pPr>
            <w:r>
              <w:rPr/>
              <w:t> </w:t>
            </w:r>
          </w:p>
        </w:tc>
        <w:tc>
          <w:tcPr>
            <w:tcW w:w="5888" w:type="dxa"/>
            <w:tcBorders/>
            <w:shd w:fill="auto" w:val="clear"/>
            <w:tcMar>
              <w:bottom w:w="0" w:type="dxa"/>
            </w:tcMar>
            <w:vAlign w:val="bottom"/>
          </w:tcPr>
          <w:p>
            <w:pPr>
              <w:pStyle w:val="TableContents"/>
              <w:spacing w:before="0" w:after="283"/>
              <w:jc w:val="left"/>
              <w:rPr/>
            </w:pPr>
            <w:r>
              <w:rPr/>
              <w:t> </w:t>
            </w:r>
          </w:p>
        </w:tc>
        <w:tc>
          <w:tcPr>
            <w:tcW w:w="2095" w:type="dxa"/>
            <w:tcBorders/>
            <w:shd w:fill="auto" w:val="clear"/>
            <w:tcMar>
              <w:bottom w:w="0" w:type="dxa"/>
            </w:tcMar>
            <w:vAlign w:val="bottom"/>
          </w:tcPr>
          <w:p>
            <w:pPr>
              <w:pStyle w:val="TableContents"/>
              <w:spacing w:before="0" w:after="283"/>
              <w:rPr/>
            </w:pPr>
            <w:r>
              <w:rPr/>
              <w:t> </w:t>
            </w:r>
          </w:p>
        </w:tc>
      </w:tr>
      <w:tr>
        <w:trPr/>
        <w:tc>
          <w:tcPr>
            <w:tcW w:w="2222" w:type="dxa"/>
            <w:tcBorders>
              <w:bottom w:val="single" w:sz="2" w:space="0" w:color="000000"/>
            </w:tcBorders>
            <w:shd w:fill="auto"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/s/ Gerard P. Laheney</w:t>
            </w:r>
          </w:p>
        </w:tc>
        <w:tc>
          <w:tcPr>
            <w:tcW w:w="5888" w:type="dxa"/>
            <w:tcBorders/>
            <w:shd w:fill="auto"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Director</w:t>
            </w:r>
          </w:p>
        </w:tc>
        <w:tc>
          <w:tcPr>
            <w:tcW w:w="2095" w:type="dxa"/>
            <w:tcBorders/>
            <w:shd w:fill="auto" w:val="clear"/>
            <w:tcMar>
              <w:bottom w:w="0" w:type="dxa"/>
            </w:tcM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March 28, 2007</w:t>
            </w:r>
          </w:p>
        </w:tc>
      </w:tr>
      <w:tr>
        <w:trPr/>
        <w:tc>
          <w:tcPr>
            <w:tcW w:w="2222" w:type="dxa"/>
            <w:tcBorders/>
            <w:shd w:fill="auto"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Gerard P. Laheney</w:t>
            </w:r>
          </w:p>
        </w:tc>
        <w:tc>
          <w:tcPr>
            <w:tcW w:w="5888" w:type="dxa"/>
            <w:tcBorders/>
            <w:shd w:fill="auto" w:val="clear"/>
            <w:tcMar>
              <w:bottom w:w="0" w:type="dxa"/>
            </w:tcMar>
            <w:vAlign w:val="bottom"/>
          </w:tcPr>
          <w:p>
            <w:pPr>
              <w:pStyle w:val="TableContents"/>
              <w:spacing w:before="0" w:after="283"/>
              <w:jc w:val="left"/>
              <w:rPr/>
            </w:pPr>
            <w:r>
              <w:rPr/>
              <w:t> </w:t>
            </w:r>
          </w:p>
        </w:tc>
        <w:tc>
          <w:tcPr>
            <w:tcW w:w="2095" w:type="dxa"/>
            <w:tcBorders/>
            <w:shd w:fill="auto" w:val="clear"/>
            <w:tcMar>
              <w:bottom w:w="0" w:type="dxa"/>
            </w:tcMar>
            <w:vAlign w:val="bottom"/>
          </w:tcPr>
          <w:p>
            <w:pPr>
              <w:pStyle w:val="TableContents"/>
              <w:spacing w:before="0" w:after="283"/>
              <w:rPr/>
            </w:pPr>
            <w:r>
              <w:rPr/>
              <w:t> </w:t>
            </w:r>
          </w:p>
        </w:tc>
      </w:tr>
      <w:tr>
        <w:trPr/>
        <w:tc>
          <w:tcPr>
            <w:tcW w:w="2222" w:type="dxa"/>
            <w:tcBorders/>
            <w:shd w:fill="auto" w:val="clear"/>
            <w:tcMar>
              <w:bottom w:w="0" w:type="dxa"/>
            </w:tcMar>
            <w:vAlign w:val="bottom"/>
          </w:tcPr>
          <w:p>
            <w:pPr>
              <w:pStyle w:val="TableContents"/>
              <w:spacing w:before="0" w:after="283"/>
              <w:jc w:val="left"/>
              <w:rPr/>
            </w:pPr>
            <w:r>
              <w:rPr/>
              <w:t> </w:t>
            </w:r>
          </w:p>
        </w:tc>
        <w:tc>
          <w:tcPr>
            <w:tcW w:w="5888" w:type="dxa"/>
            <w:tcBorders/>
            <w:shd w:fill="auto" w:val="clear"/>
            <w:tcMar>
              <w:bottom w:w="0" w:type="dxa"/>
            </w:tcMar>
            <w:vAlign w:val="bottom"/>
          </w:tcPr>
          <w:p>
            <w:pPr>
              <w:pStyle w:val="TableContents"/>
              <w:spacing w:before="0" w:after="283"/>
              <w:jc w:val="left"/>
              <w:rPr/>
            </w:pPr>
            <w:r>
              <w:rPr/>
              <w:t> </w:t>
            </w:r>
          </w:p>
        </w:tc>
        <w:tc>
          <w:tcPr>
            <w:tcW w:w="2095" w:type="dxa"/>
            <w:tcBorders/>
            <w:shd w:fill="auto" w:val="clear"/>
            <w:tcMar>
              <w:bottom w:w="0" w:type="dxa"/>
            </w:tcMar>
            <w:vAlign w:val="bottom"/>
          </w:tcPr>
          <w:p>
            <w:pPr>
              <w:pStyle w:val="TableContents"/>
              <w:spacing w:before="0" w:after="283"/>
              <w:rPr/>
            </w:pPr>
            <w:r>
              <w:rPr/>
              <w:t> </w:t>
            </w:r>
          </w:p>
        </w:tc>
      </w:tr>
      <w:tr>
        <w:trPr/>
        <w:tc>
          <w:tcPr>
            <w:tcW w:w="2222" w:type="dxa"/>
            <w:tcBorders>
              <w:bottom w:val="single" w:sz="2" w:space="0" w:color="000000"/>
            </w:tcBorders>
            <w:shd w:fill="auto"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/s/ Alfred Villaseñor</w:t>
            </w:r>
          </w:p>
        </w:tc>
        <w:tc>
          <w:tcPr>
            <w:tcW w:w="5888" w:type="dxa"/>
            <w:tcBorders/>
            <w:shd w:fill="auto"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Director</w:t>
            </w:r>
          </w:p>
        </w:tc>
        <w:tc>
          <w:tcPr>
            <w:tcW w:w="2095" w:type="dxa"/>
            <w:tcBorders/>
            <w:shd w:fill="auto" w:val="clear"/>
            <w:tcMar>
              <w:bottom w:w="0" w:type="dxa"/>
            </w:tcM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March 28, 2007</w:t>
            </w:r>
          </w:p>
        </w:tc>
      </w:tr>
      <w:tr>
        <w:trPr/>
        <w:tc>
          <w:tcPr>
            <w:tcW w:w="2222" w:type="dxa"/>
            <w:tcBorders/>
            <w:shd w:fill="auto"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Alfred Villaseñor</w:t>
            </w:r>
          </w:p>
        </w:tc>
        <w:tc>
          <w:tcPr>
            <w:tcW w:w="5888" w:type="dxa"/>
            <w:tcBorders/>
            <w:shd w:fill="auto" w:val="clear"/>
            <w:tcMar>
              <w:bottom w:w="0" w:type="dxa"/>
            </w:tcMar>
            <w:vAlign w:val="bottom"/>
          </w:tcPr>
          <w:p>
            <w:pPr>
              <w:pStyle w:val="TableContents"/>
              <w:spacing w:before="0" w:after="283"/>
              <w:jc w:val="left"/>
              <w:rPr/>
            </w:pPr>
            <w:r>
              <w:rPr/>
              <w:t> </w:t>
            </w:r>
          </w:p>
        </w:tc>
        <w:tc>
          <w:tcPr>
            <w:tcW w:w="2095" w:type="dxa"/>
            <w:tcBorders/>
            <w:shd w:fill="auto" w:val="clear"/>
            <w:tcMar>
              <w:bottom w:w="0" w:type="dxa"/>
            </w:tcMar>
            <w:vAlign w:val="bottom"/>
          </w:tcPr>
          <w:p>
            <w:pPr>
              <w:pStyle w:val="TableContents"/>
              <w:spacing w:before="0" w:after="283"/>
              <w:jc w:val="left"/>
              <w:rPr/>
            </w:pPr>
            <w:r>
              <w:rPr/>
              <w:t> </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042" w:name="PGBRK141"/>
      <w:bookmarkStart w:id="5043" w:name="PGBRK141"/>
      <w:bookmarkEnd w:id="504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044" w:name="FTR141"/>
      <w:bookmarkStart w:id="5045" w:name="FTR141"/>
      <w:bookmarkEnd w:id="504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046" w:name="GLFTR141"/>
      <w:bookmarkStart w:id="5047" w:name="GLFTR141"/>
      <w:bookmarkEnd w:id="504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5048" w:name="PN141"/>
      <w:bookmarkEnd w:id="5048"/>
      <w:r>
        <w:rPr>
          <w:rFonts w:ascii="Times New Roman" w:hAnsi="Times New Roman"/>
          <w:sz w:val="16"/>
        </w:rPr>
        <w:t>-141-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049" w:name="HDR141"/>
      <w:bookmarkStart w:id="5050" w:name="HDR141"/>
      <w:bookmarkEnd w:id="505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051" w:name="GLHDR141"/>
      <w:bookmarkStart w:id="5052" w:name="GLHDR141"/>
      <w:bookmarkEnd w:id="505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300"/>
        <w:ind w:left="0" w:right="0" w:hanging="0"/>
        <w:jc w:val="left"/>
        <w:rPr/>
      </w:pPr>
      <w:r>
        <w:rPr/>
      </w:r>
      <w:r>
        <w:br w:type="page"/>
      </w:r>
    </w:p>
    <w:p>
      <w:pPr>
        <w:pStyle w:val="TextBody"/>
        <w:rPr/>
      </w:pPr>
      <w:r>
        <w:rPr/>
      </w:r>
      <w:bookmarkStart w:id="5053" w:name="exhibit10_66.htm"/>
      <w:bookmarkStart w:id="5054" w:name="ksexhibit10_66"/>
      <w:bookmarkStart w:id="5055" w:name="exhibit10_66.htm"/>
      <w:bookmarkStart w:id="5056" w:name="ksexhibit10_66"/>
      <w:bookmarkEnd w:id="5055"/>
      <w:bookmarkEnd w:id="5056"/>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December 28, 2006</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pPr>
      <w:r>
        <w:rPr/>
      </w:r>
    </w:p>
    <w:p>
      <w:pPr>
        <w:pStyle w:val="TextBody"/>
        <w:spacing w:lineRule="auto" w:line="300" w:before="0" w:after="0"/>
        <w:ind w:left="0" w:right="0" w:hanging="0"/>
        <w:jc w:val="left"/>
        <w:rPr/>
      </w:pPr>
      <w:r>
        <w:rPr/>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Mr. John Hunter</w:t>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01333 SW Pomona Street</w:t>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Portland, Oregon 97219</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pPr>
      <w:r>
        <w:rPr/>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Re: Offer of employment with Reading International, Inc.</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Dear John,</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I am pleased to confirm our conversation and offer you a senior executive position with Reading International, Inc. on the following terms:</w:t>
      </w:r>
    </w:p>
    <w:p>
      <w:pPr>
        <w:pStyle w:val="TextBody"/>
        <w:spacing w:lineRule="auto" w:line="300" w:before="0" w:after="0"/>
        <w:ind w:left="0" w:right="0" w:hanging="0"/>
        <w:jc w:val="left"/>
        <w:rPr/>
      </w:pPr>
      <w:r>
        <w:rPr/>
        <w:t> </w:t>
      </w:r>
    </w:p>
    <w:p>
      <w:pPr>
        <w:pStyle w:val="Normal"/>
        <w:spacing w:before="0" w:after="0"/>
        <w:ind w:left="0" w:right="0" w:hanging="0"/>
        <w:rPr>
          <w:sz w:val="4"/>
          <w:szCs w:val="4"/>
        </w:rPr>
      </w:pPr>
      <w:r>
        <w:rPr>
          <w:sz w:val="4"/>
          <w:szCs w:val="4"/>
        </w:rPr>
      </w:r>
      <w:bookmarkStart w:id="5057" w:name="hangingindent399"/>
      <w:bookmarkStart w:id="5058" w:name="hangingindent399"/>
      <w:bookmarkEnd w:id="5058"/>
    </w:p>
    <w:tbl>
      <w:tblPr>
        <w:tblW w:w="5000" w:type="pct"/>
        <w:jc w:val="center"/>
        <w:tblInd w:w="0" w:type="dxa"/>
        <w:tblCellMar>
          <w:top w:w="0" w:type="dxa"/>
          <w:left w:w="0" w:type="dxa"/>
          <w:bottom w:w="0" w:type="dxa"/>
          <w:right w:w="0" w:type="dxa"/>
        </w:tblCellMar>
      </w:tblPr>
      <w:tblGrid>
        <w:gridCol w:w="741"/>
        <w:gridCol w:w="9464"/>
      </w:tblGrid>
      <w:tr>
        <w:trPr/>
        <w:tc>
          <w:tcPr>
            <w:tcW w:w="741"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Position:</w:t>
            </w:r>
          </w:p>
        </w:tc>
        <w:tc>
          <w:tcPr>
            <w:tcW w:w="9464"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Chief Operating Officer of Reading International, Inc. and President of all Reading International, Inc subsidiaries in New Zealand and Australia.</w:t>
            </w:r>
          </w:p>
        </w:tc>
      </w:tr>
    </w:tbl>
    <w:p>
      <w:pPr>
        <w:pStyle w:val="TextBody"/>
        <w:spacing w:lineRule="auto" w:line="300" w:before="0" w:after="0"/>
        <w:ind w:left="0" w:right="0" w:hanging="0"/>
        <w:jc w:val="left"/>
        <w:rPr/>
      </w:pPr>
      <w:r>
        <w:rPr/>
      </w:r>
    </w:p>
    <w:p>
      <w:pPr>
        <w:pStyle w:val="Normal"/>
        <w:spacing w:lineRule="auto" w:line="300" w:before="0" w:after="0"/>
        <w:jc w:val="left"/>
        <w:rPr>
          <w:sz w:val="4"/>
          <w:szCs w:val="4"/>
        </w:rPr>
      </w:pPr>
      <w:r>
        <w:rPr>
          <w:sz w:val="4"/>
          <w:szCs w:val="4"/>
        </w:rPr>
      </w:r>
      <w:bookmarkStart w:id="5059" w:name="hangingindent400"/>
      <w:bookmarkStart w:id="5060" w:name="hangingindent400"/>
      <w:bookmarkEnd w:id="5060"/>
    </w:p>
    <w:tbl>
      <w:tblPr>
        <w:tblW w:w="5000" w:type="pct"/>
        <w:jc w:val="center"/>
        <w:tblInd w:w="0" w:type="dxa"/>
        <w:tblCellMar>
          <w:top w:w="0" w:type="dxa"/>
          <w:left w:w="0" w:type="dxa"/>
          <w:bottom w:w="0" w:type="dxa"/>
          <w:right w:w="0" w:type="dxa"/>
        </w:tblCellMar>
      </w:tblPr>
      <w:tblGrid>
        <w:gridCol w:w="4487"/>
        <w:gridCol w:w="5718"/>
      </w:tblGrid>
      <w:tr>
        <w:trPr/>
        <w:tc>
          <w:tcPr>
            <w:tcW w:w="4487"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Start Date:</w:t>
            </w:r>
          </w:p>
        </w:tc>
        <w:tc>
          <w:tcPr>
            <w:tcW w:w="5718"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January 2007</w:t>
            </w:r>
          </w:p>
        </w:tc>
      </w:tr>
    </w:tbl>
    <w:p>
      <w:pPr>
        <w:pStyle w:val="TextBody"/>
        <w:spacing w:lineRule="auto" w:line="300" w:before="0" w:after="0"/>
        <w:ind w:left="0" w:right="0" w:hanging="0"/>
        <w:jc w:val="left"/>
        <w:rPr/>
      </w:pPr>
      <w:r>
        <w:rPr/>
      </w:r>
    </w:p>
    <w:p>
      <w:pPr>
        <w:pStyle w:val="Normal"/>
        <w:spacing w:lineRule="auto" w:line="300" w:before="0" w:after="0"/>
        <w:jc w:val="left"/>
        <w:rPr>
          <w:sz w:val="4"/>
          <w:szCs w:val="4"/>
        </w:rPr>
      </w:pPr>
      <w:r>
        <w:rPr>
          <w:sz w:val="4"/>
          <w:szCs w:val="4"/>
        </w:rPr>
      </w:r>
      <w:bookmarkStart w:id="5061" w:name="hangingindent401"/>
      <w:bookmarkStart w:id="5062" w:name="hangingindent401"/>
      <w:bookmarkEnd w:id="5062"/>
    </w:p>
    <w:tbl>
      <w:tblPr>
        <w:tblW w:w="5000" w:type="pct"/>
        <w:jc w:val="center"/>
        <w:tblInd w:w="0" w:type="dxa"/>
        <w:tblCellMar>
          <w:top w:w="0" w:type="dxa"/>
          <w:left w:w="0" w:type="dxa"/>
          <w:bottom w:w="0" w:type="dxa"/>
          <w:right w:w="0" w:type="dxa"/>
        </w:tblCellMar>
      </w:tblPr>
      <w:tblGrid>
        <w:gridCol w:w="713"/>
        <w:gridCol w:w="9492"/>
      </w:tblGrid>
      <w:tr>
        <w:trPr/>
        <w:tc>
          <w:tcPr>
            <w:tcW w:w="71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Base Salary:</w:t>
            </w:r>
          </w:p>
        </w:tc>
        <w:tc>
          <w:tcPr>
            <w:tcW w:w="949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An amount equal to Three Hundred and Fifty Thousand Dollars ($350,000 USD) paid bi-weekly per company policy, plus a lump sum payment equal to Fifty Thousand Dollars ($50,000 USD) paid at calendar year end for a total Base Salary of Four Hundred Thousand ($400,000 USD) per annum. </w:t>
            </w:r>
          </w:p>
        </w:tc>
      </w:tr>
    </w:tbl>
    <w:p>
      <w:pPr>
        <w:pStyle w:val="TextBody"/>
        <w:spacing w:lineRule="auto" w:line="300" w:before="0" w:after="0"/>
        <w:ind w:left="0" w:right="0" w:hanging="0"/>
        <w:jc w:val="left"/>
        <w:rPr/>
      </w:pPr>
      <w:r>
        <w:rPr/>
      </w:r>
    </w:p>
    <w:p>
      <w:pPr>
        <w:pStyle w:val="Normal"/>
        <w:spacing w:lineRule="auto" w:line="300" w:before="0" w:after="0"/>
        <w:jc w:val="left"/>
        <w:rPr>
          <w:sz w:val="4"/>
          <w:szCs w:val="4"/>
        </w:rPr>
      </w:pPr>
      <w:r>
        <w:rPr>
          <w:sz w:val="4"/>
          <w:szCs w:val="4"/>
        </w:rPr>
      </w:r>
      <w:bookmarkStart w:id="5063" w:name="hangingindent402"/>
      <w:bookmarkStart w:id="5064" w:name="hangingindent402"/>
      <w:bookmarkEnd w:id="5064"/>
    </w:p>
    <w:tbl>
      <w:tblPr>
        <w:tblW w:w="5000" w:type="pct"/>
        <w:jc w:val="center"/>
        <w:tblInd w:w="0" w:type="dxa"/>
        <w:tblCellMar>
          <w:top w:w="0" w:type="dxa"/>
          <w:left w:w="0" w:type="dxa"/>
          <w:bottom w:w="0" w:type="dxa"/>
          <w:right w:w="0" w:type="dxa"/>
        </w:tblCellMar>
      </w:tblPr>
      <w:tblGrid>
        <w:gridCol w:w="560"/>
        <w:gridCol w:w="9645"/>
      </w:tblGrid>
      <w:tr>
        <w:trPr/>
        <w:tc>
          <w:tcPr>
            <w:tcW w:w="560"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Bonus:</w:t>
            </w:r>
          </w:p>
        </w:tc>
        <w:tc>
          <w:tcPr>
            <w:tcW w:w="9645"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You will be eligible to receive incentive compensation, in addition to your Base Salary, from time to time, at the sole discretion of the CEO and, depending on the particular circumstances, the Board of Directors. The Company has awarded bonuses in the past to senior management when it was determined that they had performed beyond the level of their existing compensation program. </w:t>
            </w:r>
          </w:p>
        </w:tc>
      </w:tr>
    </w:tbl>
    <w:p>
      <w:pPr>
        <w:pStyle w:val="TextBody"/>
        <w:spacing w:lineRule="auto" w:line="300" w:before="0" w:after="0"/>
        <w:ind w:left="2160" w:right="0" w:hanging="2160"/>
        <w:jc w:val="left"/>
        <w:rPr/>
      </w:pPr>
      <w:r>
        <w:rPr/>
      </w:r>
    </w:p>
    <w:p>
      <w:pPr>
        <w:pStyle w:val="Normal"/>
        <w:spacing w:lineRule="auto" w:line="300" w:before="0" w:after="0"/>
        <w:jc w:val="left"/>
        <w:rPr>
          <w:sz w:val="4"/>
          <w:szCs w:val="4"/>
        </w:rPr>
      </w:pPr>
      <w:r>
        <w:rPr>
          <w:sz w:val="4"/>
          <w:szCs w:val="4"/>
        </w:rPr>
      </w:r>
      <w:bookmarkStart w:id="5065" w:name="hangingindent403"/>
      <w:bookmarkStart w:id="5066" w:name="hangingindent403"/>
      <w:bookmarkEnd w:id="5066"/>
    </w:p>
    <w:tbl>
      <w:tblPr>
        <w:tblW w:w="5000" w:type="pct"/>
        <w:jc w:val="center"/>
        <w:tblInd w:w="0" w:type="dxa"/>
        <w:tblCellMar>
          <w:top w:w="0" w:type="dxa"/>
          <w:left w:w="0" w:type="dxa"/>
          <w:bottom w:w="0" w:type="dxa"/>
          <w:right w:w="0" w:type="dxa"/>
        </w:tblCellMar>
      </w:tblPr>
      <w:tblGrid>
        <w:gridCol w:w="986"/>
        <w:gridCol w:w="9219"/>
      </w:tblGrid>
      <w:tr>
        <w:trPr/>
        <w:tc>
          <w:tcPr>
            <w:tcW w:w="986"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Pension Benefit:</w:t>
            </w:r>
          </w:p>
        </w:tc>
        <w:tc>
          <w:tcPr>
            <w:tcW w:w="9219"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A lump sum vested Pension Benefit shall be earned in the amount and on the anniversary dates listed below. Vested Pension Benefits will be paid to you in a lump sum on the date you cease employment at Reading International, Inc.</w:t>
            </w:r>
          </w:p>
        </w:tc>
      </w:tr>
    </w:tbl>
    <w:p>
      <w:pPr>
        <w:pStyle w:val="TextBody"/>
        <w:spacing w:lineRule="auto" w:line="300" w:before="0" w:after="0"/>
        <w:ind w:left="1440" w:right="0" w:hanging="1440"/>
        <w:jc w:val="left"/>
        <w:rPr/>
      </w:pPr>
      <w:r>
        <w:rPr/>
        <w:t> </w:t>
      </w:r>
    </w:p>
    <w:p>
      <w:pPr>
        <w:pStyle w:val="Normal"/>
        <w:spacing w:before="0" w:after="0"/>
        <w:rPr>
          <w:sz w:val="4"/>
          <w:szCs w:val="4"/>
        </w:rPr>
      </w:pPr>
      <w:r>
        <w:rPr>
          <w:sz w:val="4"/>
          <w:szCs w:val="4"/>
        </w:rPr>
      </w:r>
      <w:bookmarkStart w:id="5067" w:name="ftable71"/>
      <w:bookmarkStart w:id="5068" w:name="ftable71"/>
      <w:bookmarkEnd w:id="5068"/>
    </w:p>
    <w:tbl>
      <w:tblPr>
        <w:tblW w:w="5000" w:type="pct"/>
        <w:jc w:val="left"/>
        <w:tblInd w:w="0" w:type="dxa"/>
        <w:tblCellMar>
          <w:top w:w="0" w:type="dxa"/>
          <w:left w:w="0" w:type="dxa"/>
          <w:bottom w:w="28" w:type="dxa"/>
          <w:right w:w="0" w:type="dxa"/>
        </w:tblCellMar>
      </w:tblPr>
      <w:tblGrid>
        <w:gridCol w:w="4678"/>
        <w:gridCol w:w="424"/>
        <w:gridCol w:w="212"/>
        <w:gridCol w:w="4678"/>
        <w:gridCol w:w="213"/>
      </w:tblGrid>
      <w:tr>
        <w:trPr/>
        <w:tc>
          <w:tcPr>
            <w:tcW w:w="4678" w:type="dxa"/>
            <w:tcBorders>
              <w:bottom w:val="single" w:sz="2" w:space="0" w:color="000000"/>
            </w:tcBorders>
            <w:shd w:fill="auto" w:val="cle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Anniversary</w:t>
            </w:r>
          </w:p>
        </w:tc>
        <w:tc>
          <w:tcPr>
            <w:tcW w:w="424" w:type="dxa"/>
            <w:tcBorders>
              <w:bottom w:val="single" w:sz="2" w:space="0" w:color="FFFFFF"/>
            </w:tcBorders>
            <w:shd w:fill="auto" w:val="clear"/>
            <w:vAlign w:val="center"/>
          </w:tcPr>
          <w:p>
            <w:pPr>
              <w:pStyle w:val="TableContents"/>
              <w:spacing w:before="0" w:after="283"/>
              <w:rPr/>
            </w:pPr>
            <w:r>
              <w:rPr/>
              <w:t> </w:t>
            </w:r>
          </w:p>
        </w:tc>
        <w:tc>
          <w:tcPr>
            <w:tcW w:w="4890" w:type="dxa"/>
            <w:gridSpan w:val="2"/>
            <w:tcBorders>
              <w:bottom w:val="single" w:sz="2" w:space="0" w:color="000000"/>
            </w:tcBorders>
            <w:shd w:fill="auto" w:val="cle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Amount</w:t>
            </w:r>
          </w:p>
        </w:tc>
        <w:tc>
          <w:tcPr>
            <w:tcW w:w="213" w:type="dxa"/>
            <w:tcBorders>
              <w:bottom w:val="single" w:sz="2" w:space="0" w:color="FFFFFF"/>
            </w:tcBorders>
            <w:shd w:fill="auto" w:val="clear"/>
            <w:vAlign w:val="bottom"/>
          </w:tcPr>
          <w:p>
            <w:pPr>
              <w:pStyle w:val="TableContents"/>
              <w:spacing w:before="0" w:after="283"/>
              <w:jc w:val="left"/>
              <w:rPr/>
            </w:pPr>
            <w:r>
              <w:rPr/>
              <w:t> </w:t>
            </w:r>
          </w:p>
        </w:tc>
      </w:tr>
      <w:tr>
        <w:trPr/>
        <w:tc>
          <w:tcPr>
            <w:tcW w:w="4678" w:type="dxa"/>
            <w:tcBorders/>
            <w:shd w:fill="auto" w:val="clear"/>
            <w:tcMar>
              <w:bottom w:w="0" w:type="dxa"/>
            </w:tcM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Fourth</w:t>
            </w:r>
          </w:p>
        </w:tc>
        <w:tc>
          <w:tcPr>
            <w:tcW w:w="424" w:type="dxa"/>
            <w:tcBorders/>
            <w:shd w:fill="auto" w:val="clear"/>
            <w:tcMar>
              <w:bottom w:w="0" w:type="dxa"/>
            </w:tcMar>
            <w:vAlign w:val="center"/>
          </w:tcPr>
          <w:p>
            <w:pPr>
              <w:pStyle w:val="TableContents"/>
              <w:spacing w:before="0" w:after="283"/>
              <w:rPr/>
            </w:pPr>
            <w:r>
              <w:rPr/>
              <w:t> </w:t>
            </w:r>
          </w:p>
        </w:tc>
        <w:tc>
          <w:tcPr>
            <w:tcW w:w="212" w:type="dxa"/>
            <w:tcBorders/>
            <w:shd w:fill="auto"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4678" w:type="dxa"/>
            <w:tcBorders/>
            <w:shd w:fill="auto"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400,000 USD</w:t>
            </w:r>
          </w:p>
        </w:tc>
        <w:tc>
          <w:tcPr>
            <w:tcW w:w="213" w:type="dxa"/>
            <w:tcBorders/>
            <w:shd w:fill="auto" w:val="clear"/>
            <w:tcMar>
              <w:bottom w:w="0" w:type="dxa"/>
            </w:tcMar>
            <w:vAlign w:val="bottom"/>
          </w:tcPr>
          <w:p>
            <w:pPr>
              <w:pStyle w:val="TableContents"/>
              <w:spacing w:before="0" w:after="283"/>
              <w:jc w:val="left"/>
              <w:rPr/>
            </w:pPr>
            <w:r>
              <w:rPr/>
              <w:t> </w:t>
            </w:r>
          </w:p>
        </w:tc>
      </w:tr>
      <w:tr>
        <w:trPr/>
        <w:tc>
          <w:tcPr>
            <w:tcW w:w="4678" w:type="dxa"/>
            <w:tcBorders/>
            <w:shd w:fill="auto" w:val="clear"/>
            <w:tcMar>
              <w:bottom w:w="0" w:type="dxa"/>
            </w:tcM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Eight</w:t>
            </w:r>
          </w:p>
        </w:tc>
        <w:tc>
          <w:tcPr>
            <w:tcW w:w="424" w:type="dxa"/>
            <w:tcBorders/>
            <w:shd w:fill="auto" w:val="clear"/>
            <w:tcMar>
              <w:bottom w:w="0" w:type="dxa"/>
            </w:tcMar>
            <w:vAlign w:val="center"/>
          </w:tcPr>
          <w:p>
            <w:pPr>
              <w:pStyle w:val="TableContents"/>
              <w:spacing w:before="0" w:after="283"/>
              <w:rPr/>
            </w:pPr>
            <w:r>
              <w:rPr/>
              <w:t> </w:t>
            </w:r>
          </w:p>
        </w:tc>
        <w:tc>
          <w:tcPr>
            <w:tcW w:w="212" w:type="dxa"/>
            <w:tcBorders/>
            <w:shd w:fill="auto"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4678" w:type="dxa"/>
            <w:tcBorders/>
            <w:shd w:fill="auto"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800,000 USD</w:t>
            </w:r>
          </w:p>
        </w:tc>
        <w:tc>
          <w:tcPr>
            <w:tcW w:w="213" w:type="dxa"/>
            <w:tcBorders/>
            <w:shd w:fill="auto" w:val="clear"/>
            <w:tcMar>
              <w:bottom w:w="0" w:type="dxa"/>
            </w:tcMar>
            <w:vAlign w:val="bottom"/>
          </w:tcPr>
          <w:p>
            <w:pPr>
              <w:pStyle w:val="TableContents"/>
              <w:spacing w:before="0" w:after="283"/>
              <w:jc w:val="left"/>
              <w:rPr/>
            </w:pPr>
            <w:r>
              <w:rPr/>
              <w:t> </w:t>
            </w:r>
          </w:p>
        </w:tc>
      </w:tr>
      <w:tr>
        <w:trPr/>
        <w:tc>
          <w:tcPr>
            <w:tcW w:w="4678" w:type="dxa"/>
            <w:tcBorders/>
            <w:shd w:fill="auto" w:val="clear"/>
            <w:tcMar>
              <w:bottom w:w="0" w:type="dxa"/>
            </w:tcM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Tenth</w:t>
            </w:r>
          </w:p>
        </w:tc>
        <w:tc>
          <w:tcPr>
            <w:tcW w:w="424" w:type="dxa"/>
            <w:tcBorders/>
            <w:shd w:fill="auto" w:val="clear"/>
            <w:tcMar>
              <w:bottom w:w="0" w:type="dxa"/>
            </w:tcMar>
            <w:vAlign w:val="center"/>
          </w:tcPr>
          <w:p>
            <w:pPr>
              <w:pStyle w:val="TableContents"/>
              <w:spacing w:before="0" w:after="283"/>
              <w:rPr/>
            </w:pPr>
            <w:r>
              <w:rPr/>
              <w:t> </w:t>
            </w:r>
          </w:p>
        </w:tc>
        <w:tc>
          <w:tcPr>
            <w:tcW w:w="212" w:type="dxa"/>
            <w:tcBorders/>
            <w:shd w:fill="auto"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4678" w:type="dxa"/>
            <w:tcBorders/>
            <w:shd w:fill="auto"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1,000,000 USD</w:t>
            </w:r>
          </w:p>
        </w:tc>
        <w:tc>
          <w:tcPr>
            <w:tcW w:w="213" w:type="dxa"/>
            <w:tcBorders/>
            <w:shd w:fill="auto" w:val="clear"/>
            <w:tcMar>
              <w:bottom w:w="0" w:type="dxa"/>
            </w:tcMar>
            <w:vAlign w:val="bottom"/>
          </w:tcPr>
          <w:p>
            <w:pPr>
              <w:pStyle w:val="TableContents"/>
              <w:spacing w:before="0" w:after="283"/>
              <w:jc w:val="left"/>
              <w:rPr/>
            </w:pPr>
            <w:r>
              <w:rPr/>
              <w:t> </w:t>
            </w:r>
          </w:p>
        </w:tc>
      </w:tr>
      <w:tr>
        <w:trPr/>
        <w:tc>
          <w:tcPr>
            <w:tcW w:w="4678" w:type="dxa"/>
            <w:tcBorders/>
            <w:shd w:fill="auto" w:val="clear"/>
            <w:tcMar>
              <w:bottom w:w="0" w:type="dxa"/>
            </w:tcMar>
            <w:vAlign w:val="bottom"/>
          </w:tcPr>
          <w:p>
            <w:pPr>
              <w:pStyle w:val="TableContents"/>
              <w:spacing w:lineRule="auto" w:line="300" w:before="0" w:after="0"/>
              <w:ind w:left="0" w:right="0" w:hanging="0"/>
              <w:jc w:val="center"/>
              <w:rPr>
                <w:rFonts w:ascii="Times New Roman" w:hAnsi="Times New Roman"/>
                <w:sz w:val="20"/>
              </w:rPr>
            </w:pPr>
            <w:r>
              <w:rPr>
                <w:rFonts w:ascii="Times New Roman" w:hAnsi="Times New Roman"/>
                <w:sz w:val="20"/>
              </w:rPr>
              <w:t>Thirteenth</w:t>
            </w:r>
          </w:p>
        </w:tc>
        <w:tc>
          <w:tcPr>
            <w:tcW w:w="424" w:type="dxa"/>
            <w:tcBorders/>
            <w:shd w:fill="auto" w:val="clear"/>
            <w:tcMar>
              <w:bottom w:w="0" w:type="dxa"/>
            </w:tcMar>
            <w:vAlign w:val="center"/>
          </w:tcPr>
          <w:p>
            <w:pPr>
              <w:pStyle w:val="TableContents"/>
              <w:spacing w:before="0" w:after="283"/>
              <w:rPr/>
            </w:pPr>
            <w:r>
              <w:rPr/>
              <w:t> </w:t>
            </w:r>
          </w:p>
        </w:tc>
        <w:tc>
          <w:tcPr>
            <w:tcW w:w="212" w:type="dxa"/>
            <w:tcBorders/>
            <w:shd w:fill="auto"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4678" w:type="dxa"/>
            <w:tcBorders/>
            <w:shd w:fill="auto"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2,000,000 USD</w:t>
            </w:r>
          </w:p>
        </w:tc>
        <w:tc>
          <w:tcPr>
            <w:tcW w:w="213" w:type="dxa"/>
            <w:tcBorders/>
            <w:shd w:fill="auto" w:val="clear"/>
            <w:tcMar>
              <w:bottom w:w="0" w:type="dxa"/>
            </w:tcMar>
            <w:vAlign w:val="bottom"/>
          </w:tcPr>
          <w:p>
            <w:pPr>
              <w:pStyle w:val="TableContents"/>
              <w:spacing w:before="0" w:after="283"/>
              <w:jc w:val="left"/>
              <w:rPr/>
            </w:pPr>
            <w:r>
              <w:rPr/>
              <w:t> </w:t>
            </w:r>
          </w:p>
        </w:tc>
      </w:tr>
    </w:tbl>
    <w:p>
      <w:pPr>
        <w:pStyle w:val="TextBody"/>
        <w:spacing w:lineRule="auto" w:line="300" w:before="0" w:after="0"/>
        <w:ind w:left="1440" w:right="0" w:hanging="1440"/>
        <w:jc w:val="left"/>
        <w:rPr/>
      </w:pPr>
      <w:r>
        <w:rPr/>
        <w:t> </w:t>
      </w:r>
    </w:p>
    <w:p>
      <w:pPr>
        <w:pStyle w:val="Normal"/>
        <w:spacing w:before="0" w:after="0"/>
        <w:ind w:left="0" w:right="0" w:hanging="0"/>
        <w:rPr>
          <w:sz w:val="4"/>
          <w:szCs w:val="4"/>
        </w:rPr>
      </w:pPr>
      <w:r>
        <w:rPr>
          <w:sz w:val="4"/>
          <w:szCs w:val="4"/>
        </w:rPr>
      </w:r>
      <w:bookmarkStart w:id="5069" w:name="hangingindent404"/>
      <w:bookmarkStart w:id="5070" w:name="hangingindent404"/>
      <w:bookmarkEnd w:id="5070"/>
    </w:p>
    <w:tbl>
      <w:tblPr>
        <w:tblW w:w="5000" w:type="pct"/>
        <w:jc w:val="center"/>
        <w:tblInd w:w="0" w:type="dxa"/>
        <w:tblCellMar>
          <w:top w:w="0" w:type="dxa"/>
          <w:left w:w="0" w:type="dxa"/>
          <w:bottom w:w="0" w:type="dxa"/>
          <w:right w:w="0" w:type="dxa"/>
        </w:tblCellMar>
      </w:tblPr>
      <w:tblGrid>
        <w:gridCol w:w="954"/>
        <w:gridCol w:w="9251"/>
      </w:tblGrid>
      <w:tr>
        <w:trPr/>
        <w:tc>
          <w:tcPr>
            <w:tcW w:w="954"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Restricted Stock:</w:t>
            </w:r>
          </w:p>
        </w:tc>
        <w:tc>
          <w:tcPr>
            <w:tcW w:w="9251"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You will receive a grant of One Hundred Thousand Dollars ($100,000 USD) worth of restricted Class A Nonvoting Common Stock on the first date of your employment with the Company and an additional grant of One Hundred Thousand Dollars ($100,000 USD) worth of restricted Class A Nonvoting Common Stock on the first anniversary date of your employment with the Company. Each award of stock shall have a two year vesting period (50% vested at 12 months from date of grant and 100% vested 24 months from date of grant). </w:t>
            </w:r>
          </w:p>
        </w:tc>
      </w:tr>
    </w:tbl>
    <w:p>
      <w:pPr>
        <w:pStyle w:val="TextBody"/>
        <w:spacing w:lineRule="auto" w:line="300" w:before="0" w:after="0"/>
        <w:ind w:left="2160" w:right="0" w:hanging="0"/>
        <w:jc w:val="left"/>
        <w:rPr/>
      </w:pPr>
      <w:r>
        <w:rPr/>
      </w:r>
    </w:p>
    <w:p>
      <w:pPr>
        <w:pStyle w:val="Normal"/>
        <w:spacing w:lineRule="auto" w:line="300" w:before="0" w:after="0"/>
        <w:jc w:val="left"/>
        <w:rPr>
          <w:sz w:val="4"/>
          <w:szCs w:val="4"/>
        </w:rPr>
      </w:pPr>
      <w:r>
        <w:rPr>
          <w:sz w:val="4"/>
          <w:szCs w:val="4"/>
        </w:rPr>
      </w:r>
      <w:bookmarkStart w:id="5071" w:name="hangingindent405"/>
      <w:bookmarkStart w:id="5072" w:name="hangingindent405"/>
      <w:bookmarkEnd w:id="5072"/>
    </w:p>
    <w:tbl>
      <w:tblPr>
        <w:tblW w:w="5000" w:type="pct"/>
        <w:jc w:val="center"/>
        <w:tblInd w:w="0" w:type="dxa"/>
        <w:tblCellMar>
          <w:top w:w="0" w:type="dxa"/>
          <w:left w:w="0" w:type="dxa"/>
          <w:bottom w:w="0" w:type="dxa"/>
          <w:right w:w="0" w:type="dxa"/>
        </w:tblCellMar>
      </w:tblPr>
      <w:tblGrid>
        <w:gridCol w:w="1178"/>
        <w:gridCol w:w="9027"/>
      </w:tblGrid>
      <w:tr>
        <w:trPr/>
        <w:tc>
          <w:tcPr>
            <w:tcW w:w="1178"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Vacation: </w:t>
            </w:r>
          </w:p>
        </w:tc>
        <w:tc>
          <w:tcPr>
            <w:tcW w:w="9027"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Per company policy (plus an additional week subject to the approval of the CEO)</w:t>
            </w:r>
          </w:p>
        </w:tc>
      </w:tr>
    </w:tbl>
    <w:p>
      <w:pPr>
        <w:pStyle w:val="TextBody"/>
        <w:spacing w:lineRule="auto" w:line="300" w:before="0" w:after="0"/>
        <w:ind w:left="2160" w:right="0" w:hanging="0"/>
        <w:jc w:val="left"/>
        <w:rPr/>
      </w:pPr>
      <w:r>
        <w:rPr/>
      </w:r>
    </w:p>
    <w:p>
      <w:pPr>
        <w:pStyle w:val="Normal"/>
        <w:spacing w:lineRule="auto" w:line="300" w:before="0" w:after="0"/>
        <w:jc w:val="left"/>
        <w:rPr>
          <w:sz w:val="4"/>
          <w:szCs w:val="4"/>
        </w:rPr>
      </w:pPr>
      <w:r>
        <w:rPr>
          <w:sz w:val="4"/>
          <w:szCs w:val="4"/>
        </w:rPr>
      </w:r>
      <w:bookmarkStart w:id="5073" w:name="hangingindent406"/>
      <w:bookmarkStart w:id="5074" w:name="hangingindent406"/>
      <w:bookmarkEnd w:id="5074"/>
    </w:p>
    <w:tbl>
      <w:tblPr>
        <w:tblW w:w="5000" w:type="pct"/>
        <w:jc w:val="center"/>
        <w:tblInd w:w="0" w:type="dxa"/>
        <w:tblCellMar>
          <w:top w:w="0" w:type="dxa"/>
          <w:left w:w="0" w:type="dxa"/>
          <w:bottom w:w="0" w:type="dxa"/>
          <w:right w:w="0" w:type="dxa"/>
        </w:tblCellMar>
      </w:tblPr>
      <w:tblGrid>
        <w:gridCol w:w="5056"/>
        <w:gridCol w:w="5149"/>
      </w:tblGrid>
      <w:tr>
        <w:trPr/>
        <w:tc>
          <w:tcPr>
            <w:tcW w:w="5056"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Sick/Personal Time:</w:t>
            </w:r>
          </w:p>
        </w:tc>
        <w:tc>
          <w:tcPr>
            <w:tcW w:w="5149"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Per company policy.</w:t>
            </w:r>
          </w:p>
        </w:tc>
      </w:tr>
    </w:tbl>
    <w:p>
      <w:pPr>
        <w:pStyle w:val="TextBody"/>
        <w:spacing w:lineRule="auto" w:line="300" w:before="0" w:after="0"/>
        <w:ind w:left="0" w:right="0" w:hanging="0"/>
        <w:jc w:val="left"/>
        <w:rPr/>
      </w:pPr>
      <w:r>
        <w:rPr/>
        <w:t> </w:t>
      </w:r>
    </w:p>
    <w:p>
      <w:pPr>
        <w:pStyle w:val="Normal"/>
        <w:spacing w:before="0" w:after="0"/>
        <w:rPr>
          <w:sz w:val="4"/>
          <w:szCs w:val="4"/>
        </w:rPr>
      </w:pPr>
      <w:r>
        <w:rPr>
          <w:sz w:val="4"/>
          <w:szCs w:val="4"/>
        </w:rPr>
      </w:r>
      <w:bookmarkStart w:id="5075" w:name="hangingindent407"/>
      <w:bookmarkStart w:id="5076" w:name="hangingindent407"/>
      <w:bookmarkEnd w:id="5076"/>
    </w:p>
    <w:tbl>
      <w:tblPr>
        <w:tblW w:w="5000" w:type="pct"/>
        <w:jc w:val="center"/>
        <w:tblInd w:w="0" w:type="dxa"/>
        <w:tblCellMar>
          <w:top w:w="0" w:type="dxa"/>
          <w:left w:w="0" w:type="dxa"/>
          <w:bottom w:w="0" w:type="dxa"/>
          <w:right w:w="0" w:type="dxa"/>
        </w:tblCellMar>
      </w:tblPr>
      <w:tblGrid>
        <w:gridCol w:w="766"/>
        <w:gridCol w:w="9439"/>
      </w:tblGrid>
      <w:tr>
        <w:trPr/>
        <w:tc>
          <w:tcPr>
            <w:tcW w:w="766"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Fringe Benefits:</w:t>
            </w:r>
          </w:p>
        </w:tc>
        <w:tc>
          <w:tcPr>
            <w:tcW w:w="9439"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You shall be entitled to any other Fringe Benefits provided to employees of the company, per company policy and in no event shall such other Fringe Benefits provided to you be less than any such benefit offered to any other senior executive with the company (except the CEO). Notwithstanding the foregoing, some executives have been provided with a car allowance (generally in lieu of a salary increase) and you will not be eligible for this benefit at this time. Also, you may participate in the Company 401K plan but you will not receive the Company match as you have a separate pension benefit not available to other executives. Should you terminate your employment with the Company prior to the first vesting date (fourth anniversary of your employment) for your Pension Benefit, whatever benefits you would have been eligible for, you will receive from the Company. </w:t>
            </w:r>
          </w:p>
        </w:tc>
      </w:tr>
    </w:tbl>
    <w:p>
      <w:pPr>
        <w:pStyle w:val="TextBody"/>
        <w:spacing w:lineRule="auto" w:line="300" w:before="0" w:after="0"/>
        <w:ind w:left="2160" w:right="0" w:hanging="2160"/>
        <w:jc w:val="left"/>
        <w:rPr/>
      </w:pPr>
      <w:r>
        <w:rPr/>
      </w:r>
    </w:p>
    <w:p>
      <w:pPr>
        <w:pStyle w:val="Normal"/>
        <w:spacing w:before="0" w:after="0"/>
        <w:rPr>
          <w:sz w:val="4"/>
          <w:szCs w:val="4"/>
        </w:rPr>
      </w:pPr>
      <w:r>
        <w:rPr>
          <w:sz w:val="4"/>
          <w:szCs w:val="4"/>
        </w:rPr>
      </w:r>
      <w:bookmarkStart w:id="5077" w:name="hangingindent408"/>
      <w:bookmarkStart w:id="5078" w:name="hangingindent408"/>
      <w:bookmarkEnd w:id="5078"/>
    </w:p>
    <w:tbl>
      <w:tblPr>
        <w:tblW w:w="5000" w:type="pct"/>
        <w:jc w:val="center"/>
        <w:tblInd w:w="0" w:type="dxa"/>
        <w:tblCellMar>
          <w:top w:w="0" w:type="dxa"/>
          <w:left w:w="0" w:type="dxa"/>
          <w:bottom w:w="0" w:type="dxa"/>
          <w:right w:w="0" w:type="dxa"/>
        </w:tblCellMar>
      </w:tblPr>
      <w:tblGrid>
        <w:gridCol w:w="857"/>
        <w:gridCol w:w="9348"/>
      </w:tblGrid>
      <w:tr>
        <w:trPr/>
        <w:tc>
          <w:tcPr>
            <w:tcW w:w="857"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Severance:</w:t>
            </w:r>
          </w:p>
        </w:tc>
        <w:tc>
          <w:tcPr>
            <w:tcW w:w="9348" w:type="dxa"/>
            <w:tcBorders/>
            <w:shd w:fill="auto" w:val="clear"/>
          </w:tcPr>
          <w:p>
            <w:pPr>
              <w:pStyle w:val="TableContents"/>
              <w:spacing w:before="0" w:after="0"/>
              <w:ind w:left="0" w:right="0" w:hanging="0"/>
              <w:jc w:val="left"/>
              <w:rPr/>
            </w:pPr>
            <w:r>
              <w:rPr>
                <w:rFonts w:ascii="Times New Roman" w:hAnsi="Times New Roman"/>
                <w:sz w:val="20"/>
              </w:rPr>
              <w:t>In the event your employment with the company is terminated by the company for any reason, you will receive Severance in an amount equal to your annual Base Salary (in addition to any other amounts due to you from the company) should the termination date fall prior to your vesting in the Pension Benefit in the 4</w:t>
            </w:r>
            <w:r>
              <w:rPr>
                <w:rFonts w:ascii="Times New Roman" w:hAnsi="Times New Roman"/>
                <w:position w:val="7"/>
                <w:sz w:val="16"/>
                <w:sz w:val="20"/>
              </w:rPr>
              <w:t>th</w:t>
            </w:r>
            <w:r>
              <w:rPr/>
              <w:t xml:space="preserve"> </w:t>
            </w:r>
            <w:r>
              <w:rPr>
                <w:rFonts w:ascii="Times New Roman" w:hAnsi="Times New Roman"/>
                <w:sz w:val="20"/>
              </w:rPr>
              <w:t>year. Thereafter, Severance will be limited to 50% of your annual Base Salary (plus any other amounts due to you from the company).</w:t>
            </w:r>
          </w:p>
        </w:tc>
      </w:tr>
    </w:tbl>
    <w:p>
      <w:pPr>
        <w:pStyle w:val="TextBody"/>
        <w:spacing w:lineRule="auto" w:line="300" w:before="0" w:after="0"/>
        <w:ind w:left="2160" w:right="0" w:hanging="2160"/>
        <w:jc w:val="left"/>
        <w:rPr/>
      </w:pPr>
      <w:r>
        <w:rPr/>
        <w:t> </w:t>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If the above terms reflect our understanding, please sign below and return a copy of this letter to my attention. This letter will serve as the basis of our agreement until a more formal employment agreement is completed. I look forward to your joining our company.</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Sincerely,</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pPr>
      <w:r>
        <w:rPr/>
      </w:r>
    </w:p>
    <w:p>
      <w:pPr>
        <w:pStyle w:val="TextBody"/>
        <w:spacing w:lineRule="auto" w:line="300" w:before="0" w:after="0"/>
        <w:ind w:left="0" w:right="0" w:hanging="0"/>
        <w:jc w:val="left"/>
        <w:rPr/>
      </w:pPr>
      <w:r>
        <w:rPr/>
      </w:r>
    </w:p>
    <w:tbl>
      <w:tblPr>
        <w:tblW w:w="5000" w:type="pct"/>
        <w:jc w:val="left"/>
        <w:tblInd w:w="0" w:type="dxa"/>
        <w:tblCellMar>
          <w:top w:w="0" w:type="dxa"/>
          <w:left w:w="0" w:type="dxa"/>
          <w:bottom w:w="0" w:type="dxa"/>
          <w:right w:w="0" w:type="dxa"/>
        </w:tblCellMar>
      </w:tblPr>
      <w:tblGrid>
        <w:gridCol w:w="5102"/>
        <w:gridCol w:w="5103"/>
      </w:tblGrid>
      <w:tr>
        <w:trPr/>
        <w:tc>
          <w:tcPr>
            <w:tcW w:w="5102" w:type="dxa"/>
            <w:tcBorders/>
            <w:shd w:fill="auto" w:val="cle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James J. Cotter</w:t>
            </w:r>
          </w:p>
        </w:tc>
        <w:tc>
          <w:tcPr>
            <w:tcW w:w="5103" w:type="dxa"/>
            <w:tcBorders/>
            <w:shd w:fill="auto" w:val="cle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Agreed &amp; Accepted:</w:t>
            </w:r>
          </w:p>
        </w:tc>
      </w:tr>
      <w:tr>
        <w:trPr/>
        <w:tc>
          <w:tcPr>
            <w:tcW w:w="5102" w:type="dxa"/>
            <w:tcBorders/>
            <w:shd w:fill="auto" w:val="cle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Chairman, CEO &amp; President</w:t>
            </w:r>
          </w:p>
        </w:tc>
        <w:tc>
          <w:tcPr>
            <w:tcW w:w="5103" w:type="dxa"/>
            <w:tcBorders/>
            <w:shd w:fill="auto" w:val="clear"/>
          </w:tcPr>
          <w:p>
            <w:pPr>
              <w:pStyle w:val="TableContents"/>
              <w:spacing w:before="0" w:after="283"/>
              <w:jc w:val="left"/>
              <w:rPr/>
            </w:pPr>
            <w:r>
              <w:rPr/>
              <w:t> </w:t>
            </w:r>
          </w:p>
        </w:tc>
      </w:tr>
      <w:tr>
        <w:trPr/>
        <w:tc>
          <w:tcPr>
            <w:tcW w:w="5102" w:type="dxa"/>
            <w:tcBorders/>
            <w:shd w:fill="auto" w:val="cle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Reading International, Inc.</w:t>
            </w:r>
          </w:p>
        </w:tc>
        <w:tc>
          <w:tcPr>
            <w:tcW w:w="5103" w:type="dxa"/>
            <w:tcBorders/>
            <w:shd w:fill="auto" w:val="cle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John Hunter</w:t>
            </w:r>
          </w:p>
        </w:tc>
      </w:tr>
    </w:tbl>
    <w:p>
      <w:pPr>
        <w:pStyle w:val="TextBody"/>
        <w:spacing w:before="0" w:after="0"/>
        <w:rPr/>
      </w:pPr>
      <w:r>
        <w:br w:type="page"/>
      </w:r>
      <w:r>
        <w:rPr/>
      </w:r>
      <w:bookmarkStart w:id="5079" w:name="exhibit21.htm"/>
      <w:bookmarkStart w:id="5080" w:name="ksexhibit21"/>
      <w:bookmarkStart w:id="5081" w:name="exhibit21.htm"/>
      <w:bookmarkStart w:id="5082" w:name="ksexhibit21"/>
      <w:bookmarkEnd w:id="5081"/>
      <w:bookmarkEnd w:id="5082"/>
    </w:p>
    <w:p>
      <w:pPr>
        <w:pStyle w:val="TextBody"/>
        <w:spacing w:lineRule="auto" w:line="300" w:before="0" w:after="0"/>
        <w:ind w:left="0" w:right="0" w:hanging="0"/>
        <w:jc w:val="right"/>
        <w:rPr>
          <w:rFonts w:ascii="Times New Roman" w:hAnsi="Times New Roman"/>
          <w:sz w:val="20"/>
        </w:rPr>
      </w:pPr>
      <w:r>
        <w:rPr>
          <w:rFonts w:ascii="Times New Roman" w:hAnsi="Times New Roman"/>
          <w:sz w:val="20"/>
        </w:rPr>
        <w:t>EXHIBIT 21</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READING INTERNATIONAL, INC. - LISTING OF SUBSIDIARIES</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AHGP, Inc.</w:t>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AHLP, Inc.</w:t>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Angelika Film Centers (Dallas), Inc.</w:t>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Angelika Film Centers LLC</w:t>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Angelika Film Centers (Plano), LP</w:t>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Australia Country Cinemas Pty Ltd</w:t>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Australian Equipment Supply Pty Ltd</w:t>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Bayou Cinemas LP</w:t>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Big 4 Farming LLC</w:t>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Burwood Developments Pty Ltd</w:t>
      </w:r>
    </w:p>
    <w:p>
      <w:pPr>
        <w:pStyle w:val="TextBody"/>
        <w:spacing w:lineRule="auto" w:line="300" w:before="0" w:after="0"/>
        <w:ind w:left="0" w:right="0" w:hanging="0"/>
        <w:jc w:val="left"/>
        <w:rPr/>
      </w:pPr>
      <w:r>
        <w:rPr>
          <w:rFonts w:ascii="Times New Roman" w:hAnsi="Times New Roman"/>
          <w:sz w:val="20"/>
        </w:rPr>
        <w:t>Citadel 57</w:t>
      </w:r>
      <w:r>
        <w:rPr>
          <w:rFonts w:ascii="Times New Roman" w:hAnsi="Times New Roman"/>
          <w:position w:val="7"/>
          <w:sz w:val="16"/>
          <w:sz w:val="20"/>
        </w:rPr>
        <w:t>th</w:t>
      </w:r>
      <w:r>
        <w:rPr/>
        <w:t xml:space="preserve"> </w:t>
      </w:r>
      <w:r>
        <w:rPr>
          <w:rFonts w:ascii="Times New Roman" w:hAnsi="Times New Roman"/>
          <w:sz w:val="20"/>
        </w:rPr>
        <w:t>Street, LLC</w:t>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Citadel Agriculture, Inc.</w:t>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Citadel Cinemas, Inc.</w:t>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Citadel Realty, Inc.</w:t>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Copenhagen Courtenay Central Ltd</w:t>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Courtenay Car Park Ltd</w:t>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 xml:space="preserve">Craig Corporation </w:t>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Darnelle Enterprises Ltd</w:t>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Dimension Specialty, Inc.</w:t>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Epping Cinemas Pty Ltd</w:t>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Hope Street Hospitality, LLC</w:t>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Hotel Newmarket Pty Ltd</w:t>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Landplan Property Partners New Zealand Ltd</w:t>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Landplan Property Partners Pty Ltd</w:t>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Liberty Live, LLC</w:t>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Liberty Theaters, LLC</w:t>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Liberty Theatricals, LLC</w:t>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Minetta Live, LLC</w:t>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Movieland Cinemas (NZ) Ltd</w:t>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Newmarket Properties Pty Ltd</w:t>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Newmarket Properties No. 2 Pty Ltd</w:t>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Orpheum Live, LLC</w:t>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Port Reading Railroad Company</w:t>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Queenstown Land Holdings Ltd</w:t>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Reading Arthouse Distribution Ltd</w:t>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Reading Arthouse Ltd</w:t>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Reading Capital Corporation</w:t>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Reading Center Development Corporation</w:t>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Reading Cinemas Courtenay Central Ltd</w:t>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Reading Cinemas Management Pty Ltd</w:t>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Reading Cinemas NJ, Inc.</w:t>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Reading Cinemas of Puerto Rico, Inc.</w:t>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Reading Cinemas Pty Ltd</w:t>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Reading Cinemas Puerto Rico LLC</w:t>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Reading Cinemas USA LLC</w:t>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Reading Colac Pty Ltd</w:t>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Reading Company</w:t>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Reading Courtenay Central Ltd</w:t>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Reading Elizabeth Pty Ltd</w:t>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Reading Entertainment Australia Pty Ltd</w:t>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Reading Exhibition Pty Ltd</w:t>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Reading Holdings, Inc.</w:t>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Reading International Cinemas LLC</w:t>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Reading Licenses Pty Ltd</w:t>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Reading Melton Pty Ltd</w:t>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Reading Moonee Ponds Pty Ltd</w:t>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Reading New Zealand Ltd</w:t>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Reading Pacific LLC</w:t>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Reading Properties Pty Ltd</w:t>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Reading Queenstown Ltd</w:t>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Reading Real Estate Company</w:t>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Reading Rouse Hill Pty Ltd</w:t>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Reading Royal George, LLC</w:t>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Reading Sunbury Pty Ltd</w:t>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Reading Theaters, Inc.</w:t>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Reading Wellington Properties Ltd</w:t>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Rhodes Peninsula Cinema Pty Ltd</w:t>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Rialto Brands Ltd</w:t>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Rialto Cinemas Ltd</w:t>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Rialto Entertainment Ltd</w:t>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Ronwood Investments Ltd</w:t>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Rydal Equipment Co.</w:t>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Sutton Hill Properties, LLC</w:t>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Tobrooke Holdings Ltd</w:t>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 xml:space="preserve">Trenton-Princeton Traction Company </w:t>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Twin Cities Cinemas, Inc.</w:t>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US Development, LLC</w:t>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US International Property Finance Pty Ltd</w:t>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Washington and Franklin Railway Company</w:t>
      </w:r>
    </w:p>
    <w:p>
      <w:pPr>
        <w:pStyle w:val="TextBody"/>
        <w:spacing w:lineRule="auto" w:line="300"/>
        <w:ind w:left="0" w:right="0" w:hanging="0"/>
        <w:jc w:val="left"/>
        <w:rPr>
          <w:rFonts w:ascii="Times New Roman" w:hAnsi="Times New Roman"/>
          <w:sz w:val="20"/>
        </w:rPr>
      </w:pPr>
      <w:r>
        <w:rPr>
          <w:rFonts w:ascii="Times New Roman" w:hAnsi="Times New Roman"/>
          <w:sz w:val="20"/>
        </w:rPr>
        <w:t>Westlakes Cinema Pty Ltd</w:t>
      </w:r>
      <w:r>
        <w:br w:type="page"/>
      </w:r>
    </w:p>
    <w:p>
      <w:pPr>
        <w:pStyle w:val="TextBody"/>
        <w:spacing w:lineRule="auto" w:line="300" w:before="0" w:after="0"/>
        <w:ind w:left="0" w:right="0" w:hanging="0"/>
        <w:jc w:val="both"/>
        <w:rPr/>
      </w:pPr>
      <w:bookmarkStart w:id="5083" w:name="exhibit23.htm"/>
      <w:bookmarkStart w:id="5084" w:name="ksexhibit23"/>
      <w:bookmarkEnd w:id="5083"/>
      <w:bookmarkEnd w:id="5084"/>
      <w:r>
        <w:rPr/>
        <w:t> </w:t>
      </w:r>
    </w:p>
    <w:p>
      <w:pPr>
        <w:pStyle w:val="TextBody"/>
        <w:spacing w:lineRule="auto" w:line="300" w:before="0" w:after="0"/>
        <w:ind w:left="0" w:right="0" w:hanging="0"/>
        <w:jc w:val="right"/>
        <w:rPr/>
      </w:pPr>
      <w:r>
        <w:rPr>
          <w:rStyle w:val="StrongEmphasis"/>
          <w:rFonts w:ascii="Times New Roman" w:hAnsi="Times New Roman"/>
          <w:sz w:val="20"/>
        </w:rPr>
        <w:t>EXHIBIT 23</w:t>
      </w:r>
      <w:r>
        <w:rPr/>
        <w:t> </w:t>
      </w:r>
    </w:p>
    <w:p>
      <w:pPr>
        <w:pStyle w:val="TextBody"/>
        <w:spacing w:lineRule="auto" w:line="300" w:before="0" w:after="0"/>
        <w:ind w:left="0" w:right="0" w:hanging="0"/>
        <w:jc w:val="both"/>
        <w:rPr/>
      </w:pPr>
      <w:r>
        <w:rPr/>
        <w:t> </w:t>
      </w:r>
    </w:p>
    <w:p>
      <w:pPr>
        <w:pStyle w:val="TextBody"/>
        <w:spacing w:lineRule="auto" w:line="300" w:before="0" w:after="0"/>
        <w:ind w:left="0" w:right="0" w:hanging="0"/>
        <w:jc w:val="center"/>
        <w:rPr/>
      </w:pPr>
      <w:r>
        <w:rPr>
          <w:rStyle w:val="StrongEmphasis"/>
          <w:rFonts w:ascii="Times New Roman" w:hAnsi="Times New Roman"/>
          <w:sz w:val="20"/>
        </w:rPr>
        <w:t>CONSENT OF INDEPENDENT REGISTERED PUBLIC ACCOUNTING FIRM</w:t>
      </w:r>
      <w:r>
        <w:rPr/>
        <w:t> </w:t>
      </w:r>
    </w:p>
    <w:p>
      <w:pPr>
        <w:pStyle w:val="TextBody"/>
        <w:spacing w:lineRule="auto" w:line="300" w:before="0" w:after="0"/>
        <w:ind w:left="0" w:right="0" w:hanging="0"/>
        <w:jc w:val="both"/>
        <w:rPr/>
      </w:pPr>
      <w:r>
        <w:rPr/>
        <w:t> </w:t>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 xml:space="preserve">We consent to the incorporation by reference in Registration Statement No. 333-36277 on Form S-8 of our reports dated March 29, 2007, relating to the consolidated financial statements and financial statement schedules of Reading International, Inc. and its subsidiaries and management’s report on internal control over financial reporting (which report expresses an adverse opinion on the effectiveness of the Company's internal control over financial reporting because of a material weakness), appearing in this Annual Report on Form 10-K of Reading International, Inc. for the year ended December 31, 2006. </w:t>
      </w:r>
    </w:p>
    <w:p>
      <w:pPr>
        <w:pStyle w:val="TextBody"/>
        <w:spacing w:lineRule="auto" w:line="300" w:before="0" w:after="0"/>
        <w:ind w:left="0" w:right="0" w:hanging="0"/>
        <w:jc w:val="both"/>
        <w:rPr/>
      </w:pPr>
      <w:r>
        <w:rPr/>
        <w:t> </w:t>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 xml:space="preserve">DELOITTE &amp; TOUCHE LLP </w:t>
      </w:r>
    </w:p>
    <w:p>
      <w:pPr>
        <w:pStyle w:val="TextBody"/>
        <w:spacing w:lineRule="auto" w:line="300" w:before="0" w:after="0"/>
        <w:ind w:left="0" w:right="0" w:hanging="0"/>
        <w:jc w:val="both"/>
        <w:rPr/>
      </w:pPr>
      <w:r>
        <w:rPr/>
        <w:t> </w:t>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Los Angeles, California</w:t>
      </w:r>
    </w:p>
    <w:p>
      <w:pPr>
        <w:pStyle w:val="TextBody"/>
        <w:spacing w:lineRule="auto" w:line="300" w:before="0" w:after="0"/>
        <w:ind w:left="0" w:right="0" w:hanging="0"/>
        <w:jc w:val="both"/>
        <w:rPr/>
      </w:pPr>
      <w:r>
        <w:rPr/>
        <w:t> </w:t>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March 29, 2007</w:t>
      </w:r>
    </w:p>
    <w:p>
      <w:pPr>
        <w:pStyle w:val="TextBody"/>
        <w:spacing w:lineRule="auto" w:line="300" w:before="0" w:after="0"/>
        <w:ind w:left="0" w:right="0" w:hanging="0"/>
        <w:jc w:val="both"/>
        <w:rPr/>
      </w:pPr>
      <w:r>
        <w:rPr/>
        <w:t> </w:t>
      </w:r>
    </w:p>
    <w:p>
      <w:pPr>
        <w:pStyle w:val="TextBody"/>
        <w:spacing w:lineRule="auto" w:line="300"/>
        <w:ind w:left="0" w:right="0" w:hanging="0"/>
        <w:jc w:val="left"/>
        <w:rPr/>
      </w:pPr>
      <w:r>
        <w:rPr/>
      </w:r>
      <w:r>
        <w:br w:type="page"/>
      </w:r>
    </w:p>
    <w:p>
      <w:pPr>
        <w:pStyle w:val="TextBody"/>
        <w:spacing w:before="0" w:after="0"/>
        <w:rPr/>
      </w:pPr>
      <w:r>
        <w:rPr/>
      </w:r>
      <w:bookmarkStart w:id="5085" w:name="certification31_1.htm"/>
      <w:bookmarkStart w:id="5086" w:name="kscertification31_1"/>
      <w:bookmarkStart w:id="5087" w:name="certification31_1.htm"/>
      <w:bookmarkStart w:id="5088" w:name="kscertification31_1"/>
      <w:bookmarkEnd w:id="5087"/>
      <w:bookmarkEnd w:id="5088"/>
    </w:p>
    <w:p>
      <w:pPr>
        <w:pStyle w:val="TextBody"/>
        <w:spacing w:lineRule="auto" w:line="300" w:before="0" w:after="0"/>
        <w:ind w:left="0" w:right="0" w:hanging="0"/>
        <w:jc w:val="center"/>
        <w:rPr/>
      </w:pPr>
      <w:r>
        <w:rPr>
          <w:rStyle w:val="StrongEmphasis"/>
          <w:rFonts w:ascii="Times New Roman" w:hAnsi="Times New Roman"/>
          <w:sz w:val="20"/>
          <w:u w:val="single"/>
        </w:rPr>
        <w:t>CERTIFICATIONS</w:t>
      </w:r>
    </w:p>
    <w:p>
      <w:pPr>
        <w:pStyle w:val="TextBody"/>
        <w:spacing w:lineRule="auto" w:line="300" w:before="0" w:after="0"/>
        <w:ind w:left="0" w:right="0" w:hanging="0"/>
        <w:jc w:val="right"/>
        <w:rPr/>
      </w:pPr>
      <w:r>
        <w:rPr/>
      </w:r>
    </w:p>
    <w:p>
      <w:pPr>
        <w:pStyle w:val="TextBody"/>
        <w:spacing w:lineRule="auto" w:line="300" w:before="0" w:after="0"/>
        <w:ind w:left="0" w:right="0" w:hanging="0"/>
        <w:jc w:val="right"/>
        <w:rPr/>
      </w:pPr>
      <w:r>
        <w:rPr>
          <w:rStyle w:val="StrongEmphasis"/>
          <w:rFonts w:ascii="Times New Roman" w:hAnsi="Times New Roman"/>
          <w:sz w:val="20"/>
        </w:rPr>
        <w:t xml:space="preserve">EXHIBIT 31.1 </w:t>
      </w:r>
    </w:p>
    <w:p>
      <w:pPr>
        <w:pStyle w:val="TextBody"/>
        <w:spacing w:lineRule="auto" w:line="300" w:before="0" w:after="0"/>
        <w:ind w:left="0" w:right="0" w:hanging="0"/>
        <w:jc w:val="left"/>
        <w:rPr/>
      </w:pPr>
      <w:r>
        <w:rPr/>
      </w:r>
    </w:p>
    <w:p>
      <w:pPr>
        <w:pStyle w:val="TextBody"/>
        <w:spacing w:lineRule="auto" w:line="300" w:before="0" w:after="0"/>
        <w:ind w:left="0" w:right="0" w:hanging="0"/>
        <w:jc w:val="center"/>
        <w:rPr/>
      </w:pPr>
      <w:r>
        <w:rPr>
          <w:rStyle w:val="StrongEmphasis"/>
          <w:rFonts w:ascii="Times New Roman" w:hAnsi="Times New Roman"/>
          <w:sz w:val="20"/>
        </w:rPr>
        <w:t>CERTIFICATION PURSUANT TO SECTION 302 OF THE SARBANES-OXLEY ACT OF 2002</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 xml:space="preserve">I, James J. Cotter, certify that: </w:t>
      </w:r>
    </w:p>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5089" w:name="list2"/>
      <w:bookmarkStart w:id="5090" w:name="list2"/>
      <w:bookmarkEnd w:id="5090"/>
    </w:p>
    <w:tbl>
      <w:tblPr>
        <w:tblW w:w="5000" w:type="pct"/>
        <w:jc w:val="left"/>
        <w:tblInd w:w="0" w:type="dxa"/>
        <w:tblCellMar>
          <w:top w:w="0" w:type="dxa"/>
          <w:left w:w="0" w:type="dxa"/>
          <w:bottom w:w="0" w:type="dxa"/>
          <w:right w:w="0" w:type="dxa"/>
        </w:tblCellMar>
      </w:tblPr>
      <w:tblGrid>
        <w:gridCol w:w="548"/>
        <w:gridCol w:w="9657"/>
      </w:tblGrid>
      <w:tr>
        <w:trPr/>
        <w:tc>
          <w:tcPr>
            <w:tcW w:w="548"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1)  </w:t>
            </w:r>
          </w:p>
        </w:tc>
        <w:tc>
          <w:tcPr>
            <w:tcW w:w="965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I have reviewed this Form 10-K of Reading International, Inc.; </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5091" w:name="list3"/>
      <w:bookmarkStart w:id="5092" w:name="list3"/>
      <w:bookmarkEnd w:id="5092"/>
    </w:p>
    <w:tbl>
      <w:tblPr>
        <w:tblW w:w="5000" w:type="pct"/>
        <w:jc w:val="left"/>
        <w:tblInd w:w="0" w:type="dxa"/>
        <w:tblCellMar>
          <w:top w:w="0" w:type="dxa"/>
          <w:left w:w="0" w:type="dxa"/>
          <w:bottom w:w="0" w:type="dxa"/>
          <w:right w:w="0" w:type="dxa"/>
        </w:tblCellMar>
      </w:tblPr>
      <w:tblGrid>
        <w:gridCol w:w="224"/>
        <w:gridCol w:w="9981"/>
      </w:tblGrid>
      <w:tr>
        <w:trPr/>
        <w:tc>
          <w:tcPr>
            <w:tcW w:w="224"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2)  </w:t>
            </w:r>
          </w:p>
        </w:tc>
        <w:tc>
          <w:tcPr>
            <w:tcW w:w="998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5093" w:name="list4"/>
      <w:bookmarkStart w:id="5094" w:name="list4"/>
      <w:bookmarkEnd w:id="5094"/>
    </w:p>
    <w:tbl>
      <w:tblPr>
        <w:tblW w:w="5000" w:type="pct"/>
        <w:jc w:val="left"/>
        <w:tblInd w:w="0" w:type="dxa"/>
        <w:tblCellMar>
          <w:top w:w="0" w:type="dxa"/>
          <w:left w:w="0" w:type="dxa"/>
          <w:bottom w:w="0" w:type="dxa"/>
          <w:right w:w="0" w:type="dxa"/>
        </w:tblCellMar>
      </w:tblPr>
      <w:tblGrid>
        <w:gridCol w:w="229"/>
        <w:gridCol w:w="9976"/>
      </w:tblGrid>
      <w:tr>
        <w:trPr/>
        <w:tc>
          <w:tcPr>
            <w:tcW w:w="229"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3)  </w:t>
            </w:r>
          </w:p>
        </w:tc>
        <w:tc>
          <w:tcPr>
            <w:tcW w:w="997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5095" w:name="list5"/>
      <w:bookmarkStart w:id="5096" w:name="list5"/>
      <w:bookmarkEnd w:id="5096"/>
    </w:p>
    <w:tbl>
      <w:tblPr>
        <w:tblW w:w="5000" w:type="pct"/>
        <w:jc w:val="left"/>
        <w:tblInd w:w="0" w:type="dxa"/>
        <w:tblCellMar>
          <w:top w:w="0" w:type="dxa"/>
          <w:left w:w="0" w:type="dxa"/>
          <w:bottom w:w="0" w:type="dxa"/>
          <w:right w:w="0" w:type="dxa"/>
        </w:tblCellMar>
      </w:tblPr>
      <w:tblGrid>
        <w:gridCol w:w="221"/>
        <w:gridCol w:w="9984"/>
      </w:tblGrid>
      <w:tr>
        <w:trPr/>
        <w:tc>
          <w:tcPr>
            <w:tcW w:w="221"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4)  </w:t>
            </w:r>
          </w:p>
        </w:tc>
        <w:tc>
          <w:tcPr>
            <w:tcW w:w="998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5097" w:name="list6"/>
      <w:bookmarkStart w:id="5098" w:name="list6"/>
      <w:bookmarkEnd w:id="5098"/>
    </w:p>
    <w:tbl>
      <w:tblPr>
        <w:tblW w:w="5000" w:type="pct"/>
        <w:jc w:val="left"/>
        <w:tblInd w:w="0" w:type="dxa"/>
        <w:tblCellMar>
          <w:top w:w="0" w:type="dxa"/>
          <w:left w:w="0" w:type="dxa"/>
          <w:bottom w:w="0" w:type="dxa"/>
          <w:right w:w="0" w:type="dxa"/>
        </w:tblCellMar>
      </w:tblPr>
      <w:tblGrid>
        <w:gridCol w:w="212"/>
        <w:gridCol w:w="9993"/>
      </w:tblGrid>
      <w:tr>
        <w:trPr/>
        <w:tc>
          <w:tcPr>
            <w:tcW w:w="212"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a)  </w:t>
            </w:r>
          </w:p>
        </w:tc>
        <w:tc>
          <w:tcPr>
            <w:tcW w:w="999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5099" w:name="list7"/>
      <w:bookmarkStart w:id="5100" w:name="list7"/>
      <w:bookmarkEnd w:id="5100"/>
    </w:p>
    <w:tbl>
      <w:tblPr>
        <w:tblW w:w="5000" w:type="pct"/>
        <w:jc w:val="left"/>
        <w:tblInd w:w="0" w:type="dxa"/>
        <w:tblCellMar>
          <w:top w:w="0" w:type="dxa"/>
          <w:left w:w="0" w:type="dxa"/>
          <w:bottom w:w="0" w:type="dxa"/>
          <w:right w:w="0" w:type="dxa"/>
        </w:tblCellMar>
      </w:tblPr>
      <w:tblGrid>
        <w:gridCol w:w="217"/>
        <w:gridCol w:w="9988"/>
      </w:tblGrid>
      <w:tr>
        <w:trPr/>
        <w:tc>
          <w:tcPr>
            <w:tcW w:w="217"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b)  </w:t>
            </w:r>
          </w:p>
        </w:tc>
        <w:tc>
          <w:tcPr>
            <w:tcW w:w="998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5101" w:name="list8"/>
      <w:bookmarkStart w:id="5102" w:name="list8"/>
      <w:bookmarkEnd w:id="5102"/>
    </w:p>
    <w:tbl>
      <w:tblPr>
        <w:tblW w:w="5000" w:type="pct"/>
        <w:jc w:val="left"/>
        <w:tblInd w:w="0" w:type="dxa"/>
        <w:tblCellMar>
          <w:top w:w="0" w:type="dxa"/>
          <w:left w:w="0" w:type="dxa"/>
          <w:bottom w:w="0" w:type="dxa"/>
          <w:right w:w="0" w:type="dxa"/>
        </w:tblCellMar>
      </w:tblPr>
      <w:tblGrid>
        <w:gridCol w:w="222"/>
        <w:gridCol w:w="9983"/>
      </w:tblGrid>
      <w:tr>
        <w:trPr/>
        <w:tc>
          <w:tcPr>
            <w:tcW w:w="222"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c)  </w:t>
            </w:r>
          </w:p>
        </w:tc>
        <w:tc>
          <w:tcPr>
            <w:tcW w:w="998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5103" w:name="list9"/>
      <w:bookmarkStart w:id="5104" w:name="list9"/>
      <w:bookmarkEnd w:id="5104"/>
    </w:p>
    <w:tbl>
      <w:tblPr>
        <w:tblW w:w="5000" w:type="pct"/>
        <w:jc w:val="left"/>
        <w:tblInd w:w="0" w:type="dxa"/>
        <w:tblCellMar>
          <w:top w:w="0" w:type="dxa"/>
          <w:left w:w="0" w:type="dxa"/>
          <w:bottom w:w="0" w:type="dxa"/>
          <w:right w:w="0" w:type="dxa"/>
        </w:tblCellMar>
      </w:tblPr>
      <w:tblGrid>
        <w:gridCol w:w="218"/>
        <w:gridCol w:w="9987"/>
      </w:tblGrid>
      <w:tr>
        <w:trPr/>
        <w:tc>
          <w:tcPr>
            <w:tcW w:w="218"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d)  </w:t>
            </w:r>
          </w:p>
        </w:tc>
        <w:tc>
          <w:tcPr>
            <w:tcW w:w="998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5105" w:name="list10"/>
      <w:bookmarkStart w:id="5106" w:name="list10"/>
      <w:bookmarkEnd w:id="5106"/>
    </w:p>
    <w:tbl>
      <w:tblPr>
        <w:tblW w:w="5000" w:type="pct"/>
        <w:jc w:val="left"/>
        <w:tblInd w:w="0" w:type="dxa"/>
        <w:tblCellMar>
          <w:top w:w="0" w:type="dxa"/>
          <w:left w:w="0" w:type="dxa"/>
          <w:bottom w:w="0" w:type="dxa"/>
          <w:right w:w="0" w:type="dxa"/>
        </w:tblCellMar>
      </w:tblPr>
      <w:tblGrid>
        <w:gridCol w:w="228"/>
        <w:gridCol w:w="9977"/>
      </w:tblGrid>
      <w:tr>
        <w:trPr/>
        <w:tc>
          <w:tcPr>
            <w:tcW w:w="228"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5)  </w:t>
            </w:r>
          </w:p>
        </w:tc>
        <w:tc>
          <w:tcPr>
            <w:tcW w:w="997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The registrant’s other certifying officer and I have disclosed, based on our most recent evaluation of internal control over financial reporting, to the registrant’s auditors and the audit committee of registrant’s Board of Directors (or persons performing the equivalent functions): </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5107" w:name="list11"/>
      <w:bookmarkStart w:id="5108" w:name="list11"/>
      <w:bookmarkEnd w:id="5108"/>
    </w:p>
    <w:tbl>
      <w:tblPr>
        <w:tblW w:w="5000" w:type="pct"/>
        <w:jc w:val="left"/>
        <w:tblInd w:w="0" w:type="dxa"/>
        <w:tblCellMar>
          <w:top w:w="0" w:type="dxa"/>
          <w:left w:w="0" w:type="dxa"/>
          <w:bottom w:w="0" w:type="dxa"/>
          <w:right w:w="0" w:type="dxa"/>
        </w:tblCellMar>
      </w:tblPr>
      <w:tblGrid>
        <w:gridCol w:w="224"/>
        <w:gridCol w:w="9981"/>
      </w:tblGrid>
      <w:tr>
        <w:trPr/>
        <w:tc>
          <w:tcPr>
            <w:tcW w:w="224"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a)  </w:t>
            </w:r>
          </w:p>
        </w:tc>
        <w:tc>
          <w:tcPr>
            <w:tcW w:w="998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5109" w:name="list12"/>
      <w:bookmarkStart w:id="5110" w:name="list12"/>
      <w:bookmarkEnd w:id="5110"/>
    </w:p>
    <w:tbl>
      <w:tblPr>
        <w:tblW w:w="5000" w:type="pct"/>
        <w:jc w:val="left"/>
        <w:tblInd w:w="0" w:type="dxa"/>
        <w:tblCellMar>
          <w:top w:w="0" w:type="dxa"/>
          <w:left w:w="0" w:type="dxa"/>
          <w:bottom w:w="0" w:type="dxa"/>
          <w:right w:w="0" w:type="dxa"/>
        </w:tblCellMar>
      </w:tblPr>
      <w:tblGrid>
        <w:gridCol w:w="258"/>
        <w:gridCol w:w="9947"/>
      </w:tblGrid>
      <w:tr>
        <w:trPr/>
        <w:tc>
          <w:tcPr>
            <w:tcW w:w="258"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b)  </w:t>
            </w:r>
          </w:p>
        </w:tc>
        <w:tc>
          <w:tcPr>
            <w:tcW w:w="994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any fraud, whether or not material, that involves management or other employees who have a significant role in the registrant’s internal control over financial reporting. </w:t>
            </w:r>
          </w:p>
        </w:tc>
      </w:tr>
    </w:tbl>
    <w:p>
      <w:pPr>
        <w:pStyle w:val="TextBody"/>
        <w:spacing w:lineRule="auto" w:line="300" w:before="0" w:after="0"/>
        <w:ind w:left="0" w:right="0" w:hanging="0"/>
        <w:jc w:val="left"/>
        <w:rPr/>
      </w:pPr>
      <w:r>
        <w:rPr/>
      </w:r>
    </w:p>
    <w:p>
      <w:pPr>
        <w:pStyle w:val="TextBody"/>
        <w:spacing w:lineRule="auto" w:line="300" w:before="0" w:after="0"/>
        <w:ind w:left="0" w:right="0" w:hanging="0"/>
        <w:jc w:val="left"/>
        <w:rPr/>
      </w:pPr>
      <w:r>
        <w:rPr/>
      </w:r>
    </w:p>
    <w:p>
      <w:pPr>
        <w:pStyle w:val="TextBody"/>
        <w:spacing w:lineRule="auto" w:line="300" w:before="0" w:after="0"/>
        <w:ind w:left="0" w:right="0" w:hanging="0"/>
        <w:jc w:val="left"/>
        <w:rPr/>
      </w:pPr>
      <w:r>
        <w:rPr>
          <w:rFonts w:ascii="Times New Roman" w:hAnsi="Times New Roman"/>
          <w:sz w:val="20"/>
          <w:u w:val="single"/>
        </w:rPr>
        <w:t>/s/ James J. Cotter</w:t>
      </w:r>
      <w:bookmarkStart w:id="5111" w:name="TAB2310"/>
      <w:bookmarkEnd w:id="5111"/>
      <w:r>
        <w:rPr>
          <w:color w:val="000000"/>
          <w:spacing w:val="2700"/>
        </w:rPr>
        <w:t> </w:t>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James J. Cotter</w:t>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 xml:space="preserve">Chief Executive Officer </w:t>
      </w:r>
    </w:p>
    <w:p>
      <w:pPr>
        <w:pStyle w:val="TextBody"/>
        <w:spacing w:lineRule="auto" w:line="300"/>
        <w:ind w:left="0" w:right="0" w:hanging="0"/>
        <w:jc w:val="left"/>
        <w:rPr/>
      </w:pPr>
      <w:r>
        <w:rPr>
          <w:rFonts w:ascii="Times New Roman" w:hAnsi="Times New Roman"/>
          <w:sz w:val="20"/>
        </w:rPr>
        <w:t>March 28, 2007</w:t>
      </w:r>
      <w:bookmarkStart w:id="5112" w:name="TAB2311"/>
      <w:bookmarkEnd w:id="5112"/>
      <w:r>
        <w:rPr>
          <w:color w:val="000000"/>
          <w:spacing w:val="540"/>
        </w:rPr>
        <w:t> </w:t>
      </w:r>
      <w:r>
        <w:rPr/>
        <w:t> </w:t>
      </w:r>
      <w:r>
        <w:br w:type="page"/>
      </w:r>
    </w:p>
    <w:p>
      <w:pPr>
        <w:pStyle w:val="TextBody"/>
        <w:spacing w:before="0" w:after="0"/>
        <w:rPr/>
      </w:pPr>
      <w:r>
        <w:rPr/>
      </w:r>
      <w:bookmarkStart w:id="5113" w:name="certification31_2.htm"/>
      <w:bookmarkStart w:id="5114" w:name="kscertification31_2"/>
      <w:bookmarkStart w:id="5115" w:name="certification31_2.htm"/>
      <w:bookmarkStart w:id="5116" w:name="kscertification31_2"/>
      <w:bookmarkEnd w:id="5115"/>
      <w:bookmarkEnd w:id="5116"/>
    </w:p>
    <w:p>
      <w:pPr>
        <w:pStyle w:val="TextBody"/>
        <w:spacing w:lineRule="auto" w:line="300" w:before="0" w:after="0"/>
        <w:ind w:left="0" w:right="0" w:hanging="0"/>
        <w:jc w:val="right"/>
        <w:rPr/>
      </w:pPr>
      <w:r>
        <w:rPr>
          <w:rStyle w:val="StrongEmphasis"/>
          <w:rFonts w:ascii="Times New Roman" w:hAnsi="Times New Roman"/>
          <w:sz w:val="20"/>
        </w:rPr>
        <w:t xml:space="preserve">EXHIBIT 31.2 </w:t>
      </w:r>
    </w:p>
    <w:p>
      <w:pPr>
        <w:pStyle w:val="TextBody"/>
        <w:spacing w:lineRule="auto" w:line="300" w:before="0" w:after="0"/>
        <w:ind w:left="0" w:right="0" w:hanging="0"/>
        <w:jc w:val="left"/>
        <w:rPr/>
      </w:pPr>
      <w:r>
        <w:rPr/>
      </w:r>
    </w:p>
    <w:p>
      <w:pPr>
        <w:pStyle w:val="TextBody"/>
        <w:spacing w:lineRule="auto" w:line="300" w:before="0" w:after="0"/>
        <w:ind w:left="0" w:right="0" w:hanging="0"/>
        <w:jc w:val="center"/>
        <w:rPr/>
      </w:pPr>
      <w:r>
        <w:rPr>
          <w:rStyle w:val="StrongEmphasis"/>
          <w:rFonts w:ascii="Times New Roman" w:hAnsi="Times New Roman"/>
          <w:sz w:val="20"/>
        </w:rPr>
        <w:t>CERTIFICATION PURSUANT TO SECTION 302 OF THE SARBANES-OXLEY ACT OF 2002</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 xml:space="preserve">I, Andrzej Matyczynski, certify that: </w:t>
      </w:r>
    </w:p>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5117" w:name="list13"/>
      <w:bookmarkStart w:id="5118" w:name="list13"/>
      <w:bookmarkEnd w:id="5118"/>
    </w:p>
    <w:tbl>
      <w:tblPr>
        <w:tblW w:w="5000" w:type="pct"/>
        <w:jc w:val="left"/>
        <w:tblInd w:w="0" w:type="dxa"/>
        <w:tblCellMar>
          <w:top w:w="0" w:type="dxa"/>
          <w:left w:w="0" w:type="dxa"/>
          <w:bottom w:w="0" w:type="dxa"/>
          <w:right w:w="0" w:type="dxa"/>
        </w:tblCellMar>
      </w:tblPr>
      <w:tblGrid>
        <w:gridCol w:w="548"/>
        <w:gridCol w:w="9657"/>
      </w:tblGrid>
      <w:tr>
        <w:trPr/>
        <w:tc>
          <w:tcPr>
            <w:tcW w:w="548"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1)  </w:t>
            </w:r>
          </w:p>
        </w:tc>
        <w:tc>
          <w:tcPr>
            <w:tcW w:w="965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I have reviewed this Form 10-K of Reading International, Inc.; </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5119" w:name="list14"/>
      <w:bookmarkStart w:id="5120" w:name="list14"/>
      <w:bookmarkEnd w:id="5120"/>
    </w:p>
    <w:tbl>
      <w:tblPr>
        <w:tblW w:w="5000" w:type="pct"/>
        <w:jc w:val="left"/>
        <w:tblInd w:w="0" w:type="dxa"/>
        <w:tblCellMar>
          <w:top w:w="0" w:type="dxa"/>
          <w:left w:w="0" w:type="dxa"/>
          <w:bottom w:w="0" w:type="dxa"/>
          <w:right w:w="0" w:type="dxa"/>
        </w:tblCellMar>
      </w:tblPr>
      <w:tblGrid>
        <w:gridCol w:w="224"/>
        <w:gridCol w:w="9981"/>
      </w:tblGrid>
      <w:tr>
        <w:trPr/>
        <w:tc>
          <w:tcPr>
            <w:tcW w:w="224"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2)  </w:t>
            </w:r>
          </w:p>
        </w:tc>
        <w:tc>
          <w:tcPr>
            <w:tcW w:w="998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5121" w:name="list15"/>
      <w:bookmarkStart w:id="5122" w:name="list15"/>
      <w:bookmarkEnd w:id="5122"/>
    </w:p>
    <w:tbl>
      <w:tblPr>
        <w:tblW w:w="5000" w:type="pct"/>
        <w:jc w:val="left"/>
        <w:tblInd w:w="0" w:type="dxa"/>
        <w:tblCellMar>
          <w:top w:w="0" w:type="dxa"/>
          <w:left w:w="0" w:type="dxa"/>
          <w:bottom w:w="0" w:type="dxa"/>
          <w:right w:w="0" w:type="dxa"/>
        </w:tblCellMar>
      </w:tblPr>
      <w:tblGrid>
        <w:gridCol w:w="229"/>
        <w:gridCol w:w="9976"/>
      </w:tblGrid>
      <w:tr>
        <w:trPr/>
        <w:tc>
          <w:tcPr>
            <w:tcW w:w="229"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3)  </w:t>
            </w:r>
          </w:p>
        </w:tc>
        <w:tc>
          <w:tcPr>
            <w:tcW w:w="997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5123" w:name="list16"/>
      <w:bookmarkStart w:id="5124" w:name="list16"/>
      <w:bookmarkEnd w:id="5124"/>
    </w:p>
    <w:tbl>
      <w:tblPr>
        <w:tblW w:w="5000" w:type="pct"/>
        <w:jc w:val="left"/>
        <w:tblInd w:w="0" w:type="dxa"/>
        <w:tblCellMar>
          <w:top w:w="0" w:type="dxa"/>
          <w:left w:w="0" w:type="dxa"/>
          <w:bottom w:w="0" w:type="dxa"/>
          <w:right w:w="0" w:type="dxa"/>
        </w:tblCellMar>
      </w:tblPr>
      <w:tblGrid>
        <w:gridCol w:w="221"/>
        <w:gridCol w:w="9984"/>
      </w:tblGrid>
      <w:tr>
        <w:trPr/>
        <w:tc>
          <w:tcPr>
            <w:tcW w:w="221"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4)  </w:t>
            </w:r>
          </w:p>
        </w:tc>
        <w:tc>
          <w:tcPr>
            <w:tcW w:w="998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5125" w:name="list17"/>
      <w:bookmarkStart w:id="5126" w:name="list17"/>
      <w:bookmarkEnd w:id="5126"/>
    </w:p>
    <w:tbl>
      <w:tblPr>
        <w:tblW w:w="5000" w:type="pct"/>
        <w:jc w:val="left"/>
        <w:tblInd w:w="0" w:type="dxa"/>
        <w:tblCellMar>
          <w:top w:w="0" w:type="dxa"/>
          <w:left w:w="0" w:type="dxa"/>
          <w:bottom w:w="0" w:type="dxa"/>
          <w:right w:w="0" w:type="dxa"/>
        </w:tblCellMar>
      </w:tblPr>
      <w:tblGrid>
        <w:gridCol w:w="212"/>
        <w:gridCol w:w="9993"/>
      </w:tblGrid>
      <w:tr>
        <w:trPr/>
        <w:tc>
          <w:tcPr>
            <w:tcW w:w="212"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a)  </w:t>
            </w:r>
          </w:p>
        </w:tc>
        <w:tc>
          <w:tcPr>
            <w:tcW w:w="999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5127" w:name="list18"/>
      <w:bookmarkStart w:id="5128" w:name="list18"/>
      <w:bookmarkEnd w:id="5128"/>
    </w:p>
    <w:tbl>
      <w:tblPr>
        <w:tblW w:w="5000" w:type="pct"/>
        <w:jc w:val="left"/>
        <w:tblInd w:w="0" w:type="dxa"/>
        <w:tblCellMar>
          <w:top w:w="0" w:type="dxa"/>
          <w:left w:w="0" w:type="dxa"/>
          <w:bottom w:w="0" w:type="dxa"/>
          <w:right w:w="0" w:type="dxa"/>
        </w:tblCellMar>
      </w:tblPr>
      <w:tblGrid>
        <w:gridCol w:w="217"/>
        <w:gridCol w:w="9988"/>
      </w:tblGrid>
      <w:tr>
        <w:trPr/>
        <w:tc>
          <w:tcPr>
            <w:tcW w:w="217"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b)  </w:t>
            </w:r>
          </w:p>
        </w:tc>
        <w:tc>
          <w:tcPr>
            <w:tcW w:w="998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5129" w:name="list19"/>
      <w:bookmarkStart w:id="5130" w:name="list19"/>
      <w:bookmarkEnd w:id="5130"/>
    </w:p>
    <w:tbl>
      <w:tblPr>
        <w:tblW w:w="5000" w:type="pct"/>
        <w:jc w:val="left"/>
        <w:tblInd w:w="0" w:type="dxa"/>
        <w:tblCellMar>
          <w:top w:w="0" w:type="dxa"/>
          <w:left w:w="0" w:type="dxa"/>
          <w:bottom w:w="0" w:type="dxa"/>
          <w:right w:w="0" w:type="dxa"/>
        </w:tblCellMar>
      </w:tblPr>
      <w:tblGrid>
        <w:gridCol w:w="222"/>
        <w:gridCol w:w="9983"/>
      </w:tblGrid>
      <w:tr>
        <w:trPr/>
        <w:tc>
          <w:tcPr>
            <w:tcW w:w="222"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c)  </w:t>
            </w:r>
          </w:p>
        </w:tc>
        <w:tc>
          <w:tcPr>
            <w:tcW w:w="998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5131" w:name="list20"/>
      <w:bookmarkStart w:id="5132" w:name="list20"/>
      <w:bookmarkEnd w:id="5132"/>
    </w:p>
    <w:tbl>
      <w:tblPr>
        <w:tblW w:w="5000" w:type="pct"/>
        <w:jc w:val="left"/>
        <w:tblInd w:w="0" w:type="dxa"/>
        <w:tblCellMar>
          <w:top w:w="0" w:type="dxa"/>
          <w:left w:w="0" w:type="dxa"/>
          <w:bottom w:w="0" w:type="dxa"/>
          <w:right w:w="0" w:type="dxa"/>
        </w:tblCellMar>
      </w:tblPr>
      <w:tblGrid>
        <w:gridCol w:w="218"/>
        <w:gridCol w:w="9987"/>
      </w:tblGrid>
      <w:tr>
        <w:trPr/>
        <w:tc>
          <w:tcPr>
            <w:tcW w:w="218"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d)  </w:t>
            </w:r>
          </w:p>
        </w:tc>
        <w:tc>
          <w:tcPr>
            <w:tcW w:w="998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5133" w:name="list21"/>
      <w:bookmarkStart w:id="5134" w:name="list21"/>
      <w:bookmarkEnd w:id="5134"/>
    </w:p>
    <w:tbl>
      <w:tblPr>
        <w:tblW w:w="5000" w:type="pct"/>
        <w:jc w:val="left"/>
        <w:tblInd w:w="0" w:type="dxa"/>
        <w:tblCellMar>
          <w:top w:w="0" w:type="dxa"/>
          <w:left w:w="0" w:type="dxa"/>
          <w:bottom w:w="0" w:type="dxa"/>
          <w:right w:w="0" w:type="dxa"/>
        </w:tblCellMar>
      </w:tblPr>
      <w:tblGrid>
        <w:gridCol w:w="228"/>
        <w:gridCol w:w="9977"/>
      </w:tblGrid>
      <w:tr>
        <w:trPr/>
        <w:tc>
          <w:tcPr>
            <w:tcW w:w="228"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5)  </w:t>
            </w:r>
          </w:p>
        </w:tc>
        <w:tc>
          <w:tcPr>
            <w:tcW w:w="997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The registrant’s other certifying officer and I have disclosed, based on our most recent evaluation of internal control over financial reporting, to the registrant’s auditors and the audit committee of registrant’s Board of Directors (or persons performing the equivalent functions): </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5135" w:name="list22"/>
      <w:bookmarkStart w:id="5136" w:name="list22"/>
      <w:bookmarkEnd w:id="5136"/>
    </w:p>
    <w:tbl>
      <w:tblPr>
        <w:tblW w:w="5000" w:type="pct"/>
        <w:jc w:val="left"/>
        <w:tblInd w:w="0" w:type="dxa"/>
        <w:tblCellMar>
          <w:top w:w="0" w:type="dxa"/>
          <w:left w:w="0" w:type="dxa"/>
          <w:bottom w:w="0" w:type="dxa"/>
          <w:right w:w="0" w:type="dxa"/>
        </w:tblCellMar>
      </w:tblPr>
      <w:tblGrid>
        <w:gridCol w:w="224"/>
        <w:gridCol w:w="9981"/>
      </w:tblGrid>
      <w:tr>
        <w:trPr/>
        <w:tc>
          <w:tcPr>
            <w:tcW w:w="224"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a)  </w:t>
            </w:r>
          </w:p>
        </w:tc>
        <w:tc>
          <w:tcPr>
            <w:tcW w:w="998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5137" w:name="list23"/>
      <w:bookmarkStart w:id="5138" w:name="list23"/>
      <w:bookmarkEnd w:id="5138"/>
    </w:p>
    <w:tbl>
      <w:tblPr>
        <w:tblW w:w="5000" w:type="pct"/>
        <w:jc w:val="left"/>
        <w:tblInd w:w="0" w:type="dxa"/>
        <w:tblCellMar>
          <w:top w:w="0" w:type="dxa"/>
          <w:left w:w="0" w:type="dxa"/>
          <w:bottom w:w="0" w:type="dxa"/>
          <w:right w:w="0" w:type="dxa"/>
        </w:tblCellMar>
      </w:tblPr>
      <w:tblGrid>
        <w:gridCol w:w="258"/>
        <w:gridCol w:w="9947"/>
      </w:tblGrid>
      <w:tr>
        <w:trPr/>
        <w:tc>
          <w:tcPr>
            <w:tcW w:w="258"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b)  </w:t>
            </w:r>
          </w:p>
        </w:tc>
        <w:tc>
          <w:tcPr>
            <w:tcW w:w="994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any fraud, whether or not material, that involves management or other employees who have a significant role in the registrant’s internal control over financial reporting. </w:t>
            </w:r>
          </w:p>
        </w:tc>
      </w:tr>
    </w:tbl>
    <w:p>
      <w:pPr>
        <w:pStyle w:val="TextBody"/>
        <w:spacing w:lineRule="auto" w:line="300" w:before="0" w:after="0"/>
        <w:ind w:left="0" w:right="0" w:hanging="0"/>
        <w:jc w:val="left"/>
        <w:rPr/>
      </w:pPr>
      <w:r>
        <w:rPr/>
      </w:r>
    </w:p>
    <w:p>
      <w:pPr>
        <w:pStyle w:val="TextBody"/>
        <w:spacing w:lineRule="auto" w:line="300" w:before="0" w:after="0"/>
        <w:ind w:left="0" w:right="0" w:hanging="0"/>
        <w:jc w:val="left"/>
        <w:rPr/>
      </w:pPr>
      <w:r>
        <w:rPr/>
      </w:r>
    </w:p>
    <w:p>
      <w:pPr>
        <w:pStyle w:val="TextBody"/>
        <w:spacing w:lineRule="auto" w:line="300" w:before="0" w:after="0"/>
        <w:ind w:left="0" w:right="0" w:hanging="0"/>
        <w:jc w:val="both"/>
        <w:rPr/>
      </w:pPr>
      <w:r>
        <w:rPr>
          <w:rFonts w:ascii="Times New Roman" w:hAnsi="Times New Roman"/>
          <w:sz w:val="20"/>
          <w:u w:val="single"/>
        </w:rPr>
        <w:t>/s/ Andrzej Matyczynski</w:t>
      </w:r>
      <w:bookmarkStart w:id="5139" w:name="TAB2312"/>
      <w:bookmarkEnd w:id="5139"/>
      <w:r>
        <w:rPr>
          <w:color w:val="000000"/>
          <w:spacing w:val="2700"/>
        </w:rPr>
        <w:t> </w:t>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Andrzej Matyczynski</w:t>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Chief Financial Officer</w:t>
      </w:r>
    </w:p>
    <w:p>
      <w:pPr>
        <w:pStyle w:val="TextBody"/>
        <w:spacing w:lineRule="auto" w:line="300"/>
        <w:ind w:left="0" w:right="0" w:hanging="0"/>
        <w:jc w:val="left"/>
        <w:rPr/>
      </w:pPr>
      <w:r>
        <w:rPr>
          <w:rFonts w:ascii="Times New Roman" w:hAnsi="Times New Roman"/>
          <w:sz w:val="20"/>
        </w:rPr>
        <w:t>March 28, 2007</w:t>
      </w:r>
      <w:r>
        <w:rPr/>
        <w:t> </w:t>
      </w:r>
      <w:r>
        <w:br w:type="page"/>
      </w:r>
    </w:p>
    <w:p>
      <w:pPr>
        <w:pStyle w:val="TextBody"/>
        <w:spacing w:lineRule="auto" w:line="300" w:before="0" w:after="0"/>
        <w:ind w:left="0" w:right="0" w:hanging="0"/>
        <w:jc w:val="left"/>
        <w:rPr/>
      </w:pPr>
      <w:r>
        <w:rPr/>
      </w:r>
      <w:bookmarkStart w:id="5140" w:name="certification32_1.htm"/>
      <w:bookmarkStart w:id="5141" w:name="kscertification32_1"/>
      <w:bookmarkStart w:id="5142" w:name="certification32_1.htm"/>
      <w:bookmarkStart w:id="5143" w:name="kscertification32_1"/>
      <w:bookmarkEnd w:id="5142"/>
      <w:bookmarkEnd w:id="5143"/>
    </w:p>
    <w:p>
      <w:pPr>
        <w:pStyle w:val="TextBody"/>
        <w:spacing w:lineRule="auto" w:line="300" w:before="0" w:after="0"/>
        <w:ind w:left="0" w:right="0" w:hanging="0"/>
        <w:jc w:val="right"/>
        <w:rPr/>
      </w:pPr>
      <w:r>
        <w:rPr>
          <w:rStyle w:val="StrongEmphasis"/>
          <w:rFonts w:ascii="Times New Roman" w:hAnsi="Times New Roman"/>
          <w:sz w:val="20"/>
        </w:rPr>
        <w:t>EXHIBIT 32.1</w:t>
      </w:r>
    </w:p>
    <w:p>
      <w:pPr>
        <w:pStyle w:val="TextBody"/>
        <w:spacing w:lineRule="auto" w:line="300" w:before="0" w:after="0"/>
        <w:ind w:left="0" w:right="0" w:hanging="0"/>
        <w:jc w:val="center"/>
        <w:rPr/>
      </w:pPr>
      <w:r>
        <w:rPr/>
      </w:r>
    </w:p>
    <w:p>
      <w:pPr>
        <w:pStyle w:val="TextBody"/>
        <w:spacing w:lineRule="auto" w:line="300" w:before="0" w:after="0"/>
        <w:ind w:left="0" w:right="0" w:hanging="0"/>
        <w:jc w:val="center"/>
        <w:rPr/>
      </w:pPr>
      <w:r>
        <w:rPr>
          <w:rStyle w:val="StrongEmphasis"/>
          <w:rFonts w:ascii="Times New Roman" w:hAnsi="Times New Roman"/>
          <w:sz w:val="20"/>
        </w:rPr>
        <w:t>CERTIFICATION PURSUANT TO SECTION 906 OF THE SARBANES-OXLEY ACT OF 2002</w:t>
      </w:r>
    </w:p>
    <w:p>
      <w:pPr>
        <w:pStyle w:val="TextBody"/>
        <w:spacing w:lineRule="auto" w:line="300" w:before="0" w:after="0"/>
        <w:ind w:left="0" w:right="0" w:hanging="0"/>
        <w:jc w:val="center"/>
        <w:rPr/>
      </w:pPr>
      <w:r>
        <w:rPr>
          <w:rStyle w:val="StrongEmphasis"/>
          <w:rFonts w:ascii="Times New Roman" w:hAnsi="Times New Roman"/>
          <w:sz w:val="20"/>
        </w:rPr>
        <w:t>(18 U.S.C. SECTION 1350)</w:t>
      </w:r>
    </w:p>
    <w:p>
      <w:pPr>
        <w:pStyle w:val="TextBody"/>
        <w:spacing w:lineRule="auto" w:line="300" w:before="0" w:after="0"/>
        <w:ind w:left="0" w:right="0" w:hanging="0"/>
        <w:jc w:val="left"/>
        <w:rPr/>
      </w:pPr>
      <w:r>
        <w:rPr/>
      </w:r>
    </w:p>
    <w:p>
      <w:pPr>
        <w:pStyle w:val="TextBody"/>
        <w:spacing w:lineRule="auto" w:line="300" w:before="0" w:after="0"/>
        <w:ind w:left="0" w:right="0" w:firstLine="720"/>
        <w:jc w:val="left"/>
        <w:rPr>
          <w:rFonts w:ascii="Times New Roman" w:hAnsi="Times New Roman"/>
          <w:sz w:val="20"/>
        </w:rPr>
      </w:pPr>
      <w:r>
        <w:rPr>
          <w:rFonts w:ascii="Times New Roman" w:hAnsi="Times New Roman"/>
          <w:sz w:val="20"/>
        </w:rPr>
        <w:t xml:space="preserve">In connection with the accompanying Annual Report of Reading International, Inc. (the “Company”) on Form 10-K for the fiscal year ended December 31, 2006 (the “Report”), I, James J. Cotter, Chief Executive Officer of the Company, certify, pursuant to 18 U.S.C. §1350, as adopted pursuant to §906 of the Sarbanes-Oxley Act of 2002, that: </w:t>
      </w:r>
    </w:p>
    <w:p>
      <w:pPr>
        <w:pStyle w:val="TextBody"/>
        <w:spacing w:lineRule="auto" w:line="300" w:before="0" w:after="0"/>
        <w:ind w:left="0" w:right="0" w:hanging="0"/>
        <w:jc w:val="left"/>
        <w:rPr/>
      </w:pPr>
      <w:r>
        <w:rPr/>
      </w:r>
    </w:p>
    <w:p>
      <w:pPr>
        <w:pStyle w:val="Normal"/>
        <w:spacing w:lineRule="auto" w:line="300" w:before="0" w:after="0"/>
        <w:jc w:val="left"/>
        <w:rPr>
          <w:sz w:val="4"/>
          <w:szCs w:val="4"/>
        </w:rPr>
      </w:pPr>
      <w:r>
        <w:rPr>
          <w:sz w:val="4"/>
          <w:szCs w:val="4"/>
        </w:rPr>
      </w:r>
      <w:bookmarkStart w:id="5144" w:name="list24"/>
      <w:bookmarkStart w:id="5145" w:name="list24"/>
      <w:bookmarkEnd w:id="5145"/>
    </w:p>
    <w:tbl>
      <w:tblPr>
        <w:tblW w:w="5000" w:type="pct"/>
        <w:jc w:val="left"/>
        <w:tblInd w:w="0" w:type="dxa"/>
        <w:tblCellMar>
          <w:top w:w="0" w:type="dxa"/>
          <w:left w:w="0" w:type="dxa"/>
          <w:bottom w:w="0" w:type="dxa"/>
          <w:right w:w="0" w:type="dxa"/>
        </w:tblCellMar>
      </w:tblPr>
      <w:tblGrid>
        <w:gridCol w:w="303"/>
        <w:gridCol w:w="9902"/>
      </w:tblGrid>
      <w:tr>
        <w:trPr/>
        <w:tc>
          <w:tcPr>
            <w:tcW w:w="303"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1.  </w:t>
            </w:r>
          </w:p>
        </w:tc>
        <w:tc>
          <w:tcPr>
            <w:tcW w:w="990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The Report fully complies with the requirements of Section 13(a) of the Securities Exchange Act of 1934; and </w:t>
            </w:r>
          </w:p>
        </w:tc>
      </w:tr>
    </w:tbl>
    <w:p>
      <w:pPr>
        <w:pStyle w:val="TextBody"/>
        <w:spacing w:lineRule="auto" w:line="300" w:before="0" w:after="0"/>
        <w:ind w:left="0" w:right="0" w:hanging="0"/>
        <w:jc w:val="left"/>
        <w:rPr/>
      </w:pPr>
      <w:r>
        <w:rPr/>
      </w:r>
    </w:p>
    <w:p>
      <w:pPr>
        <w:pStyle w:val="Normal"/>
        <w:spacing w:lineRule="auto" w:line="300" w:before="0" w:after="0"/>
        <w:jc w:val="left"/>
        <w:rPr>
          <w:sz w:val="4"/>
          <w:szCs w:val="4"/>
        </w:rPr>
      </w:pPr>
      <w:r>
        <w:rPr>
          <w:sz w:val="4"/>
          <w:szCs w:val="4"/>
        </w:rPr>
      </w:r>
      <w:bookmarkStart w:id="5146" w:name="list25"/>
      <w:bookmarkStart w:id="5147" w:name="list25"/>
      <w:bookmarkEnd w:id="5147"/>
    </w:p>
    <w:tbl>
      <w:tblPr>
        <w:tblW w:w="5000" w:type="pct"/>
        <w:jc w:val="left"/>
        <w:tblInd w:w="0" w:type="dxa"/>
        <w:tblCellMar>
          <w:top w:w="0" w:type="dxa"/>
          <w:left w:w="0" w:type="dxa"/>
          <w:bottom w:w="0" w:type="dxa"/>
          <w:right w:w="0" w:type="dxa"/>
        </w:tblCellMar>
      </w:tblPr>
      <w:tblGrid>
        <w:gridCol w:w="255"/>
        <w:gridCol w:w="9950"/>
      </w:tblGrid>
      <w:tr>
        <w:trPr/>
        <w:tc>
          <w:tcPr>
            <w:tcW w:w="255"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2.  </w:t>
            </w:r>
          </w:p>
        </w:tc>
        <w:tc>
          <w:tcPr>
            <w:tcW w:w="995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The information contained in the Report fairly presents, in all material respects, the financial condition and results of operations of the Company. </w:t>
            </w:r>
          </w:p>
        </w:tc>
      </w:tr>
    </w:tbl>
    <w:p>
      <w:pPr>
        <w:pStyle w:val="TextBody"/>
        <w:spacing w:lineRule="auto" w:line="300" w:before="0" w:after="0"/>
        <w:ind w:left="0" w:right="0" w:hanging="0"/>
        <w:jc w:val="left"/>
        <w:rPr/>
      </w:pPr>
      <w:r>
        <w:rPr/>
      </w:r>
    </w:p>
    <w:p>
      <w:pPr>
        <w:pStyle w:val="TextBody"/>
        <w:spacing w:lineRule="auto" w:line="300" w:before="0" w:after="0"/>
        <w:ind w:left="0" w:right="0" w:hanging="0"/>
        <w:jc w:val="left"/>
        <w:rPr/>
      </w:pPr>
      <w:r>
        <w:rPr>
          <w:rFonts w:ascii="Times New Roman" w:hAnsi="Times New Roman"/>
          <w:sz w:val="20"/>
          <w:u w:val="single"/>
        </w:rPr>
        <w:t>/s/ James J. Cotter</w:t>
      </w:r>
      <w:bookmarkStart w:id="5148" w:name="TAB2313"/>
      <w:bookmarkEnd w:id="5148"/>
      <w:r>
        <w:rPr>
          <w:color w:val="000000"/>
          <w:spacing w:val="2700"/>
        </w:rPr>
        <w:t> </w:t>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James J. Cotter</w:t>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 xml:space="preserve">Chief Executive Officer </w:t>
      </w:r>
    </w:p>
    <w:p>
      <w:pPr>
        <w:pStyle w:val="TextBody"/>
        <w:spacing w:lineRule="auto" w:line="300"/>
        <w:ind w:left="0" w:right="0" w:hanging="0"/>
        <w:jc w:val="left"/>
        <w:rPr>
          <w:rFonts w:ascii="Times New Roman" w:hAnsi="Times New Roman"/>
          <w:sz w:val="20"/>
        </w:rPr>
      </w:pPr>
      <w:r>
        <w:rPr>
          <w:rFonts w:ascii="Times New Roman" w:hAnsi="Times New Roman"/>
          <w:sz w:val="20"/>
        </w:rPr>
        <w:t>March 28, 2007</w:t>
      </w:r>
      <w:r>
        <w:br w:type="page"/>
      </w:r>
    </w:p>
    <w:p>
      <w:pPr>
        <w:pStyle w:val="TextBody"/>
        <w:spacing w:lineRule="auto" w:line="300" w:before="0" w:after="0"/>
        <w:ind w:left="0" w:right="0" w:hanging="0"/>
        <w:jc w:val="left"/>
        <w:rPr/>
      </w:pPr>
      <w:r>
        <w:rPr/>
      </w:r>
      <w:bookmarkStart w:id="5149" w:name="certification32_2.htm"/>
      <w:bookmarkStart w:id="5150" w:name="kscertification32_2"/>
      <w:bookmarkStart w:id="5151" w:name="certification32_2.htm"/>
      <w:bookmarkStart w:id="5152" w:name="kscertification32_2"/>
      <w:bookmarkEnd w:id="5151"/>
      <w:bookmarkEnd w:id="5152"/>
    </w:p>
    <w:p>
      <w:pPr>
        <w:pStyle w:val="TextBody"/>
        <w:spacing w:lineRule="auto" w:line="300" w:before="0" w:after="0"/>
        <w:ind w:left="0" w:right="0" w:hanging="0"/>
        <w:jc w:val="right"/>
        <w:rPr/>
      </w:pPr>
      <w:r>
        <w:rPr>
          <w:rStyle w:val="StrongEmphasis"/>
          <w:rFonts w:ascii="Times New Roman" w:hAnsi="Times New Roman"/>
          <w:sz w:val="20"/>
        </w:rPr>
        <w:t>EXHIBIT 32.2</w:t>
      </w:r>
    </w:p>
    <w:p>
      <w:pPr>
        <w:pStyle w:val="TextBody"/>
        <w:spacing w:lineRule="auto" w:line="300" w:before="0" w:after="0"/>
        <w:ind w:left="0" w:right="0" w:hanging="0"/>
        <w:jc w:val="center"/>
        <w:rPr/>
      </w:pPr>
      <w:r>
        <w:rPr/>
      </w:r>
    </w:p>
    <w:p>
      <w:pPr>
        <w:pStyle w:val="TextBody"/>
        <w:spacing w:lineRule="auto" w:line="300" w:before="0" w:after="0"/>
        <w:ind w:left="0" w:right="0" w:hanging="0"/>
        <w:jc w:val="center"/>
        <w:rPr/>
      </w:pPr>
      <w:r>
        <w:rPr>
          <w:rStyle w:val="StrongEmphasis"/>
          <w:rFonts w:ascii="Times New Roman" w:hAnsi="Times New Roman"/>
          <w:sz w:val="20"/>
        </w:rPr>
        <w:t>CERTIFICATION PURSUANT TO SECTION 906 OF THE SARBANES-OXLEY ACT OF 2002</w:t>
      </w:r>
    </w:p>
    <w:p>
      <w:pPr>
        <w:pStyle w:val="TextBody"/>
        <w:spacing w:lineRule="auto" w:line="300" w:before="0" w:after="0"/>
        <w:ind w:left="0" w:right="0" w:hanging="0"/>
        <w:jc w:val="center"/>
        <w:rPr/>
      </w:pPr>
      <w:r>
        <w:rPr>
          <w:rStyle w:val="StrongEmphasis"/>
          <w:rFonts w:ascii="Times New Roman" w:hAnsi="Times New Roman"/>
          <w:sz w:val="20"/>
        </w:rPr>
        <w:t>(18 U.S.C. SECTION 1350)</w:t>
      </w:r>
    </w:p>
    <w:p>
      <w:pPr>
        <w:pStyle w:val="TextBody"/>
        <w:spacing w:lineRule="auto" w:line="300" w:before="0" w:after="0"/>
        <w:ind w:left="0" w:right="0" w:hanging="0"/>
        <w:jc w:val="left"/>
        <w:rPr/>
      </w:pPr>
      <w:r>
        <w:rPr/>
      </w:r>
    </w:p>
    <w:p>
      <w:pPr>
        <w:pStyle w:val="TextBody"/>
        <w:spacing w:lineRule="auto" w:line="300" w:before="0" w:after="0"/>
        <w:ind w:left="0" w:right="0" w:firstLine="720"/>
        <w:jc w:val="left"/>
        <w:rPr>
          <w:rFonts w:ascii="Times New Roman" w:hAnsi="Times New Roman"/>
          <w:sz w:val="20"/>
        </w:rPr>
      </w:pPr>
      <w:r>
        <w:rPr>
          <w:rFonts w:ascii="Times New Roman" w:hAnsi="Times New Roman"/>
          <w:sz w:val="20"/>
        </w:rPr>
        <w:t xml:space="preserve">In connection with the accompanying Annual Report of Reading International, Inc. (the “Company”) on Form 10-K for the fiscal year ended December 31, 2006 (the “Report”), I, Andrzej Matyczynski, Chief Financial Officer of the Company, certify, pursuant to 18 U.S.C. §1350, as adopted pursuant to §906 of the Sarbanes-Oxley Act of 2002, that: </w:t>
      </w:r>
    </w:p>
    <w:p>
      <w:pPr>
        <w:pStyle w:val="TextBody"/>
        <w:spacing w:lineRule="auto" w:line="300" w:before="0" w:after="0"/>
        <w:ind w:left="0" w:right="0" w:hanging="0"/>
        <w:jc w:val="left"/>
        <w:rPr/>
      </w:pPr>
      <w:r>
        <w:rPr/>
      </w:r>
    </w:p>
    <w:p>
      <w:pPr>
        <w:pStyle w:val="Normal"/>
        <w:spacing w:lineRule="auto" w:line="300" w:before="0" w:after="0"/>
        <w:jc w:val="left"/>
        <w:rPr>
          <w:sz w:val="4"/>
          <w:szCs w:val="4"/>
        </w:rPr>
      </w:pPr>
      <w:r>
        <w:rPr>
          <w:sz w:val="4"/>
          <w:szCs w:val="4"/>
        </w:rPr>
      </w:r>
      <w:bookmarkStart w:id="5153" w:name="list26"/>
      <w:bookmarkStart w:id="5154" w:name="list26"/>
      <w:bookmarkEnd w:id="5154"/>
    </w:p>
    <w:tbl>
      <w:tblPr>
        <w:tblW w:w="5000" w:type="pct"/>
        <w:jc w:val="left"/>
        <w:tblInd w:w="0" w:type="dxa"/>
        <w:tblCellMar>
          <w:top w:w="0" w:type="dxa"/>
          <w:left w:w="0" w:type="dxa"/>
          <w:bottom w:w="0" w:type="dxa"/>
          <w:right w:w="0" w:type="dxa"/>
        </w:tblCellMar>
      </w:tblPr>
      <w:tblGrid>
        <w:gridCol w:w="303"/>
        <w:gridCol w:w="9902"/>
      </w:tblGrid>
      <w:tr>
        <w:trPr/>
        <w:tc>
          <w:tcPr>
            <w:tcW w:w="303"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1.  </w:t>
            </w:r>
          </w:p>
        </w:tc>
        <w:tc>
          <w:tcPr>
            <w:tcW w:w="990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The Report fully complies with the requirements of Section 13(a) of the Securities Exchange Act of 1934; and </w:t>
            </w:r>
          </w:p>
        </w:tc>
      </w:tr>
    </w:tbl>
    <w:p>
      <w:pPr>
        <w:pStyle w:val="TextBody"/>
        <w:spacing w:lineRule="auto" w:line="300" w:before="0" w:after="0"/>
        <w:ind w:left="0" w:right="0" w:hanging="0"/>
        <w:jc w:val="left"/>
        <w:rPr/>
      </w:pPr>
      <w:r>
        <w:rPr/>
      </w:r>
    </w:p>
    <w:p>
      <w:pPr>
        <w:pStyle w:val="Normal"/>
        <w:spacing w:lineRule="auto" w:line="300" w:before="0" w:after="0"/>
        <w:jc w:val="left"/>
        <w:rPr>
          <w:sz w:val="4"/>
          <w:szCs w:val="4"/>
        </w:rPr>
      </w:pPr>
      <w:r>
        <w:rPr>
          <w:sz w:val="4"/>
          <w:szCs w:val="4"/>
        </w:rPr>
      </w:r>
      <w:bookmarkStart w:id="5155" w:name="list27"/>
      <w:bookmarkStart w:id="5156" w:name="list27"/>
      <w:bookmarkEnd w:id="5156"/>
    </w:p>
    <w:tbl>
      <w:tblPr>
        <w:tblW w:w="5000" w:type="pct"/>
        <w:jc w:val="left"/>
        <w:tblInd w:w="0" w:type="dxa"/>
        <w:tblCellMar>
          <w:top w:w="0" w:type="dxa"/>
          <w:left w:w="0" w:type="dxa"/>
          <w:bottom w:w="0" w:type="dxa"/>
          <w:right w:w="0" w:type="dxa"/>
        </w:tblCellMar>
      </w:tblPr>
      <w:tblGrid>
        <w:gridCol w:w="255"/>
        <w:gridCol w:w="9950"/>
      </w:tblGrid>
      <w:tr>
        <w:trPr/>
        <w:tc>
          <w:tcPr>
            <w:tcW w:w="255"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2.  </w:t>
            </w:r>
          </w:p>
        </w:tc>
        <w:tc>
          <w:tcPr>
            <w:tcW w:w="995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The information contained in the Report fairly presents, in all material respects, the financial condition and results of operations of the Company. </w:t>
            </w:r>
          </w:p>
        </w:tc>
      </w:tr>
    </w:tbl>
    <w:p>
      <w:pPr>
        <w:pStyle w:val="TextBody"/>
        <w:spacing w:lineRule="auto" w:line="300" w:before="0" w:after="0"/>
        <w:ind w:left="0" w:right="0" w:hanging="0"/>
        <w:jc w:val="left"/>
        <w:rPr/>
      </w:pPr>
      <w:r>
        <w:rPr/>
      </w:r>
    </w:p>
    <w:p>
      <w:pPr>
        <w:pStyle w:val="TextBody"/>
        <w:spacing w:lineRule="auto" w:line="300" w:before="0" w:after="0"/>
        <w:ind w:left="0" w:right="0" w:hanging="0"/>
        <w:jc w:val="both"/>
        <w:rPr/>
      </w:pPr>
      <w:r>
        <w:rPr>
          <w:rFonts w:ascii="Times New Roman" w:hAnsi="Times New Roman"/>
          <w:sz w:val="20"/>
          <w:u w:val="single"/>
        </w:rPr>
        <w:t>/s/ Andrzej Matyczynski</w:t>
      </w:r>
      <w:bookmarkStart w:id="5157" w:name="TAB2314"/>
      <w:bookmarkEnd w:id="5157"/>
      <w:r>
        <w:rPr>
          <w:color w:val="000000"/>
          <w:spacing w:val="2700"/>
        </w:rPr>
        <w:t> </w:t>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Andrzej Matyczynski</w:t>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Chief Financial Officer</w:t>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March 28, 2007</w:t>
      </w:r>
    </w:p>
    <w:p>
      <w:pPr>
        <w:pStyle w:val="TextBody"/>
        <w:spacing w:lineRule="auto" w:line="300" w:before="0" w:after="283"/>
        <w:ind w:left="0" w:right="0" w:hanging="0"/>
        <w:jc w:val="left"/>
        <w:rPr/>
      </w:pPr>
      <w:r>
        <w:rPr/>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Symbol">
    <w:altName w:val="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character" w:styleId="StrongEmphasis">
    <w:name w:val="Strong Emphasis"/>
    <w:qFormat/>
    <w:rPr>
      <w:b/>
      <w:bCs/>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25</Pages>
  <Words>76275</Words>
  <CharactersWithSpaces>481114</CharactersWithSpaces>
  <Paragraphs>14617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