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ind w:left="432" w:right="0" w:hanging="0"/>
        <w:jc w:val="center"/>
        <w:rPr>
          <w:rFonts w:ascii="Times New Roman;serif" w:hAnsi="Times New Roman;serif"/>
          <w:b/>
          <w:i w:val="false"/>
          <w:caps w:val="false"/>
          <w:smallCaps w:val="false"/>
          <w:sz w:val="20"/>
        </w:rPr>
      </w:pPr>
      <w:bookmarkStart w:id="0" w:name="rdi-20260814x8k.htm"/>
      <w:bookmarkStart w:id="1" w:name="ksrdi20260814x8k"/>
      <w:bookmarkEnd w:id="0"/>
      <w:bookmarkEnd w:id="1"/>
      <w:r>
        <w:rPr>
          <w:rFonts w:ascii="Times New Roman;serif" w:hAnsi="Times New Roman;serif"/>
          <w:b/>
          <w:i w:val="false"/>
          <w:caps w:val="false"/>
          <w:smallCaps w:val="false"/>
          <w:sz w:val="20"/>
        </w:rPr>
        <w:t>UNITED STATES</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AND EXCHANGE COMMISSION</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8-K</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REPORT</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Section 13 OR 15(d) of the Securities Exchange Act of 1934</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of report (Date of earliest event reported): August 14, 2026</w:t>
      </w:r>
    </w:p>
    <w:p>
      <w:pPr>
        <w:pStyle w:val="TextBody"/>
        <w:bidi w:val="0"/>
        <w:spacing w:lineRule="auto" w:line="259"/>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5986" w:type="dxa"/>
        <w:jc w:val="center"/>
        <w:tblInd w:w="0" w:type="dxa"/>
        <w:tblLayout w:type="fixed"/>
        <w:tblCellMar>
          <w:top w:w="0" w:type="dxa"/>
          <w:left w:w="0" w:type="dxa"/>
          <w:bottom w:w="0" w:type="dxa"/>
          <w:right w:w="0" w:type="dxa"/>
        </w:tblCellMar>
      </w:tblPr>
      <w:tblGrid>
        <w:gridCol w:w="2859"/>
        <w:gridCol w:w="1476"/>
        <w:gridCol w:w="1651"/>
      </w:tblGrid>
      <w:tr>
        <w:trPr/>
        <w:tc>
          <w:tcPr>
            <w:tcW w:w="285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59"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Nevada</w:t>
            </w:r>
          </w:p>
        </w:tc>
        <w:tc>
          <w:tcPr>
            <w:tcW w:w="147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1-8625</w:t>
            </w:r>
          </w:p>
        </w:tc>
        <w:tc>
          <w:tcPr>
            <w:tcW w:w="165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95-3885184</w:t>
            </w:r>
          </w:p>
        </w:tc>
      </w:tr>
      <w:tr>
        <w:trPr/>
        <w:tc>
          <w:tcPr>
            <w:tcW w:w="285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or Other Jurisdiction</w:t>
              <w:br/>
              <w:t>‎of Incorporation)</w:t>
            </w:r>
          </w:p>
        </w:tc>
        <w:tc>
          <w:tcPr>
            <w:tcW w:w="147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w:t>
              <w:br/>
              <w:t>‎File Number)</w:t>
            </w:r>
          </w:p>
        </w:tc>
        <w:tc>
          <w:tcPr>
            <w:tcW w:w="16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(IRS Employer</w:t>
              <w:br/>
              <w:t>‎Identification No.)</w:t>
            </w:r>
          </w:p>
        </w:tc>
      </w:tr>
      <w:tr>
        <w:trPr/>
        <w:tc>
          <w:tcPr>
            <w:tcW w:w="285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lineRule="auto" w:line="259" w:before="0" w:after="283"/>
              <w:jc w:val="both"/>
              <w:rPr>
                <w:caps w:val="false"/>
                <w:smallCaps w:val="false"/>
              </w:rPr>
            </w:pPr>
            <w:r>
              <w:rPr>
                <w:caps w:val="false"/>
                <w:smallCaps w:val="false"/>
              </w:rPr>
              <w:t> </w:t>
            </w:r>
          </w:p>
        </w:tc>
        <w:tc>
          <w:tcPr>
            <w:tcW w:w="1651" w:type="dxa"/>
            <w:tcBorders/>
            <w:vAlign w:val="center"/>
          </w:tcPr>
          <w:p>
            <w:pPr>
              <w:pStyle w:val="TableContents"/>
              <w:bidi w:val="0"/>
              <w:spacing w:before="0" w:after="283"/>
              <w:jc w:val="left"/>
              <w:rPr>
                <w:sz w:val="4"/>
                <w:szCs w:val="4"/>
              </w:rPr>
            </w:pPr>
            <w:r>
              <w:rPr>
                <w:sz w:val="4"/>
                <w:szCs w:val="4"/>
              </w:rPr>
            </w:r>
          </w:p>
        </w:tc>
      </w:tr>
      <w:tr>
        <w:trPr/>
        <w:tc>
          <w:tcPr>
            <w:tcW w:w="4335" w:type="dxa"/>
            <w:gridSpan w:val="2"/>
            <w:tcBorders/>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i w:val="false"/>
                <w:caps w:val="false"/>
                <w:smallCaps w:val="false"/>
                <w:sz w:val="20"/>
                <w:u w:val="single"/>
              </w:rPr>
              <w:t>189 Second Avenue, Suite 2S</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u w:val="single"/>
              </w:rPr>
              <w:t>New York, New York</w:t>
            </w:r>
          </w:p>
        </w:tc>
        <w:tc>
          <w:tcPr>
            <w:tcW w:w="165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10003</w:t>
            </w:r>
          </w:p>
        </w:tc>
      </w:tr>
      <w:tr>
        <w:trPr/>
        <w:tc>
          <w:tcPr>
            <w:tcW w:w="4335"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tc>
        <w:tc>
          <w:tcPr>
            <w:tcW w:w="16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(Zip Code)</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xml:space="preserve">Registrant's telephone number, including area code: </w:t>
      </w:r>
      <w:r>
        <w:rPr>
          <w:rFonts w:ascii="Times New Roman;serif" w:hAnsi="Times New Roman;serif"/>
          <w:b/>
          <w:i w:val="false"/>
          <w:caps w:val="false"/>
          <w:smallCaps w:val="false"/>
          <w:sz w:val="20"/>
        </w:rPr>
        <w:t>(213) 235-2240</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(Former Name or Former Address, if Changed Since Last Report)</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lineRule="auto" w:line="259"/>
        <w:ind w:left="0" w:right="0" w:firstLine="360"/>
        <w:jc w:val="both"/>
        <w:rPr/>
      </w:pPr>
      <w:r>
        <w:rPr>
          <w:caps w:val="false"/>
          <w:smallCaps w:val="false"/>
        </w:rPr>
        <w:t>☐   </w:t>
      </w:r>
      <w:r>
        <w:rPr>
          <w:rFonts w:ascii="Times New Roman;serif" w:hAnsi="Times New Roman;serif"/>
          <w:b w:val="false"/>
          <w:i w:val="false"/>
          <w:caps w:val="false"/>
          <w:smallCaps w:val="false"/>
          <w:sz w:val="20"/>
        </w:rPr>
        <w:t>Written communications pursuant to Rule 425 under the Securities Act (17 CFR 230.425)</w:t>
      </w:r>
    </w:p>
    <w:p>
      <w:pPr>
        <w:pStyle w:val="TextBody"/>
        <w:bidi w:val="0"/>
        <w:spacing w:lineRule="auto" w:line="259"/>
        <w:ind w:left="0" w:right="0" w:firstLine="360"/>
        <w:jc w:val="both"/>
        <w:rPr/>
      </w:pPr>
      <w:r>
        <w:rPr>
          <w:caps w:val="false"/>
          <w:smallCaps w:val="false"/>
        </w:rPr>
        <w:t>☐   </w:t>
      </w:r>
      <w:r>
        <w:rPr>
          <w:rFonts w:ascii="Times New Roman;serif" w:hAnsi="Times New Roman;serif"/>
          <w:b w:val="false"/>
          <w:i w:val="false"/>
          <w:caps w:val="false"/>
          <w:smallCaps w:val="false"/>
          <w:sz w:val="20"/>
        </w:rPr>
        <w:t>Soliciting material pursuant to Rule 14a-12 under the Exchange Act (17 CFR 240.14a-12)</w:t>
      </w:r>
    </w:p>
    <w:p>
      <w:pPr>
        <w:pStyle w:val="TextBody"/>
        <w:bidi w:val="0"/>
        <w:spacing w:lineRule="auto" w:line="259"/>
        <w:ind w:left="720" w:right="0" w:hanging="360"/>
        <w:jc w:val="both"/>
        <w:rPr/>
      </w:pPr>
      <w:r>
        <w:rPr>
          <w:caps w:val="false"/>
          <w:smallCaps w:val="false"/>
        </w:rPr>
        <w:t>☐   </w:t>
      </w:r>
      <w:r>
        <w:rPr>
          <w:rFonts w:ascii="Times New Roman;serif" w:hAnsi="Times New Roman;serif"/>
          <w:b w:val="false"/>
          <w:i w:val="false"/>
          <w:caps w:val="false"/>
          <w:smallCaps w:val="false"/>
          <w:sz w:val="20"/>
        </w:rPr>
        <w:t>Pre-commencement communications pursuant to Rule 14d-2(b) under the Exchange Act (17 CFR 240.14d-2(b))</w:t>
      </w:r>
    </w:p>
    <w:p>
      <w:pPr>
        <w:pStyle w:val="TextBody"/>
        <w:bidi w:val="0"/>
        <w:spacing w:lineRule="auto" w:line="259"/>
        <w:ind w:left="720" w:right="0" w:hanging="360"/>
        <w:jc w:val="both"/>
        <w:rPr/>
      </w:pPr>
      <w:r>
        <w:rPr>
          <w:caps w:val="false"/>
          <w:smallCaps w:val="false"/>
        </w:rPr>
        <w:t>☐   </w:t>
      </w:r>
      <w:r>
        <w:rPr>
          <w:rFonts w:ascii="Times New Roman;serif" w:hAnsi="Times New Roman;serif"/>
          <w:b w:val="false"/>
          <w:i w:val="false"/>
          <w:caps w:val="false"/>
          <w:smallCaps w:val="false"/>
          <w:sz w:val="20"/>
        </w:rPr>
        <w:t>Pre-commencement communications pursuant to Rule 13e-4(c) under the Exchange Act (17 CFR 240.13e-4(c))</w:t>
      </w:r>
    </w:p>
    <w:p>
      <w:pPr>
        <w:pStyle w:val="TextBody"/>
        <w:bidi w:val="0"/>
        <w:spacing w:lineRule="auto" w:line="288"/>
        <w:jc w:val="both"/>
        <w:rPr>
          <w:rFonts w:ascii="inherit" w:hAnsi="inherit"/>
          <w:b w:val="false"/>
          <w:i w:val="false"/>
          <w:caps w:val="false"/>
          <w:smallCaps w:val="false"/>
          <w:sz w:val="18"/>
        </w:rPr>
      </w:pPr>
      <w:r>
        <w:rPr>
          <w:rFonts w:ascii="inherit" w:hAnsi="inherit"/>
          <w:b w:val="false"/>
          <w:i w:val="false"/>
          <w:caps w:val="false"/>
          <w:smallCaps w:val="false"/>
          <w:sz w:val="18"/>
        </w:rPr>
        <w:t>Securities registered pursuant to Section 12(b) of the Act:</w:t>
      </w:r>
    </w:p>
    <w:tbl>
      <w:tblPr>
        <w:tblW w:w="10205" w:type="dxa"/>
        <w:jc w:val="center"/>
        <w:tblInd w:w="0" w:type="dxa"/>
        <w:tblLayout w:type="fixed"/>
        <w:tblCellMar>
          <w:top w:w="0" w:type="dxa"/>
          <w:left w:w="0" w:type="dxa"/>
          <w:bottom w:w="0" w:type="dxa"/>
          <w:right w:w="0" w:type="dxa"/>
        </w:tblCellMar>
      </w:tblPr>
      <w:tblGrid>
        <w:gridCol w:w="1966"/>
        <w:gridCol w:w="1705"/>
        <w:gridCol w:w="366"/>
        <w:gridCol w:w="146"/>
        <w:gridCol w:w="1724"/>
        <w:gridCol w:w="146"/>
        <w:gridCol w:w="590"/>
        <w:gridCol w:w="2806"/>
        <w:gridCol w:w="598"/>
        <w:gridCol w:w="158"/>
      </w:tblGrid>
      <w:tr>
        <w:trPr/>
        <w:tc>
          <w:tcPr>
            <w:tcW w:w="196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972" w:type="dxa"/>
            <w:gridSpan w:val="5"/>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756" w:type="dxa"/>
            <w:gridSpan w:val="2"/>
            <w:tcBorders/>
            <w:vAlign w:val="center"/>
          </w:tcPr>
          <w:p>
            <w:pPr>
              <w:pStyle w:val="TableContents"/>
              <w:bidi w:val="0"/>
              <w:spacing w:before="0" w:after="283"/>
              <w:jc w:val="left"/>
              <w:rPr>
                <w:sz w:val="4"/>
                <w:szCs w:val="4"/>
              </w:rPr>
            </w:pPr>
            <w:r>
              <w:rPr>
                <w:sz w:val="4"/>
                <w:szCs w:val="4"/>
              </w:rPr>
            </w:r>
          </w:p>
        </w:tc>
      </w:tr>
      <w:tr>
        <w:trPr/>
        <w:tc>
          <w:tcPr>
            <w:tcW w:w="4037" w:type="dxa"/>
            <w:gridSpan w:val="3"/>
            <w:tcBorders>
              <w:bottom w:val="single" w:sz="8" w:space="0" w:color="000000"/>
            </w:tcBorders>
            <w:tcMar>
              <w:bottom w:w="28" w:type="dxa"/>
            </w:tcMar>
            <w:vAlign w:val="center"/>
          </w:tcPr>
          <w:p>
            <w:pPr>
              <w:pStyle w:val="TableContents"/>
              <w:bidi w:val="0"/>
              <w:spacing w:lineRule="auto" w:line="276" w:before="0" w:after="283"/>
              <w:jc w:val="center"/>
              <w:rPr>
                <w:rFonts w:ascii="inherit" w:hAnsi="inherit"/>
                <w:b w:val="false"/>
                <w:i w:val="false"/>
                <w:caps w:val="false"/>
                <w:smallCaps w:val="false"/>
                <w:sz w:val="18"/>
              </w:rPr>
            </w:pPr>
            <w:r>
              <w:rPr>
                <w:rFonts w:ascii="inherit" w:hAnsi="inherit"/>
                <w:b w:val="false"/>
                <w:i w:val="false"/>
                <w:caps w:val="false"/>
                <w:smallCaps w:val="false"/>
                <w:sz w:val="18"/>
              </w:rPr>
              <w:t>Title of each class</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1724" w:type="dxa"/>
            <w:tcBorders>
              <w:bottom w:val="single" w:sz="8" w:space="0" w:color="000000"/>
            </w:tcBorders>
            <w:tcMar>
              <w:bottom w:w="28" w:type="dxa"/>
            </w:tcMar>
            <w:vAlign w:val="center"/>
          </w:tcPr>
          <w:p>
            <w:pPr>
              <w:pStyle w:val="TableContents"/>
              <w:bidi w:val="0"/>
              <w:spacing w:lineRule="auto" w:line="276" w:before="0" w:after="283"/>
              <w:jc w:val="center"/>
              <w:rPr>
                <w:rFonts w:ascii="inherit" w:hAnsi="inherit"/>
                <w:b w:val="false"/>
                <w:i w:val="false"/>
                <w:caps w:val="false"/>
                <w:smallCaps w:val="false"/>
                <w:sz w:val="18"/>
              </w:rPr>
            </w:pPr>
            <w:r>
              <w:rPr>
                <w:rFonts w:ascii="inherit" w:hAnsi="inherit"/>
                <w:b w:val="false"/>
                <w:i w:val="false"/>
                <w:caps w:val="false"/>
                <w:smallCaps w:val="false"/>
                <w:sz w:val="18"/>
              </w:rPr>
              <w:t>Trading Symbol(s)</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3994" w:type="dxa"/>
            <w:gridSpan w:val="3"/>
            <w:tcBorders>
              <w:bottom w:val="single" w:sz="8" w:space="0" w:color="000000"/>
            </w:tcBorders>
            <w:tcMar>
              <w:bottom w:w="28" w:type="dxa"/>
            </w:tcMar>
            <w:vAlign w:val="center"/>
          </w:tcPr>
          <w:p>
            <w:pPr>
              <w:pStyle w:val="TableContents"/>
              <w:bidi w:val="0"/>
              <w:spacing w:lineRule="auto" w:line="276" w:before="0" w:after="283"/>
              <w:jc w:val="center"/>
              <w:rPr>
                <w:rFonts w:ascii="inherit" w:hAnsi="inherit"/>
                <w:b w:val="false"/>
                <w:i w:val="false"/>
                <w:caps w:val="false"/>
                <w:smallCaps w:val="false"/>
                <w:sz w:val="18"/>
              </w:rPr>
            </w:pPr>
            <w:r>
              <w:rPr>
                <w:rFonts w:ascii="inherit" w:hAnsi="inherit"/>
                <w:b w:val="false"/>
                <w:i w:val="false"/>
                <w:caps w:val="false"/>
                <w:smallCaps w:val="false"/>
                <w:sz w:val="18"/>
              </w:rPr>
              <w:t>Name of each exchange on which registered</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37" w:type="dxa"/>
            <w:gridSpan w:val="3"/>
            <w:tcBorders/>
            <w:vAlign w:val="center"/>
          </w:tcPr>
          <w:p>
            <w:pPr>
              <w:pStyle w:val="TableContents"/>
              <w:bidi w:val="0"/>
              <w:spacing w:lineRule="auto" w:line="276" w:before="0" w:after="283"/>
              <w:jc w:val="center"/>
              <w:rPr>
                <w:rFonts w:ascii="Times New Roman;serif" w:hAnsi="Times New Roman;serif"/>
                <w:sz w:val="18"/>
              </w:rPr>
            </w:pPr>
            <w:r>
              <w:rPr>
                <w:rFonts w:ascii="inherit" w:hAnsi="inherit"/>
                <w:b/>
                <w:i w:val="false"/>
                <w:caps w:val="false"/>
                <w:smallCaps w:val="false"/>
                <w:sz w:val="18"/>
              </w:rPr>
              <w:t>Class A Common Stock, $0.01 par value</w:t>
            </w:r>
            <w:r>
              <w:rPr>
                <w:rFonts w:ascii="Times New Roman;serif" w:hAnsi="Times New Roman;serif"/>
                <w:caps w:val="false"/>
                <w:smallCaps w:val="false"/>
                <w:sz w:val="18"/>
              </w:rPr>
              <w:t xml:space="preserve"> </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1724" w:type="dxa"/>
            <w:tcBorders/>
            <w:vAlign w:val="center"/>
          </w:tcPr>
          <w:p>
            <w:pPr>
              <w:pStyle w:val="TableContents"/>
              <w:bidi w:val="0"/>
              <w:spacing w:lineRule="auto" w:line="276" w:before="0" w:after="283"/>
              <w:jc w:val="center"/>
              <w:rPr>
                <w:rFonts w:ascii="Times New Roman;serif" w:hAnsi="Times New Roman;serif"/>
                <w:sz w:val="18"/>
              </w:rPr>
            </w:pPr>
            <w:r>
              <w:rPr>
                <w:rFonts w:ascii="inherit" w:hAnsi="inherit"/>
                <w:b/>
                <w:i w:val="false"/>
                <w:caps w:val="false"/>
                <w:smallCaps w:val="false"/>
                <w:sz w:val="18"/>
              </w:rPr>
              <w:t>RDI</w:t>
            </w:r>
            <w:r>
              <w:rPr>
                <w:rFonts w:ascii="Times New Roman;serif" w:hAnsi="Times New Roman;serif"/>
                <w:caps w:val="false"/>
                <w:smallCaps w:val="false"/>
                <w:sz w:val="18"/>
              </w:rPr>
              <w:t xml:space="preserve"> </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3994" w:type="dxa"/>
            <w:gridSpan w:val="3"/>
            <w:tcBorders/>
            <w:vAlign w:val="center"/>
          </w:tcPr>
          <w:p>
            <w:pPr>
              <w:pStyle w:val="TableContents"/>
              <w:bidi w:val="0"/>
              <w:spacing w:lineRule="auto" w:line="276" w:before="0" w:after="283"/>
              <w:jc w:val="center"/>
              <w:rPr>
                <w:rFonts w:ascii="Times New Roman;serif" w:hAnsi="Times New Roman;serif"/>
                <w:sz w:val="18"/>
              </w:rPr>
            </w:pPr>
            <w:r>
              <w:rPr>
                <w:rFonts w:ascii="inherit" w:hAnsi="inherit"/>
                <w:b/>
                <w:i w:val="false"/>
                <w:caps w:val="false"/>
                <w:smallCaps w:val="false"/>
                <w:sz w:val="18"/>
              </w:rPr>
              <w:t>The NASDAQ</w:t>
            </w:r>
            <w:r>
              <w:rPr>
                <w:rFonts w:ascii="Times New Roman;serif" w:hAnsi="Times New Roman;serif"/>
                <w:caps w:val="false"/>
                <w:smallCaps w:val="false"/>
                <w:sz w:val="18"/>
              </w:rPr>
              <w:t xml:space="preserve"> </w:t>
            </w:r>
            <w:r>
              <w:rPr>
                <w:rFonts w:ascii="inherit" w:hAnsi="inherit"/>
                <w:b/>
                <w:i w:val="false"/>
                <w:caps w:val="false"/>
                <w:smallCaps w:val="false"/>
                <w:sz w:val="18"/>
              </w:rPr>
              <w:t xml:space="preserve">Stock Market LLC </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37" w:type="dxa"/>
            <w:gridSpan w:val="3"/>
            <w:tcBorders/>
            <w:vAlign w:val="center"/>
          </w:tcPr>
          <w:p>
            <w:pPr>
              <w:pStyle w:val="TableContents"/>
              <w:bidi w:val="0"/>
              <w:spacing w:lineRule="auto" w:line="276" w:before="0" w:after="283"/>
              <w:jc w:val="center"/>
              <w:rPr>
                <w:rFonts w:ascii="inherit" w:hAnsi="inherit"/>
                <w:sz w:val="18"/>
              </w:rPr>
            </w:pPr>
            <w:r>
              <w:rPr>
                <w:rFonts w:ascii="inherit" w:hAnsi="inherit"/>
                <w:b/>
                <w:i w:val="false"/>
                <w:caps w:val="false"/>
                <w:smallCaps w:val="false"/>
                <w:sz w:val="18"/>
              </w:rPr>
              <w:t>Class B Common Stock, $0.01 par value</w:t>
            </w:r>
            <w:r>
              <w:rPr>
                <w:rFonts w:ascii="inherit" w:hAnsi="inherit"/>
                <w:caps w:val="false"/>
                <w:smallCaps w:val="false"/>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lineRule="auto" w:line="276" w:before="0" w:after="283"/>
              <w:jc w:val="center"/>
              <w:rPr>
                <w:rFonts w:ascii="inherit" w:hAnsi="inherit"/>
                <w:sz w:val="18"/>
              </w:rPr>
            </w:pPr>
            <w:r>
              <w:rPr>
                <w:rFonts w:ascii="inherit" w:hAnsi="inherit"/>
                <w:b/>
                <w:i w:val="false"/>
                <w:caps w:val="false"/>
                <w:smallCaps w:val="false"/>
                <w:sz w:val="18"/>
              </w:rPr>
              <w:t>RDIB</w:t>
            </w:r>
            <w:r>
              <w:rPr>
                <w:rFonts w:ascii="inherit" w:hAnsi="inherit"/>
                <w:caps w:val="false"/>
                <w:smallCaps w:val="false"/>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3994" w:type="dxa"/>
            <w:gridSpan w:val="3"/>
            <w:tcBorders/>
            <w:vAlign w:val="center"/>
          </w:tcPr>
          <w:p>
            <w:pPr>
              <w:pStyle w:val="TableContents"/>
              <w:bidi w:val="0"/>
              <w:spacing w:lineRule="auto" w:line="276" w:before="0" w:after="283"/>
              <w:jc w:val="center"/>
              <w:rPr>
                <w:rFonts w:ascii="inherit" w:hAnsi="inherit"/>
                <w:sz w:val="18"/>
              </w:rPr>
            </w:pPr>
            <w:r>
              <w:rPr>
                <w:rFonts w:ascii="inherit" w:hAnsi="inherit"/>
                <w:b/>
                <w:i w:val="false"/>
                <w:caps w:val="false"/>
                <w:smallCaps w:val="false"/>
                <w:sz w:val="18"/>
              </w:rPr>
              <w:t>The NASDAQ</w:t>
            </w:r>
            <w:r>
              <w:rPr>
                <w:rFonts w:ascii="inherit" w:hAnsi="inherit"/>
                <w:caps w:val="false"/>
                <w:smallCaps w:val="false"/>
                <w:sz w:val="18"/>
              </w:rPr>
              <w:t xml:space="preserve"> </w:t>
            </w:r>
            <w:r>
              <w:rPr>
                <w:rFonts w:ascii="inherit" w:hAnsi="inherit"/>
                <w:b/>
                <w:i w:val="false"/>
                <w:caps w:val="false"/>
                <w:smallCaps w:val="false"/>
                <w:sz w:val="18"/>
              </w:rPr>
              <w:t xml:space="preserve">Stock Market LLC </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59"/>
        <w:ind w:left="720" w:right="0" w:firstLine="720"/>
        <w:rPr>
          <w:rFonts w:ascii="Times New Roman;serif" w:hAnsi="Times New Roman;serif"/>
          <w:sz w:val="20"/>
        </w:rPr>
      </w:pPr>
      <w:r>
        <w:rPr>
          <w:rFonts w:ascii="Times New Roman;serif" w:hAnsi="Times New Roman;serif"/>
          <w:b w:val="false"/>
          <w:i w:val="false"/>
          <w:caps w:val="false"/>
          <w:smallCaps w:val="false"/>
          <w:color w:val="000000"/>
          <w:sz w:val="20"/>
        </w:rPr>
        <w:t>Emerging growth company  </w:t>
      </w:r>
      <w:r>
        <w:rPr>
          <w:rFonts w:ascii="Times New Roman;serif" w:hAnsi="Times New Roman;serif"/>
          <w:caps w:val="false"/>
          <w:smallCaps w:val="false"/>
          <w:color w:val="000000"/>
          <w:sz w:val="20"/>
        </w:rPr>
        <w:t>☐</w:t>
      </w:r>
    </w:p>
    <w:p>
      <w:pPr>
        <w:pStyle w:val="TextBody"/>
        <w:bidi w:val="0"/>
        <w:spacing w:lineRule="auto" w:line="276" w:before="0" w:after="200"/>
        <w:jc w:val="left"/>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76" w:before="0" w:after="200"/>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76" w:before="0" w:after="20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2.02 Results of Operations and Financial Condition.</w:t>
      </w:r>
    </w:p>
    <w:p>
      <w:pPr>
        <w:pStyle w:val="TextBody"/>
        <w:bidi w:val="0"/>
        <w:spacing w:lineRule="auto" w:line="259"/>
        <w:ind w:left="0" w:right="0" w:firstLine="49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August 14, 2026, Reading International, Inc. issued a press release announcing information regarding its results of operations and financial condition for the quarter ended June 30, 2026, a copy of which is attached as Exhibit 99.1. </w:t>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Item 9.01 Financial Statements and Exhibits. </w:t>
      </w:r>
    </w:p>
    <w:tbl>
      <w:tblPr>
        <w:tblW w:w="7082" w:type="dxa"/>
        <w:jc w:val="left"/>
        <w:tblInd w:w="0" w:type="dxa"/>
        <w:tblLayout w:type="fixed"/>
        <w:tblCellMar>
          <w:top w:w="0" w:type="dxa"/>
          <w:left w:w="0" w:type="dxa"/>
          <w:bottom w:w="0" w:type="dxa"/>
          <w:right w:w="0" w:type="dxa"/>
        </w:tblCellMar>
      </w:tblPr>
      <w:tblGrid>
        <w:gridCol w:w="481"/>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99.1</w:t>
            </w:r>
          </w:p>
        </w:tc>
        <w:tc>
          <w:tcPr>
            <w:tcW w:w="6601" w:type="dxa"/>
            <w:tcBorders/>
            <w:vAlign w:val="center"/>
          </w:tcPr>
          <w:p>
            <w:pPr>
              <w:pStyle w:val="TableContents"/>
              <w:bidi w:val="0"/>
              <w:spacing w:lineRule="auto" w:line="259" w:before="0" w:after="283"/>
              <w:jc w:val="both"/>
              <w:rPr/>
            </w:pPr>
            <w:hyperlink w:anchor="rdi-20260814xex99_1.htm">
              <w:r>
                <w:rPr>
                  <w:rStyle w:val="InternetLink"/>
                  <w:rFonts w:ascii="Times New Roman;serif" w:hAnsi="Times New Roman;serif"/>
                  <w:b w:val="false"/>
                  <w:i w:val="false"/>
                  <w:caps w:val="false"/>
                  <w:smallCaps w:val="false"/>
                  <w:color w:val="0000FF"/>
                  <w:sz w:val="20"/>
                  <w:u w:val="single"/>
                </w:rPr>
                <w:t>Press release issued by Reading International, Inc. dated August 14, 2026</w:t>
              </w:r>
            </w:hyperlink>
          </w:p>
        </w:tc>
      </w:tr>
      <w:tr>
        <w:trPr/>
        <w:tc>
          <w:tcPr>
            <w:tcW w:w="48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660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Cover Page Interactive Data File (embedded within the Inline XBRL document)</w:t>
            </w:r>
          </w:p>
        </w:tc>
      </w:tr>
    </w:tbl>
    <w:p>
      <w:pPr>
        <w:pStyle w:val="TextBody"/>
        <w:bidi w:val="0"/>
        <w:spacing w:lineRule="auto" w:line="276" w:before="0" w:after="200"/>
        <w:ind w:left="720" w:right="0" w:hanging="720"/>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7863" w:type="dxa"/>
        <w:jc w:val="left"/>
        <w:tblInd w:w="0" w:type="dxa"/>
        <w:tblLayout w:type="fixed"/>
        <w:tblCellMar>
          <w:top w:w="0" w:type="dxa"/>
          <w:left w:w="0" w:type="dxa"/>
          <w:bottom w:w="0" w:type="dxa"/>
          <w:right w:w="0" w:type="dxa"/>
        </w:tblCellMar>
      </w:tblPr>
      <w:tblGrid>
        <w:gridCol w:w="1951"/>
        <w:gridCol w:w="631"/>
        <w:gridCol w:w="5281"/>
      </w:tblGrid>
      <w:tr>
        <w:trPr/>
        <w:tc>
          <w:tcPr>
            <w:tcW w:w="19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5912"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August 14, 2026</w:t>
            </w:r>
          </w:p>
        </w:tc>
        <w:tc>
          <w:tcPr>
            <w:tcW w:w="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52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Gilbert Avanes</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w:t>
            </w:r>
          </w:p>
        </w:tc>
        <w:tc>
          <w:tcPr>
            <w:tcW w:w="52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w:t>
            </w:r>
          </w:p>
        </w:tc>
        <w:tc>
          <w:tcPr>
            <w:tcW w:w="52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tc>
      </w:tr>
    </w:tbl>
    <w:p>
      <w:pPr>
        <w:pStyle w:val="Normal"/>
        <w:bidi w:val="0"/>
        <w:spacing w:before="0" w:after="0"/>
        <w:ind w:left="720" w:right="720" w:hanging="0"/>
        <w:jc w:val="left"/>
        <w:rPr>
          <w:sz w:val="4"/>
          <w:szCs w:val="4"/>
        </w:rPr>
      </w:pPr>
      <w:r>
        <w:rPr>
          <w:sz w:val="4"/>
          <w:szCs w:val="4"/>
        </w:rPr>
      </w:r>
      <w:bookmarkStart w:id="2" w:name="rdi-20260814xex99_1.htm"/>
      <w:bookmarkStart w:id="3" w:name="ksrdi20260814xex99_1"/>
      <w:bookmarkStart w:id="4" w:name="rdi-20260814xex99_1.htm"/>
      <w:bookmarkStart w:id="5" w:name="ksrdi20260814xex99_1"/>
      <w:bookmarkEnd w:id="4"/>
      <w:bookmarkEnd w:id="5"/>
      <w:r>
        <w:br w:type="page"/>
      </w:r>
    </w:p>
    <w:tbl>
      <w:tblPr>
        <w:tblW w:w="6669" w:type="dxa"/>
        <w:jc w:val="left"/>
        <w:tblInd w:w="720" w:type="dxa"/>
        <w:tblLayout w:type="fixed"/>
        <w:tblCellMar>
          <w:top w:w="0" w:type="dxa"/>
          <w:left w:w="0" w:type="dxa"/>
          <w:bottom w:w="0" w:type="dxa"/>
          <w:right w:w="0" w:type="dxa"/>
        </w:tblCellMar>
      </w:tblPr>
      <w:tblGrid>
        <w:gridCol w:w="3154"/>
        <w:gridCol w:w="60"/>
        <w:gridCol w:w="3455"/>
      </w:tblGrid>
      <w:tr>
        <w:trPr/>
        <w:tc>
          <w:tcPr>
            <w:tcW w:w="315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before="0" w:after="0"/>
              <w:ind w:left="0" w:right="0" w:hanging="0"/>
              <w:jc w:val="left"/>
              <w:rPr/>
            </w:pPr>
            <w:r>
              <w:rPr/>
              <w:t> </w:t>
            </w:r>
          </w:p>
        </w:tc>
        <w:tc>
          <w:tcPr>
            <w:tcW w:w="3455" w:type="dxa"/>
            <w:tcBorders/>
          </w:tcPr>
          <w:p>
            <w:pPr>
              <w:pStyle w:val="TableContents"/>
              <w:bidi w:val="0"/>
              <w:spacing w:before="0" w:after="0"/>
              <w:ind w:left="0" w:right="0" w:hanging="0"/>
              <w:jc w:val="left"/>
              <w:rPr/>
            </w:pPr>
            <w:r>
              <w:rPr/>
              <w:t> </w:t>
            </w:r>
          </w:p>
        </w:tc>
      </w:tr>
      <w:tr>
        <w:trPr/>
        <w:tc>
          <w:tcPr>
            <w:tcW w:w="3154" w:type="dxa"/>
            <w:tcBorders/>
          </w:tcPr>
          <w:p>
            <w:pPr>
              <w:pStyle w:val="TableContents"/>
              <w:bidi w:val="0"/>
              <w:spacing w:before="0" w:after="0"/>
              <w:ind w:left="0" w:right="0" w:hanging="0"/>
              <w:jc w:val="left"/>
              <w:rPr/>
            </w:pPr>
            <w:r>
              <w:rPr/>
              <w:drawing>
                <wp:inline distT="0" distB="0" distL="0" distR="0">
                  <wp:extent cx="199326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3265" cy="914400"/>
                          </a:xfrm>
                          <a:prstGeom prst="rect">
                            <a:avLst/>
                          </a:prstGeom>
                        </pic:spPr>
                      </pic:pic>
                    </a:graphicData>
                  </a:graphic>
                </wp:inline>
              </w:drawing>
            </w:r>
          </w:p>
        </w:tc>
        <w:tc>
          <w:tcPr>
            <w:tcW w:w="60" w:type="dxa"/>
            <w:tcBorders/>
          </w:tcPr>
          <w:p>
            <w:pPr>
              <w:pStyle w:val="TableContents"/>
              <w:bidi w:val="0"/>
              <w:spacing w:before="0" w:after="0"/>
              <w:ind w:left="0" w:right="0" w:hanging="0"/>
              <w:jc w:val="center"/>
              <w:rPr/>
            </w:pPr>
            <w:r>
              <w:rPr/>
              <w:t> </w:t>
            </w:r>
          </w:p>
        </w:tc>
        <w:tc>
          <w:tcPr>
            <w:tcW w:w="3455" w:type="dxa"/>
            <w:tcBorders/>
          </w:tcPr>
          <w:p>
            <w:pPr>
              <w:pStyle w:val="TableContents"/>
              <w:bidi w:val="0"/>
              <w:spacing w:before="0" w:after="0"/>
              <w:ind w:left="0" w:right="0" w:hanging="0"/>
              <w:jc w:val="right"/>
              <w:rPr>
                <w:rFonts w:ascii="Times New Roman" w:hAnsi="Times New Roman"/>
                <w:sz w:val="20"/>
              </w:rPr>
            </w:pPr>
            <w:r>
              <w:rPr>
                <w:rFonts w:ascii="Times New Roman" w:hAnsi="Times New Roman"/>
                <w:sz w:val="20"/>
              </w:rPr>
              <w:t>For more information, contact:</w:t>
            </w:r>
          </w:p>
          <w:p>
            <w:pPr>
              <w:pStyle w:val="TableContents"/>
              <w:bidi w:val="0"/>
              <w:spacing w:before="0" w:after="0"/>
              <w:ind w:left="0" w:right="0" w:hanging="0"/>
              <w:jc w:val="right"/>
              <w:rPr>
                <w:rFonts w:ascii="Times New Roman" w:hAnsi="Times New Roman"/>
                <w:sz w:val="20"/>
              </w:rPr>
            </w:pPr>
            <w:r>
              <w:rPr>
                <w:rFonts w:ascii="Times New Roman" w:hAnsi="Times New Roman"/>
                <w:sz w:val="20"/>
              </w:rPr>
              <w:t>Gilbert Avanes – EVP, CFO, and Treasurer</w:t>
            </w:r>
          </w:p>
          <w:p>
            <w:pPr>
              <w:pStyle w:val="TableContents"/>
              <w:bidi w:val="0"/>
              <w:spacing w:before="0" w:after="0"/>
              <w:ind w:left="0" w:right="0" w:hanging="0"/>
              <w:jc w:val="right"/>
              <w:rPr>
                <w:rFonts w:ascii="Times New Roman" w:hAnsi="Times New Roman"/>
                <w:sz w:val="20"/>
              </w:rPr>
            </w:pPr>
            <w:r>
              <w:rPr>
                <w:rFonts w:ascii="Times New Roman" w:hAnsi="Times New Roman"/>
                <w:sz w:val="20"/>
              </w:rPr>
              <w:t>(213) 235-2240</w:t>
            </w:r>
          </w:p>
          <w:p>
            <w:pPr>
              <w:pStyle w:val="TableContents"/>
              <w:bidi w:val="0"/>
              <w:spacing w:before="0" w:after="0"/>
              <w:ind w:left="0" w:right="0" w:hanging="0"/>
              <w:jc w:val="center"/>
              <w:rPr/>
            </w:pPr>
            <w:r>
              <w:rPr/>
              <w:t> </w:t>
            </w:r>
          </w:p>
        </w:tc>
      </w:tr>
    </w:tbl>
    <w:p>
      <w:pPr>
        <w:pStyle w:val="TextBody"/>
        <w:pBdr>
          <w:bottom w:val="single" w:sz="12" w:space="1" w:color="000000"/>
        </w:pBdr>
        <w:bidi w:val="0"/>
        <w:spacing w:before="0" w:after="0"/>
        <w:ind w:left="720" w:right="720" w:hanging="0"/>
        <w:jc w:val="center"/>
        <w:rPr>
          <w:rFonts w:ascii="Times New Roman" w:hAnsi="Times New Roman"/>
          <w:sz w:val="32"/>
        </w:rPr>
      </w:pPr>
      <w:r>
        <w:rPr>
          <w:rFonts w:ascii="Times New Roman" w:hAnsi="Times New Roman"/>
          <w:b/>
          <w:color w:val="000000"/>
          <w:sz w:val="32"/>
        </w:rPr>
        <w:t>Reading International Reports Second</w:t>
      </w:r>
      <w:r>
        <w:rPr>
          <w:rFonts w:ascii="Times New Roman" w:hAnsi="Times New Roman"/>
          <w:color w:val="000000"/>
          <w:sz w:val="32"/>
        </w:rPr>
        <w:t xml:space="preserve"> </w:t>
      </w:r>
      <w:r>
        <w:rPr>
          <w:rFonts w:ascii="Times New Roman" w:hAnsi="Times New Roman"/>
          <w:b/>
          <w:color w:val="000000"/>
          <w:sz w:val="32"/>
        </w:rPr>
        <w:t>Quarter 2026</w:t>
      </w:r>
      <w:r>
        <w:rPr>
          <w:rFonts w:ascii="Times New Roman" w:hAnsi="Times New Roman"/>
          <w:color w:val="000000"/>
          <w:sz w:val="32"/>
        </w:rPr>
        <w:t xml:space="preserve"> </w:t>
      </w:r>
      <w:r>
        <w:rPr>
          <w:rFonts w:ascii="Times New Roman" w:hAnsi="Times New Roman"/>
          <w:b/>
          <w:color w:val="000000"/>
          <w:sz w:val="32"/>
        </w:rPr>
        <w:t xml:space="preserve">Results </w:t>
      </w:r>
    </w:p>
    <w:p>
      <w:pPr>
        <w:pStyle w:val="TextBody"/>
        <w:bidi w:val="0"/>
        <w:spacing w:before="0" w:after="0"/>
        <w:ind w:left="720" w:right="720" w:hanging="0"/>
        <w:jc w:val="center"/>
        <w:rPr>
          <w:rFonts w:ascii="Times New Roman" w:hAnsi="Times New Roman"/>
          <w:sz w:val="22"/>
        </w:rPr>
      </w:pPr>
      <w:r>
        <w:rPr>
          <w:rFonts w:ascii="Times New Roman" w:hAnsi="Times New Roman"/>
          <w:i/>
          <w:color w:val="000000"/>
          <w:sz w:val="22"/>
        </w:rPr>
        <w:t>Earnings Call Webcast to Discuss</w:t>
      </w:r>
      <w:r>
        <w:rPr>
          <w:rFonts w:ascii="Times New Roman" w:hAnsi="Times New Roman"/>
          <w:color w:val="000000"/>
          <w:sz w:val="22"/>
        </w:rPr>
        <w:t> </w:t>
      </w:r>
      <w:r>
        <w:rPr>
          <w:rFonts w:ascii="Times New Roman" w:hAnsi="Times New Roman"/>
          <w:i/>
          <w:color w:val="000000"/>
          <w:sz w:val="22"/>
        </w:rPr>
        <w:t>Second</w:t>
      </w:r>
      <w:r>
        <w:rPr>
          <w:rFonts w:ascii="Times New Roman" w:hAnsi="Times New Roman"/>
          <w:color w:val="000000"/>
          <w:sz w:val="22"/>
        </w:rPr>
        <w:t xml:space="preserve"> </w:t>
      </w:r>
      <w:r>
        <w:rPr>
          <w:rFonts w:ascii="Times New Roman" w:hAnsi="Times New Roman"/>
          <w:i/>
          <w:color w:val="000000"/>
          <w:sz w:val="22"/>
        </w:rPr>
        <w:t>Quarter</w:t>
      </w:r>
      <w:r>
        <w:rPr>
          <w:rFonts w:ascii="Times New Roman" w:hAnsi="Times New Roman"/>
          <w:color w:val="000000"/>
          <w:sz w:val="22"/>
        </w:rPr>
        <w:t> </w:t>
      </w:r>
      <w:r>
        <w:rPr>
          <w:rFonts w:ascii="Times New Roman" w:hAnsi="Times New Roman"/>
          <w:i/>
          <w:color w:val="000000"/>
          <w:sz w:val="22"/>
        </w:rPr>
        <w:t xml:space="preserve">Financial Results </w:t>
      </w:r>
    </w:p>
    <w:p>
      <w:pPr>
        <w:pStyle w:val="TextBody"/>
        <w:bidi w:val="0"/>
        <w:spacing w:before="0" w:after="0"/>
        <w:ind w:left="720" w:right="720" w:hanging="0"/>
        <w:jc w:val="center"/>
        <w:rPr>
          <w:rFonts w:ascii="Times New Roman" w:hAnsi="Times New Roman"/>
          <w:sz w:val="22"/>
        </w:rPr>
      </w:pPr>
      <w:r>
        <w:rPr>
          <w:rFonts w:ascii="Times New Roman" w:hAnsi="Times New Roman"/>
          <w:i/>
          <w:color w:val="000000"/>
          <w:sz w:val="22"/>
        </w:rPr>
        <w:t xml:space="preserve">Scheduled to Post to Corporate Website on </w:t>
      </w:r>
      <w:r>
        <w:rPr>
          <w:rFonts w:ascii="Times New Roman" w:hAnsi="Times New Roman"/>
          <w:b/>
          <w:i/>
          <w:color w:val="000000"/>
          <w:sz w:val="22"/>
        </w:rPr>
        <w:t>Tuesday,  August 18, 2026</w:t>
      </w:r>
      <w:r>
        <w:rPr>
          <w:rFonts w:ascii="Times New Roman" w:hAnsi="Times New Roman"/>
          <w:sz w:val="22"/>
        </w:rPr>
        <w:t xml:space="preserve"> </w:t>
      </w:r>
    </w:p>
    <w:p>
      <w:pPr>
        <w:pStyle w:val="TextBody"/>
        <w:bidi w:val="0"/>
        <w:spacing w:before="0" w:after="0"/>
        <w:ind w:left="720" w:right="720" w:hanging="0"/>
        <w:jc w:val="left"/>
        <w:rPr>
          <w:rFonts w:cs="Times New Roman"/>
          <w:szCs w:val="22"/>
        </w:rPr>
      </w:pPr>
      <w:r>
        <w:rPr>
          <w:rFonts w:cs="Times New Roman"/>
          <w:bCs/>
          <w:iCs/>
          <w:szCs w:val="22"/>
        </w:rPr>
        <w:t>﻿</w:t>
      </w:r>
      <w:r>
        <w:rPr>
          <w:rFonts w:cs="Times New Roman"/>
          <w:szCs w:val="22"/>
        </w:rPr>
        <w:t xml:space="preserve"> </w:t>
      </w:r>
    </w:p>
    <w:tbl>
      <w:tblPr>
        <w:tblW w:w="4841" w:type="dxa"/>
        <w:jc w:val="left"/>
        <w:tblInd w:w="720" w:type="dxa"/>
        <w:tblLayout w:type="fixed"/>
        <w:tblCellMar>
          <w:top w:w="0" w:type="dxa"/>
          <w:left w:w="0" w:type="dxa"/>
          <w:bottom w:w="0" w:type="dxa"/>
          <w:right w:w="0" w:type="dxa"/>
        </w:tblCellMar>
      </w:tblPr>
      <w:tblGrid>
        <w:gridCol w:w="38"/>
        <w:gridCol w:w="260"/>
        <w:gridCol w:w="23"/>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pBdr/>
              <w:bidi w:val="0"/>
              <w:spacing w:before="0" w:after="0"/>
              <w:ind w:left="0" w:right="0" w:hanging="0"/>
              <w:jc w:val="center"/>
              <w:rPr>
                <w:rFonts w:ascii="Times New Roman" w:hAnsi="Times New Roman"/>
                <w:color w:val="548DD4"/>
                <w:sz w:val="22"/>
              </w:rPr>
            </w:pPr>
            <w:r>
              <w:rPr>
                <w:rFonts w:ascii="Wingdings" w:hAnsi="Wingdings"/>
                <w:color w:val="548DD4"/>
                <w:sz w:val="22"/>
              </w:rPr>
              <w:t>ü</w:t>
            </w:r>
            <w:r>
              <w:rPr>
                <w:rFonts w:ascii="Times New Roman" w:hAnsi="Times New Roman"/>
                <w:color w:val="548DD4"/>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520" w:type="dxa"/>
            <w:tcBorders/>
          </w:tcPr>
          <w:p>
            <w:pPr>
              <w:pStyle w:val="TableContents"/>
              <w:pBdr/>
              <w:bidi w:val="0"/>
              <w:spacing w:before="0" w:after="0"/>
              <w:ind w:left="0" w:right="0" w:hanging="0"/>
              <w:jc w:val="center"/>
              <w:rPr>
                <w:rFonts w:ascii="Times New Roman" w:hAnsi="Times New Roman"/>
                <w:b/>
                <w:i/>
                <w:color w:val="000000"/>
                <w:sz w:val="22"/>
              </w:rPr>
            </w:pPr>
            <w:r>
              <w:rPr>
                <w:rFonts w:ascii="Times New Roman" w:hAnsi="Times New Roman"/>
                <w:b/>
                <w:i/>
                <w:color w:val="000000"/>
                <w:sz w:val="22"/>
              </w:rPr>
              <w:t>Q2 2026 Total Revenues grew to $66.9 million,</w:t>
            </w:r>
          </w:p>
        </w:tc>
      </w:tr>
    </w:tbl>
    <w:tbl>
      <w:tblPr>
        <w:tblW w:w="5426" w:type="dxa"/>
        <w:jc w:val="left"/>
        <w:tblInd w:w="720" w:type="dxa"/>
        <w:tblLayout w:type="fixed"/>
        <w:tblCellMar>
          <w:top w:w="0" w:type="dxa"/>
          <w:left w:w="0" w:type="dxa"/>
          <w:bottom w:w="0" w:type="dxa"/>
          <w:right w:w="0" w:type="dxa"/>
        </w:tblCellMar>
      </w:tblPr>
      <w:tblGrid>
        <w:gridCol w:w="38"/>
        <w:gridCol w:w="260"/>
        <w:gridCol w:w="23"/>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pBdr/>
              <w:bidi w:val="0"/>
              <w:spacing w:before="0" w:after="0"/>
              <w:ind w:left="0" w:right="0" w:hanging="0"/>
              <w:jc w:val="center"/>
              <w:rPr>
                <w:rFonts w:ascii="Times New Roman" w:hAnsi="Times New Roman"/>
                <w:color w:val="548DD4"/>
                <w:sz w:val="22"/>
              </w:rPr>
            </w:pPr>
            <w:r>
              <w:rPr>
                <w:rFonts w:ascii="Wingdings" w:hAnsi="Wingdings"/>
                <w:color w:val="548DD4"/>
                <w:sz w:val="22"/>
              </w:rPr>
              <w:t>ü</w:t>
            </w:r>
            <w:r>
              <w:rPr>
                <w:rFonts w:ascii="Times New Roman" w:hAnsi="Times New Roman"/>
                <w:color w:val="548DD4"/>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05" w:type="dxa"/>
            <w:tcBorders/>
          </w:tcPr>
          <w:p>
            <w:pPr>
              <w:pStyle w:val="TableContents"/>
              <w:pBdr/>
              <w:bidi w:val="0"/>
              <w:spacing w:before="0" w:after="0"/>
              <w:ind w:left="0" w:right="0" w:hanging="0"/>
              <w:jc w:val="center"/>
              <w:rPr>
                <w:rFonts w:ascii="Times New Roman" w:hAnsi="Times New Roman"/>
                <w:b/>
                <w:i/>
                <w:color w:val="000000"/>
                <w:sz w:val="22"/>
              </w:rPr>
            </w:pPr>
            <w:r>
              <w:rPr>
                <w:rFonts w:ascii="Times New Roman" w:hAnsi="Times New Roman"/>
                <w:b/>
                <w:i/>
                <w:color w:val="000000"/>
                <w:sz w:val="22"/>
              </w:rPr>
              <w:t>Q2 2026 Total Revenues highest since pre-Pandemic,</w:t>
            </w:r>
          </w:p>
        </w:tc>
      </w:tr>
    </w:tbl>
    <w:tbl>
      <w:tblPr>
        <w:tblW w:w="5006" w:type="dxa"/>
        <w:jc w:val="left"/>
        <w:tblInd w:w="720" w:type="dxa"/>
        <w:tblLayout w:type="fixed"/>
        <w:tblCellMar>
          <w:top w:w="0" w:type="dxa"/>
          <w:left w:w="0" w:type="dxa"/>
          <w:bottom w:w="0" w:type="dxa"/>
          <w:right w:w="0" w:type="dxa"/>
        </w:tblCellMar>
      </w:tblPr>
      <w:tblGrid>
        <w:gridCol w:w="38"/>
        <w:gridCol w:w="260"/>
        <w:gridCol w:w="23"/>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pBdr/>
              <w:bidi w:val="0"/>
              <w:spacing w:before="0" w:after="0"/>
              <w:ind w:left="0" w:right="0" w:hanging="0"/>
              <w:jc w:val="center"/>
              <w:rPr>
                <w:rFonts w:ascii="Times New Roman" w:hAnsi="Times New Roman"/>
                <w:color w:val="548DD4"/>
                <w:sz w:val="22"/>
              </w:rPr>
            </w:pPr>
            <w:r>
              <w:rPr>
                <w:rFonts w:ascii="Wingdings" w:hAnsi="Wingdings"/>
                <w:color w:val="548DD4"/>
                <w:sz w:val="22"/>
              </w:rPr>
              <w:t>ü</w:t>
            </w:r>
            <w:r>
              <w:rPr>
                <w:rFonts w:ascii="Times New Roman" w:hAnsi="Times New Roman"/>
                <w:color w:val="548DD4"/>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685" w:type="dxa"/>
            <w:tcBorders/>
          </w:tcPr>
          <w:p>
            <w:pPr>
              <w:pStyle w:val="TableContents"/>
              <w:pBdr/>
              <w:bidi w:val="0"/>
              <w:spacing w:before="0" w:after="0"/>
              <w:ind w:left="0" w:right="0" w:hanging="0"/>
              <w:jc w:val="center"/>
              <w:rPr>
                <w:rFonts w:ascii="Times New Roman" w:hAnsi="Times New Roman"/>
                <w:b/>
                <w:i/>
                <w:color w:val="000000"/>
                <w:sz w:val="22"/>
              </w:rPr>
            </w:pPr>
            <w:r>
              <w:rPr>
                <w:rFonts w:ascii="Times New Roman" w:hAnsi="Times New Roman"/>
                <w:b/>
                <w:i/>
                <w:color w:val="000000"/>
                <w:sz w:val="22"/>
              </w:rPr>
              <w:t>Q2 2026 Operating Income grew to $7.5 million,</w:t>
            </w:r>
          </w:p>
        </w:tc>
      </w:tr>
    </w:tbl>
    <w:tbl>
      <w:tblPr>
        <w:tblW w:w="4226" w:type="dxa"/>
        <w:jc w:val="left"/>
        <w:tblInd w:w="720" w:type="dxa"/>
        <w:tblLayout w:type="fixed"/>
        <w:tblCellMar>
          <w:top w:w="0" w:type="dxa"/>
          <w:left w:w="0" w:type="dxa"/>
          <w:bottom w:w="0" w:type="dxa"/>
          <w:right w:w="0" w:type="dxa"/>
        </w:tblCellMar>
      </w:tblPr>
      <w:tblGrid>
        <w:gridCol w:w="38"/>
        <w:gridCol w:w="260"/>
        <w:gridCol w:w="23"/>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pBdr/>
              <w:bidi w:val="0"/>
              <w:spacing w:before="0" w:after="0"/>
              <w:ind w:left="0" w:right="0" w:hanging="0"/>
              <w:jc w:val="center"/>
              <w:rPr>
                <w:rFonts w:ascii="Times New Roman" w:hAnsi="Times New Roman"/>
                <w:color w:val="548DD4"/>
                <w:sz w:val="22"/>
              </w:rPr>
            </w:pPr>
            <w:r>
              <w:rPr>
                <w:rFonts w:ascii="Wingdings" w:hAnsi="Wingdings"/>
                <w:color w:val="548DD4"/>
                <w:sz w:val="22"/>
              </w:rPr>
              <w:t>ü</w:t>
            </w:r>
            <w:r>
              <w:rPr>
                <w:rFonts w:ascii="Times New Roman" w:hAnsi="Times New Roman"/>
                <w:color w:val="548DD4"/>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905" w:type="dxa"/>
            <w:tcBorders/>
          </w:tcPr>
          <w:p>
            <w:pPr>
              <w:pStyle w:val="TableContents"/>
              <w:pBdr/>
              <w:bidi w:val="0"/>
              <w:spacing w:before="0" w:after="0"/>
              <w:ind w:left="0" w:right="0" w:hanging="0"/>
              <w:jc w:val="center"/>
              <w:rPr>
                <w:rFonts w:ascii="Times New Roman" w:hAnsi="Times New Roman"/>
                <w:b/>
                <w:i/>
                <w:color w:val="000000"/>
                <w:sz w:val="22"/>
              </w:rPr>
            </w:pPr>
            <w:r>
              <w:rPr>
                <w:rFonts w:ascii="Times New Roman" w:hAnsi="Times New Roman"/>
                <w:b/>
                <w:i/>
                <w:color w:val="000000"/>
                <w:sz w:val="22"/>
              </w:rPr>
              <w:t>Q2 2026 EBITDA grew to $11.3 million.</w:t>
            </w:r>
          </w:p>
        </w:tc>
      </w:tr>
    </w:tbl>
    <w:p>
      <w:pPr>
        <w:pStyle w:val="TextBody"/>
        <w:bidi w:val="0"/>
        <w:spacing w:before="0" w:after="0"/>
        <w:ind w:left="720" w:right="720" w:hanging="0"/>
        <w:jc w:val="center"/>
        <w:rPr>
          <w:rFonts w:cs="Times New Roman"/>
          <w:szCs w:val="22"/>
        </w:rPr>
      </w:pPr>
      <w:r>
        <w:rPr>
          <w:rFonts w:cs="Times New Roman"/>
          <w:bCs/>
          <w:iCs/>
          <w:color w:val="548DD4"/>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b/>
          <w:color w:val="000000"/>
          <w:sz w:val="22"/>
        </w:rPr>
        <w:t>NEW YORK - August 14, 2026</w:t>
      </w:r>
      <w:r>
        <w:rPr>
          <w:rFonts w:ascii="Times New Roman" w:hAnsi="Times New Roman"/>
          <w:color w:val="000000"/>
          <w:sz w:val="22"/>
        </w:rPr>
        <w:t xml:space="preserve"> - Reading International, Inc. (NASDAQ: RDI) (“Reading” or our “Company”), an internationally diversified cinema and real estate company with operations and assets in the United States, Australia, and New Zealand, today announced its results for the second quarter and six months ended June 30, 2026.</w:t>
      </w:r>
      <w:r>
        <w:rPr>
          <w:rFonts w:ascii="Times New Roman" w:hAnsi="Times New Roman"/>
          <w:sz w:val="22"/>
        </w:rPr>
        <w:t xml:space="preserve"> </w:t>
      </w:r>
    </w:p>
    <w:p>
      <w:pPr>
        <w:pStyle w:val="TextBody"/>
        <w:bidi w:val="0"/>
        <w:spacing w:before="0" w:after="0"/>
        <w:ind w:left="720" w:right="720" w:hanging="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b/>
          <w:color w:val="000000"/>
          <w:sz w:val="22"/>
          <w:u w:val="single"/>
        </w:rPr>
        <w:t xml:space="preserve">Key Financial Summary Results </w:t>
      </w:r>
      <w:r>
        <w:rPr>
          <w:rFonts w:ascii="Times New Roman" w:hAnsi="Times New Roman"/>
          <w:color w:val="000000"/>
          <w:sz w:val="22"/>
          <w:u w:val="single"/>
        </w:rPr>
        <w:t>– </w:t>
      </w:r>
      <w:r>
        <w:rPr>
          <w:rFonts w:ascii="Times New Roman" w:hAnsi="Times New Roman"/>
          <w:b/>
          <w:color w:val="000000"/>
          <w:sz w:val="22"/>
          <w:u w:val="single"/>
        </w:rPr>
        <w:t>Second</w:t>
      </w:r>
      <w:r>
        <w:rPr>
          <w:rFonts w:ascii="Times New Roman" w:hAnsi="Times New Roman"/>
          <w:color w:val="000000"/>
          <w:sz w:val="22"/>
          <w:u w:val="single"/>
        </w:rPr>
        <w:t xml:space="preserve"> </w:t>
      </w:r>
      <w:r>
        <w:rPr>
          <w:rFonts w:ascii="Times New Roman" w:hAnsi="Times New Roman"/>
          <w:b/>
          <w:color w:val="000000"/>
          <w:sz w:val="22"/>
          <w:u w:val="single"/>
        </w:rPr>
        <w:t>Quarter 2026</w:t>
      </w:r>
      <w:r>
        <w:rPr>
          <w:rFonts w:ascii="Times New Roman" w:hAnsi="Times New Roman"/>
          <w:sz w:val="22"/>
        </w:rPr>
        <w:t xml:space="preserve"> </w:t>
      </w:r>
    </w:p>
    <w:p>
      <w:pPr>
        <w:pStyle w:val="TextBody"/>
        <w:bidi w:val="0"/>
        <w:spacing w:before="0" w:after="0"/>
        <w:ind w:left="720" w:right="720" w:hanging="0"/>
        <w:jc w:val="both"/>
        <w:rPr>
          <w:rFonts w:cs="Times New Roman"/>
          <w:szCs w:val="20"/>
        </w:rPr>
      </w:pPr>
      <w:r>
        <w:rPr>
          <w:rFonts w:cs="Times New Roman"/>
          <w:bCs/>
          <w:color w:val="000000"/>
          <w:szCs w:val="20"/>
          <w:u w:val="single"/>
        </w:rPr>
        <w:t>﻿</w:t>
      </w:r>
      <w:r>
        <w:rPr>
          <w:rFonts w:cs="Times New Roman"/>
          <w:szCs w:val="20"/>
        </w:rPr>
        <w:t xml:space="preserve"> </w:t>
      </w:r>
    </w:p>
    <w:tbl>
      <w:tblPr>
        <w:tblW w:w="8765" w:type="dxa"/>
        <w:jc w:val="left"/>
        <w:tblInd w:w="720" w:type="dxa"/>
        <w:tblLayout w:type="fixed"/>
        <w:tblCellMar>
          <w:top w:w="0" w:type="dxa"/>
          <w:left w:w="0" w:type="dxa"/>
          <w:bottom w:w="0" w:type="dxa"/>
          <w:right w:w="0" w:type="dxa"/>
        </w:tblCellMar>
      </w:tblPr>
      <w:tblGrid>
        <w:gridCol w:w="38"/>
        <w:gridCol w:w="156"/>
        <w:gridCol w:w="23"/>
        <w:gridCol w:w="8548"/>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8" w:type="dxa"/>
            <w:tcBorders/>
          </w:tcPr>
          <w:p>
            <w:pPr>
              <w:pStyle w:val="TableContents"/>
              <w:bidi w:val="0"/>
              <w:spacing w:lineRule="auto" w:line="252" w:before="0" w:after="160"/>
              <w:ind w:left="0" w:right="0" w:hanging="0"/>
              <w:jc w:val="both"/>
              <w:rPr>
                <w:rFonts w:ascii="Times New Roman" w:hAnsi="Times New Roman"/>
                <w:color w:val="000000"/>
                <w:sz w:val="22"/>
              </w:rPr>
            </w:pPr>
            <w:bookmarkStart w:id="6" w:name="_Hlk212454524"/>
            <w:bookmarkEnd w:id="6"/>
            <w:r>
              <w:rPr>
                <w:rFonts w:ascii="Times New Roman" w:hAnsi="Times New Roman"/>
                <w:color w:val="000000"/>
                <w:sz w:val="22"/>
              </w:rPr>
              <w:t>Total Revenues of $66.9 million increased by 11% from $60.4 million in Q2 2025 and represented the highest second quarter Total Revenues since Q2 2019.</w:t>
            </w:r>
          </w:p>
        </w:tc>
      </w:tr>
    </w:tbl>
    <w:tbl>
      <w:tblPr>
        <w:tblW w:w="8765" w:type="dxa"/>
        <w:jc w:val="left"/>
        <w:tblInd w:w="720" w:type="dxa"/>
        <w:tblLayout w:type="fixed"/>
        <w:tblCellMar>
          <w:top w:w="0" w:type="dxa"/>
          <w:left w:w="0" w:type="dxa"/>
          <w:bottom w:w="0" w:type="dxa"/>
          <w:right w:w="0" w:type="dxa"/>
        </w:tblCellMar>
      </w:tblPr>
      <w:tblGrid>
        <w:gridCol w:w="38"/>
        <w:gridCol w:w="154"/>
        <w:gridCol w:w="23"/>
        <w:gridCol w:w="855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0"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Operating Income of $7.5 million marked a 159% improvement from $2.9 million in Q2 2025 and represented the highest quarter result for this metric since Q2 2018. </w:t>
            </w:r>
          </w:p>
        </w:tc>
      </w:tr>
    </w:tbl>
    <w:tbl>
      <w:tblPr>
        <w:tblW w:w="8765" w:type="dxa"/>
        <w:jc w:val="left"/>
        <w:tblInd w:w="720" w:type="dxa"/>
        <w:tblLayout w:type="fixed"/>
        <w:tblCellMar>
          <w:top w:w="0" w:type="dxa"/>
          <w:left w:w="0" w:type="dxa"/>
          <w:bottom w:w="0" w:type="dxa"/>
          <w:right w:w="0" w:type="dxa"/>
        </w:tblCellMar>
      </w:tblPr>
      <w:tblGrid>
        <w:gridCol w:w="38"/>
        <w:gridCol w:w="136"/>
        <w:gridCol w:w="23"/>
        <w:gridCol w:w="8568"/>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8"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 xml:space="preserve">EBITDA of $11.3 million increased by 79% from $6.3 million in Q2 2025. Our Q2 2025 results included a $1.8 million gain on sale from the sale of our Cannon Park property in Australia. There were no asset sales in Q2 2026. Further, excluding the Q2 2021 EBITDA that included $43.2 million of gains on real estate asset sales, the Q2 2026 EBITDA represented the best second quarter since Q2 2019.  </w:t>
            </w:r>
          </w:p>
        </w:tc>
      </w:tr>
    </w:tbl>
    <w:tbl>
      <w:tblPr>
        <w:tblW w:w="8765" w:type="dxa"/>
        <w:jc w:val="left"/>
        <w:tblInd w:w="720" w:type="dxa"/>
        <w:tblLayout w:type="fixed"/>
        <w:tblCellMar>
          <w:top w:w="0" w:type="dxa"/>
          <w:left w:w="0" w:type="dxa"/>
          <w:bottom w:w="0" w:type="dxa"/>
          <w:right w:w="0" w:type="dxa"/>
        </w:tblCellMar>
      </w:tblPr>
      <w:tblGrid>
        <w:gridCol w:w="38"/>
        <w:gridCol w:w="138"/>
        <w:gridCol w:w="23"/>
        <w:gridCol w:w="8566"/>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6"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 xml:space="preserve">Q2 Basic Earnings Per Share was $0.10 against a Q2 2025 Basic Loss Per Share of $0.12 noting the inclusion of asset sales in the Q2 2025 Loss Per Share. Further, excluding the Q2 2021 Basic Earnings Per Share that included $43.2 million of gains on sale from real estate asset sales, the Q2 2026 Basic Earnings Per Share represented the best second quarter since Q2 2019.  </w:t>
            </w:r>
          </w:p>
        </w:tc>
      </w:tr>
    </w:tbl>
    <w:tbl>
      <w:tblPr>
        <w:tblW w:w="8765" w:type="dxa"/>
        <w:jc w:val="left"/>
        <w:tblInd w:w="720" w:type="dxa"/>
        <w:tblLayout w:type="fixed"/>
        <w:tblCellMar>
          <w:top w:w="0" w:type="dxa"/>
          <w:left w:w="0" w:type="dxa"/>
          <w:bottom w:w="0" w:type="dxa"/>
          <w:right w:w="0" w:type="dxa"/>
        </w:tblCellMar>
      </w:tblPr>
      <w:tblGrid>
        <w:gridCol w:w="38"/>
        <w:gridCol w:w="142"/>
        <w:gridCol w:w="23"/>
        <w:gridCol w:w="856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2"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 xml:space="preserve">Net Income was $2.3 million against a loss of $2.8 million in Q2 2025. Excluding the Q2 2021 Net Income result, which included gains on sale of $43.2 million from real estate asset sales, the Q2 2026 Net Income represented the best second quarter since Q2 2019.  </w:t>
            </w:r>
          </w:p>
        </w:tc>
      </w:tr>
    </w:tbl>
    <w:p>
      <w:pPr>
        <w:pStyle w:val="TextBody"/>
        <w:bidi w:val="0"/>
        <w:spacing w:before="0" w:after="0"/>
        <w:ind w:left="720" w:right="720" w:hanging="0"/>
        <w:jc w:val="both"/>
        <w:rPr>
          <w:rFonts w:ascii="Times New Roman" w:hAnsi="Times New Roman"/>
          <w:sz w:val="22"/>
        </w:rPr>
      </w:pPr>
      <w:r>
        <w:rPr>
          <w:rFonts w:ascii="Times New Roman" w:hAnsi="Times New Roman"/>
          <w:b/>
          <w:color w:val="000000"/>
          <w:sz w:val="22"/>
          <w:u w:val="single"/>
        </w:rPr>
        <w:t>Key Financial Summary Results –</w:t>
      </w:r>
      <w:r>
        <w:rPr>
          <w:rFonts w:ascii="Times New Roman" w:hAnsi="Times New Roman"/>
          <w:color w:val="000000"/>
          <w:sz w:val="22"/>
          <w:u w:val="single"/>
        </w:rPr>
        <w:t> </w:t>
      </w:r>
      <w:r>
        <w:rPr>
          <w:rFonts w:ascii="Times New Roman" w:hAnsi="Times New Roman"/>
          <w:b/>
          <w:color w:val="000000"/>
          <w:sz w:val="22"/>
          <w:u w:val="single"/>
        </w:rPr>
        <w:t>Six</w:t>
      </w:r>
      <w:r>
        <w:rPr>
          <w:rFonts w:ascii="Times New Roman" w:hAnsi="Times New Roman"/>
          <w:color w:val="000000"/>
          <w:sz w:val="22"/>
          <w:u w:val="single"/>
        </w:rPr>
        <w:t> </w:t>
      </w:r>
      <w:r>
        <w:rPr>
          <w:rFonts w:ascii="Times New Roman" w:hAnsi="Times New Roman"/>
          <w:b/>
          <w:color w:val="000000"/>
          <w:sz w:val="22"/>
          <w:u w:val="single"/>
        </w:rPr>
        <w:t>Months of</w:t>
      </w:r>
      <w:r>
        <w:rPr>
          <w:rFonts w:ascii="Times New Roman" w:hAnsi="Times New Roman"/>
          <w:color w:val="000000"/>
          <w:sz w:val="22"/>
          <w:u w:val="single"/>
        </w:rPr>
        <w:t> </w:t>
      </w:r>
      <w:r>
        <w:rPr>
          <w:rFonts w:ascii="Times New Roman" w:hAnsi="Times New Roman"/>
          <w:b/>
          <w:color w:val="000000"/>
          <w:sz w:val="22"/>
          <w:u w:val="single"/>
        </w:rPr>
        <w:t>2026</w:t>
      </w:r>
      <w:r>
        <w:rPr>
          <w:rFonts w:ascii="Times New Roman" w:hAnsi="Times New Roman"/>
          <w:sz w:val="22"/>
        </w:rPr>
        <w:t xml:space="preserve"> </w:t>
      </w:r>
    </w:p>
    <w:p>
      <w:pPr>
        <w:pStyle w:val="TextBody"/>
        <w:bidi w:val="0"/>
        <w:spacing w:before="0" w:after="0"/>
        <w:ind w:left="720" w:right="720" w:hanging="0"/>
        <w:jc w:val="both"/>
        <w:rPr>
          <w:rFonts w:cs="Times New Roman"/>
          <w:szCs w:val="20"/>
        </w:rPr>
      </w:pPr>
      <w:r>
        <w:rPr>
          <w:rFonts w:cs="Times New Roman"/>
          <w:bCs/>
          <w:color w:val="000000"/>
          <w:szCs w:val="20"/>
          <w:u w:val="single"/>
        </w:rPr>
        <w:t>﻿</w:t>
      </w:r>
      <w:r>
        <w:rPr>
          <w:rFonts w:cs="Times New Roman"/>
          <w:szCs w:val="20"/>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color w:val="000000"/>
          <w:sz w:val="22"/>
        </w:rPr>
        <w:t>As compared to the same prior period:</w:t>
      </w:r>
      <w:r>
        <w:rPr>
          <w:rFonts w:ascii="Times New Roman" w:hAnsi="Times New Roman"/>
          <w:sz w:val="22"/>
        </w:rPr>
        <w:t xml:space="preserve"> </w:t>
      </w:r>
    </w:p>
    <w:p>
      <w:pPr>
        <w:pStyle w:val="TextBody"/>
        <w:bidi w:val="0"/>
        <w:spacing w:before="0" w:after="0"/>
        <w:ind w:left="720" w:right="720" w:hanging="0"/>
        <w:jc w:val="both"/>
        <w:rPr>
          <w:rFonts w:cs="Times New Roman"/>
          <w:szCs w:val="20"/>
        </w:rPr>
      </w:pPr>
      <w:r>
        <w:rPr>
          <w:rFonts w:cs="Times New Roman"/>
          <w:bCs/>
          <w:color w:val="000000"/>
          <w:szCs w:val="20"/>
          <w:u w:val="single"/>
        </w:rPr>
        <w:t>﻿</w:t>
      </w:r>
      <w:r>
        <w:rPr>
          <w:rFonts w:cs="Times New Roman"/>
          <w:szCs w:val="20"/>
        </w:rPr>
        <w:t xml:space="preserve"> </w:t>
      </w:r>
    </w:p>
    <w:tbl>
      <w:tblPr>
        <w:tblW w:w="7166" w:type="dxa"/>
        <w:jc w:val="left"/>
        <w:tblInd w:w="720" w:type="dxa"/>
        <w:tblLayout w:type="fixed"/>
        <w:tblCellMar>
          <w:top w:w="0" w:type="dxa"/>
          <w:left w:w="0" w:type="dxa"/>
          <w:bottom w:w="0" w:type="dxa"/>
          <w:right w:w="0" w:type="dxa"/>
        </w:tblCellMar>
      </w:tblPr>
      <w:tblGrid>
        <w:gridCol w:w="38"/>
        <w:gridCol w:w="185"/>
        <w:gridCol w:w="23"/>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20"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Total Revenues of $112.0 million increased by 11% from $100.5 million.</w:t>
            </w:r>
          </w:p>
        </w:tc>
      </w:tr>
    </w:tbl>
    <w:tbl>
      <w:tblPr>
        <w:tblW w:w="8765" w:type="dxa"/>
        <w:jc w:val="left"/>
        <w:tblInd w:w="720" w:type="dxa"/>
        <w:tblLayout w:type="fixed"/>
        <w:tblCellMar>
          <w:top w:w="0" w:type="dxa"/>
          <w:left w:w="0" w:type="dxa"/>
          <w:bottom w:w="0" w:type="dxa"/>
          <w:right w:w="0" w:type="dxa"/>
        </w:tblCellMar>
      </w:tblPr>
      <w:tblGrid>
        <w:gridCol w:w="38"/>
        <w:gridCol w:w="184"/>
        <w:gridCol w:w="23"/>
        <w:gridCol w:w="8520"/>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20"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Net Operating Income of $3.8 million improved from a net operating loss of $4.0 million.  </w:t>
            </w:r>
          </w:p>
        </w:tc>
      </w:tr>
    </w:tbl>
    <w:tbl>
      <w:tblPr>
        <w:tblW w:w="8765" w:type="dxa"/>
        <w:jc w:val="left"/>
        <w:tblInd w:w="720" w:type="dxa"/>
        <w:tblLayout w:type="fixed"/>
        <w:tblCellMar>
          <w:top w:w="0" w:type="dxa"/>
          <w:left w:w="0" w:type="dxa"/>
          <w:bottom w:w="0" w:type="dxa"/>
          <w:right w:w="0" w:type="dxa"/>
        </w:tblCellMar>
      </w:tblPr>
      <w:tblGrid>
        <w:gridCol w:w="38"/>
        <w:gridCol w:w="147"/>
        <w:gridCol w:w="23"/>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7"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 xml:space="preserve">EBITDA of $10.4 million increased by 14% from $9.2 million. The first six months of 2025 included gains on sale of $8.4 million from the sale of our Cannon Park, Australia and Wellington, New Zealand properties. </w:t>
            </w:r>
          </w:p>
        </w:tc>
      </w:tr>
    </w:tbl>
    <w:tbl>
      <w:tblPr>
        <w:tblW w:w="7646" w:type="dxa"/>
        <w:jc w:val="left"/>
        <w:tblInd w:w="720" w:type="dxa"/>
        <w:tblLayout w:type="fixed"/>
        <w:tblCellMar>
          <w:top w:w="0" w:type="dxa"/>
          <w:left w:w="0" w:type="dxa"/>
          <w:bottom w:w="0" w:type="dxa"/>
          <w:right w:w="0" w:type="dxa"/>
        </w:tblCellMar>
      </w:tblPr>
      <w:tblGrid>
        <w:gridCol w:w="38"/>
        <w:gridCol w:w="185"/>
        <w:gridCol w:w="23"/>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400"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Basic Loss Per Share of $0.26 improved from a Basic Loss Per Share of $0.33.</w:t>
            </w:r>
          </w:p>
        </w:tc>
      </w:tr>
    </w:tbl>
    <w:tbl>
      <w:tblPr>
        <w:tblW w:w="7871" w:type="dxa"/>
        <w:jc w:val="left"/>
        <w:tblInd w:w="720" w:type="dxa"/>
        <w:tblLayout w:type="fixed"/>
        <w:tblCellMar>
          <w:top w:w="0" w:type="dxa"/>
          <w:left w:w="0" w:type="dxa"/>
          <w:bottom w:w="0" w:type="dxa"/>
          <w:right w:w="0" w:type="dxa"/>
        </w:tblCellMar>
      </w:tblPr>
      <w:tblGrid>
        <w:gridCol w:w="38"/>
        <w:gridCol w:w="185"/>
        <w:gridCol w:w="23"/>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52" w:before="0" w:after="16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25" w:type="dxa"/>
            <w:tcBorders/>
          </w:tcPr>
          <w:p>
            <w:pPr>
              <w:pStyle w:val="TableContents"/>
              <w:bidi w:val="0"/>
              <w:spacing w:lineRule="auto" w:line="252" w:before="0" w:after="160"/>
              <w:ind w:left="0" w:right="0" w:hanging="0"/>
              <w:jc w:val="both"/>
              <w:rPr>
                <w:rFonts w:ascii="Times New Roman" w:hAnsi="Times New Roman"/>
                <w:color w:val="000000"/>
                <w:sz w:val="22"/>
              </w:rPr>
            </w:pPr>
            <w:r>
              <w:rPr>
                <w:rFonts w:ascii="Times New Roman" w:hAnsi="Times New Roman"/>
                <w:color w:val="000000"/>
                <w:sz w:val="22"/>
              </w:rPr>
              <w:t>Net Loss of $5.8 million decreased by 25% compared to a Net Loss $7.8 million.</w:t>
            </w:r>
          </w:p>
        </w:tc>
      </w:tr>
    </w:tbl>
    <w:p>
      <w:pPr>
        <w:pStyle w:val="TextBody"/>
        <w:bidi w:val="0"/>
        <w:spacing w:before="0" w:after="0"/>
        <w:ind w:left="720" w:right="720" w:hanging="0"/>
        <w:jc w:val="both"/>
        <w:rPr>
          <w:rFonts w:ascii="Times New Roman" w:hAnsi="Times New Roman"/>
          <w:sz w:val="22"/>
        </w:rPr>
      </w:pPr>
      <w:r>
        <w:rPr>
          <w:rFonts w:ascii="Times New Roman" w:hAnsi="Times New Roman"/>
          <w:color w:val="000000"/>
          <w:sz w:val="22"/>
        </w:rPr>
        <w:t>In Q2 2026, the Australian dollar average exchange rate strengthened against the U.S. dollar by 10.8% while the New Zealand dollar exchange rate weakened by 1.5%, compared to Q2 2025. For the six months ended June 30, 2026 the Australian dollar strengthened by 10.8% and the New Zealand dollar strengthened by 1.1%. With 53% of our Total Revenues being generated by our Australian and New Zealand businesses this quarter and for the six months to June 30, 2026, the strengthening of the Australian dollar for the quarter and six months and the strengthening of the New Zealand dollar for the six months positively impacted our U.S. reported operating results. This exchange ratio improvement trend has continued since the end of the second quarter.    </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bookmarkStart w:id="7" w:name="_Hlk213852609"/>
      <w:bookmarkEnd w:id="7"/>
      <w:r>
        <w:rPr>
          <w:rFonts w:ascii="Times New Roman" w:hAnsi="Times New Roman"/>
          <w:color w:val="000000"/>
          <w:sz w:val="22"/>
        </w:rPr>
        <w:t xml:space="preserve">President and Chief Executive Officer, Ellen Cotter said, “We’re so pleased to report that the Company achieved its strongest second quarter operational results since pre-pandemic periods. This strong performance was powered by an 11% increase in our global cinema revenue thanks to a phenomenal movie line-up, which included </w:t>
      </w:r>
      <w:r>
        <w:rPr>
          <w:rFonts w:ascii="Times New Roman" w:hAnsi="Times New Roman"/>
          <w:i/>
          <w:color w:val="000000"/>
          <w:sz w:val="22"/>
        </w:rPr>
        <w:t>The</w:t>
      </w:r>
      <w:r>
        <w:rPr>
          <w:rFonts w:ascii="Times New Roman" w:hAnsi="Times New Roman"/>
          <w:color w:val="000000"/>
          <w:sz w:val="22"/>
        </w:rPr>
        <w:t> </w:t>
      </w:r>
      <w:r>
        <w:rPr>
          <w:rFonts w:ascii="Times New Roman" w:hAnsi="Times New Roman"/>
          <w:i/>
          <w:color w:val="000000"/>
          <w:sz w:val="22"/>
        </w:rPr>
        <w:t xml:space="preserve">Super Mario Galaxy Movie, The Devil Wears Prada 2, Michael, Backrooms, Obsession </w:t>
      </w:r>
      <w:r>
        <w:rPr>
          <w:rFonts w:ascii="Times New Roman" w:hAnsi="Times New Roman"/>
          <w:color w:val="000000"/>
          <w:sz w:val="22"/>
        </w:rPr>
        <w:t xml:space="preserve">and </w:t>
      </w:r>
      <w:r>
        <w:rPr>
          <w:rFonts w:ascii="Times New Roman" w:hAnsi="Times New Roman"/>
          <w:i/>
          <w:color w:val="000000"/>
          <w:sz w:val="22"/>
        </w:rPr>
        <w:t>Toy Story 5</w:t>
      </w:r>
      <w:r>
        <w:rPr>
          <w:rFonts w:ascii="Times New Roman" w:hAnsi="Times New Roman"/>
          <w:color w:val="000000"/>
          <w:sz w:val="22"/>
        </w:rPr>
        <w:t xml:space="preserve">. In addition to the stellar box office, we believe our global management teams delivered these positive results by executing on our various strategic operational initiatives. This quarter we achieved the highest quarterly Cinema Revenues ever in Australia, and our Australian cinema circuit delivered the highest Operating Income since Q2 2018.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color w:val="000000"/>
          <w:sz w:val="22"/>
        </w:rPr>
        <w:t>This momentum has continued well into the third quarter of 2026, where we have set multiple new records due to the unprecedented success of </w:t>
      </w:r>
      <w:r>
        <w:rPr>
          <w:rFonts w:ascii="Times New Roman" w:hAnsi="Times New Roman"/>
          <w:i/>
          <w:color w:val="000000"/>
          <w:sz w:val="22"/>
        </w:rPr>
        <w:t xml:space="preserve">Spider-Man: Brand New Day </w:t>
      </w:r>
      <w:r>
        <w:rPr>
          <w:rFonts w:ascii="Times New Roman" w:hAnsi="Times New Roman"/>
          <w:color w:val="000000"/>
          <w:sz w:val="22"/>
        </w:rPr>
        <w:t xml:space="preserve">and </w:t>
      </w:r>
      <w:r>
        <w:rPr>
          <w:rFonts w:ascii="Times New Roman" w:hAnsi="Times New Roman"/>
          <w:i/>
          <w:color w:val="000000"/>
          <w:sz w:val="22"/>
        </w:rPr>
        <w:t>The Odyssey.</w:t>
      </w:r>
      <w:r>
        <w:rPr>
          <w:rFonts w:ascii="Times New Roman" w:hAnsi="Times New Roman"/>
          <w:color w:val="000000"/>
          <w:sz w:val="22"/>
        </w:rPr>
        <w:t xml:space="preserve"> Our Australian cinema circuit reported the highest and second highest Gross Box Office days in its history on Saturday, August 1, 2026, and Sunday, August 2, 2026, and our U.S. Cinema circuit delivered the highest three-day box office weekend on a same store basis for the weekend of July 31, 2026. We fully expect the remainder of the year, especially the holidays, to include additional record setting weekends when we open </w:t>
      </w:r>
      <w:r>
        <w:rPr>
          <w:rFonts w:ascii="Times New Roman" w:hAnsi="Times New Roman"/>
          <w:i/>
          <w:color w:val="000000"/>
          <w:sz w:val="22"/>
        </w:rPr>
        <w:t>Avengers:</w:t>
      </w:r>
      <w:r>
        <w:rPr>
          <w:rFonts w:ascii="Times New Roman" w:hAnsi="Times New Roman"/>
          <w:color w:val="000000"/>
          <w:sz w:val="22"/>
        </w:rPr>
        <w:t xml:space="preserve"> </w:t>
      </w:r>
      <w:r>
        <w:rPr>
          <w:rFonts w:ascii="Times New Roman" w:hAnsi="Times New Roman"/>
          <w:i/>
          <w:color w:val="000000"/>
          <w:sz w:val="22"/>
        </w:rPr>
        <w:t>Doomsday,</w:t>
      </w:r>
      <w:r>
        <w:rPr>
          <w:rFonts w:ascii="Times New Roman" w:hAnsi="Times New Roman"/>
          <w:color w:val="000000"/>
          <w:sz w:val="22"/>
        </w:rPr>
        <w:t xml:space="preserve"> </w:t>
      </w:r>
      <w:r>
        <w:rPr>
          <w:rFonts w:ascii="Times New Roman" w:hAnsi="Times New Roman"/>
          <w:i/>
          <w:color w:val="000000"/>
          <w:sz w:val="22"/>
        </w:rPr>
        <w:t>Dune</w:t>
      </w:r>
      <w:r>
        <w:rPr>
          <w:rFonts w:ascii="Times New Roman" w:hAnsi="Times New Roman"/>
          <w:color w:val="000000"/>
          <w:sz w:val="22"/>
        </w:rPr>
        <w:t xml:space="preserve"> </w:t>
      </w:r>
      <w:r>
        <w:rPr>
          <w:rFonts w:ascii="Times New Roman" w:hAnsi="Times New Roman"/>
          <w:i/>
          <w:color w:val="000000"/>
          <w:sz w:val="22"/>
        </w:rPr>
        <w:t xml:space="preserve">3 </w:t>
      </w:r>
      <w:r>
        <w:rPr>
          <w:rFonts w:ascii="Times New Roman" w:hAnsi="Times New Roman"/>
          <w:color w:val="000000"/>
          <w:sz w:val="22"/>
        </w:rPr>
        <w:t xml:space="preserve">and </w:t>
      </w:r>
      <w:r>
        <w:rPr>
          <w:rFonts w:ascii="Times New Roman" w:hAnsi="Times New Roman"/>
          <w:i/>
          <w:color w:val="000000"/>
          <w:sz w:val="22"/>
        </w:rPr>
        <w:t>Jumanji 3</w:t>
      </w:r>
      <w:r>
        <w:rPr>
          <w:rFonts w:ascii="Times New Roman" w:hAnsi="Times New Roman"/>
          <w:color w:val="000000"/>
          <w:sz w:val="22"/>
        </w:rPr>
        <w:t>.  </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bookmarkStart w:id="8" w:name="_Hlk213768786"/>
      <w:bookmarkEnd w:id="8"/>
      <w:r>
        <w:rPr>
          <w:rFonts w:ascii="Times New Roman" w:hAnsi="Times New Roman"/>
          <w:color w:val="000000"/>
          <w:sz w:val="22"/>
        </w:rPr>
        <w:t>Our Q2 2026 global Real Estate division segment revenues and operating income were broadly consistent against Q2 2025. Our results reflect the execution of our strategy to raise liquidity through select asset monetization, most notably the 2025 sales of our real estate assets in Wellington, New Zealand and Townsville, Australia. Our U.S. Real Estate business supported the global Real Estate division by reporting its second highest ever second quarter U.S. Real Estate revenue, led by strong performance in our Live Theatre division. As part of our continuing efforts to bolster our liquidity, we continue to move forward with the sale of our Cinemas 123 building in NYC.</w:t>
      </w:r>
      <w:r>
        <w:rPr>
          <w:rFonts w:ascii="Times New Roman" w:hAnsi="Times New Roman"/>
          <w:sz w:val="22"/>
        </w:rPr>
        <w:t xml:space="preserve"> </w:t>
      </w:r>
    </w:p>
    <w:p>
      <w:pPr>
        <w:pStyle w:val="TextBody"/>
        <w:bidi w:val="0"/>
        <w:spacing w:before="0" w:after="0"/>
        <w:ind w:left="720" w:right="720" w:hanging="0"/>
        <w:jc w:val="both"/>
        <w:rPr/>
      </w:pPr>
      <w:r>
        <w:rPr>
          <w:color w:val="000000"/>
        </w:rPr>
        <w:t>   </w:t>
      </w:r>
      <w:r>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color w:val="000000"/>
          <w:sz w:val="22"/>
        </w:rPr>
        <w:t>From a corporate perspective, our improved Q2 2026 Operating Income also reflects a 19% reduction in our global General &amp; Administrative costs, even with the strengthening of the Australia and NZ dollars.”</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color w:val="000000"/>
          <w:sz w:val="22"/>
        </w:rPr>
        <w:t>Cotter continued, “Following a solid first half of 2026, with a balance sheet which continues to be anchored by a strong real estate portfolio, and our global cinemas being poised to capitalize on an exciting and robust movie slate through the remainder of the year, while no assurances can be given, we believe our Company is well-positioned to deliver a strong 2026.”</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b/>
          <w:color w:val="000000"/>
          <w:sz w:val="22"/>
          <w:u w:val="single"/>
        </w:rPr>
        <w:t>Cinema Business</w:t>
      </w:r>
      <w:r>
        <w:rPr>
          <w:rFonts w:ascii="Times New Roman" w:hAnsi="Times New Roman"/>
          <w:color w:val="000000"/>
          <w:sz w:val="22"/>
          <w:u w:val="single"/>
        </w:rPr>
        <w:t> </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34"/>
        <w:gridCol w:w="23"/>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color w:val="000000"/>
                <w:sz w:val="22"/>
              </w:rPr>
              <w:t xml:space="preserve">Our Australian cinema circuit led the way in a quarter which was treated to releases such as </w:t>
            </w:r>
            <w:r>
              <w:rPr>
                <w:rFonts w:ascii="Times New Roman" w:hAnsi="Times New Roman"/>
                <w:i/>
                <w:color w:val="000000"/>
                <w:sz w:val="22"/>
              </w:rPr>
              <w:t xml:space="preserve">The Super Mario Galaxy Movie, The Devil Wears Prada 2, Michael </w:t>
            </w:r>
            <w:r>
              <w:rPr>
                <w:rFonts w:ascii="Times New Roman" w:hAnsi="Times New Roman"/>
                <w:color w:val="000000"/>
                <w:sz w:val="22"/>
              </w:rPr>
              <w:t xml:space="preserve">and </w:t>
            </w:r>
            <w:r>
              <w:rPr>
                <w:rFonts w:ascii="Times New Roman" w:hAnsi="Times New Roman"/>
                <w:i/>
                <w:color w:val="000000"/>
                <w:sz w:val="22"/>
              </w:rPr>
              <w:t xml:space="preserve">Toy Story 5. </w:t>
            </w:r>
            <w:r>
              <w:rPr>
                <w:rFonts w:ascii="Times New Roman" w:hAnsi="Times New Roman"/>
                <w:color w:val="000000"/>
                <w:sz w:val="22"/>
              </w:rPr>
              <w:t xml:space="preserve">With respect to Q2 2026, and compared to Q2 2025, our global cinemas reported (i) $63.0 million in cinema revenue, representing an </w:t>
            </w:r>
            <w:bookmarkStart w:id="9" w:name="_Hlk172926131"/>
            <w:bookmarkEnd w:id="9"/>
            <w:r>
              <w:rPr>
                <w:rFonts w:ascii="Times New Roman" w:hAnsi="Times New Roman"/>
                <w:color w:val="000000"/>
                <w:sz w:val="22"/>
              </w:rPr>
              <w:t xml:space="preserve">11% increase and the highest quarterly result since Q4 2019, and (ii) Segment Operating Income of $9.2 million, representing a 68% increase and the best second quarter result since Q2 2019. </w:t>
            </w:r>
          </w:p>
        </w:tc>
      </w:tr>
    </w:tbl>
    <w:tbl>
      <w:tblPr>
        <w:tblW w:w="3881" w:type="dxa"/>
        <w:jc w:val="left"/>
        <w:tblInd w:w="720" w:type="dxa"/>
        <w:tblLayout w:type="fixed"/>
        <w:tblCellMar>
          <w:top w:w="0" w:type="dxa"/>
          <w:left w:w="0" w:type="dxa"/>
          <w:bottom w:w="0" w:type="dxa"/>
          <w:right w:w="0" w:type="dxa"/>
        </w:tblCellMar>
      </w:tblPr>
      <w:tblGrid>
        <w:gridCol w:w="38"/>
        <w:gridCol w:w="185"/>
        <w:gridCol w:w="23"/>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635"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 xml:space="preserve">These positive results were driven by: </w:t>
            </w:r>
          </w:p>
        </w:tc>
      </w:tr>
    </w:tbl>
    <w:tbl>
      <w:tblPr>
        <w:tblW w:w="8765" w:type="dxa"/>
        <w:jc w:val="left"/>
        <w:tblInd w:w="720" w:type="dxa"/>
        <w:tblLayout w:type="fixed"/>
        <w:tblCellMar>
          <w:top w:w="0" w:type="dxa"/>
          <w:left w:w="0" w:type="dxa"/>
          <w:bottom w:w="0" w:type="dxa"/>
          <w:right w:w="0" w:type="dxa"/>
        </w:tblCellMar>
      </w:tblPr>
      <w:tblGrid>
        <w:gridCol w:w="38"/>
        <w:gridCol w:w="194"/>
        <w:gridCol w:w="23"/>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tcPr>
          <w:p>
            <w:pPr>
              <w:pStyle w:val="TableContents"/>
              <w:pBdr/>
              <w:bidi w:val="0"/>
              <w:spacing w:before="0" w:after="0"/>
              <w:ind w:left="0" w:right="0" w:hanging="0"/>
              <w:jc w:val="both"/>
              <w:rPr>
                <w:rFonts w:ascii="Times New Roman" w:hAnsi="Times New Roman"/>
                <w:sz w:val="22"/>
              </w:rPr>
            </w:pPr>
            <w:r>
              <w:rPr>
                <w:rFonts w:ascii="Times New Roman" w:hAnsi="Times New Roman"/>
                <w:sz w:val="22"/>
              </w:rPr>
              <w:t>(i)</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10" w:type="dxa"/>
            <w:tcBorders/>
          </w:tcPr>
          <w:p>
            <w:pPr>
              <w:pStyle w:val="TableContents"/>
              <w:pBdr/>
              <w:bidi w:val="0"/>
              <w:spacing w:before="0" w:after="0"/>
              <w:ind w:left="0" w:right="0" w:hanging="0"/>
              <w:jc w:val="both"/>
              <w:rPr>
                <w:rFonts w:ascii="Times New Roman" w:hAnsi="Times New Roman"/>
                <w:color w:val="000000"/>
                <w:sz w:val="22"/>
              </w:rPr>
            </w:pPr>
            <w:r>
              <w:rPr>
                <w:rFonts w:ascii="Times New Roman" w:hAnsi="Times New Roman"/>
                <w:color w:val="000000"/>
                <w:sz w:val="22"/>
              </w:rPr>
              <w:t>Our Australian circuit, which recorded a 31% increase in total cinema revenue compared to Q2 2025. This circuit set a number of records for box office revenue, food and beverage revenue, total revenue, average ticket price (“ATP”) and F&amp;B spend per patron (“SPP”).</w:t>
            </w:r>
          </w:p>
        </w:tc>
      </w:tr>
    </w:tbl>
    <w:tbl>
      <w:tblPr>
        <w:tblW w:w="8765" w:type="dxa"/>
        <w:jc w:val="left"/>
        <w:tblInd w:w="720" w:type="dxa"/>
        <w:tblLayout w:type="fixed"/>
        <w:tblCellMar>
          <w:top w:w="0" w:type="dxa"/>
          <w:left w:w="0" w:type="dxa"/>
          <w:bottom w:w="0" w:type="dxa"/>
          <w:right w:w="0" w:type="dxa"/>
        </w:tblCellMar>
      </w:tblPr>
      <w:tblGrid>
        <w:gridCol w:w="38"/>
        <w:gridCol w:w="229"/>
        <w:gridCol w:w="23"/>
        <w:gridCol w:w="8475"/>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tcPr>
          <w:p>
            <w:pPr>
              <w:pStyle w:val="TableContents"/>
              <w:pBdr/>
              <w:bidi w:val="0"/>
              <w:spacing w:before="0" w:after="0"/>
              <w:ind w:left="0" w:right="0" w:hanging="0"/>
              <w:jc w:val="both"/>
              <w:rPr>
                <w:rFonts w:ascii="Times New Roman" w:hAnsi="Times New Roman"/>
                <w:sz w:val="22"/>
              </w:rPr>
            </w:pPr>
            <w:r>
              <w:rPr>
                <w:rFonts w:ascii="Times New Roman" w:hAnsi="Times New Roman"/>
                <w:sz w:val="22"/>
              </w:rPr>
              <w:t>(ii)</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75" w:type="dxa"/>
            <w:tcBorders/>
          </w:tcPr>
          <w:p>
            <w:pPr>
              <w:pStyle w:val="TableContents"/>
              <w:pBdr/>
              <w:bidi w:val="0"/>
              <w:spacing w:before="0" w:after="0"/>
              <w:ind w:left="0" w:right="0" w:hanging="0"/>
              <w:jc w:val="both"/>
              <w:rPr>
                <w:rFonts w:ascii="Times New Roman" w:hAnsi="Times New Roman"/>
                <w:sz w:val="22"/>
              </w:rPr>
            </w:pPr>
            <w:r>
              <w:rPr>
                <w:rFonts w:ascii="Times New Roman" w:hAnsi="Times New Roman"/>
                <w:color w:val="000000"/>
                <w:sz w:val="22"/>
              </w:rPr>
              <w:t xml:space="preserve">Our U.S. circuit returned its highest second quarter segment operating income since Q2 2018,  and its highest second quarter ATP in the Company’s history, which was also its third highest quarterly ATP ever at $13.77.  Despite these records in our U.S. circuit, our U.S. Q2 2026 attendance decreased, due to (a) the closure of two underperforming San Diego theaters:  one in May 2026 and one in June 2025, (b) the underperformance of the Angelika NYC and other dedicated arthouses, and (c) a movie slate which, while successful, did not match the strength of </w:t>
            </w:r>
            <w:r>
              <w:rPr>
                <w:rFonts w:ascii="Times New Roman" w:hAnsi="Times New Roman"/>
                <w:i/>
                <w:color w:val="000000"/>
                <w:sz w:val="22"/>
              </w:rPr>
              <w:t>A Minecraft Movie</w:t>
            </w:r>
            <w:r>
              <w:rPr>
                <w:rFonts w:ascii="Times New Roman" w:hAnsi="Times New Roman"/>
                <w:color w:val="000000"/>
                <w:sz w:val="22"/>
              </w:rPr>
              <w:t xml:space="preserve"> and </w:t>
            </w:r>
            <w:r>
              <w:rPr>
                <w:rFonts w:ascii="Times New Roman" w:hAnsi="Times New Roman"/>
                <w:i/>
                <w:color w:val="000000"/>
                <w:sz w:val="22"/>
              </w:rPr>
              <w:t>Lilo &amp;</w:t>
            </w:r>
            <w:r>
              <w:rPr>
                <w:rFonts w:ascii="Times New Roman" w:hAnsi="Times New Roman"/>
                <w:color w:val="000000"/>
                <w:sz w:val="22"/>
              </w:rPr>
              <w:t> </w:t>
            </w:r>
            <w:r>
              <w:rPr>
                <w:rFonts w:ascii="Times New Roman" w:hAnsi="Times New Roman"/>
                <w:i/>
                <w:color w:val="000000"/>
                <w:sz w:val="22"/>
              </w:rPr>
              <w:t>Stitch</w:t>
            </w:r>
            <w:r>
              <w:rPr>
                <w:rFonts w:ascii="Times New Roman" w:hAnsi="Times New Roman"/>
                <w:color w:val="000000"/>
                <w:sz w:val="22"/>
              </w:rPr>
              <w:t> especially in our Consolidated Theatres in Hawaii during Q2 2025.</w:t>
            </w:r>
          </w:p>
        </w:tc>
      </w:tr>
    </w:tbl>
    <w:tbl>
      <w:tblPr>
        <w:tblW w:w="8765" w:type="dxa"/>
        <w:jc w:val="left"/>
        <w:tblInd w:w="720" w:type="dxa"/>
        <w:tblLayout w:type="fixed"/>
        <w:tblCellMar>
          <w:top w:w="0" w:type="dxa"/>
          <w:left w:w="0" w:type="dxa"/>
          <w:bottom w:w="0" w:type="dxa"/>
          <w:right w:w="0" w:type="dxa"/>
        </w:tblCellMar>
      </w:tblPr>
      <w:tblGrid>
        <w:gridCol w:w="38"/>
        <w:gridCol w:w="339"/>
        <w:gridCol w:w="23"/>
        <w:gridCol w:w="8365"/>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tcPr>
          <w:p>
            <w:pPr>
              <w:pStyle w:val="TableContents"/>
              <w:pBdr/>
              <w:bidi w:val="0"/>
              <w:spacing w:before="0" w:after="0"/>
              <w:ind w:left="0" w:right="0" w:hanging="0"/>
              <w:jc w:val="both"/>
              <w:rPr>
                <w:rFonts w:ascii="Times New Roman" w:hAnsi="Times New Roman"/>
                <w:sz w:val="22"/>
              </w:rPr>
            </w:pPr>
            <w:r>
              <w:rPr>
                <w:rFonts w:ascii="Times New Roman" w:hAnsi="Times New Roman"/>
                <w:sz w:val="22"/>
              </w:rPr>
              <w:t>(iii)</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365" w:type="dxa"/>
            <w:tcBorders/>
          </w:tcPr>
          <w:p>
            <w:pPr>
              <w:pStyle w:val="TableContents"/>
              <w:pBdr/>
              <w:bidi w:val="0"/>
              <w:spacing w:before="0" w:after="0"/>
              <w:ind w:left="0" w:right="0" w:hanging="0"/>
              <w:jc w:val="both"/>
              <w:rPr>
                <w:rFonts w:ascii="Times New Roman" w:hAnsi="Times New Roman"/>
                <w:color w:val="000000"/>
                <w:sz w:val="22"/>
              </w:rPr>
            </w:pPr>
            <w:r>
              <w:rPr>
                <w:rFonts w:ascii="Times New Roman" w:hAnsi="Times New Roman"/>
                <w:color w:val="000000"/>
                <w:sz w:val="22"/>
              </w:rPr>
              <w:t>Our New Zealand circuit Q2 2026 ATP of $15.58 (in functional currency) achieved its highest quarter ever, and its F&amp;B SPP of $7.22 achieved its highest quarter ever as well.  </w:t>
            </w:r>
          </w:p>
        </w:tc>
      </w:tr>
    </w:tbl>
    <w:tbl>
      <w:tblPr>
        <w:tblW w:w="8765" w:type="dxa"/>
        <w:jc w:val="left"/>
        <w:tblInd w:w="720" w:type="dxa"/>
        <w:tblLayout w:type="fixed"/>
        <w:tblCellMar>
          <w:top w:w="0" w:type="dxa"/>
          <w:left w:w="0" w:type="dxa"/>
          <w:bottom w:w="0" w:type="dxa"/>
          <w:right w:w="0" w:type="dxa"/>
        </w:tblCellMar>
      </w:tblPr>
      <w:tblGrid>
        <w:gridCol w:w="38"/>
        <w:gridCol w:w="342"/>
        <w:gridCol w:w="23"/>
        <w:gridCol w:w="8362"/>
      </w:tblGrid>
      <w:tr>
        <w:trPr/>
        <w:tc>
          <w:tcPr>
            <w:tcW w:w="38" w:type="dxa"/>
            <w:tcBorders/>
            <w:vAlign w:val="center"/>
          </w:tcPr>
          <w:p>
            <w:pPr>
              <w:pStyle w:val="TableContents"/>
              <w:bidi w:val="0"/>
              <w:spacing w:before="0" w:after="283"/>
              <w:jc w:val="left"/>
              <w:rPr>
                <w:sz w:val="4"/>
                <w:szCs w:val="4"/>
              </w:rPr>
            </w:pPr>
            <w:r>
              <w:rPr>
                <w:sz w:val="4"/>
                <w:szCs w:val="4"/>
              </w:rPr>
            </w:r>
          </w:p>
        </w:tc>
        <w:tc>
          <w:tcPr>
            <w:tcW w:w="342" w:type="dxa"/>
            <w:tcBorders/>
          </w:tcPr>
          <w:p>
            <w:pPr>
              <w:pStyle w:val="TableContents"/>
              <w:pBdr/>
              <w:bidi w:val="0"/>
              <w:spacing w:before="0" w:after="0"/>
              <w:ind w:left="0" w:right="0" w:hanging="0"/>
              <w:jc w:val="both"/>
              <w:rPr>
                <w:rFonts w:ascii="Times New Roman" w:hAnsi="Times New Roman"/>
                <w:sz w:val="22"/>
              </w:rPr>
            </w:pPr>
            <w:r>
              <w:rPr>
                <w:rFonts w:ascii="Times New Roman" w:hAnsi="Times New Roman"/>
                <w:sz w:val="22"/>
              </w:rPr>
              <w:t>(iv)</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362" w:type="dxa"/>
            <w:tcBorders/>
          </w:tcPr>
          <w:p>
            <w:pPr>
              <w:pStyle w:val="TableContents"/>
              <w:pBdr/>
              <w:bidi w:val="0"/>
              <w:spacing w:before="0" w:after="0"/>
              <w:ind w:left="0" w:right="0" w:hanging="0"/>
              <w:jc w:val="both"/>
              <w:rPr>
                <w:rFonts w:ascii="Times New Roman" w:hAnsi="Times New Roman"/>
                <w:color w:val="000000"/>
                <w:sz w:val="22"/>
              </w:rPr>
            </w:pPr>
            <w:r>
              <w:rPr>
                <w:rFonts w:ascii="Times New Roman" w:hAnsi="Times New Roman"/>
                <w:color w:val="000000"/>
                <w:sz w:val="22"/>
              </w:rPr>
              <w:t>The continued strengthening of our global loyalty programs, including the Reading Rewards program in Australia which crossed 40,000 paid members in Q2 2026.  </w:t>
            </w:r>
          </w:p>
        </w:tc>
      </w:tr>
    </w:tbl>
    <w:tbl>
      <w:tblPr>
        <w:tblW w:w="8366" w:type="dxa"/>
        <w:jc w:val="left"/>
        <w:tblInd w:w="720" w:type="dxa"/>
        <w:tblLayout w:type="fixed"/>
        <w:tblCellMar>
          <w:top w:w="0" w:type="dxa"/>
          <w:left w:w="0" w:type="dxa"/>
          <w:bottom w:w="0" w:type="dxa"/>
          <w:right w:w="0" w:type="dxa"/>
        </w:tblCellMar>
      </w:tblPr>
      <w:tblGrid>
        <w:gridCol w:w="38"/>
        <w:gridCol w:w="350"/>
        <w:gridCol w:w="23"/>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0" w:after="0"/>
              <w:ind w:left="0" w:right="0" w:hanging="0"/>
              <w:jc w:val="both"/>
              <w:rPr>
                <w:rFonts w:ascii="Times New Roman" w:hAnsi="Times New Roman"/>
                <w:sz w:val="22"/>
              </w:rPr>
            </w:pPr>
            <w:r>
              <w:rPr>
                <w:rFonts w:ascii="Times New Roman" w:hAnsi="Times New Roman"/>
                <w:sz w:val="22"/>
              </w:rPr>
              <w:t>(v)</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955" w:type="dxa"/>
            <w:tcBorders/>
          </w:tcPr>
          <w:p>
            <w:pPr>
              <w:pStyle w:val="TableContents"/>
              <w:pBdr/>
              <w:bidi w:val="0"/>
              <w:spacing w:before="0" w:after="0"/>
              <w:ind w:left="0" w:right="0" w:hanging="0"/>
              <w:jc w:val="both"/>
              <w:rPr>
                <w:rFonts w:ascii="Times New Roman" w:hAnsi="Times New Roman"/>
                <w:color w:val="000000"/>
                <w:sz w:val="22"/>
              </w:rPr>
            </w:pPr>
            <w:r>
              <w:rPr>
                <w:rFonts w:ascii="Times New Roman" w:hAnsi="Times New Roman"/>
                <w:color w:val="000000"/>
                <w:sz w:val="22"/>
              </w:rPr>
              <w:t xml:space="preserve">The strengthening of the Australian dollar currency during the second quarter 2026. </w:t>
            </w:r>
          </w:p>
        </w:tc>
      </w:tr>
    </w:tbl>
    <w:p>
      <w:pPr>
        <w:pStyle w:val="TextBody"/>
        <w:bidi w:val="0"/>
        <w:spacing w:before="0" w:after="0"/>
        <w:ind w:left="1440" w:right="720" w:hanging="0"/>
        <w:jc w:val="both"/>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39"/>
        <w:gridCol w:w="23"/>
        <w:gridCol w:w="8565"/>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5"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We continue to work with our global cinema landlords to align our occupancy costs with current operating conditions to help manage inflationary pressures and rising labor and operating costs, especially in the State of Hawaii, where we have experienced a significantly higher increase in operating expenses compared to the U.S. Mainland.</w:t>
            </w:r>
          </w:p>
        </w:tc>
      </w:tr>
    </w:tbl>
    <w:p>
      <w:pPr>
        <w:pStyle w:val="TextBody"/>
        <w:bidi w:val="0"/>
        <w:spacing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720" w:right="720" w:hanging="0"/>
        <w:jc w:val="both"/>
        <w:rPr>
          <w:rFonts w:ascii="Times New Roman" w:hAnsi="Times New Roman"/>
          <w:b/>
          <w:color w:val="000000"/>
          <w:sz w:val="22"/>
          <w:u w:val="single"/>
        </w:rPr>
      </w:pPr>
      <w:r>
        <w:rPr>
          <w:rFonts w:ascii="Times New Roman" w:hAnsi="Times New Roman"/>
          <w:b/>
          <w:color w:val="000000"/>
          <w:sz w:val="22"/>
          <w:u w:val="single"/>
        </w:rPr>
        <w:t xml:space="preserve">Real Estate Business </w:t>
      </w:r>
    </w:p>
    <w:p>
      <w:pPr>
        <w:pStyle w:val="TextBody"/>
        <w:bidi w:val="0"/>
        <w:spacing w:before="0" w:after="0"/>
        <w:ind w:left="720" w:right="720" w:hanging="0"/>
        <w:jc w:val="both"/>
        <w:rPr>
          <w:rFonts w:cs="Times New Roman"/>
          <w:szCs w:val="22"/>
        </w:rPr>
      </w:pPr>
      <w:r>
        <w:rPr>
          <w:rFonts w:cs="Times New Roman"/>
          <w:bCs/>
          <w:color w:val="000000"/>
          <w:szCs w:val="22"/>
          <w:u w:val="single"/>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46"/>
        <w:gridCol w:w="23"/>
        <w:gridCol w:w="855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8"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 xml:space="preserve">With respect to Q2 2026, and compared to Q2 2025, our global Real Estate business reported (i) $4.9 million of Real Estate revenue representing an increase of 4%, and (ii) operating income of $1.6 million representing a 7% increase. </w:t>
            </w:r>
          </w:p>
        </w:tc>
      </w:tr>
    </w:tbl>
    <w:tbl>
      <w:tblPr>
        <w:tblW w:w="8765" w:type="dxa"/>
        <w:jc w:val="left"/>
        <w:tblInd w:w="720" w:type="dxa"/>
        <w:tblLayout w:type="fixed"/>
        <w:tblCellMar>
          <w:top w:w="0" w:type="dxa"/>
          <w:left w:w="0" w:type="dxa"/>
          <w:bottom w:w="0" w:type="dxa"/>
          <w:right w:w="0" w:type="dxa"/>
        </w:tblCellMar>
      </w:tblPr>
      <w:tblGrid>
        <w:gridCol w:w="38"/>
        <w:gridCol w:w="150"/>
        <w:gridCol w:w="23"/>
        <w:gridCol w:w="855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4"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As of June 30, 2026, our combined Australian and New Zealand property portfolio has 58 third-party tenants, with a portfolio occupancy rate of 98% and total leased gross lettable area of 156,173 SF.</w:t>
            </w:r>
          </w:p>
        </w:tc>
      </w:tr>
    </w:tbl>
    <w:tbl>
      <w:tblPr>
        <w:tblW w:w="8765" w:type="dxa"/>
        <w:jc w:val="left"/>
        <w:tblInd w:w="720" w:type="dxa"/>
        <w:tblLayout w:type="fixed"/>
        <w:tblCellMar>
          <w:top w:w="0" w:type="dxa"/>
          <w:left w:w="0" w:type="dxa"/>
          <w:bottom w:w="0" w:type="dxa"/>
          <w:right w:w="0" w:type="dxa"/>
        </w:tblCellMar>
      </w:tblPr>
      <w:tblGrid>
        <w:gridCol w:w="38"/>
        <w:gridCol w:w="152"/>
        <w:gridCol w:w="23"/>
        <w:gridCol w:w="855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2"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Our Q2 2026 U.S. Real Estate revenues of $1.9 million represented an 11% increase from Q2 2025 primarily due to the improved performance of our Live Theatre division in NYC.</w:t>
            </w:r>
          </w:p>
        </w:tc>
      </w:tr>
    </w:tbl>
    <w:tbl>
      <w:tblPr>
        <w:tblW w:w="7061" w:type="dxa"/>
        <w:jc w:val="left"/>
        <w:tblInd w:w="720" w:type="dxa"/>
        <w:tblLayout w:type="fixed"/>
        <w:tblCellMar>
          <w:top w:w="0" w:type="dxa"/>
          <w:left w:w="0" w:type="dxa"/>
          <w:bottom w:w="0" w:type="dxa"/>
          <w:right w:w="0" w:type="dxa"/>
        </w:tblCellMar>
      </w:tblPr>
      <w:tblGrid>
        <w:gridCol w:w="38"/>
        <w:gridCol w:w="185"/>
        <w:gridCol w:w="23"/>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15"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 xml:space="preserve">Through the second quarter, we continued working towards monetizing </w:t>
            </w:r>
          </w:p>
        </w:tc>
      </w:tr>
    </w:tbl>
    <w:tbl>
      <w:tblPr>
        <w:tblW w:w="8765" w:type="dxa"/>
        <w:jc w:val="left"/>
        <w:tblInd w:w="720" w:type="dxa"/>
        <w:tblLayout w:type="fixed"/>
        <w:tblCellMar>
          <w:top w:w="0" w:type="dxa"/>
          <w:left w:w="0" w:type="dxa"/>
          <w:bottom w:w="0" w:type="dxa"/>
          <w:right w:w="0" w:type="dxa"/>
        </w:tblCellMar>
      </w:tblPr>
      <w:tblGrid>
        <w:gridCol w:w="38"/>
        <w:gridCol w:w="205"/>
        <w:gridCol w:w="23"/>
        <w:gridCol w:w="8499"/>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tcPr>
          <w:p>
            <w:pPr>
              <w:pStyle w:val="TableContents"/>
              <w:bidi w:val="0"/>
              <w:spacing w:before="0" w:after="0"/>
              <w:ind w:left="0" w:right="0" w:hanging="0"/>
              <w:jc w:val="both"/>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99"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Our Cinemas 123 property in New York City, which we have owned 100% of since December 2025; and</w:t>
            </w:r>
          </w:p>
        </w:tc>
      </w:tr>
    </w:tbl>
    <w:tbl>
      <w:tblPr>
        <w:tblW w:w="5111" w:type="dxa"/>
        <w:jc w:val="left"/>
        <w:tblInd w:w="720" w:type="dxa"/>
        <w:tblLayout w:type="fixed"/>
        <w:tblCellMar>
          <w:top w:w="0" w:type="dxa"/>
          <w:left w:w="0" w:type="dxa"/>
          <w:bottom w:w="0" w:type="dxa"/>
          <w:right w:w="0" w:type="dxa"/>
        </w:tblCellMar>
      </w:tblPr>
      <w:tblGrid>
        <w:gridCol w:w="38"/>
        <w:gridCol w:w="215"/>
        <w:gridCol w:w="23"/>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before="0" w:after="0"/>
              <w:ind w:left="0" w:right="0" w:hanging="0"/>
              <w:jc w:val="both"/>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35"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Our Newberry Yard train yard in Williamsport, PA.</w:t>
            </w:r>
          </w:p>
        </w:tc>
      </w:tr>
    </w:tbl>
    <w:p>
      <w:pPr>
        <w:pStyle w:val="TextBody"/>
        <w:bidi w:val="0"/>
        <w:spacing w:before="0" w:after="0"/>
        <w:ind w:left="1440" w:right="720" w:hanging="0"/>
        <w:jc w:val="both"/>
        <w:rPr>
          <w:rFonts w:cs="Times New Roman"/>
          <w:szCs w:val="22"/>
        </w:rPr>
      </w:pPr>
      <w:r>
        <w:rPr>
          <w:rFonts w:cs="Times New Roman"/>
          <w:bCs/>
          <w:color w:val="000000"/>
          <w:szCs w:val="22"/>
          <w:u w:val="single"/>
        </w:rPr>
        <w:t>﻿</w:t>
      </w:r>
      <w:r>
        <w:rPr>
          <w:rFonts w:cs="Times New Roman"/>
          <w:szCs w:val="22"/>
        </w:rPr>
        <w:t xml:space="preserve"> </w:t>
      </w:r>
    </w:p>
    <w:p>
      <w:pPr>
        <w:pStyle w:val="TextBody"/>
        <w:bidi w:val="0"/>
        <w:spacing w:before="0" w:after="0"/>
        <w:ind w:left="720" w:right="720" w:hanging="0"/>
        <w:jc w:val="both"/>
        <w:rPr>
          <w:rFonts w:ascii="Times New Roman" w:hAnsi="Times New Roman"/>
          <w:b/>
          <w:color w:val="000000"/>
          <w:sz w:val="22"/>
          <w:u w:val="single"/>
        </w:rPr>
      </w:pPr>
      <w:r>
        <w:rPr>
          <w:rFonts w:ascii="Times New Roman" w:hAnsi="Times New Roman"/>
          <w:b/>
          <w:color w:val="000000"/>
          <w:sz w:val="22"/>
          <w:u w:val="single"/>
        </w:rPr>
        <w:t xml:space="preserve">Balance Sheet and Liquidity </w:t>
      </w:r>
    </w:p>
    <w:p>
      <w:pPr>
        <w:pStyle w:val="TextBody"/>
        <w:bidi w:val="0"/>
        <w:spacing w:before="0" w:after="0"/>
        <w:ind w:left="720" w:right="7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color w:val="000000"/>
          <w:sz w:val="22"/>
        </w:rPr>
        <w:t>As of June 30, 2026:</w:t>
      </w:r>
      <w:r>
        <w:rPr>
          <w:rFonts w:ascii="Times New Roman" w:hAnsi="Times New Roman"/>
          <w:sz w:val="22"/>
        </w:rPr>
        <w:t xml:space="preserve"> </w:t>
      </w:r>
    </w:p>
    <w:tbl>
      <w:tblPr>
        <w:tblW w:w="4901" w:type="dxa"/>
        <w:jc w:val="left"/>
        <w:tblInd w:w="720" w:type="dxa"/>
        <w:tblLayout w:type="fixed"/>
        <w:tblCellMar>
          <w:top w:w="0" w:type="dxa"/>
          <w:left w:w="0" w:type="dxa"/>
          <w:bottom w:w="0" w:type="dxa"/>
          <w:right w:w="0" w:type="dxa"/>
        </w:tblCellMar>
      </w:tblPr>
      <w:tblGrid>
        <w:gridCol w:w="38"/>
        <w:gridCol w:w="185"/>
        <w:gridCol w:w="23"/>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655"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Our cash and cash equivalents were $5.7 million.</w:t>
            </w:r>
          </w:p>
        </w:tc>
      </w:tr>
    </w:tbl>
    <w:tbl>
      <w:tblPr>
        <w:tblW w:w="8765" w:type="dxa"/>
        <w:jc w:val="left"/>
        <w:tblInd w:w="720" w:type="dxa"/>
        <w:tblLayout w:type="fixed"/>
        <w:tblCellMar>
          <w:top w:w="0" w:type="dxa"/>
          <w:left w:w="0" w:type="dxa"/>
          <w:bottom w:w="0" w:type="dxa"/>
          <w:right w:w="0" w:type="dxa"/>
        </w:tblCellMar>
      </w:tblPr>
      <w:tblGrid>
        <w:gridCol w:w="38"/>
        <w:gridCol w:w="166"/>
        <w:gridCol w:w="23"/>
        <w:gridCol w:w="8538"/>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38"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Our assets had a total book value of $429.4 million, compared to a book value of $434.9 million as of December 31, 2025.  </w:t>
            </w:r>
          </w:p>
        </w:tc>
      </w:tr>
    </w:tbl>
    <w:tbl>
      <w:tblPr>
        <w:tblW w:w="8765" w:type="dxa"/>
        <w:jc w:val="left"/>
        <w:tblInd w:w="720" w:type="dxa"/>
        <w:tblLayout w:type="fixed"/>
        <w:tblCellMar>
          <w:top w:w="0" w:type="dxa"/>
          <w:left w:w="0" w:type="dxa"/>
          <w:bottom w:w="0" w:type="dxa"/>
          <w:right w:w="0" w:type="dxa"/>
        </w:tblCellMar>
      </w:tblPr>
      <w:tblGrid>
        <w:gridCol w:w="38"/>
        <w:gridCol w:w="141"/>
        <w:gridCol w:w="23"/>
        <w:gridCol w:w="8563"/>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tcPr>
          <w:p>
            <w:pPr>
              <w:pStyle w:val="TableContents"/>
              <w:bidi w:val="0"/>
              <w:spacing w:before="0" w:after="0"/>
              <w:ind w:left="0" w:right="0" w:hanging="0"/>
              <w:jc w:val="both"/>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3" w:type="dxa"/>
            <w:tcBorders/>
          </w:tcPr>
          <w:p>
            <w:pPr>
              <w:pStyle w:val="TableContents"/>
              <w:bidi w:val="0"/>
              <w:spacing w:before="0" w:after="0"/>
              <w:ind w:left="0" w:right="0" w:hanging="0"/>
              <w:jc w:val="both"/>
              <w:rPr>
                <w:rFonts w:ascii="Times New Roman" w:hAnsi="Times New Roman"/>
                <w:color w:val="000000"/>
                <w:sz w:val="22"/>
              </w:rPr>
            </w:pPr>
            <w:r>
              <w:rPr>
                <w:rFonts w:ascii="Times New Roman" w:hAnsi="Times New Roman"/>
                <w:color w:val="000000"/>
                <w:sz w:val="22"/>
              </w:rPr>
              <w:t>Our total short term debt net of deferred finance costs of $108.0 million increased by $72.0 million from December 31, 2025.  This was due to our Trust Preferred Securities and Emerald Creek Capital loans becoming due within the next twelve months. Further with respect to our debt position: </w:t>
            </w:r>
          </w:p>
        </w:tc>
      </w:tr>
    </w:tbl>
    <w:tbl>
      <w:tblPr>
        <w:tblW w:w="8765" w:type="dxa"/>
        <w:jc w:val="left"/>
        <w:tblInd w:w="720" w:type="dxa"/>
        <w:tblLayout w:type="fixed"/>
        <w:tblCellMar>
          <w:top w:w="0" w:type="dxa"/>
          <w:left w:w="0" w:type="dxa"/>
          <w:bottom w:w="0" w:type="dxa"/>
          <w:right w:w="0" w:type="dxa"/>
        </w:tblCellMar>
      </w:tblPr>
      <w:tblGrid>
        <w:gridCol w:w="38"/>
        <w:gridCol w:w="187"/>
        <w:gridCol w:w="23"/>
        <w:gridCol w:w="8517"/>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tcPr>
          <w:p>
            <w:pPr>
              <w:pStyle w:val="TableContents"/>
              <w:bidi w:val="0"/>
              <w:spacing w:before="0" w:after="0"/>
              <w:ind w:left="0" w:right="0" w:hanging="0"/>
              <w:jc w:val="left"/>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17" w:type="dxa"/>
            <w:tcBorders/>
          </w:tcPr>
          <w:p>
            <w:pPr>
              <w:pStyle w:val="TableContents"/>
              <w:bidi w:val="0"/>
              <w:spacing w:before="0" w:after="0"/>
              <w:ind w:left="0" w:right="0" w:hanging="0"/>
              <w:jc w:val="left"/>
              <w:rPr>
                <w:rFonts w:ascii="Times New Roman" w:hAnsi="Times New Roman"/>
                <w:color w:val="000000"/>
                <w:sz w:val="22"/>
              </w:rPr>
            </w:pPr>
            <w:r>
              <w:rPr>
                <w:rFonts w:ascii="Times New Roman" w:hAnsi="Times New Roman"/>
                <w:color w:val="000000"/>
                <w:sz w:val="22"/>
              </w:rPr>
              <w:t>On February 6, 2026, we executed an amendment to defer a principal payment related to our 44 Union Square loan, which we since paid on March 13, 2026.</w:t>
            </w:r>
          </w:p>
        </w:tc>
      </w:tr>
    </w:tbl>
    <w:tbl>
      <w:tblPr>
        <w:tblW w:w="8765" w:type="dxa"/>
        <w:jc w:val="left"/>
        <w:tblInd w:w="720" w:type="dxa"/>
        <w:tblLayout w:type="fixed"/>
        <w:tblCellMar>
          <w:top w:w="0" w:type="dxa"/>
          <w:left w:w="0" w:type="dxa"/>
          <w:bottom w:w="0" w:type="dxa"/>
          <w:right w:w="0" w:type="dxa"/>
        </w:tblCellMar>
      </w:tblPr>
      <w:tblGrid>
        <w:gridCol w:w="38"/>
        <w:gridCol w:w="190"/>
        <w:gridCol w:w="23"/>
        <w:gridCol w:w="8514"/>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tcPr>
          <w:p>
            <w:pPr>
              <w:pStyle w:val="TableContents"/>
              <w:bidi w:val="0"/>
              <w:spacing w:before="0" w:after="0"/>
              <w:ind w:left="0" w:right="0" w:hanging="0"/>
              <w:jc w:val="left"/>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14" w:type="dxa"/>
            <w:tcBorders/>
          </w:tcPr>
          <w:p>
            <w:pPr>
              <w:pStyle w:val="TableContents"/>
              <w:bidi w:val="0"/>
              <w:spacing w:before="0" w:after="0"/>
              <w:ind w:left="0" w:right="0" w:hanging="0"/>
              <w:jc w:val="left"/>
              <w:rPr>
                <w:rFonts w:ascii="Times New Roman" w:hAnsi="Times New Roman"/>
                <w:color w:val="000000"/>
                <w:sz w:val="22"/>
              </w:rPr>
            </w:pPr>
            <w:r>
              <w:rPr>
                <w:rFonts w:ascii="Times New Roman" w:hAnsi="Times New Roman"/>
                <w:color w:val="000000"/>
                <w:sz w:val="22"/>
              </w:rPr>
              <w:t>On February 27, 2026, we executed an amendment to modify the principal repayment schedule of our Bank of America/Bank of Hawaii facility.</w:t>
            </w:r>
          </w:p>
        </w:tc>
      </w:tr>
    </w:tbl>
    <w:tbl>
      <w:tblPr>
        <w:tblW w:w="8765" w:type="dxa"/>
        <w:jc w:val="left"/>
        <w:tblInd w:w="720" w:type="dxa"/>
        <w:tblLayout w:type="fixed"/>
        <w:tblCellMar>
          <w:top w:w="0" w:type="dxa"/>
          <w:left w:w="0" w:type="dxa"/>
          <w:bottom w:w="0" w:type="dxa"/>
          <w:right w:w="0" w:type="dxa"/>
        </w:tblCellMar>
      </w:tblPr>
      <w:tblGrid>
        <w:gridCol w:w="38"/>
        <w:gridCol w:w="190"/>
        <w:gridCol w:w="23"/>
        <w:gridCol w:w="8514"/>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tcPr>
          <w:p>
            <w:pPr>
              <w:pStyle w:val="TableContents"/>
              <w:bidi w:val="0"/>
              <w:spacing w:before="0" w:after="0"/>
              <w:ind w:left="0" w:right="0" w:hanging="0"/>
              <w:jc w:val="left"/>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14" w:type="dxa"/>
            <w:tcBorders/>
          </w:tcPr>
          <w:p>
            <w:pPr>
              <w:pStyle w:val="TableContents"/>
              <w:bidi w:val="0"/>
              <w:spacing w:before="0" w:after="0"/>
              <w:ind w:left="0" w:right="0" w:hanging="0"/>
              <w:jc w:val="left"/>
              <w:rPr>
                <w:rFonts w:ascii="Times New Roman" w:hAnsi="Times New Roman"/>
                <w:color w:val="000000"/>
                <w:sz w:val="22"/>
              </w:rPr>
            </w:pPr>
            <w:r>
              <w:rPr>
                <w:rFonts w:ascii="Times New Roman" w:hAnsi="Times New Roman"/>
                <w:color w:val="000000"/>
                <w:sz w:val="22"/>
              </w:rPr>
              <w:t>On March 31, 2026, we executed an amendment to reduce our NAB loan’s minimum liquidity requirement for a limited defined period in 2026.</w:t>
            </w:r>
          </w:p>
        </w:tc>
      </w:tr>
    </w:tbl>
    <w:tbl>
      <w:tblPr>
        <w:tblW w:w="8765" w:type="dxa"/>
        <w:jc w:val="left"/>
        <w:tblInd w:w="720" w:type="dxa"/>
        <w:tblLayout w:type="fixed"/>
        <w:tblCellMar>
          <w:top w:w="0" w:type="dxa"/>
          <w:left w:w="0" w:type="dxa"/>
          <w:bottom w:w="0" w:type="dxa"/>
          <w:right w:w="0" w:type="dxa"/>
        </w:tblCellMar>
      </w:tblPr>
      <w:tblGrid>
        <w:gridCol w:w="38"/>
        <w:gridCol w:w="205"/>
        <w:gridCol w:w="23"/>
        <w:gridCol w:w="8499"/>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tcPr>
          <w:p>
            <w:pPr>
              <w:pStyle w:val="TableContents"/>
              <w:bidi w:val="0"/>
              <w:spacing w:before="0" w:after="0"/>
              <w:ind w:left="0" w:right="0" w:hanging="0"/>
              <w:jc w:val="left"/>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99" w:type="dxa"/>
            <w:tcBorders/>
          </w:tcPr>
          <w:p>
            <w:pPr>
              <w:pStyle w:val="TableContents"/>
              <w:bidi w:val="0"/>
              <w:spacing w:before="0" w:after="0"/>
              <w:ind w:left="0" w:right="0" w:hanging="0"/>
              <w:jc w:val="left"/>
              <w:rPr>
                <w:rFonts w:ascii="Times New Roman" w:hAnsi="Times New Roman"/>
                <w:color w:val="000000"/>
                <w:sz w:val="22"/>
              </w:rPr>
            </w:pPr>
            <w:r>
              <w:rPr>
                <w:rFonts w:ascii="Times New Roman" w:hAnsi="Times New Roman"/>
                <w:color w:val="000000"/>
                <w:sz w:val="22"/>
              </w:rPr>
              <w:t>On June 12, 2026, we extended the maturity date of our Bank of America facility to December 21, 2026.</w:t>
            </w:r>
          </w:p>
        </w:tc>
      </w:tr>
    </w:tbl>
    <w:tbl>
      <w:tblPr>
        <w:tblW w:w="8765" w:type="dxa"/>
        <w:jc w:val="left"/>
        <w:tblInd w:w="720" w:type="dxa"/>
        <w:tblLayout w:type="fixed"/>
        <w:tblCellMar>
          <w:top w:w="0" w:type="dxa"/>
          <w:left w:w="0" w:type="dxa"/>
          <w:bottom w:w="0" w:type="dxa"/>
          <w:right w:w="0" w:type="dxa"/>
        </w:tblCellMar>
      </w:tblPr>
      <w:tblGrid>
        <w:gridCol w:w="38"/>
        <w:gridCol w:w="207"/>
        <w:gridCol w:w="23"/>
        <w:gridCol w:w="8497"/>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0"/>
              <w:ind w:left="0" w:right="0" w:hanging="0"/>
              <w:jc w:val="left"/>
              <w:rPr>
                <w:rFonts w:ascii="Times New Roman" w:hAnsi="Times New Roman"/>
                <w:sz w:val="22"/>
              </w:rPr>
            </w:pPr>
            <w:r>
              <w:rPr>
                <w:rFonts w:ascii="Courier New" w:hAnsi="Courier New"/>
                <w:sz w:val="22"/>
              </w:rPr>
              <w:t>o</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97" w:type="dxa"/>
            <w:tcBorders/>
          </w:tcPr>
          <w:p>
            <w:pPr>
              <w:pStyle w:val="TableContents"/>
              <w:bidi w:val="0"/>
              <w:spacing w:before="0" w:after="0"/>
              <w:ind w:left="0" w:right="0" w:hanging="0"/>
              <w:jc w:val="left"/>
              <w:rPr>
                <w:rFonts w:ascii="Times New Roman" w:hAnsi="Times New Roman"/>
                <w:color w:val="000000"/>
                <w:sz w:val="22"/>
              </w:rPr>
            </w:pPr>
            <w:r>
              <w:rPr>
                <w:rFonts w:ascii="Times New Roman" w:hAnsi="Times New Roman"/>
                <w:color w:val="000000"/>
                <w:sz w:val="22"/>
              </w:rPr>
              <w:t>On August 11, 2026, we extended the maturity date of our Santander loan facility to October 1, 2026.</w:t>
            </w:r>
          </w:p>
        </w:tc>
      </w:tr>
    </w:tbl>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left"/>
        <w:rPr>
          <w:rFonts w:ascii="Times New Roman" w:hAnsi="Times New Roman"/>
          <w:sz w:val="22"/>
        </w:rPr>
      </w:pPr>
      <w:r>
        <w:rPr>
          <w:rFonts w:ascii="Times New Roman" w:hAnsi="Times New Roman"/>
          <w:b/>
          <w:sz w:val="22"/>
          <w:u w:val="single"/>
        </w:rPr>
        <w:t>Conference Call and Webcast</w:t>
      </w:r>
      <w:r>
        <w:rPr>
          <w:rFonts w:ascii="Times New Roman" w:hAnsi="Times New Roman"/>
          <w:sz w:val="22"/>
        </w:rPr>
        <w:t xml:space="preserve"> </w:t>
      </w:r>
    </w:p>
    <w:p>
      <w:pPr>
        <w:pStyle w:val="TextBody"/>
        <w:bidi w:val="0"/>
        <w:spacing w:before="0" w:after="0"/>
        <w:ind w:left="72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We plan to post our pre-recorded conference call and audio webcast on our corporate website on Tuesday, August  18, 2026, which will feature prepared remarks from Ellen Cotter, President and Chief Executive Officer; and Gilbert Avanes, Executive Vice President, Chief Financial Officer and Treasurer.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A pre-recorded question and answer session will follow our formal remarks. Questions and topics for consideration should be submitted to </w:t>
      </w:r>
      <w:r>
        <w:rPr>
          <w:rFonts w:ascii="Times New Roman" w:hAnsi="Times New Roman"/>
          <w:sz w:val="22"/>
          <w:u w:val="single"/>
        </w:rPr>
        <w:t>InvestorRelations@readingrdi.com</w:t>
      </w:r>
      <w:r>
        <w:rPr>
          <w:rFonts w:ascii="Times New Roman" w:hAnsi="Times New Roman"/>
          <w:sz w:val="22"/>
        </w:rPr>
        <w:t> by Monday, August  17, 2026, by 5:00 p.m. Eastern Time. The audio webcast will be able to be accessed by visiting https://investor.readingrdi.com/financial-information/quarterly-results</w:t>
      </w:r>
      <w:r>
        <w:rPr>
          <w:rFonts w:ascii="Times New Roman" w:hAnsi="Times New Roman"/>
          <w:color w:val="0000FF"/>
          <w:sz w:val="22"/>
        </w:rPr>
        <w:t>.</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bCs/>
          <w:color w:val="FF0000"/>
          <w:szCs w:val="22"/>
          <w:u w:val="single"/>
        </w:rPr>
        <w:t>﻿</w:t>
      </w: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b/>
          <w:sz w:val="22"/>
          <w:u w:val="single"/>
        </w:rPr>
        <w:t>About Reading International, Inc.</w:t>
      </w:r>
      <w:r>
        <w:rPr>
          <w:rFonts w:ascii="Times New Roman" w:hAnsi="Times New Roman"/>
          <w:sz w:val="22"/>
        </w:rPr>
        <w:t xml:space="preserve">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Reading International, Inc. (NASDAQ: RDI), an internationally diversified cinema and real estate company operating through various domestic and international subsidiaries, is a leading entertainment and real estate company, engaging in the development, ownership, and operation of cinemas and retail and commercial real estate in the United States, Australia, and New Zealand.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Reading’s cinema subsidiaries operate under multiple cinema brands: Reading Cinemas, Consolidated Theatres, and the Angelika brand. Its live theatres are owned and operated by its Liberty Theaters subsidiary, under the Orpheum and Minetta Lane names. Its signature property developments, including Newmarket Village in Brisbane, Australia and 44 Union Square in New York City, are maintained in special purpose entities.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Additional information about Reading can be obtained from our Company's website: </w:t>
      </w:r>
      <w:bookmarkStart w:id="10" w:name="_Hlk204710907"/>
      <w:bookmarkEnd w:id="10"/>
      <w:r>
        <w:rPr>
          <w:rFonts w:ascii="Times New Roman" w:hAnsi="Times New Roman"/>
          <w:sz w:val="22"/>
        </w:rPr>
        <w:t>http://www.readingrdi.com</w:t>
      </w:r>
      <w:r>
        <w:rPr>
          <w:rFonts w:ascii="Times New Roman" w:hAnsi="Times New Roman"/>
          <w:color w:val="0000FF"/>
          <w:sz w:val="22"/>
        </w:rPr>
        <w:t>.</w:t>
      </w:r>
      <w:r>
        <w:rPr>
          <w:rFonts w:ascii="Times New Roman" w:hAnsi="Times New Roman"/>
          <w:sz w:val="22"/>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2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left"/>
        <w:rPr>
          <w:rFonts w:ascii="Times New Roman" w:hAnsi="Times New Roman"/>
          <w:sz w:val="22"/>
        </w:rPr>
      </w:pPr>
      <w:r>
        <w:rPr>
          <w:rFonts w:ascii="Times New Roman" w:hAnsi="Times New Roman"/>
          <w:b/>
          <w:sz w:val="22"/>
          <w:u w:val="single"/>
        </w:rPr>
        <w:t>Cautionary Note Regarding Forward-Looking Statements</w:t>
      </w:r>
      <w:r>
        <w:rPr>
          <w:rFonts w:ascii="Times New Roman" w:hAnsi="Times New Roman"/>
          <w:sz w:val="22"/>
        </w:rPr>
        <w:t xml:space="preserve"> </w:t>
      </w:r>
    </w:p>
    <w:p>
      <w:pPr>
        <w:pStyle w:val="TextBody"/>
        <w:bidi w:val="0"/>
        <w:spacing w:before="0" w:after="0"/>
        <w:ind w:left="720" w:right="720" w:hanging="0"/>
        <w:jc w:val="left"/>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This earnings release contains a variety of forward-looking statements as defined by the Securities Litigation Reform Act of 1995, including those related to our expected operating results; our belief regarding the quality, the quantity and the appeal of upcoming movie releases in the remainder of 2026 and our revenue expectations relating to such movie releases; our positioning for future periods; our expectations regarding our ability to refinance the loan on our live theater buildings in New York City; and our ability to successfully market and sell our Cinemas 1,2,3 property. You can recognize these statements by our use of words, such as “may,” “will,” “expect,” “believe,” and “anticipate” or other similar terminology. </w:t>
      </w:r>
    </w:p>
    <w:p>
      <w:pPr>
        <w:pStyle w:val="TextBody"/>
        <w:bidi w:val="0"/>
        <w:spacing w:before="0" w:after="0"/>
        <w:ind w:left="720" w:right="720" w:firstLine="72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 </w:t>
      </w:r>
    </w:p>
    <w:p>
      <w:pPr>
        <w:pStyle w:val="TextBody"/>
        <w:bidi w:val="0"/>
        <w:spacing w:before="0" w:after="0"/>
        <w:ind w:left="720" w:right="720" w:firstLine="72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Forward-looking statements made by us in this earnings release are based only on information currently available to us and speak only as of the date on which they are made.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 </w:t>
      </w:r>
    </w:p>
    <w:p>
      <w:pPr>
        <w:pStyle w:val="TextBody"/>
        <w:bidi w:val="0"/>
        <w:spacing w:before="0" w:after="0"/>
        <w:ind w:left="720" w:right="720" w:firstLine="72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Because forward-looking statements relate to the future, they are subject to inherent uncertainties, risks and changes in circumstances that are difficult to predict and many of which are outside of our control. Therefore, you should not rely on any of these forward-looking statements. Important factors that could cause our actual results and financial condition to differ materially from those indicated in the forward-looking statements include, among others, those factors discussed throughout Part I, Item 1A – Risk Factors and Part II Item 7 – Management's Discussion and Analysis of Financial Condition and Results of Operations of our Annual Report on Form 10-K for the most recently ended fiscal year, as well as the risk factors set forth in any other filings made under the Securities Act of 1934, as amended, including any of our Quarterly Reports on Form 10-Q, for more information. </w:t>
      </w:r>
    </w:p>
    <w:p>
      <w:pPr>
        <w:pStyle w:val="TextBody"/>
        <w:bidi w:val="0"/>
        <w:spacing w:before="0" w:after="0"/>
        <w:ind w:left="72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3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pPr>
      <w:r>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Reading International, Inc. and Subsidiaries</w:t>
      </w:r>
      <w:bookmarkStart w:id="11" w:name="ConsolidatedIS"/>
      <w:bookmarkEnd w:id="11"/>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Condensed Consolidated Statements of Operations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i/>
          <w:color w:val="000000"/>
          <w:sz w:val="20"/>
        </w:rPr>
        <w:t>(Unaudited; U.S. dollars in thousands, except per share data)</w:t>
      </w:r>
      <w:r>
        <w:rPr>
          <w:rFonts w:ascii="Times New Roman" w:hAnsi="Times New Roman"/>
          <w:sz w:val="20"/>
        </w:rPr>
        <w:t xml:space="preserve"> </w:t>
      </w:r>
    </w:p>
    <w:p>
      <w:pPr>
        <w:pStyle w:val="TextBody"/>
        <w:bidi w:val="0"/>
        <w:spacing w:before="0" w:after="0"/>
        <w:ind w:left="720" w:right="720" w:hanging="0"/>
        <w:jc w:val="both"/>
        <w:rPr>
          <w:rFonts w:cs="Times New Roman"/>
          <w:szCs w:val="2"/>
        </w:rPr>
      </w:pPr>
      <w:r>
        <w:rPr>
          <w:rFonts w:cs="Times New Roman"/>
          <w:color w:val="000000"/>
          <w:szCs w:val="2"/>
        </w:rPr>
        <w:t>﻿</w:t>
      </w: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color w:val="000000"/>
          <w:szCs w:val="2"/>
        </w:rPr>
        <w:t>﻿</w:t>
      </w:r>
      <w:r>
        <w:rPr>
          <w:rFonts w:cs="Times New Roman"/>
          <w:szCs w:val="2"/>
        </w:rPr>
        <w:t xml:space="preserve"> </w:t>
      </w:r>
    </w:p>
    <w:p>
      <w:pPr>
        <w:pStyle w:val="TextBody"/>
        <w:bidi w:val="0"/>
        <w:spacing w:before="0" w:after="0"/>
        <w:ind w:left="72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tbl>
      <w:tblPr>
        <w:tblW w:w="8765" w:type="dxa"/>
        <w:jc w:val="left"/>
        <w:tblInd w:w="720" w:type="dxa"/>
        <w:tblLayout w:type="fixed"/>
        <w:tblCellMar>
          <w:top w:w="0" w:type="dxa"/>
          <w:left w:w="0" w:type="dxa"/>
          <w:bottom w:w="0" w:type="dxa"/>
          <w:right w:w="0" w:type="dxa"/>
        </w:tblCellMar>
      </w:tblPr>
      <w:tblGrid>
        <w:gridCol w:w="3850"/>
        <w:gridCol w:w="60"/>
        <w:gridCol w:w="125"/>
        <w:gridCol w:w="1040"/>
        <w:gridCol w:w="60"/>
        <w:gridCol w:w="125"/>
        <w:gridCol w:w="1040"/>
        <w:gridCol w:w="60"/>
        <w:gridCol w:w="125"/>
        <w:gridCol w:w="1040"/>
        <w:gridCol w:w="60"/>
        <w:gridCol w:w="125"/>
        <w:gridCol w:w="1055"/>
      </w:tblGrid>
      <w:tr>
        <w:trPr/>
        <w:tc>
          <w:tcPr>
            <w:tcW w:w="3850"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0"/>
              <w:ind w:left="0" w:right="0" w:hanging="0"/>
              <w:jc w:val="left"/>
              <w:rPr/>
            </w:pPr>
            <w:r>
              <w:rPr/>
              <w:t> </w:t>
            </w:r>
          </w:p>
        </w:tc>
      </w:tr>
      <w:tr>
        <w:trPr/>
        <w:tc>
          <w:tcPr>
            <w:tcW w:w="3850" w:type="dxa"/>
            <w:tcBorders/>
            <w:vAlign w:val="bottom"/>
          </w:tcPr>
          <w:p>
            <w:pPr>
              <w:pStyle w:val="TableContents"/>
              <w:bidi w:val="0"/>
              <w:spacing w:before="0" w:after="0"/>
              <w:ind w:left="0" w:right="0" w:hanging="0"/>
              <w:jc w:val="left"/>
              <w:rPr>
                <w:rFonts w:cs="Arial"/>
                <w:color w:val="000000"/>
                <w:szCs w:val="4"/>
              </w:rPr>
            </w:pPr>
            <w:r>
              <w:rPr>
                <w:rFonts w:cs="Arial"/>
                <w:color w:val="000000"/>
                <w:szCs w:val="4"/>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104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104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104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1055" w:type="dxa"/>
            <w:tcBorders/>
            <w:vAlign w:val="bottom"/>
          </w:tcPr>
          <w:p>
            <w:pPr>
              <w:pStyle w:val="TableContents"/>
              <w:bidi w:val="0"/>
              <w:spacing w:before="0" w:after="0"/>
              <w:ind w:left="0" w:right="0" w:hanging="0"/>
              <w:jc w:val="left"/>
              <w:rPr/>
            </w:pPr>
            <w:r>
              <w:rPr/>
              <w:t> </w:t>
            </w:r>
          </w:p>
        </w:tc>
      </w:tr>
      <w:tr>
        <w:trPr/>
        <w:tc>
          <w:tcPr>
            <w:tcW w:w="3850" w:type="dxa"/>
            <w:tcBorders/>
            <w:vAlign w:val="bottom"/>
          </w:tcPr>
          <w:p>
            <w:pPr>
              <w:pStyle w:val="TableContents"/>
              <w:bidi w:val="0"/>
              <w:spacing w:before="0" w:after="0"/>
              <w:ind w:left="0" w:right="0" w:hanging="0"/>
              <w:jc w:val="left"/>
              <w:rPr>
                <w:rFonts w:cs="Times New Roman"/>
                <w:color w:val="000000"/>
                <w:szCs w:val="16"/>
              </w:rPr>
            </w:pPr>
            <w:r>
              <w:rPr>
                <w:rFonts w:cs="Times New Roman"/>
                <w:color w:val="000000"/>
                <w:szCs w:val="16"/>
              </w:rPr>
              <w:t>﻿</w:t>
            </w:r>
          </w:p>
        </w:tc>
        <w:tc>
          <w:tcPr>
            <w:tcW w:w="60" w:type="dxa"/>
            <w:tcBorders/>
            <w:vAlign w:val="bottom"/>
          </w:tcPr>
          <w:p>
            <w:pPr>
              <w:pStyle w:val="TableContents"/>
              <w:bidi w:val="0"/>
              <w:spacing w:before="0" w:after="0"/>
              <w:ind w:left="0" w:right="0" w:hanging="0"/>
              <w:jc w:val="left"/>
              <w:rPr/>
            </w:pPr>
            <w:r>
              <w:rPr/>
              <w:t> </w:t>
            </w:r>
          </w:p>
        </w:tc>
        <w:tc>
          <w:tcPr>
            <w:tcW w:w="2390" w:type="dxa"/>
            <w:gridSpan w:val="5"/>
            <w:tcBorders/>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Quarter Ended</w:t>
            </w:r>
          </w:p>
        </w:tc>
        <w:tc>
          <w:tcPr>
            <w:tcW w:w="60" w:type="dxa"/>
            <w:tcBorders/>
            <w:vAlign w:val="bottom"/>
          </w:tcPr>
          <w:p>
            <w:pPr>
              <w:pStyle w:val="TableContents"/>
              <w:bidi w:val="0"/>
              <w:spacing w:before="0" w:after="0"/>
              <w:ind w:left="0" w:right="0" w:hanging="0"/>
              <w:jc w:val="left"/>
              <w:rPr/>
            </w:pPr>
            <w:r>
              <w:rPr/>
              <w:t> </w:t>
            </w:r>
          </w:p>
        </w:tc>
        <w:tc>
          <w:tcPr>
            <w:tcW w:w="2405" w:type="dxa"/>
            <w:gridSpan w:val="5"/>
            <w:tcBorders/>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Six Months Ended</w:t>
            </w:r>
          </w:p>
        </w:tc>
      </w:tr>
      <w:tr>
        <w:trPr/>
        <w:tc>
          <w:tcPr>
            <w:tcW w:w="3850" w:type="dxa"/>
            <w:tcBorders/>
            <w:vAlign w:val="bottom"/>
          </w:tcPr>
          <w:p>
            <w:pPr>
              <w:pStyle w:val="TableContents"/>
              <w:bidi w:val="0"/>
              <w:spacing w:before="0" w:after="0"/>
              <w:ind w:left="0" w:right="0" w:hanging="0"/>
              <w:jc w:val="left"/>
              <w:rPr>
                <w:rFonts w:cs="Times New Roman"/>
                <w:color w:val="000000"/>
                <w:szCs w:val="16"/>
              </w:rPr>
            </w:pPr>
            <w:r>
              <w:rPr>
                <w:rFonts w:cs="Times New Roman"/>
                <w:color w:val="000000"/>
                <w:szCs w:val="16"/>
              </w:rPr>
              <w:t>﻿</w:t>
            </w:r>
          </w:p>
        </w:tc>
        <w:tc>
          <w:tcPr>
            <w:tcW w:w="60" w:type="dxa"/>
            <w:tcBorders/>
            <w:vAlign w:val="bottom"/>
          </w:tcPr>
          <w:p>
            <w:pPr>
              <w:pStyle w:val="TableContents"/>
              <w:bidi w:val="0"/>
              <w:spacing w:before="0" w:after="0"/>
              <w:ind w:left="0" w:right="0" w:hanging="0"/>
              <w:jc w:val="left"/>
              <w:rPr/>
            </w:pPr>
            <w:r>
              <w:rPr/>
              <w:t> </w:t>
            </w:r>
          </w:p>
        </w:tc>
        <w:tc>
          <w:tcPr>
            <w:tcW w:w="2390" w:type="dxa"/>
            <w:gridSpan w:val="5"/>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June 30,</w:t>
            </w:r>
          </w:p>
        </w:tc>
        <w:tc>
          <w:tcPr>
            <w:tcW w:w="60" w:type="dxa"/>
            <w:tcBorders/>
            <w:vAlign w:val="bottom"/>
          </w:tcPr>
          <w:p>
            <w:pPr>
              <w:pStyle w:val="TableContents"/>
              <w:bidi w:val="0"/>
              <w:spacing w:before="0" w:after="0"/>
              <w:ind w:left="0" w:right="0" w:hanging="0"/>
              <w:jc w:val="center"/>
              <w:rPr/>
            </w:pPr>
            <w:r>
              <w:rPr/>
              <w:t> </w:t>
            </w:r>
          </w:p>
        </w:tc>
        <w:tc>
          <w:tcPr>
            <w:tcW w:w="2405" w:type="dxa"/>
            <w:gridSpan w:val="5"/>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June 30,</w:t>
            </w:r>
          </w:p>
        </w:tc>
      </w:tr>
      <w:tr>
        <w:trPr/>
        <w:tc>
          <w:tcPr>
            <w:tcW w:w="3850" w:type="dxa"/>
            <w:tcBorders>
              <w:bottom w:val="single" w:sz="12" w:space="0" w:color="000000"/>
            </w:tcBorders>
            <w:tcMar>
              <w:bottom w:w="28" w:type="dxa"/>
            </w:tcMar>
            <w:vAlign w:val="bottom"/>
          </w:tcPr>
          <w:p>
            <w:pPr>
              <w:pStyle w:val="TableContents"/>
              <w:bidi w:val="0"/>
              <w:spacing w:before="0" w:after="0"/>
              <w:ind w:left="0" w:right="0" w:hanging="0"/>
              <w:jc w:val="left"/>
              <w:rPr>
                <w:rFonts w:cs="Times New Roman"/>
                <w:color w:val="000000"/>
                <w:szCs w:val="16"/>
              </w:rPr>
            </w:pPr>
            <w:r>
              <w:rPr>
                <w:rFonts w:cs="Times New Roman"/>
                <w:color w:val="000000"/>
                <w:szCs w:val="16"/>
              </w:rPr>
              <w:t>﻿</w:t>
            </w:r>
          </w:p>
        </w:tc>
        <w:tc>
          <w:tcPr>
            <w:tcW w:w="60" w:type="dxa"/>
            <w:tcBorders/>
            <w:vAlign w:val="bottom"/>
          </w:tcPr>
          <w:p>
            <w:pPr>
              <w:pStyle w:val="TableContents"/>
              <w:bidi w:val="0"/>
              <w:spacing w:before="0" w:after="0"/>
              <w:ind w:left="0" w:right="0" w:hanging="0"/>
              <w:jc w:val="left"/>
              <w:rPr/>
            </w:pPr>
            <w:r>
              <w:rPr/>
              <w:t> </w:t>
            </w:r>
          </w:p>
        </w:tc>
        <w:tc>
          <w:tcPr>
            <w:tcW w:w="1165"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1165"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2025</w:t>
            </w:r>
          </w:p>
        </w:tc>
        <w:tc>
          <w:tcPr>
            <w:tcW w:w="60" w:type="dxa"/>
            <w:tcBorders/>
            <w:vAlign w:val="bottom"/>
          </w:tcPr>
          <w:p>
            <w:pPr>
              <w:pStyle w:val="TableContents"/>
              <w:bidi w:val="0"/>
              <w:spacing w:before="0" w:after="0"/>
              <w:ind w:left="0" w:right="0" w:hanging="0"/>
              <w:jc w:val="center"/>
              <w:rPr/>
            </w:pPr>
            <w:r>
              <w:rPr/>
              <w:t> </w:t>
            </w:r>
          </w:p>
        </w:tc>
        <w:tc>
          <w:tcPr>
            <w:tcW w:w="1165"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1180"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2025</w:t>
            </w:r>
          </w:p>
        </w:tc>
      </w:tr>
      <w:tr>
        <w:trPr/>
        <w:tc>
          <w:tcPr>
            <w:tcW w:w="385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Revenue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r>
      <w:tr>
        <w:trPr/>
        <w:tc>
          <w:tcPr>
            <w:tcW w:w="3850"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Cinema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62,990 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56,782  </w:t>
            </w:r>
          </w:p>
        </w:tc>
        <w:tc>
          <w:tcPr>
            <w:tcW w:w="60" w:type="dxa"/>
            <w:tcBorders/>
            <w:vAlign w:val="bottom"/>
          </w:tcPr>
          <w:p>
            <w:pPr>
              <w:pStyle w:val="TableContents"/>
              <w:bidi w:val="0"/>
              <w:spacing w:before="0" w:after="0"/>
              <w:ind w:left="0" w:right="0" w:hanging="0"/>
              <w:jc w:val="right"/>
              <w:rPr/>
            </w:pPr>
            <w:r>
              <w:rPr/>
              <w:t> </w:t>
            </w:r>
          </w:p>
        </w:tc>
        <w:tc>
          <w:tcPr>
            <w:tcW w:w="12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104,451 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5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93,186  </w:t>
            </w:r>
          </w:p>
        </w:tc>
      </w:tr>
      <w:tr>
        <w:trPr/>
        <w:tc>
          <w:tcPr>
            <w:tcW w:w="3850"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Real estate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3,906 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3,596 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7,569 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7,361  </w:t>
            </w:r>
          </w:p>
        </w:tc>
      </w:tr>
      <w:tr>
        <w:trPr/>
        <w:tc>
          <w:tcPr>
            <w:tcW w:w="3850"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Total revenue</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66,896 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60,378 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112,020 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100,547  </w:t>
            </w:r>
          </w:p>
        </w:tc>
      </w:tr>
      <w:tr>
        <w:trPr/>
        <w:tc>
          <w:tcPr>
            <w:tcW w:w="385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Costs and expenses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r>
      <w:tr>
        <w:trPr/>
        <w:tc>
          <w:tcPr>
            <w:tcW w:w="3850"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Cinema</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(49,910)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(46,883)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(88,803)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(83,460) </w:t>
            </w:r>
          </w:p>
        </w:tc>
      </w:tr>
      <w:tr>
        <w:trPr/>
        <w:tc>
          <w:tcPr>
            <w:tcW w:w="3850"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Real estate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(1,936)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(1,840)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(3,822)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55"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(3,795) </w:t>
            </w:r>
          </w:p>
        </w:tc>
      </w:tr>
      <w:tr>
        <w:trPr/>
        <w:tc>
          <w:tcPr>
            <w:tcW w:w="3850"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(3,171)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(3,380)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(6,401)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(6,756) </w:t>
            </w:r>
          </w:p>
        </w:tc>
      </w:tr>
      <w:tr>
        <w:trPr/>
        <w:tc>
          <w:tcPr>
            <w:tcW w:w="3850"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General and administrative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(4,402)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(5,384)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(9,148)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55"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(10,537) </w:t>
            </w:r>
          </w:p>
        </w:tc>
      </w:tr>
      <w:tr>
        <w:trPr/>
        <w:tc>
          <w:tcPr>
            <w:tcW w:w="3850"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Total costs and expenses</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(59,419)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(57,487)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(108,174)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(104,548) </w:t>
            </w:r>
          </w:p>
        </w:tc>
      </w:tr>
      <w:tr>
        <w:trPr/>
        <w:tc>
          <w:tcPr>
            <w:tcW w:w="385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Operating income (loss)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7,477 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2,891 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3,846 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(4,001) </w:t>
            </w:r>
          </w:p>
        </w:tc>
      </w:tr>
      <w:tr>
        <w:trPr/>
        <w:tc>
          <w:tcPr>
            <w:tcW w:w="3850"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Interest expense, net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(4,320)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(4,354)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(8,549)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5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(9,096) </w:t>
            </w:r>
          </w:p>
        </w:tc>
      </w:tr>
      <w:tr>
        <w:trPr/>
        <w:tc>
          <w:tcPr>
            <w:tcW w:w="3850"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Gain (loss) on sale of assets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0"/>
              <w:ind w:left="0" w:right="65" w:hanging="0"/>
              <w:jc w:val="right"/>
              <w:rPr>
                <w:color w:val="000000"/>
              </w:rPr>
            </w:pPr>
            <w:r>
              <w:rPr>
                <w:color w:val="000000"/>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1,872 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40" w:type="dxa"/>
            <w:tcBorders/>
            <w:shd w:fill="CCEEFF" w:val="clear"/>
            <w:vAlign w:val="bottom"/>
          </w:tcPr>
          <w:p>
            <w:pPr>
              <w:pStyle w:val="TableContents"/>
              <w:bidi w:val="0"/>
              <w:spacing w:before="0" w:after="0"/>
              <w:ind w:left="0" w:right="65" w:hanging="0"/>
              <w:jc w:val="right"/>
              <w:rPr>
                <w:color w:val="000000"/>
              </w:rPr>
            </w:pPr>
            <w:r>
              <w:rPr>
                <w:color w:val="000000"/>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55"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8,398  </w:t>
            </w:r>
          </w:p>
        </w:tc>
      </w:tr>
      <w:tr>
        <w:trPr/>
        <w:tc>
          <w:tcPr>
            <w:tcW w:w="3850"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Other income (expense)</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294 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(2,273)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(194)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(2,607) </w:t>
            </w:r>
          </w:p>
        </w:tc>
      </w:tr>
      <w:tr>
        <w:trPr/>
        <w:tc>
          <w:tcPr>
            <w:tcW w:w="385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Income (loss) before income tax expense and equity earnings of unconsolidated joint ventures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3,451 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(1,864)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(4,897)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(7,306) </w:t>
            </w:r>
          </w:p>
        </w:tc>
      </w:tr>
      <w:tr>
        <w:trPr/>
        <w:tc>
          <w:tcPr>
            <w:tcW w:w="3850"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Equity earnings of unconsolidated joint ventures</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360 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285 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431 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308  </w:t>
            </w:r>
          </w:p>
        </w:tc>
      </w:tr>
      <w:tr>
        <w:trPr/>
        <w:tc>
          <w:tcPr>
            <w:tcW w:w="385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Income (loss) before income taxes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3,811 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(1,579)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(4,466)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(6,998) </w:t>
            </w:r>
          </w:p>
        </w:tc>
      </w:tr>
      <w:tr>
        <w:trPr/>
        <w:tc>
          <w:tcPr>
            <w:tcW w:w="3850"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Income tax benefit (expense)</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(1,497)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(1,225)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(1,354)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(753) </w:t>
            </w:r>
          </w:p>
        </w:tc>
      </w:tr>
      <w:tr>
        <w:trPr/>
        <w:tc>
          <w:tcPr>
            <w:tcW w:w="385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Net income (loss)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2,314 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(2,804)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(5,820)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5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(7,751) </w:t>
            </w:r>
          </w:p>
        </w:tc>
      </w:tr>
      <w:tr>
        <w:trPr/>
        <w:tc>
          <w:tcPr>
            <w:tcW w:w="3850"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Less: net income (loss) attributable to noncontrolling interests</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(137)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57 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5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(328) </w:t>
            </w:r>
          </w:p>
        </w:tc>
      </w:tr>
      <w:tr>
        <w:trPr/>
        <w:tc>
          <w:tcPr>
            <w:tcW w:w="385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Net income (loss) attributable to Reading International, Inc.</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2,270 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(2,667)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(5,877)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5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(7,423) </w:t>
            </w:r>
          </w:p>
        </w:tc>
      </w:tr>
      <w:tr>
        <w:trPr/>
        <w:tc>
          <w:tcPr>
            <w:tcW w:w="3850"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Basic earnings (loss) per share</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0.10 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(0.12)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(0.26)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55"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(0.33) </w:t>
            </w:r>
          </w:p>
        </w:tc>
      </w:tr>
      <w:tr>
        <w:trPr/>
        <w:tc>
          <w:tcPr>
            <w:tcW w:w="385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Diluted earnings (loss) per share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0.10 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(0.12)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(0.26)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5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(0.33) </w:t>
            </w:r>
          </w:p>
        </w:tc>
      </w:tr>
      <w:tr>
        <w:trPr/>
        <w:tc>
          <w:tcPr>
            <w:tcW w:w="3850"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Weighted average number of shares outstanding–basic</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22,757,618 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22,708,206 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22,738,180 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5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22,586,019  </w:t>
            </w:r>
          </w:p>
        </w:tc>
      </w:tr>
      <w:tr>
        <w:trPr/>
        <w:tc>
          <w:tcPr>
            <w:tcW w:w="3850"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Weighted average number of shares outstanding–diluted</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23,842,505 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22,708,206 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40"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22,738,180 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22,586,019  </w:t>
            </w:r>
          </w:p>
        </w:tc>
      </w:tr>
    </w:tbl>
    <w:p>
      <w:pPr>
        <w:pStyle w:val="TextBody"/>
        <w:bidi w:val="0"/>
        <w:spacing w:before="0" w:after="0"/>
        <w:ind w:left="720" w:right="720" w:hanging="0"/>
        <w:jc w:val="both"/>
        <w:rPr>
          <w:rFonts w:cs="Times New Roman"/>
          <w:szCs w:val="16"/>
        </w:rPr>
      </w:pPr>
      <w:r>
        <w:rPr>
          <w:rFonts w:cs="Times New Roman"/>
          <w:szCs w:val="16"/>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4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rFonts w:ascii="Times New Roman" w:hAnsi="Times New Roman"/>
          <w:sz w:val="20"/>
        </w:rPr>
      </w:pPr>
      <w:bookmarkStart w:id="12" w:name="ConsolidatedBS"/>
      <w:bookmarkEnd w:id="12"/>
      <w:r>
        <w:rPr>
          <w:rFonts w:ascii="Times New Roman" w:hAnsi="Times New Roman"/>
          <w:b/>
          <w:color w:val="000000"/>
          <w:sz w:val="20"/>
        </w:rPr>
        <w:t>Reading International, Inc. and Subsidiaries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i/>
          <w:color w:val="000000"/>
          <w:sz w:val="20"/>
        </w:rPr>
        <w:t>(U.S. dollars in thousands, except share information)</w:t>
      </w:r>
      <w:r>
        <w:rPr>
          <w:rFonts w:ascii="Times New Roman" w:hAnsi="Times New Roman"/>
          <w:sz w:val="20"/>
        </w:rPr>
        <w:t xml:space="preserve"> </w:t>
      </w:r>
    </w:p>
    <w:p>
      <w:pPr>
        <w:pStyle w:val="TextBody"/>
        <w:bidi w:val="0"/>
        <w:spacing w:before="0" w:after="0"/>
        <w:ind w:left="720" w:right="720" w:hanging="0"/>
        <w:jc w:val="left"/>
        <w:rPr>
          <w:rFonts w:cs="Times New Roman"/>
          <w:szCs w:val="20"/>
        </w:rPr>
      </w:pPr>
      <w:r>
        <w:rPr>
          <w:rFonts w:cs="Times New Roman"/>
          <w:szCs w:val="20"/>
        </w:rPr>
        <w:t xml:space="preserve">﻿ </w:t>
      </w:r>
    </w:p>
    <w:p>
      <w:pPr>
        <w:pStyle w:val="TextBody"/>
        <w:bidi w:val="0"/>
        <w:spacing w:before="0" w:after="0"/>
        <w:ind w:left="720" w:right="720" w:hanging="0"/>
        <w:jc w:val="left"/>
        <w:rPr>
          <w:rFonts w:cs="Times New Roman"/>
          <w:szCs w:val="2"/>
        </w:rPr>
      </w:pPr>
      <w:r>
        <w:rPr>
          <w:rFonts w:cs="Times New Roman"/>
          <w:szCs w:val="2"/>
        </w:rPr>
        <w:t xml:space="preserve">﻿ </w:t>
      </w:r>
    </w:p>
    <w:p>
      <w:pPr>
        <w:pStyle w:val="TextBody"/>
        <w:bidi w:val="0"/>
        <w:spacing w:before="0" w:after="0"/>
        <w:ind w:left="720" w:right="720" w:hanging="0"/>
        <w:jc w:val="left"/>
        <w:rPr>
          <w:rFonts w:cs="Times New Roman"/>
          <w:szCs w:val="2"/>
        </w:rPr>
      </w:pPr>
      <w:r>
        <w:rPr>
          <w:rFonts w:cs="Times New Roman"/>
          <w:szCs w:val="2"/>
        </w:rPr>
        <w:t xml:space="preserve">﻿ </w:t>
      </w:r>
    </w:p>
    <w:p>
      <w:pPr>
        <w:pStyle w:val="TextBody"/>
        <w:bidi w:val="0"/>
        <w:spacing w:before="0" w:after="0"/>
        <w:ind w:left="720" w:right="720" w:hanging="0"/>
        <w:jc w:val="left"/>
        <w:rPr>
          <w:rFonts w:cs="Times New Roman"/>
          <w:szCs w:val="2"/>
        </w:rPr>
      </w:pPr>
      <w:r>
        <w:rPr>
          <w:rFonts w:cs="Times New Roman"/>
          <w:szCs w:val="2"/>
        </w:rPr>
        <w:t xml:space="preserve">﻿ </w:t>
      </w:r>
    </w:p>
    <w:p>
      <w:pPr>
        <w:pStyle w:val="TextBody"/>
        <w:bidi w:val="0"/>
        <w:spacing w:before="0" w:after="0"/>
        <w:ind w:left="720" w:right="720" w:hanging="0"/>
        <w:jc w:val="left"/>
        <w:rPr>
          <w:rFonts w:cs="Times New Roman"/>
          <w:szCs w:val="2"/>
        </w:rPr>
      </w:pPr>
      <w:r>
        <w:rPr>
          <w:rFonts w:cs="Times New Roman"/>
          <w:szCs w:val="2"/>
        </w:rPr>
        <w:t xml:space="preserve">﻿ </w:t>
      </w:r>
    </w:p>
    <w:tbl>
      <w:tblPr>
        <w:tblW w:w="8765" w:type="dxa"/>
        <w:jc w:val="left"/>
        <w:tblInd w:w="720" w:type="dxa"/>
        <w:tblLayout w:type="fixed"/>
        <w:tblCellMar>
          <w:top w:w="0" w:type="dxa"/>
          <w:left w:w="0" w:type="dxa"/>
          <w:bottom w:w="0" w:type="dxa"/>
          <w:right w:w="0" w:type="dxa"/>
        </w:tblCellMar>
      </w:tblPr>
      <w:tblGrid>
        <w:gridCol w:w="6637"/>
        <w:gridCol w:w="60"/>
        <w:gridCol w:w="125"/>
        <w:gridCol w:w="860"/>
        <w:gridCol w:w="60"/>
        <w:gridCol w:w="127"/>
        <w:gridCol w:w="896"/>
      </w:tblGrid>
      <w:tr>
        <w:trPr/>
        <w:tc>
          <w:tcPr>
            <w:tcW w:w="6637"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vAlign w:val="bottom"/>
          </w:tcPr>
          <w:p>
            <w:pPr>
              <w:pStyle w:val="TableContents"/>
              <w:bidi w:val="0"/>
              <w:spacing w:before="0" w:after="0"/>
              <w:ind w:left="0" w:right="0" w:hanging="0"/>
              <w:jc w:val="left"/>
              <w:rPr>
                <w:rFonts w:cs="Arial"/>
                <w:bCs/>
                <w:color w:val="000000"/>
                <w:szCs w:val="4"/>
              </w:rPr>
            </w:pPr>
            <w:r>
              <w:rPr>
                <w:rFonts w:cs="Arial"/>
                <w:bCs/>
                <w:color w:val="000000"/>
                <w:szCs w:val="4"/>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righ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vAlign w:val="bottom"/>
          </w:tcPr>
          <w:p>
            <w:pPr>
              <w:pStyle w:val="TableContents"/>
              <w:bidi w:val="0"/>
              <w:spacing w:before="0" w:after="0"/>
              <w:ind w:left="0" w:right="0" w:hanging="0"/>
              <w:jc w:val="left"/>
              <w:rPr>
                <w:rFonts w:cs="Times New Roman"/>
                <w:color w:val="000000"/>
                <w:szCs w:val="16"/>
              </w:rPr>
            </w:pPr>
            <w:r>
              <w:rPr>
                <w:rFonts w:cs="Times New Roman"/>
                <w:color w:val="000000"/>
                <w:szCs w:val="16"/>
              </w:rPr>
              <w:t>﻿</w:t>
            </w:r>
          </w:p>
        </w:tc>
        <w:tc>
          <w:tcPr>
            <w:tcW w:w="60" w:type="dxa"/>
            <w:tcBorders/>
            <w:vAlign w:val="bottom"/>
          </w:tcPr>
          <w:p>
            <w:pPr>
              <w:pStyle w:val="TableContents"/>
              <w:bidi w:val="0"/>
              <w:spacing w:before="0" w:after="0"/>
              <w:ind w:left="0" w:right="0" w:hanging="0"/>
              <w:jc w:val="left"/>
              <w:rPr/>
            </w:pPr>
            <w:r>
              <w:rPr/>
              <w:t> </w:t>
            </w:r>
          </w:p>
        </w:tc>
        <w:tc>
          <w:tcPr>
            <w:tcW w:w="985" w:type="dxa"/>
            <w:gridSpan w:val="2"/>
            <w:tcBorders/>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June 30,</w:t>
            </w:r>
          </w:p>
        </w:tc>
        <w:tc>
          <w:tcPr>
            <w:tcW w:w="60" w:type="dxa"/>
            <w:tcBorders/>
            <w:vAlign w:val="bottom"/>
          </w:tcPr>
          <w:p>
            <w:pPr>
              <w:pStyle w:val="TableContents"/>
              <w:bidi w:val="0"/>
              <w:spacing w:before="0" w:after="0"/>
              <w:ind w:left="0" w:right="0" w:hanging="0"/>
              <w:jc w:val="center"/>
              <w:rPr/>
            </w:pPr>
            <w:r>
              <w:rPr/>
              <w:t> </w:t>
            </w:r>
          </w:p>
        </w:tc>
        <w:tc>
          <w:tcPr>
            <w:tcW w:w="1023" w:type="dxa"/>
            <w:gridSpan w:val="2"/>
            <w:tcBorders/>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December 31,</w:t>
            </w:r>
          </w:p>
        </w:tc>
      </w:tr>
      <w:tr>
        <w:trPr/>
        <w:tc>
          <w:tcPr>
            <w:tcW w:w="6637" w:type="dxa"/>
            <w:tcBorders>
              <w:bottom w:val="single" w:sz="12" w:space="0" w:color="000000"/>
            </w:tcBorders>
            <w:tcMar>
              <w:bottom w:w="28" w:type="dxa"/>
            </w:tcMar>
            <w:vAlign w:val="bottom"/>
          </w:tcPr>
          <w:p>
            <w:pPr>
              <w:pStyle w:val="TableContents"/>
              <w:bidi w:val="0"/>
              <w:spacing w:before="0" w:after="0"/>
              <w:ind w:left="0" w:right="0" w:hanging="0"/>
              <w:jc w:val="left"/>
              <w:rPr>
                <w:rFonts w:cs="Times New Roman"/>
                <w:color w:val="000000"/>
                <w:szCs w:val="16"/>
              </w:rPr>
            </w:pPr>
            <w:r>
              <w:rPr>
                <w:rFonts w:cs="Times New Roman"/>
                <w:color w:val="000000"/>
                <w:szCs w:val="16"/>
              </w:rPr>
              <w:t>﻿</w:t>
            </w:r>
          </w:p>
        </w:tc>
        <w:tc>
          <w:tcPr>
            <w:tcW w:w="60" w:type="dxa"/>
            <w:tcBorders/>
            <w:vAlign w:val="bottom"/>
          </w:tcPr>
          <w:p>
            <w:pPr>
              <w:pStyle w:val="TableContents"/>
              <w:bidi w:val="0"/>
              <w:spacing w:before="0" w:after="0"/>
              <w:ind w:left="0" w:right="0" w:hanging="0"/>
              <w:jc w:val="left"/>
              <w:rPr/>
            </w:pPr>
            <w:r>
              <w:rPr/>
              <w:t> </w:t>
            </w:r>
          </w:p>
        </w:tc>
        <w:tc>
          <w:tcPr>
            <w:tcW w:w="98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2026</w:t>
            </w:r>
          </w:p>
        </w:tc>
        <w:tc>
          <w:tcPr>
            <w:tcW w:w="60" w:type="dxa"/>
            <w:tcBorders/>
            <w:vAlign w:val="bottom"/>
          </w:tcPr>
          <w:p>
            <w:pPr>
              <w:pStyle w:val="TableContents"/>
              <w:bidi w:val="0"/>
              <w:spacing w:before="0" w:after="0"/>
              <w:ind w:left="0" w:right="0" w:hanging="0"/>
              <w:jc w:val="center"/>
              <w:rPr/>
            </w:pPr>
            <w:r>
              <w:rPr/>
              <w:t> </w:t>
            </w:r>
          </w:p>
        </w:tc>
        <w:tc>
          <w:tcPr>
            <w:tcW w:w="1023"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2025</w:t>
            </w:r>
          </w:p>
        </w:tc>
      </w:tr>
      <w:tr>
        <w:trPr/>
        <w:tc>
          <w:tcPr>
            <w:tcW w:w="6637"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0"/>
              <w:ind w:left="0" w:right="0" w:hanging="0"/>
              <w:jc w:val="left"/>
              <w:rPr/>
            </w:pPr>
            <w:r>
              <w:rPr/>
              <w:t> </w:t>
            </w:r>
          </w:p>
        </w:tc>
        <w:tc>
          <w:tcPr>
            <w:tcW w:w="985" w:type="dxa"/>
            <w:gridSpan w:val="2"/>
            <w:tcBorders>
              <w:top w:val="single" w:sz="8" w:space="0" w:color="000000"/>
            </w:tcBorders>
            <w:tcMar>
              <w:top w:w="28" w:type="dxa"/>
            </w:tcMar>
            <w:vAlign w:val="bottom"/>
          </w:tcPr>
          <w:p>
            <w:pPr>
              <w:pStyle w:val="TableContents"/>
              <w:bidi w:val="0"/>
              <w:spacing w:before="0" w:after="0"/>
              <w:ind w:left="0" w:right="0" w:hanging="0"/>
              <w:jc w:val="center"/>
              <w:rPr>
                <w:rFonts w:ascii="Times New Roman" w:hAnsi="Times New Roman"/>
                <w:b/>
                <w:color w:val="000000"/>
                <w:sz w:val="16"/>
              </w:rPr>
            </w:pPr>
            <w:r>
              <w:rPr>
                <w:rFonts w:ascii="Times New Roman" w:hAnsi="Times New Roman"/>
                <w:b/>
                <w:color w:val="000000"/>
                <w:sz w:val="16"/>
              </w:rPr>
              <w:t>(Unaudited)</w:t>
            </w:r>
          </w:p>
        </w:tc>
        <w:tc>
          <w:tcPr>
            <w:tcW w:w="60" w:type="dxa"/>
            <w:tcBorders/>
            <w:vAlign w:val="bottom"/>
          </w:tcPr>
          <w:p>
            <w:pPr>
              <w:pStyle w:val="TableContents"/>
              <w:bidi w:val="0"/>
              <w:spacing w:before="0" w:after="0"/>
              <w:ind w:left="0" w:right="0" w:hanging="0"/>
              <w:jc w:val="center"/>
              <w:rPr/>
            </w:pPr>
            <w:r>
              <w:rPr/>
              <w:t> </w:t>
            </w:r>
          </w:p>
        </w:tc>
        <w:tc>
          <w:tcPr>
            <w:tcW w:w="127"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896"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Current Assets: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right"/>
              <w:rPr/>
            </w:pPr>
            <w:r>
              <w:rPr/>
              <w:t> </w:t>
            </w:r>
          </w:p>
        </w:tc>
        <w:tc>
          <w:tcPr>
            <w:tcW w:w="860" w:type="dxa"/>
            <w:tcBorders/>
            <w:shd w:fill="CCEEFF" w:val="clear"/>
            <w:vAlign w:val="bottom"/>
          </w:tcPr>
          <w:p>
            <w:pPr>
              <w:pStyle w:val="TableContents"/>
              <w:bidi w:val="0"/>
              <w:spacing w:before="0" w:after="0"/>
              <w:ind w:left="0" w:right="0" w:hanging="0"/>
              <w:jc w:val="both"/>
              <w:rPr/>
            </w:pPr>
            <w:r>
              <w:rPr/>
              <w:t> </w:t>
            </w:r>
          </w:p>
        </w:tc>
        <w:tc>
          <w:tcPr>
            <w:tcW w:w="60" w:type="dxa"/>
            <w:tcBorders/>
            <w:shd w:fill="CCEEFF" w:val="clear"/>
            <w:vAlign w:val="bottom"/>
          </w:tcPr>
          <w:p>
            <w:pPr>
              <w:pStyle w:val="TableContents"/>
              <w:bidi w:val="0"/>
              <w:spacing w:before="0" w:after="0"/>
              <w:ind w:left="0" w:right="0" w:hanging="0"/>
              <w:jc w:val="both"/>
              <w:rPr/>
            </w:pPr>
            <w:r>
              <w:rPr/>
              <w:t> </w:t>
            </w:r>
          </w:p>
        </w:tc>
        <w:tc>
          <w:tcPr>
            <w:tcW w:w="127" w:type="dxa"/>
            <w:tcBorders/>
            <w:shd w:fill="CCEEFF" w:val="clear"/>
            <w:vAlign w:val="bottom"/>
          </w:tcPr>
          <w:p>
            <w:pPr>
              <w:pStyle w:val="TableContents"/>
              <w:bidi w:val="0"/>
              <w:spacing w:before="0" w:after="0"/>
              <w:ind w:left="0" w:right="0" w:hanging="0"/>
              <w:jc w:val="right"/>
              <w:rPr/>
            </w:pPr>
            <w:r>
              <w:rPr/>
              <w:t> </w:t>
            </w:r>
          </w:p>
        </w:tc>
        <w:tc>
          <w:tcPr>
            <w:tcW w:w="896" w:type="dxa"/>
            <w:tcBorders/>
            <w:shd w:fill="CCEEFF" w:val="clear"/>
            <w:vAlign w:val="bottom"/>
          </w:tcPr>
          <w:p>
            <w:pPr>
              <w:pStyle w:val="TableContents"/>
              <w:bidi w:val="0"/>
              <w:spacing w:before="0" w:after="0"/>
              <w:ind w:left="0" w:right="0" w:hanging="0"/>
              <w:jc w:val="both"/>
              <w:rPr/>
            </w:pPr>
            <w:r>
              <w:rPr/>
              <w:t>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5,680 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10,531 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Restricted cash</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2,279 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2,327 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Receivables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5,627 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4,553 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Inventories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1,738 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1,664 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Prepaid and other current assets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7,332 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2,281  </w:t>
            </w:r>
          </w:p>
        </w:tc>
      </w:tr>
      <w:tr>
        <w:trPr/>
        <w:tc>
          <w:tcPr>
            <w:tcW w:w="663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Asset groups held for sale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6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24,451 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96"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460  </w:t>
            </w:r>
          </w:p>
        </w:tc>
      </w:tr>
      <w:tr>
        <w:trPr/>
        <w:tc>
          <w:tcPr>
            <w:tcW w:w="6637"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current assets</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6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47,107  </w:t>
            </w:r>
          </w:p>
        </w:tc>
        <w:tc>
          <w:tcPr>
            <w:tcW w:w="60" w:type="dxa"/>
            <w:tcBorders/>
            <w:vAlign w:val="bottom"/>
          </w:tcPr>
          <w:p>
            <w:pPr>
              <w:pStyle w:val="TableContents"/>
              <w:bidi w:val="0"/>
              <w:spacing w:before="0" w:after="0"/>
              <w:ind w:left="0" w:right="0" w:hanging="0"/>
              <w:jc w:val="left"/>
              <w:rPr/>
            </w:pPr>
            <w:r>
              <w:rPr/>
              <w:t> </w:t>
            </w:r>
          </w:p>
        </w:tc>
        <w:tc>
          <w:tcPr>
            <w:tcW w:w="127"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96"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21,816 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properties, net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181,125 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207,974  </w:t>
            </w:r>
          </w:p>
        </w:tc>
      </w:tr>
      <w:tr>
        <w:trPr/>
        <w:tc>
          <w:tcPr>
            <w:tcW w:w="663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right-of-use assets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158,851 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159,659 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Investment in unconsolidated joint ventures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3,491 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3,264  </w:t>
            </w:r>
          </w:p>
        </w:tc>
      </w:tr>
      <w:tr>
        <w:trPr/>
        <w:tc>
          <w:tcPr>
            <w:tcW w:w="663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Goodwill</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24,864 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24,603 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Intangible assets, net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1,521 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1,576  </w:t>
            </w:r>
          </w:p>
        </w:tc>
      </w:tr>
      <w:tr>
        <w:trPr/>
        <w:tc>
          <w:tcPr>
            <w:tcW w:w="663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tax asset, net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3,406 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2,619  </w:t>
            </w:r>
          </w:p>
        </w:tc>
      </w:tr>
      <w:tr>
        <w:trPr/>
        <w:tc>
          <w:tcPr>
            <w:tcW w:w="663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assets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6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9,045 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96"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13,418  </w:t>
            </w:r>
          </w:p>
        </w:tc>
      </w:tr>
      <w:tr>
        <w:trPr/>
        <w:tc>
          <w:tcPr>
            <w:tcW w:w="6637"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429,410  </w:t>
            </w:r>
          </w:p>
        </w:tc>
        <w:tc>
          <w:tcPr>
            <w:tcW w:w="60" w:type="dxa"/>
            <w:tcBorders/>
            <w:vAlign w:val="bottom"/>
          </w:tcPr>
          <w:p>
            <w:pPr>
              <w:pStyle w:val="TableContents"/>
              <w:bidi w:val="0"/>
              <w:spacing w:before="0" w:after="0"/>
              <w:ind w:left="0" w:right="0" w:hanging="0"/>
              <w:jc w:val="left"/>
              <w:rPr/>
            </w:pPr>
            <w:r>
              <w:rPr/>
              <w:t> </w:t>
            </w:r>
          </w:p>
        </w:tc>
        <w:tc>
          <w:tcPr>
            <w:tcW w:w="127"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96"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434,929  </w:t>
            </w:r>
          </w:p>
        </w:tc>
      </w:tr>
      <w:tr>
        <w:trPr/>
        <w:tc>
          <w:tcPr>
            <w:tcW w:w="6637"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86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896"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r>
      <w:tr>
        <w:trPr/>
        <w:tc>
          <w:tcPr>
            <w:tcW w:w="6637" w:type="dxa"/>
            <w:tcBorders/>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Current Liabilities: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Accounts payable and accrued liabilities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56,494 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52,826 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Film rent payable</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5,877 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6,973 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Debt - current portion</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80,228 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35,999 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Subordinated debt - current portion</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27,728 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65" w:hanging="0"/>
              <w:jc w:val="right"/>
              <w:rPr>
                <w:color w:val="000000"/>
              </w:rPr>
            </w:pPr>
            <w:r>
              <w:rPr>
                <w:color w:val="000000"/>
              </w:rPr>
              <w:t>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Derivative financial instruments - current portion</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0"/>
              <w:ind w:left="0" w:right="65" w:hanging="0"/>
              <w:jc w:val="right"/>
              <w:rPr>
                <w:color w:val="000000"/>
              </w:rPr>
            </w:pPr>
            <w:r>
              <w:rPr>
                <w:color w:val="000000"/>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56 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Taxes payable - current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1,559 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545 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Deferred current revenue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11,018 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11,327 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Operating lease liabilities - current portion</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20,837 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20,081  </w:t>
            </w:r>
          </w:p>
        </w:tc>
      </w:tr>
      <w:tr>
        <w:trPr/>
        <w:tc>
          <w:tcPr>
            <w:tcW w:w="663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Other current liabilities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6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745 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96"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774  </w:t>
            </w:r>
          </w:p>
        </w:tc>
      </w:tr>
      <w:tr>
        <w:trPr/>
        <w:tc>
          <w:tcPr>
            <w:tcW w:w="6637"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current liabilities</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6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204,486  </w:t>
            </w:r>
          </w:p>
        </w:tc>
        <w:tc>
          <w:tcPr>
            <w:tcW w:w="60" w:type="dxa"/>
            <w:tcBorders/>
            <w:vAlign w:val="bottom"/>
          </w:tcPr>
          <w:p>
            <w:pPr>
              <w:pStyle w:val="TableContents"/>
              <w:bidi w:val="0"/>
              <w:spacing w:before="0" w:after="0"/>
              <w:ind w:left="0" w:right="0" w:hanging="0"/>
              <w:jc w:val="left"/>
              <w:rPr/>
            </w:pPr>
            <w:r>
              <w:rPr/>
              <w:t> </w:t>
            </w:r>
          </w:p>
        </w:tc>
        <w:tc>
          <w:tcPr>
            <w:tcW w:w="127"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96"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128,581 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Debt - long-term portion</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68,559 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114,350 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Subordinated debt, non-current portion</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65" w:hanging="0"/>
              <w:jc w:val="right"/>
              <w:rPr>
                <w:color w:val="000000"/>
              </w:rPr>
            </w:pPr>
            <w:r>
              <w:rPr>
                <w:color w:val="000000"/>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27,617 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Noncurrent tax liabilities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6,397 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6,434 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Operating lease liabilities - non-current portion</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159,842 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162,919  </w:t>
            </w:r>
          </w:p>
        </w:tc>
      </w:tr>
      <w:tr>
        <w:trPr/>
        <w:tc>
          <w:tcPr>
            <w:tcW w:w="663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13,267 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13,126  </w:t>
            </w:r>
          </w:p>
        </w:tc>
      </w:tr>
      <w:tr>
        <w:trPr/>
        <w:tc>
          <w:tcPr>
            <w:tcW w:w="6637"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liabilities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452,551 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96"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453,027  </w:t>
            </w:r>
          </w:p>
        </w:tc>
      </w:tr>
      <w:tr>
        <w:trPr/>
        <w:tc>
          <w:tcPr>
            <w:tcW w:w="6637"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Commitments and contingencies (Note 16)</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r>
      <w:tr>
        <w:trPr/>
        <w:tc>
          <w:tcPr>
            <w:tcW w:w="6637" w:type="dxa"/>
            <w:tcBorders/>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Stockholders’ equity:</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Class A non-voting common shares, par value $0.01, 100,000,000 shares authorized,</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0"/>
              <w:ind w:left="0" w:right="0" w:hanging="0"/>
              <w:jc w:val="left"/>
              <w:rPr/>
            </w:pPr>
            <w:r>
              <w:rPr/>
              <w:t> </w:t>
            </w:r>
          </w:p>
        </w:tc>
      </w:tr>
      <w:tr>
        <w:trPr/>
        <w:tc>
          <w:tcPr>
            <w:tcW w:w="6637" w:type="dxa"/>
            <w:tcBorders/>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34,145,648 issued and 21,209,537 outstanding at June 30, 2026 and</w:t>
            </w:r>
          </w:p>
        </w:tc>
        <w:tc>
          <w:tcPr>
            <w:tcW w:w="60" w:type="dxa"/>
            <w:tcBorders/>
            <w:vAlign w:val="bottom"/>
          </w:tcPr>
          <w:p>
            <w:pPr>
              <w:pStyle w:val="TableContents"/>
              <w:bidi w:val="0"/>
              <w:spacing w:before="0" w:after="0"/>
              <w:ind w:left="12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33,972,781 issued and 21,036,670 outstanding at December 31, 2025</w:t>
            </w:r>
          </w:p>
        </w:tc>
        <w:tc>
          <w:tcPr>
            <w:tcW w:w="60" w:type="dxa"/>
            <w:tcBorders/>
            <w:shd w:fill="CCEEFF" w:val="clear"/>
            <w:vAlign w:val="bottom"/>
          </w:tcPr>
          <w:p>
            <w:pPr>
              <w:pStyle w:val="TableContents"/>
              <w:bidi w:val="0"/>
              <w:spacing w:before="0" w:after="0"/>
              <w:ind w:left="12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243 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241 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Class B voting common shares, par value $0.01, 20,000,000 shares authorized and</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1,680,590 issued and outstanding at June 30, 2026 and December 31, 2025</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Nonvoting preferred shares, par value $0.01, 12,000 shares authorized and no issued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0"/>
              <w:ind w:left="0" w:right="0" w:hanging="0"/>
              <w:jc w:val="left"/>
              <w:rPr/>
            </w:pPr>
            <w:r>
              <w:rPr/>
              <w:t> </w:t>
            </w:r>
          </w:p>
        </w:tc>
      </w:tr>
      <w:tr>
        <w:trPr/>
        <w:tc>
          <w:tcPr>
            <w:tcW w:w="6637"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or outstanding shares at June 30, 2026 and December 31, 2025</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0"/>
              <w:ind w:left="0" w:right="65" w:hanging="0"/>
              <w:jc w:val="right"/>
              <w:rPr>
                <w:color w:val="000000"/>
              </w:rPr>
            </w:pPr>
            <w:r>
              <w:rPr>
                <w:color w:val="000000"/>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0"/>
              <w:ind w:left="0" w:right="65" w:hanging="0"/>
              <w:jc w:val="right"/>
              <w:rPr>
                <w:color w:val="000000"/>
              </w:rPr>
            </w:pPr>
            <w:r>
              <w:rPr>
                <w:color w:val="000000"/>
              </w:rPr>
              <w:t>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156,142 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155,454  </w:t>
            </w:r>
          </w:p>
        </w:tc>
      </w:tr>
      <w:tr>
        <w:trPr/>
        <w:tc>
          <w:tcPr>
            <w:tcW w:w="6637"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Retained earnings/(accumulated deficit)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86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(134,807)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shd w:fill="CCEEFF" w:val="clear"/>
            <w:vAlign w:val="bottom"/>
          </w:tcPr>
          <w:p>
            <w:pPr>
              <w:pStyle w:val="TableContents"/>
              <w:bidi w:val="0"/>
              <w:spacing w:before="0" w:after="0"/>
              <w:ind w:left="0" w:right="0" w:hanging="0"/>
              <w:jc w:val="left"/>
              <w:rPr/>
            </w:pPr>
            <w:r>
              <w:rPr/>
              <w:t> </w:t>
            </w:r>
          </w:p>
        </w:tc>
        <w:tc>
          <w:tcPr>
            <w:tcW w:w="896"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(128,930) </w:t>
            </w:r>
          </w:p>
        </w:tc>
      </w:tr>
      <w:tr>
        <w:trPr/>
        <w:tc>
          <w:tcPr>
            <w:tcW w:w="663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Treasury shares, at cost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86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(40,407) </w:t>
            </w:r>
          </w:p>
        </w:tc>
        <w:tc>
          <w:tcPr>
            <w:tcW w:w="60" w:type="dxa"/>
            <w:tcBorders/>
            <w:vAlign w:val="bottom"/>
          </w:tcPr>
          <w:p>
            <w:pPr>
              <w:pStyle w:val="TableContents"/>
              <w:bidi w:val="0"/>
              <w:spacing w:before="0" w:after="0"/>
              <w:ind w:left="0" w:right="0" w:hanging="0"/>
              <w:jc w:val="left"/>
              <w:rPr/>
            </w:pPr>
            <w:r>
              <w:rPr/>
              <w:t> </w:t>
            </w:r>
          </w:p>
        </w:tc>
        <w:tc>
          <w:tcPr>
            <w:tcW w:w="127" w:type="dxa"/>
            <w:tcBorders/>
            <w:vAlign w:val="bottom"/>
          </w:tcPr>
          <w:p>
            <w:pPr>
              <w:pStyle w:val="TableContents"/>
              <w:bidi w:val="0"/>
              <w:spacing w:before="0" w:after="0"/>
              <w:ind w:left="0" w:right="0" w:hanging="0"/>
              <w:jc w:val="left"/>
              <w:rPr/>
            </w:pPr>
            <w:r>
              <w:rPr/>
              <w:t> </w:t>
            </w:r>
          </w:p>
        </w:tc>
        <w:tc>
          <w:tcPr>
            <w:tcW w:w="896"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(40,407) </w:t>
            </w:r>
          </w:p>
        </w:tc>
      </w:tr>
      <w:tr>
        <w:trPr/>
        <w:tc>
          <w:tcPr>
            <w:tcW w:w="663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Accumulated other comprehensive income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6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(4,531)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96"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(4,614) </w:t>
            </w:r>
          </w:p>
        </w:tc>
      </w:tr>
      <w:tr>
        <w:trPr/>
        <w:tc>
          <w:tcPr>
            <w:tcW w:w="6637"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Reading International, Inc. stockholders’ equity</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6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(23,343) </w:t>
            </w:r>
          </w:p>
        </w:tc>
        <w:tc>
          <w:tcPr>
            <w:tcW w:w="60" w:type="dxa"/>
            <w:tcBorders/>
            <w:vAlign w:val="bottom"/>
          </w:tcPr>
          <w:p>
            <w:pPr>
              <w:pStyle w:val="TableContents"/>
              <w:bidi w:val="0"/>
              <w:spacing w:before="0" w:after="0"/>
              <w:ind w:left="0" w:right="0" w:hanging="0"/>
              <w:jc w:val="left"/>
              <w:rPr/>
            </w:pPr>
            <w:r>
              <w:rPr/>
              <w:t> </w:t>
            </w:r>
          </w:p>
        </w:tc>
        <w:tc>
          <w:tcPr>
            <w:tcW w:w="127"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896"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(18,239) </w:t>
            </w:r>
          </w:p>
        </w:tc>
      </w:tr>
      <w:tr>
        <w:trPr/>
        <w:tc>
          <w:tcPr>
            <w:tcW w:w="663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Noncontrolling interests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6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202 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896"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141  </w:t>
            </w:r>
          </w:p>
        </w:tc>
      </w:tr>
      <w:tr>
        <w:trPr/>
        <w:tc>
          <w:tcPr>
            <w:tcW w:w="6637"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stockholders’ equity</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86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(23,141) </w:t>
            </w:r>
          </w:p>
        </w:tc>
        <w:tc>
          <w:tcPr>
            <w:tcW w:w="60" w:type="dxa"/>
            <w:tcBorders/>
            <w:vAlign w:val="bottom"/>
          </w:tcPr>
          <w:p>
            <w:pPr>
              <w:pStyle w:val="TableContents"/>
              <w:bidi w:val="0"/>
              <w:spacing w:before="0" w:after="0"/>
              <w:ind w:left="0" w:right="0" w:hanging="0"/>
              <w:jc w:val="left"/>
              <w:rPr/>
            </w:pPr>
            <w:r>
              <w:rPr/>
              <w:t> </w:t>
            </w:r>
          </w:p>
        </w:tc>
        <w:tc>
          <w:tcPr>
            <w:tcW w:w="127"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pPr>
            <w:r>
              <w:rPr/>
              <w:t> </w:t>
            </w:r>
          </w:p>
        </w:tc>
        <w:tc>
          <w:tcPr>
            <w:tcW w:w="896"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(18,098) </w:t>
            </w:r>
          </w:p>
        </w:tc>
      </w:tr>
      <w:tr>
        <w:trPr/>
        <w:tc>
          <w:tcPr>
            <w:tcW w:w="6637"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0"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429,410  </w:t>
            </w:r>
          </w:p>
        </w:tc>
        <w:tc>
          <w:tcPr>
            <w:tcW w:w="60" w:type="dxa"/>
            <w:tcBorders/>
            <w:shd w:fill="CCEEFF" w:val="clear"/>
            <w:vAlign w:val="bottom"/>
          </w:tcPr>
          <w:p>
            <w:pPr>
              <w:pStyle w:val="TableContents"/>
              <w:bidi w:val="0"/>
              <w:spacing w:before="0" w:after="0"/>
              <w:ind w:left="0" w:right="0" w:hanging="0"/>
              <w:jc w:val="left"/>
              <w:rPr/>
            </w:pPr>
            <w:r>
              <w:rPr/>
              <w:t> </w:t>
            </w:r>
          </w:p>
        </w:tc>
        <w:tc>
          <w:tcPr>
            <w:tcW w:w="127"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96" w:type="dxa"/>
            <w:tcBorders>
              <w:top w:val="single" w:sz="8" w:space="0" w:color="000000"/>
              <w:bottom w:val="single" w:sz="12"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434,929  </w:t>
            </w:r>
          </w:p>
        </w:tc>
      </w:tr>
    </w:tbl>
    <w:p>
      <w:pPr>
        <w:pStyle w:val="TextBody"/>
        <w:bidi w:val="0"/>
        <w:spacing w:before="0" w:after="0"/>
        <w:ind w:left="720" w:right="720" w:hanging="0"/>
        <w:jc w:val="left"/>
        <w:rPr>
          <w:rFonts w:cs="Times New Roman"/>
          <w:szCs w:val="20"/>
        </w:rPr>
      </w:pPr>
      <w:r>
        <w:rPr>
          <w:rFonts w:cs="Times New Roman"/>
          <w:szCs w:val="20"/>
        </w:rPr>
        <w:t xml:space="preserve">﻿ </w:t>
      </w:r>
    </w:p>
    <w:p>
      <w:pPr>
        <w:pStyle w:val="TextBody"/>
        <w:bidi w:val="0"/>
        <w:spacing w:before="0" w:after="0"/>
        <w:ind w:left="720" w:right="720" w:hanging="0"/>
        <w:jc w:val="left"/>
        <w:rPr>
          <w:rFonts w:cs="Times New Roman"/>
          <w:szCs w:val="20"/>
        </w:rPr>
      </w:pPr>
      <w:r>
        <w:rPr>
          <w:rFonts w:cs="Times New Roman"/>
          <w:szCs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Reading International, Inc. and Subsidiaries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sz w:val="20"/>
        </w:rPr>
        <w:t>Segment Results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i/>
          <w:color w:val="000000"/>
          <w:sz w:val="20"/>
        </w:rPr>
        <w:t>(Unaudited; U.S. dollars in thousands)</w:t>
      </w:r>
      <w:r>
        <w:rPr>
          <w:rFonts w:ascii="Times New Roman" w:hAnsi="Times New Roman"/>
          <w:sz w:val="20"/>
        </w:rPr>
        <w:t xml:space="preserve"> </w:t>
      </w:r>
    </w:p>
    <w:p>
      <w:pPr>
        <w:pStyle w:val="TextBody"/>
        <w:bidi w:val="0"/>
        <w:spacing w:before="0" w:after="0"/>
        <w:ind w:left="720" w:right="720" w:hanging="0"/>
        <w:jc w:val="both"/>
        <w:rPr>
          <w:rFonts w:cs="Times New Roman"/>
          <w:szCs w:val="20"/>
        </w:rPr>
      </w:pPr>
      <w:r>
        <w:rPr>
          <w:rFonts w:cs="Times New Roman"/>
          <w:iCs/>
          <w:color w:val="000000"/>
          <w:szCs w:val="20"/>
        </w:rPr>
        <w:t>﻿</w:t>
      </w:r>
      <w:r>
        <w:rPr>
          <w:rFonts w:cs="Times New Roman"/>
          <w:szCs w:val="20"/>
        </w:rPr>
        <w:t xml:space="preserve"> </w:t>
      </w:r>
    </w:p>
    <w:tbl>
      <w:tblPr>
        <w:tblW w:w="8765" w:type="dxa"/>
        <w:jc w:val="left"/>
        <w:tblInd w:w="720" w:type="dxa"/>
        <w:tblLayout w:type="fixed"/>
        <w:tblCellMar>
          <w:top w:w="0" w:type="dxa"/>
          <w:left w:w="0" w:type="dxa"/>
          <w:bottom w:w="0" w:type="dxa"/>
          <w:right w:w="0" w:type="dxa"/>
        </w:tblCellMar>
      </w:tblPr>
      <w:tblGrid>
        <w:gridCol w:w="2594"/>
        <w:gridCol w:w="60"/>
        <w:gridCol w:w="125"/>
        <w:gridCol w:w="680"/>
        <w:gridCol w:w="60"/>
        <w:gridCol w:w="125"/>
        <w:gridCol w:w="680"/>
        <w:gridCol w:w="60"/>
        <w:gridCol w:w="792"/>
        <w:gridCol w:w="390"/>
        <w:gridCol w:w="60"/>
        <w:gridCol w:w="125"/>
        <w:gridCol w:w="785"/>
        <w:gridCol w:w="60"/>
        <w:gridCol w:w="125"/>
        <w:gridCol w:w="785"/>
        <w:gridCol w:w="60"/>
        <w:gridCol w:w="785"/>
        <w:gridCol w:w="414"/>
      </w:tblGrid>
      <w:tr>
        <w:trPr/>
        <w:tc>
          <w:tcPr>
            <w:tcW w:w="2594"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792" w:type="dxa"/>
            <w:tcBorders/>
            <w:vAlign w:val="bottom"/>
          </w:tcPr>
          <w:p>
            <w:pPr>
              <w:pStyle w:val="TableContents"/>
              <w:bidi w:val="0"/>
              <w:spacing w:before="0" w:after="0"/>
              <w:ind w:left="0" w:right="0" w:hanging="0"/>
              <w:jc w:val="left"/>
              <w:rPr/>
            </w:pPr>
            <w:r>
              <w:rPr/>
              <w:t> </w:t>
            </w:r>
          </w:p>
        </w:tc>
        <w:tc>
          <w:tcPr>
            <w:tcW w:w="39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78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78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785" w:type="dxa"/>
            <w:tcBorders/>
            <w:vAlign w:val="bottom"/>
          </w:tcPr>
          <w:p>
            <w:pPr>
              <w:pStyle w:val="TableContents"/>
              <w:bidi w:val="0"/>
              <w:spacing w:before="0" w:after="0"/>
              <w:ind w:left="0" w:right="0" w:hanging="0"/>
              <w:jc w:val="left"/>
              <w:rPr/>
            </w:pPr>
            <w:r>
              <w:rPr/>
              <w:t> </w:t>
            </w:r>
          </w:p>
        </w:tc>
        <w:tc>
          <w:tcPr>
            <w:tcW w:w="414" w:type="dxa"/>
            <w:tcBorders/>
            <w:vAlign w:val="bottom"/>
          </w:tcPr>
          <w:p>
            <w:pPr>
              <w:pStyle w:val="TableContents"/>
              <w:bidi w:val="0"/>
              <w:spacing w:before="0" w:after="0"/>
              <w:ind w:left="0" w:right="0" w:hanging="0"/>
              <w:jc w:val="left"/>
              <w:rPr/>
            </w:pPr>
            <w:r>
              <w:rPr/>
              <w:t> </w:t>
            </w:r>
          </w:p>
        </w:tc>
      </w:tr>
      <w:tr>
        <w:trPr/>
        <w:tc>
          <w:tcPr>
            <w:tcW w:w="2594"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right"/>
              <w:rPr/>
            </w:pPr>
            <w:r>
              <w:rPr/>
              <w:t> </w:t>
            </w:r>
          </w:p>
        </w:tc>
        <w:tc>
          <w:tcPr>
            <w:tcW w:w="792" w:type="dxa"/>
            <w:tcBorders/>
            <w:vAlign w:val="bottom"/>
          </w:tcPr>
          <w:p>
            <w:pPr>
              <w:pStyle w:val="TableContents"/>
              <w:bidi w:val="0"/>
              <w:spacing w:before="0" w:after="0"/>
              <w:ind w:left="0" w:right="0" w:hanging="0"/>
              <w:jc w:val="left"/>
              <w:rPr/>
            </w:pPr>
            <w:r>
              <w:rPr/>
              <w:t> </w:t>
            </w:r>
          </w:p>
        </w:tc>
        <w:tc>
          <w:tcPr>
            <w:tcW w:w="39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78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78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right"/>
              <w:rPr/>
            </w:pPr>
            <w:r>
              <w:rPr/>
              <w:t> </w:t>
            </w:r>
          </w:p>
        </w:tc>
        <w:tc>
          <w:tcPr>
            <w:tcW w:w="785" w:type="dxa"/>
            <w:tcBorders/>
            <w:vAlign w:val="bottom"/>
          </w:tcPr>
          <w:p>
            <w:pPr>
              <w:pStyle w:val="TableContents"/>
              <w:bidi w:val="0"/>
              <w:spacing w:before="0" w:after="0"/>
              <w:ind w:left="0" w:right="0" w:hanging="0"/>
              <w:jc w:val="right"/>
              <w:rPr/>
            </w:pPr>
            <w:r>
              <w:rPr/>
              <w:t> </w:t>
            </w:r>
          </w:p>
        </w:tc>
        <w:tc>
          <w:tcPr>
            <w:tcW w:w="414" w:type="dxa"/>
            <w:tcBorders/>
            <w:vAlign w:val="bottom"/>
          </w:tcPr>
          <w:p>
            <w:pPr>
              <w:pStyle w:val="TableContents"/>
              <w:bidi w:val="0"/>
              <w:spacing w:before="0" w:after="0"/>
              <w:ind w:left="0" w:right="0" w:hanging="0"/>
              <w:jc w:val="left"/>
              <w:rPr/>
            </w:pPr>
            <w:r>
              <w:rPr/>
              <w:t> </w:t>
            </w:r>
          </w:p>
        </w:tc>
      </w:tr>
      <w:tr>
        <w:trPr/>
        <w:tc>
          <w:tcPr>
            <w:tcW w:w="2594" w:type="dxa"/>
            <w:tcBorders/>
            <w:vAlign w:val="bottom"/>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before="0" w:after="0"/>
              <w:ind w:left="0" w:right="0" w:hanging="0"/>
              <w:jc w:val="left"/>
              <w:rPr/>
            </w:pPr>
            <w:r>
              <w:rPr/>
              <w:t> </w:t>
            </w:r>
          </w:p>
        </w:tc>
        <w:tc>
          <w:tcPr>
            <w:tcW w:w="2912" w:type="dxa"/>
            <w:gridSpan w:val="8"/>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Quarter Ended</w:t>
            </w:r>
          </w:p>
        </w:tc>
        <w:tc>
          <w:tcPr>
            <w:tcW w:w="60" w:type="dxa"/>
            <w:tcBorders/>
            <w:vAlign w:val="bottom"/>
          </w:tcPr>
          <w:p>
            <w:pPr>
              <w:pStyle w:val="TableContents"/>
              <w:bidi w:val="0"/>
              <w:spacing w:before="0" w:after="0"/>
              <w:ind w:left="0" w:right="0" w:hanging="0"/>
              <w:jc w:val="left"/>
              <w:rPr/>
            </w:pPr>
            <w:r>
              <w:rPr/>
              <w:t> </w:t>
            </w:r>
          </w:p>
        </w:tc>
        <w:tc>
          <w:tcPr>
            <w:tcW w:w="3139" w:type="dxa"/>
            <w:gridSpan w:val="8"/>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Six Months Ended</w:t>
            </w:r>
          </w:p>
        </w:tc>
      </w:tr>
      <w:tr>
        <w:trPr/>
        <w:tc>
          <w:tcPr>
            <w:tcW w:w="2594" w:type="dxa"/>
            <w:tcBorders/>
            <w:vAlign w:val="bottom"/>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before="0" w:after="0"/>
              <w:ind w:left="0" w:right="0" w:hanging="0"/>
              <w:jc w:val="left"/>
              <w:rPr/>
            </w:pPr>
            <w:r>
              <w:rPr/>
              <w:t> </w:t>
            </w:r>
          </w:p>
        </w:tc>
        <w:tc>
          <w:tcPr>
            <w:tcW w:w="1670" w:type="dxa"/>
            <w:gridSpan w:val="5"/>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June 30,</w:t>
            </w:r>
          </w:p>
        </w:tc>
        <w:tc>
          <w:tcPr>
            <w:tcW w:w="60"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1182" w:type="dxa"/>
            <w:gridSpan w:val="2"/>
            <w:tcBorders>
              <w:top w:val="single" w:sz="8" w:space="0" w:color="000000"/>
            </w:tcBorders>
            <w:tcMar>
              <w:top w:w="28" w:type="dxa"/>
            </w:tcMar>
            <w:vAlign w:val="bottom"/>
          </w:tcPr>
          <w:p>
            <w:pPr>
              <w:pStyle w:val="TableContents"/>
              <w:bidi w:val="0"/>
              <w:spacing w:before="0" w:after="0"/>
              <w:ind w:left="0" w:right="0" w:hanging="0"/>
              <w:jc w:val="center"/>
              <w:rPr>
                <w:rFonts w:ascii="Times New Roman" w:hAnsi="Times New Roman"/>
                <w:sz w:val="20"/>
              </w:rPr>
            </w:pPr>
            <w:r>
              <w:rPr>
                <w:rFonts w:ascii="Times New Roman" w:hAnsi="Times New Roman"/>
                <w:b/>
                <w:color w:val="000000"/>
                <w:sz w:val="20"/>
              </w:rPr>
              <w:t>% Change</w:t>
            </w:r>
            <w:r>
              <w:rPr>
                <w:rFonts w:ascii="Times New Roman" w:hAnsi="Times New Roman"/>
                <w:sz w:val="20"/>
              </w:rPr>
              <w:br/>
            </w:r>
            <w:r>
              <w:rPr>
                <w:rFonts w:ascii="Times New Roman" w:hAnsi="Times New Roman"/>
                <w:b/>
                <w:color w:val="000000"/>
                <w:sz w:val="20"/>
              </w:rPr>
              <w:t>Favorable/</w:t>
            </w:r>
          </w:p>
        </w:tc>
        <w:tc>
          <w:tcPr>
            <w:tcW w:w="60" w:type="dxa"/>
            <w:tcBorders/>
            <w:vAlign w:val="bottom"/>
          </w:tcPr>
          <w:p>
            <w:pPr>
              <w:pStyle w:val="TableContents"/>
              <w:bidi w:val="0"/>
              <w:spacing w:before="0" w:after="0"/>
              <w:ind w:left="0" w:right="0" w:hanging="0"/>
              <w:jc w:val="left"/>
              <w:rPr/>
            </w:pPr>
            <w:r>
              <w:rPr/>
              <w:t> </w:t>
            </w:r>
          </w:p>
        </w:tc>
        <w:tc>
          <w:tcPr>
            <w:tcW w:w="1880" w:type="dxa"/>
            <w:gridSpan w:val="5"/>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June 30,</w:t>
            </w:r>
          </w:p>
        </w:tc>
        <w:tc>
          <w:tcPr>
            <w:tcW w:w="6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199" w:type="dxa"/>
            <w:gridSpan w:val="2"/>
            <w:tcBorders>
              <w:top w:val="single" w:sz="8" w:space="0" w:color="000000"/>
            </w:tcBorders>
            <w:tcMar>
              <w:top w:w="28" w:type="dxa"/>
            </w:tcMar>
            <w:vAlign w:val="bottom"/>
          </w:tcPr>
          <w:p>
            <w:pPr>
              <w:pStyle w:val="TableContents"/>
              <w:bidi w:val="0"/>
              <w:spacing w:before="0" w:after="0"/>
              <w:ind w:left="0" w:right="0" w:hanging="0"/>
              <w:jc w:val="center"/>
              <w:rPr>
                <w:rFonts w:ascii="Times New Roman" w:hAnsi="Times New Roman"/>
                <w:sz w:val="20"/>
              </w:rPr>
            </w:pPr>
            <w:r>
              <w:rPr>
                <w:rFonts w:ascii="Times New Roman" w:hAnsi="Times New Roman"/>
                <w:b/>
                <w:color w:val="000000"/>
                <w:sz w:val="20"/>
              </w:rPr>
              <w:t>% Change</w:t>
            </w:r>
            <w:r>
              <w:rPr>
                <w:rFonts w:ascii="Times New Roman" w:hAnsi="Times New Roman"/>
                <w:sz w:val="20"/>
              </w:rPr>
              <w:br/>
            </w:r>
            <w:r>
              <w:rPr>
                <w:rFonts w:ascii="Times New Roman" w:hAnsi="Times New Roman"/>
                <w:b/>
                <w:color w:val="000000"/>
                <w:sz w:val="20"/>
              </w:rPr>
              <w:t>Favorable/</w:t>
            </w:r>
          </w:p>
        </w:tc>
      </w:tr>
      <w:tr>
        <w:trPr/>
        <w:tc>
          <w:tcPr>
            <w:tcW w:w="2594" w:type="dxa"/>
            <w:tcBorders>
              <w:bottom w:val="single" w:sz="12" w:space="0" w:color="000000"/>
            </w:tcBorders>
            <w:tcMar>
              <w:bottom w:w="28" w:type="dxa"/>
            </w:tcMar>
            <w:vAlign w:val="bottom"/>
          </w:tcPr>
          <w:p>
            <w:pPr>
              <w:pStyle w:val="TableContents"/>
              <w:bidi w:val="0"/>
              <w:spacing w:before="0" w:after="0"/>
              <w:ind w:left="0" w:right="0" w:hanging="0"/>
              <w:jc w:val="left"/>
              <w:rPr>
                <w:rFonts w:ascii="Times New Roman" w:hAnsi="Times New Roman"/>
                <w:i/>
                <w:color w:val="000000"/>
                <w:sz w:val="20"/>
              </w:rPr>
            </w:pPr>
            <w:r>
              <w:rPr>
                <w:rFonts w:ascii="Times New Roman" w:hAnsi="Times New Roman"/>
                <w:i/>
                <w:color w:val="000000"/>
                <w:sz w:val="20"/>
              </w:rPr>
              <w:t>(Dollars in thousands)</w:t>
            </w:r>
          </w:p>
        </w:tc>
        <w:tc>
          <w:tcPr>
            <w:tcW w:w="60" w:type="dxa"/>
            <w:tcBorders/>
            <w:vAlign w:val="bottom"/>
          </w:tcPr>
          <w:p>
            <w:pPr>
              <w:pStyle w:val="TableContents"/>
              <w:bidi w:val="0"/>
              <w:spacing w:before="0" w:after="0"/>
              <w:ind w:left="0" w:right="0" w:hanging="0"/>
              <w:jc w:val="left"/>
              <w:rPr/>
            </w:pPr>
            <w:r>
              <w:rPr/>
              <w:t> </w:t>
            </w:r>
          </w:p>
        </w:tc>
        <w:tc>
          <w:tcPr>
            <w:tcW w:w="805"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805"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0"/>
              <w:ind w:left="0" w:right="0" w:hanging="0"/>
              <w:jc w:val="right"/>
              <w:rPr/>
            </w:pPr>
            <w:r>
              <w:rPr/>
              <w:t> </w:t>
            </w:r>
          </w:p>
        </w:tc>
        <w:tc>
          <w:tcPr>
            <w:tcW w:w="1182"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(Unfavorable)</w:t>
            </w:r>
          </w:p>
        </w:tc>
        <w:tc>
          <w:tcPr>
            <w:tcW w:w="60" w:type="dxa"/>
            <w:tcBorders/>
            <w:vAlign w:val="bottom"/>
          </w:tcPr>
          <w:p>
            <w:pPr>
              <w:pStyle w:val="TableContents"/>
              <w:bidi w:val="0"/>
              <w:spacing w:before="0" w:after="0"/>
              <w:ind w:left="0" w:right="0" w:hanging="0"/>
              <w:jc w:val="left"/>
              <w:rPr/>
            </w:pPr>
            <w:r>
              <w:rPr/>
              <w:t> </w:t>
            </w:r>
          </w:p>
        </w:tc>
        <w:tc>
          <w:tcPr>
            <w:tcW w:w="910"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910"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0"/>
              <w:ind w:left="0" w:right="0" w:hanging="0"/>
              <w:jc w:val="right"/>
              <w:rPr/>
            </w:pPr>
            <w:r>
              <w:rPr/>
              <w:t> </w:t>
            </w:r>
          </w:p>
        </w:tc>
        <w:tc>
          <w:tcPr>
            <w:tcW w:w="1199"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(Unfavorable)</w:t>
            </w:r>
          </w:p>
        </w:tc>
      </w:tr>
      <w:tr>
        <w:trPr/>
        <w:tc>
          <w:tcPr>
            <w:tcW w:w="2594"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Segment revenue</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68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68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right"/>
              <w:rPr/>
            </w:pPr>
            <w:r>
              <w:rPr/>
              <w:t> </w:t>
            </w:r>
          </w:p>
        </w:tc>
        <w:tc>
          <w:tcPr>
            <w:tcW w:w="1182" w:type="dxa"/>
            <w:gridSpan w:val="2"/>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60" w:type="dxa"/>
            <w:tcBorders/>
            <w:vAlign w:val="bottom"/>
          </w:tcPr>
          <w:p>
            <w:pPr>
              <w:pStyle w:val="TableContents"/>
              <w:bidi w:val="0"/>
              <w:spacing w:before="0" w:after="0"/>
              <w:ind w:left="0" w:right="0" w:hanging="0"/>
              <w:jc w:val="righ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78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78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785"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414"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2594" w:type="dxa"/>
            <w:tcBorders/>
            <w:shd w:fill="CCEEFF" w:val="clear"/>
            <w:vAlign w:val="bottom"/>
          </w:tcPr>
          <w:p>
            <w:pPr>
              <w:pStyle w:val="TableContents"/>
              <w:bidi w:val="0"/>
              <w:spacing w:before="0" w:after="0"/>
              <w:ind w:left="120" w:right="0" w:hanging="0"/>
              <w:jc w:val="left"/>
              <w:rPr>
                <w:rFonts w:ascii="Times New Roman" w:hAnsi="Times New Roman"/>
                <w:sz w:val="20"/>
                <w:u w:val="single"/>
              </w:rPr>
            </w:pPr>
            <w:r>
              <w:rPr>
                <w:rFonts w:ascii="Times New Roman" w:hAnsi="Times New Roman"/>
                <w:sz w:val="20"/>
                <w:u w:val="single"/>
              </w:rPr>
              <w:t>Cinema</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right"/>
              <w:rPr/>
            </w:pPr>
            <w:r>
              <w:rPr/>
              <w:t> </w:t>
            </w:r>
          </w:p>
        </w:tc>
        <w:tc>
          <w:tcPr>
            <w:tcW w:w="680" w:type="dxa"/>
            <w:tcBorders/>
            <w:shd w:fill="CCEEFF" w:val="cle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right"/>
              <w:rPr/>
            </w:pPr>
            <w:r>
              <w:rPr/>
              <w:t> </w:t>
            </w:r>
          </w:p>
        </w:tc>
        <w:tc>
          <w:tcPr>
            <w:tcW w:w="680" w:type="dxa"/>
            <w:tcBorders/>
            <w:shd w:fill="CCEEFF" w:val="cle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right"/>
              <w:rPr/>
            </w:pPr>
            <w:r>
              <w:rPr/>
              <w:t> </w:t>
            </w:r>
          </w:p>
        </w:tc>
        <w:tc>
          <w:tcPr>
            <w:tcW w:w="1182" w:type="dxa"/>
            <w:gridSpan w:val="2"/>
            <w:tcBorders/>
            <w:shd w:fill="CCEEFF" w:val="clear"/>
            <w:vAlign w:val="bottom"/>
          </w:tcPr>
          <w:p>
            <w:pPr>
              <w:pStyle w:val="TableContents"/>
              <w:bidi w:val="0"/>
              <w:spacing w:before="0" w:after="0"/>
              <w:ind w:left="0" w:right="0" w:hanging="0"/>
              <w:jc w:val="center"/>
              <w:rPr/>
            </w:pPr>
            <w:r>
              <w:rPr/>
              <w:t> </w:t>
            </w:r>
          </w:p>
        </w:tc>
        <w:tc>
          <w:tcPr>
            <w:tcW w:w="60" w:type="dxa"/>
            <w:tcBorders/>
            <w:shd w:fill="CCEEFF" w:val="clear"/>
            <w:vAlign w:val="bottom"/>
          </w:tcPr>
          <w:p>
            <w:pPr>
              <w:pStyle w:val="TableContents"/>
              <w:bidi w:val="0"/>
              <w:spacing w:before="0" w:after="0"/>
              <w:ind w:left="0" w:right="0" w:hanging="0"/>
              <w:jc w:val="righ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785" w:type="dxa"/>
            <w:tcBorders/>
            <w:shd w:fill="CCEEFF" w:val="clear"/>
            <w:vAlign w:val="bottom"/>
          </w:tcPr>
          <w:p>
            <w:pPr>
              <w:pStyle w:val="TableContents"/>
              <w:bidi w:val="0"/>
              <w:spacing w:before="0" w:after="0"/>
              <w:ind w:left="0" w:right="0" w:hanging="0"/>
              <w:jc w:val="right"/>
              <w:rPr/>
            </w:pPr>
            <w:r>
              <w:rPr/>
              <w:t> </w:t>
            </w:r>
          </w:p>
        </w:tc>
        <w:tc>
          <w:tcPr>
            <w:tcW w:w="414" w:type="dxa"/>
            <w:tcBorders/>
            <w:shd w:fill="CCEEFF" w:val="clear"/>
            <w:vAlign w:val="bottom"/>
          </w:tcPr>
          <w:p>
            <w:pPr>
              <w:pStyle w:val="TableContents"/>
              <w:bidi w:val="0"/>
              <w:spacing w:before="0" w:after="0"/>
              <w:ind w:left="0" w:right="0" w:hanging="0"/>
              <w:jc w:val="left"/>
              <w:rPr/>
            </w:pPr>
            <w:r>
              <w:rPr/>
              <w:t> </w:t>
            </w:r>
          </w:p>
        </w:tc>
      </w:tr>
      <w:tr>
        <w:trPr/>
        <w:tc>
          <w:tcPr>
            <w:tcW w:w="259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United States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29,478 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30,258  </w:t>
            </w:r>
          </w:p>
        </w:tc>
        <w:tc>
          <w:tcPr>
            <w:tcW w:w="60" w:type="dxa"/>
            <w:tcBorders/>
            <w:vAlign w:val="bottom"/>
          </w:tcPr>
          <w:p>
            <w:pPr>
              <w:pStyle w:val="TableContents"/>
              <w:bidi w:val="0"/>
              <w:spacing w:before="0" w:after="0"/>
              <w:ind w:left="0" w:right="0" w:hanging="0"/>
              <w:jc w:val="right"/>
              <w:rPr/>
            </w:pPr>
            <w:r>
              <w:rPr/>
              <w:t> </w:t>
            </w:r>
          </w:p>
        </w:tc>
        <w:tc>
          <w:tcPr>
            <w:tcW w:w="792"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 </w:t>
            </w:r>
          </w:p>
        </w:tc>
        <w:tc>
          <w:tcPr>
            <w:tcW w:w="3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48,941 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48,553  </w:t>
            </w:r>
          </w:p>
        </w:tc>
        <w:tc>
          <w:tcPr>
            <w:tcW w:w="60" w:type="dxa"/>
            <w:tcBorders/>
            <w:vAlign w:val="bottom"/>
          </w:tcPr>
          <w:p>
            <w:pPr>
              <w:pStyle w:val="TableContents"/>
              <w:bidi w:val="0"/>
              <w:spacing w:before="0" w:after="0"/>
              <w:ind w:left="0" w:right="0" w:hanging="0"/>
              <w:jc w:val="right"/>
              <w:rPr/>
            </w:pPr>
            <w:r>
              <w:rPr/>
              <w:t> </w:t>
            </w:r>
          </w:p>
        </w:tc>
        <w:tc>
          <w:tcPr>
            <w:tcW w:w="7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1  </w:t>
            </w:r>
          </w:p>
        </w:tc>
        <w:tc>
          <w:tcPr>
            <w:tcW w:w="41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94"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Australia</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29,981 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22,909  </w:t>
            </w:r>
          </w:p>
        </w:tc>
        <w:tc>
          <w:tcPr>
            <w:tcW w:w="60" w:type="dxa"/>
            <w:tcBorders/>
            <w:shd w:fill="CCEEFF" w:val="clear"/>
            <w:vAlign w:val="bottom"/>
          </w:tcPr>
          <w:p>
            <w:pPr>
              <w:pStyle w:val="TableContents"/>
              <w:bidi w:val="0"/>
              <w:spacing w:before="0" w:after="0"/>
              <w:ind w:left="0" w:right="0" w:hanging="0"/>
              <w:jc w:val="right"/>
              <w:rPr/>
            </w:pPr>
            <w:r>
              <w:rPr/>
              <w:t> </w:t>
            </w:r>
          </w:p>
        </w:tc>
        <w:tc>
          <w:tcPr>
            <w:tcW w:w="792"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31  </w:t>
            </w:r>
          </w:p>
        </w:tc>
        <w:tc>
          <w:tcPr>
            <w:tcW w:w="39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7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49,687 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7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38,591  </w:t>
            </w:r>
          </w:p>
        </w:tc>
        <w:tc>
          <w:tcPr>
            <w:tcW w:w="60" w:type="dxa"/>
            <w:tcBorders/>
            <w:shd w:fill="CCEEFF" w:val="clear"/>
            <w:vAlign w:val="bottom"/>
          </w:tcPr>
          <w:p>
            <w:pPr>
              <w:pStyle w:val="TableContents"/>
              <w:bidi w:val="0"/>
              <w:spacing w:before="0" w:after="0"/>
              <w:ind w:left="0" w:right="0" w:hanging="0"/>
              <w:jc w:val="right"/>
              <w:rPr/>
            </w:pPr>
            <w:r>
              <w:rPr/>
              <w:t> </w:t>
            </w:r>
          </w:p>
        </w:tc>
        <w:tc>
          <w:tcPr>
            <w:tcW w:w="7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29  </w:t>
            </w:r>
          </w:p>
        </w:tc>
        <w:tc>
          <w:tcPr>
            <w:tcW w:w="41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9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New Zealand</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3,531 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3,615  </w:t>
            </w:r>
          </w:p>
        </w:tc>
        <w:tc>
          <w:tcPr>
            <w:tcW w:w="60" w:type="dxa"/>
            <w:tcBorders/>
            <w:vAlign w:val="bottom"/>
          </w:tcPr>
          <w:p>
            <w:pPr>
              <w:pStyle w:val="TableContents"/>
              <w:bidi w:val="0"/>
              <w:spacing w:before="0" w:after="0"/>
              <w:ind w:left="0" w:right="0" w:hanging="0"/>
              <w:jc w:val="right"/>
              <w:rPr/>
            </w:pPr>
            <w:r>
              <w:rPr/>
              <w:t> </w:t>
            </w:r>
          </w:p>
        </w:tc>
        <w:tc>
          <w:tcPr>
            <w:tcW w:w="79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 </w:t>
            </w:r>
          </w:p>
        </w:tc>
        <w:tc>
          <w:tcPr>
            <w:tcW w:w="390"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78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5,823 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78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6,042  </w:t>
            </w:r>
          </w:p>
        </w:tc>
        <w:tc>
          <w:tcPr>
            <w:tcW w:w="60" w:type="dxa"/>
            <w:tcBorders/>
            <w:vAlign w:val="bottom"/>
          </w:tcPr>
          <w:p>
            <w:pPr>
              <w:pStyle w:val="TableContents"/>
              <w:bidi w:val="0"/>
              <w:spacing w:before="0" w:after="0"/>
              <w:ind w:left="0" w:right="0" w:hanging="0"/>
              <w:jc w:val="right"/>
              <w:rPr/>
            </w:pPr>
            <w:r>
              <w:rPr/>
              <w:t> </w:t>
            </w:r>
          </w:p>
        </w:tc>
        <w:tc>
          <w:tcPr>
            <w:tcW w:w="78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 </w:t>
            </w:r>
          </w:p>
        </w:tc>
        <w:tc>
          <w:tcPr>
            <w:tcW w:w="414"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94"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62,990 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56,782  </w:t>
            </w:r>
          </w:p>
        </w:tc>
        <w:tc>
          <w:tcPr>
            <w:tcW w:w="60" w:type="dxa"/>
            <w:tcBorders/>
            <w:shd w:fill="CCEEFF" w:val="clear"/>
            <w:vAlign w:val="bottom"/>
          </w:tcPr>
          <w:p>
            <w:pPr>
              <w:pStyle w:val="TableContents"/>
              <w:bidi w:val="0"/>
              <w:spacing w:before="0" w:after="0"/>
              <w:ind w:left="0" w:right="0" w:hanging="0"/>
              <w:jc w:val="right"/>
              <w:rPr/>
            </w:pPr>
            <w:r>
              <w:rPr/>
              <w:t> </w:t>
            </w:r>
          </w:p>
        </w:tc>
        <w:tc>
          <w:tcPr>
            <w:tcW w:w="792"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11  </w:t>
            </w:r>
          </w:p>
        </w:tc>
        <w:tc>
          <w:tcPr>
            <w:tcW w:w="39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104,451 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93,186  </w:t>
            </w:r>
          </w:p>
        </w:tc>
        <w:tc>
          <w:tcPr>
            <w:tcW w:w="60" w:type="dxa"/>
            <w:tcBorders/>
            <w:shd w:fill="CCEEFF" w:val="clear"/>
            <w:vAlign w:val="bottom"/>
          </w:tcPr>
          <w:p>
            <w:pPr>
              <w:pStyle w:val="TableContents"/>
              <w:bidi w:val="0"/>
              <w:spacing w:before="0" w:after="0"/>
              <w:ind w:left="0" w:right="0" w:hanging="0"/>
              <w:jc w:val="right"/>
              <w:rPr/>
            </w:pPr>
            <w:r>
              <w:rPr/>
              <w:t> </w:t>
            </w:r>
          </w:p>
        </w:tc>
        <w:tc>
          <w:tcPr>
            <w:tcW w:w="78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12  </w:t>
            </w:r>
          </w:p>
        </w:tc>
        <w:tc>
          <w:tcPr>
            <w:tcW w:w="414"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r>
      <w:tr>
        <w:trPr/>
        <w:tc>
          <w:tcPr>
            <w:tcW w:w="2594" w:type="dxa"/>
            <w:tcBorders/>
            <w:vAlign w:val="bottom"/>
          </w:tcPr>
          <w:p>
            <w:pPr>
              <w:pStyle w:val="TableContents"/>
              <w:bidi w:val="0"/>
              <w:spacing w:before="0" w:after="0"/>
              <w:ind w:left="120" w:right="0" w:hanging="0"/>
              <w:jc w:val="left"/>
              <w:rPr>
                <w:rFonts w:ascii="Times New Roman" w:hAnsi="Times New Roman"/>
                <w:sz w:val="20"/>
                <w:u w:val="single"/>
              </w:rPr>
            </w:pPr>
            <w:r>
              <w:rPr>
                <w:rFonts w:ascii="Times New Roman" w:hAnsi="Times New Roman"/>
                <w:sz w:val="20"/>
                <w:u w:val="single"/>
              </w:rPr>
              <w:t>Real estate</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right"/>
              <w:rPr/>
            </w:pPr>
            <w:r>
              <w:rPr/>
              <w:t> </w:t>
            </w:r>
          </w:p>
        </w:tc>
        <w:tc>
          <w:tcPr>
            <w:tcW w:w="792"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39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785"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785"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right"/>
              <w:rPr/>
            </w:pPr>
            <w:r>
              <w:rPr/>
              <w:t> </w:t>
            </w:r>
          </w:p>
        </w:tc>
        <w:tc>
          <w:tcPr>
            <w:tcW w:w="785" w:type="dxa"/>
            <w:tcBorders>
              <w:top w:val="single" w:sz="8" w:space="0" w:color="000000"/>
            </w:tcBorders>
            <w:tcMar>
              <w:top w:w="28" w:type="dxa"/>
            </w:tcMar>
            <w:vAlign w:val="bottom"/>
          </w:tcPr>
          <w:p>
            <w:pPr>
              <w:pStyle w:val="TableContents"/>
              <w:bidi w:val="0"/>
              <w:spacing w:before="0" w:after="0"/>
              <w:ind w:left="0" w:right="0" w:hanging="0"/>
              <w:jc w:val="right"/>
              <w:rPr/>
            </w:pPr>
            <w:r>
              <w:rPr/>
              <w:t> </w:t>
            </w:r>
          </w:p>
        </w:tc>
        <w:tc>
          <w:tcPr>
            <w:tcW w:w="414"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2594"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United States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1,879 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1,700  </w:t>
            </w:r>
          </w:p>
        </w:tc>
        <w:tc>
          <w:tcPr>
            <w:tcW w:w="60" w:type="dxa"/>
            <w:tcBorders/>
            <w:shd w:fill="CCEEFF" w:val="clear"/>
            <w:vAlign w:val="bottom"/>
          </w:tcPr>
          <w:p>
            <w:pPr>
              <w:pStyle w:val="TableContents"/>
              <w:bidi w:val="0"/>
              <w:spacing w:before="0" w:after="0"/>
              <w:ind w:left="0" w:right="0" w:hanging="0"/>
              <w:jc w:val="right"/>
              <w:rPr/>
            </w:pPr>
            <w:r>
              <w:rPr/>
              <w:t> </w:t>
            </w:r>
          </w:p>
        </w:tc>
        <w:tc>
          <w:tcPr>
            <w:tcW w:w="792"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11  </w:t>
            </w:r>
          </w:p>
        </w:tc>
        <w:tc>
          <w:tcPr>
            <w:tcW w:w="39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3,679 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3,287  </w:t>
            </w:r>
          </w:p>
        </w:tc>
        <w:tc>
          <w:tcPr>
            <w:tcW w:w="60" w:type="dxa"/>
            <w:tcBorders/>
            <w:shd w:fill="CCEEFF" w:val="clear"/>
            <w:vAlign w:val="bottom"/>
          </w:tcPr>
          <w:p>
            <w:pPr>
              <w:pStyle w:val="TableContents"/>
              <w:bidi w:val="0"/>
              <w:spacing w:before="0" w:after="0"/>
              <w:ind w:left="0" w:right="0" w:hanging="0"/>
              <w:jc w:val="right"/>
              <w:rPr/>
            </w:pPr>
            <w:r>
              <w:rPr/>
              <w:t> </w:t>
            </w:r>
          </w:p>
        </w:tc>
        <w:tc>
          <w:tcPr>
            <w:tcW w:w="7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12  </w:t>
            </w:r>
          </w:p>
        </w:tc>
        <w:tc>
          <w:tcPr>
            <w:tcW w:w="41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9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Australia</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2,762 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2,741  </w:t>
            </w:r>
          </w:p>
        </w:tc>
        <w:tc>
          <w:tcPr>
            <w:tcW w:w="60" w:type="dxa"/>
            <w:tcBorders/>
            <w:vAlign w:val="bottom"/>
          </w:tcPr>
          <w:p>
            <w:pPr>
              <w:pStyle w:val="TableContents"/>
              <w:bidi w:val="0"/>
              <w:spacing w:before="0" w:after="0"/>
              <w:ind w:left="0" w:right="0" w:hanging="0"/>
              <w:jc w:val="right"/>
              <w:rPr/>
            </w:pPr>
            <w:r>
              <w:rPr/>
              <w:t> </w:t>
            </w:r>
          </w:p>
        </w:tc>
        <w:tc>
          <w:tcPr>
            <w:tcW w:w="792"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1  </w:t>
            </w:r>
          </w:p>
        </w:tc>
        <w:tc>
          <w:tcPr>
            <w:tcW w:w="3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7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5,343 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7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5,756  </w:t>
            </w:r>
          </w:p>
        </w:tc>
        <w:tc>
          <w:tcPr>
            <w:tcW w:w="60" w:type="dxa"/>
            <w:tcBorders/>
            <w:vAlign w:val="bottom"/>
          </w:tcPr>
          <w:p>
            <w:pPr>
              <w:pStyle w:val="TableContents"/>
              <w:bidi w:val="0"/>
              <w:spacing w:before="0" w:after="0"/>
              <w:ind w:left="0" w:right="0" w:hanging="0"/>
              <w:jc w:val="right"/>
              <w:rPr/>
            </w:pPr>
            <w:r>
              <w:rPr/>
              <w:t> </w:t>
            </w:r>
          </w:p>
        </w:tc>
        <w:tc>
          <w:tcPr>
            <w:tcW w:w="7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(7) </w:t>
            </w:r>
          </w:p>
        </w:tc>
        <w:tc>
          <w:tcPr>
            <w:tcW w:w="41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94"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New Zealand</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212 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212  </w:t>
            </w:r>
          </w:p>
        </w:tc>
        <w:tc>
          <w:tcPr>
            <w:tcW w:w="60" w:type="dxa"/>
            <w:tcBorders/>
            <w:shd w:fill="CCEEFF" w:val="clear"/>
            <w:vAlign w:val="bottom"/>
          </w:tcPr>
          <w:p>
            <w:pPr>
              <w:pStyle w:val="TableContents"/>
              <w:bidi w:val="0"/>
              <w:spacing w:before="0" w:after="0"/>
              <w:ind w:left="0" w:right="0" w:hanging="0"/>
              <w:jc w:val="right"/>
              <w:rPr/>
            </w:pPr>
            <w:r>
              <w:rPr/>
              <w:t> </w:t>
            </w:r>
          </w:p>
        </w:tc>
        <w:tc>
          <w:tcPr>
            <w:tcW w:w="792" w:type="dxa"/>
            <w:tcBorders>
              <w:bottom w:val="single" w:sz="8" w:space="0" w:color="000000"/>
            </w:tcBorders>
            <w:shd w:fill="CCEEFF" w:val="clear"/>
            <w:tcMar>
              <w:bottom w:w="28" w:type="dxa"/>
            </w:tcMar>
            <w:vAlign w:val="bottom"/>
          </w:tcPr>
          <w:p>
            <w:pPr>
              <w:pStyle w:val="TableContents"/>
              <w:bidi w:val="0"/>
              <w:spacing w:before="0" w:after="0"/>
              <w:ind w:left="0" w:right="65" w:hanging="0"/>
              <w:jc w:val="right"/>
              <w:rPr/>
            </w:pPr>
            <w:r>
              <w:rPr/>
              <w:t> —</w:t>
            </w:r>
          </w:p>
        </w:tc>
        <w:tc>
          <w:tcPr>
            <w:tcW w:w="390"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78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427 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78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455  </w:t>
            </w:r>
          </w:p>
        </w:tc>
        <w:tc>
          <w:tcPr>
            <w:tcW w:w="60" w:type="dxa"/>
            <w:tcBorders/>
            <w:shd w:fill="CCEEFF" w:val="clear"/>
            <w:vAlign w:val="bottom"/>
          </w:tcPr>
          <w:p>
            <w:pPr>
              <w:pStyle w:val="TableContents"/>
              <w:bidi w:val="0"/>
              <w:spacing w:before="0" w:after="0"/>
              <w:ind w:left="0" w:right="0" w:hanging="0"/>
              <w:jc w:val="right"/>
              <w:rPr/>
            </w:pPr>
            <w:r>
              <w:rPr/>
              <w:t> </w:t>
            </w:r>
          </w:p>
        </w:tc>
        <w:tc>
          <w:tcPr>
            <w:tcW w:w="78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 </w:t>
            </w:r>
          </w:p>
        </w:tc>
        <w:tc>
          <w:tcPr>
            <w:tcW w:w="414"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94"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4,853 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4,653  </w:t>
            </w:r>
          </w:p>
        </w:tc>
        <w:tc>
          <w:tcPr>
            <w:tcW w:w="60" w:type="dxa"/>
            <w:tcBorders/>
            <w:vAlign w:val="bottom"/>
          </w:tcPr>
          <w:p>
            <w:pPr>
              <w:pStyle w:val="TableContents"/>
              <w:bidi w:val="0"/>
              <w:spacing w:before="0" w:after="0"/>
              <w:ind w:left="0" w:right="0" w:hanging="0"/>
              <w:jc w:val="right"/>
              <w:rPr/>
            </w:pPr>
            <w:r>
              <w:rPr/>
              <w:t> </w:t>
            </w:r>
          </w:p>
        </w:tc>
        <w:tc>
          <w:tcPr>
            <w:tcW w:w="792"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4  </w:t>
            </w:r>
          </w:p>
        </w:tc>
        <w:tc>
          <w:tcPr>
            <w:tcW w:w="390"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5"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9,449 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5"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9,498  </w:t>
            </w:r>
          </w:p>
        </w:tc>
        <w:tc>
          <w:tcPr>
            <w:tcW w:w="60" w:type="dxa"/>
            <w:tcBorders/>
            <w:vAlign w:val="bottom"/>
          </w:tcPr>
          <w:p>
            <w:pPr>
              <w:pStyle w:val="TableContents"/>
              <w:bidi w:val="0"/>
              <w:spacing w:before="0" w:after="0"/>
              <w:ind w:left="0" w:right="0" w:hanging="0"/>
              <w:jc w:val="right"/>
              <w:rPr/>
            </w:pPr>
            <w:r>
              <w:rPr/>
              <w:t> </w:t>
            </w:r>
          </w:p>
        </w:tc>
        <w:tc>
          <w:tcPr>
            <w:tcW w:w="785"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 </w:t>
            </w:r>
          </w:p>
        </w:tc>
        <w:tc>
          <w:tcPr>
            <w:tcW w:w="414"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594" w:type="dxa"/>
            <w:tcBorders/>
            <w:shd w:fill="CCEEFF" w:val="clear"/>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Inter-segment elimination</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(1,057) </w:t>
            </w:r>
          </w:p>
        </w:tc>
        <w:tc>
          <w:tcPr>
            <w:tcW w:w="60" w:type="dxa"/>
            <w:tcBorders/>
            <w:shd w:fill="CCEEFF" w:val="clear"/>
            <w:vAlign w:val="bottom"/>
          </w:tcPr>
          <w:p>
            <w:pPr>
              <w:pStyle w:val="TableContents"/>
              <w:bidi w:val="0"/>
              <w:spacing w:before="0" w:after="0"/>
              <w:ind w:left="0" w:right="0" w:hanging="0"/>
              <w:jc w:val="right"/>
              <w:rPr/>
            </w:pPr>
            <w:r>
              <w:rPr/>
              <w:t> </w:t>
            </w:r>
          </w:p>
        </w:tc>
        <w:tc>
          <w:tcPr>
            <w:tcW w:w="792"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10  </w:t>
            </w:r>
          </w:p>
        </w:tc>
        <w:tc>
          <w:tcPr>
            <w:tcW w:w="390"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78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(1,880)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78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(2,137) </w:t>
            </w:r>
          </w:p>
        </w:tc>
        <w:tc>
          <w:tcPr>
            <w:tcW w:w="60" w:type="dxa"/>
            <w:tcBorders/>
            <w:shd w:fill="CCEEFF" w:val="clear"/>
            <w:vAlign w:val="bottom"/>
          </w:tcPr>
          <w:p>
            <w:pPr>
              <w:pStyle w:val="TableContents"/>
              <w:bidi w:val="0"/>
              <w:spacing w:before="0" w:after="0"/>
              <w:ind w:left="0" w:right="0" w:hanging="0"/>
              <w:jc w:val="right"/>
              <w:rPr/>
            </w:pPr>
            <w:r>
              <w:rPr/>
              <w:t> </w:t>
            </w:r>
          </w:p>
        </w:tc>
        <w:tc>
          <w:tcPr>
            <w:tcW w:w="78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12  </w:t>
            </w:r>
          </w:p>
        </w:tc>
        <w:tc>
          <w:tcPr>
            <w:tcW w:w="414"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94"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segment revenue</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66,896 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60,378  </w:t>
            </w:r>
          </w:p>
        </w:tc>
        <w:tc>
          <w:tcPr>
            <w:tcW w:w="60" w:type="dxa"/>
            <w:tcBorders/>
            <w:vAlign w:val="bottom"/>
          </w:tcPr>
          <w:p>
            <w:pPr>
              <w:pStyle w:val="TableContents"/>
              <w:bidi w:val="0"/>
              <w:spacing w:before="0" w:after="0"/>
              <w:ind w:left="0" w:right="0" w:hanging="0"/>
              <w:jc w:val="right"/>
              <w:rPr/>
            </w:pPr>
            <w:r>
              <w:rPr/>
              <w:t> </w:t>
            </w:r>
          </w:p>
        </w:tc>
        <w:tc>
          <w:tcPr>
            <w:tcW w:w="792"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11  </w:t>
            </w:r>
          </w:p>
        </w:tc>
        <w:tc>
          <w:tcPr>
            <w:tcW w:w="390"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112,020 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100,547  </w:t>
            </w:r>
          </w:p>
        </w:tc>
        <w:tc>
          <w:tcPr>
            <w:tcW w:w="60" w:type="dxa"/>
            <w:tcBorders/>
            <w:vAlign w:val="bottom"/>
          </w:tcPr>
          <w:p>
            <w:pPr>
              <w:pStyle w:val="TableContents"/>
              <w:bidi w:val="0"/>
              <w:spacing w:before="0" w:after="0"/>
              <w:ind w:left="0" w:right="0" w:hanging="0"/>
              <w:jc w:val="right"/>
              <w:rPr/>
            </w:pPr>
            <w:r>
              <w:rPr/>
              <w:t> </w:t>
            </w:r>
          </w:p>
        </w:tc>
        <w:tc>
          <w:tcPr>
            <w:tcW w:w="785"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11  </w:t>
            </w:r>
          </w:p>
        </w:tc>
        <w:tc>
          <w:tcPr>
            <w:tcW w:w="414"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594"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Segment operating income (loss)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right"/>
              <w:rPr/>
            </w:pPr>
            <w:r>
              <w:rPr/>
              <w:t> </w:t>
            </w:r>
          </w:p>
        </w:tc>
        <w:tc>
          <w:tcPr>
            <w:tcW w:w="792"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39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785"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785"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right"/>
              <w:rPr/>
            </w:pPr>
            <w:r>
              <w:rPr/>
              <w:t> </w:t>
            </w:r>
          </w:p>
        </w:tc>
        <w:tc>
          <w:tcPr>
            <w:tcW w:w="785"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414"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r>
      <w:tr>
        <w:trPr/>
        <w:tc>
          <w:tcPr>
            <w:tcW w:w="2594" w:type="dxa"/>
            <w:tcBorders/>
            <w:vAlign w:val="bottom"/>
          </w:tcPr>
          <w:p>
            <w:pPr>
              <w:pStyle w:val="TableContents"/>
              <w:bidi w:val="0"/>
              <w:spacing w:before="0" w:after="0"/>
              <w:ind w:left="120" w:right="0" w:hanging="0"/>
              <w:jc w:val="left"/>
              <w:rPr>
                <w:rFonts w:ascii="Times New Roman" w:hAnsi="Times New Roman"/>
                <w:sz w:val="20"/>
                <w:u w:val="single"/>
              </w:rPr>
            </w:pPr>
            <w:r>
              <w:rPr>
                <w:rFonts w:ascii="Times New Roman" w:hAnsi="Times New Roman"/>
                <w:sz w:val="20"/>
                <w:u w:val="single"/>
              </w:rPr>
              <w:t>Cinema</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right"/>
              <w:rPr/>
            </w:pPr>
            <w:r>
              <w:rPr/>
              <w:t> </w:t>
            </w:r>
          </w:p>
        </w:tc>
        <w:tc>
          <w:tcPr>
            <w:tcW w:w="792" w:type="dxa"/>
            <w:tcBorders/>
            <w:vAlign w:val="bottom"/>
          </w:tcPr>
          <w:p>
            <w:pPr>
              <w:pStyle w:val="TableContents"/>
              <w:bidi w:val="0"/>
              <w:spacing w:before="0" w:after="0"/>
              <w:ind w:left="0" w:right="0" w:hanging="0"/>
              <w:jc w:val="right"/>
              <w:rPr/>
            </w:pPr>
            <w:r>
              <w:rPr/>
              <w:t> </w:t>
            </w:r>
          </w:p>
        </w:tc>
        <w:tc>
          <w:tcPr>
            <w:tcW w:w="39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785" w:type="dxa"/>
            <w:tcBorders/>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right"/>
              <w:rPr/>
            </w:pPr>
            <w:r>
              <w:rPr/>
              <w:t> </w:t>
            </w:r>
          </w:p>
        </w:tc>
        <w:tc>
          <w:tcPr>
            <w:tcW w:w="785" w:type="dxa"/>
            <w:tcBorders/>
            <w:vAlign w:val="bottom"/>
          </w:tcPr>
          <w:p>
            <w:pPr>
              <w:pStyle w:val="TableContents"/>
              <w:bidi w:val="0"/>
              <w:spacing w:before="0" w:after="0"/>
              <w:ind w:left="0" w:right="0" w:hanging="0"/>
              <w:jc w:val="right"/>
              <w:rPr/>
            </w:pPr>
            <w:r>
              <w:rPr/>
              <w:t> </w:t>
            </w:r>
          </w:p>
        </w:tc>
        <w:tc>
          <w:tcPr>
            <w:tcW w:w="414" w:type="dxa"/>
            <w:tcBorders/>
            <w:vAlign w:val="bottom"/>
          </w:tcPr>
          <w:p>
            <w:pPr>
              <w:pStyle w:val="TableContents"/>
              <w:bidi w:val="0"/>
              <w:spacing w:before="0" w:after="0"/>
              <w:ind w:left="0" w:right="0" w:hanging="0"/>
              <w:jc w:val="left"/>
              <w:rPr/>
            </w:pPr>
            <w:r>
              <w:rPr/>
              <w:t> </w:t>
            </w:r>
          </w:p>
        </w:tc>
      </w:tr>
      <w:tr>
        <w:trPr/>
        <w:tc>
          <w:tcPr>
            <w:tcW w:w="2594"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United States</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3,205 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2,292  </w:t>
            </w:r>
          </w:p>
        </w:tc>
        <w:tc>
          <w:tcPr>
            <w:tcW w:w="60" w:type="dxa"/>
            <w:tcBorders/>
            <w:shd w:fill="CCEEFF" w:val="clear"/>
            <w:vAlign w:val="bottom"/>
          </w:tcPr>
          <w:p>
            <w:pPr>
              <w:pStyle w:val="TableContents"/>
              <w:bidi w:val="0"/>
              <w:spacing w:before="0" w:after="0"/>
              <w:ind w:left="0" w:right="0" w:hanging="0"/>
              <w:jc w:val="right"/>
              <w:rPr/>
            </w:pPr>
            <w:r>
              <w:rPr/>
              <w:t> </w:t>
            </w:r>
          </w:p>
        </w:tc>
        <w:tc>
          <w:tcPr>
            <w:tcW w:w="792"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40  </w:t>
            </w:r>
          </w:p>
        </w:tc>
        <w:tc>
          <w:tcPr>
            <w:tcW w:w="39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1,649 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(855) </w:t>
            </w:r>
          </w:p>
        </w:tc>
        <w:tc>
          <w:tcPr>
            <w:tcW w:w="60" w:type="dxa"/>
            <w:tcBorders/>
            <w:shd w:fill="CCEEFF" w:val="clear"/>
            <w:vAlign w:val="bottom"/>
          </w:tcPr>
          <w:p>
            <w:pPr>
              <w:pStyle w:val="TableContents"/>
              <w:bidi w:val="0"/>
              <w:spacing w:before="0" w:after="0"/>
              <w:ind w:left="0" w:right="0" w:hanging="0"/>
              <w:jc w:val="right"/>
              <w:rPr/>
            </w:pPr>
            <w:r>
              <w:rPr/>
              <w:t> </w:t>
            </w:r>
          </w:p>
        </w:tc>
        <w:tc>
          <w:tcPr>
            <w:tcW w:w="785"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&gt;100</w:t>
            </w:r>
          </w:p>
        </w:tc>
        <w:tc>
          <w:tcPr>
            <w:tcW w:w="41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9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Australia</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5,566 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2,920  </w:t>
            </w:r>
          </w:p>
        </w:tc>
        <w:tc>
          <w:tcPr>
            <w:tcW w:w="60" w:type="dxa"/>
            <w:tcBorders/>
            <w:vAlign w:val="bottom"/>
          </w:tcPr>
          <w:p>
            <w:pPr>
              <w:pStyle w:val="TableContents"/>
              <w:bidi w:val="0"/>
              <w:spacing w:before="0" w:after="0"/>
              <w:ind w:left="0" w:right="0" w:hanging="0"/>
              <w:jc w:val="right"/>
              <w:rPr/>
            </w:pPr>
            <w:r>
              <w:rPr/>
              <w:t> </w:t>
            </w:r>
          </w:p>
        </w:tc>
        <w:tc>
          <w:tcPr>
            <w:tcW w:w="792"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91  </w:t>
            </w:r>
          </w:p>
        </w:tc>
        <w:tc>
          <w:tcPr>
            <w:tcW w:w="3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7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5,993 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7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1,944  </w:t>
            </w:r>
          </w:p>
        </w:tc>
        <w:tc>
          <w:tcPr>
            <w:tcW w:w="60" w:type="dxa"/>
            <w:tcBorders/>
            <w:vAlign w:val="bottom"/>
          </w:tcPr>
          <w:p>
            <w:pPr>
              <w:pStyle w:val="TableContents"/>
              <w:bidi w:val="0"/>
              <w:spacing w:before="0" w:after="0"/>
              <w:ind w:left="0" w:right="0" w:hanging="0"/>
              <w:jc w:val="right"/>
              <w:rPr/>
            </w:pPr>
            <w:r>
              <w:rPr/>
              <w:t> </w:t>
            </w:r>
          </w:p>
        </w:tc>
        <w:tc>
          <w:tcPr>
            <w:tcW w:w="78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&gt;100</w:t>
            </w:r>
          </w:p>
        </w:tc>
        <w:tc>
          <w:tcPr>
            <w:tcW w:w="41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94"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New Zealand</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387 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241  </w:t>
            </w:r>
          </w:p>
        </w:tc>
        <w:tc>
          <w:tcPr>
            <w:tcW w:w="60" w:type="dxa"/>
            <w:tcBorders/>
            <w:shd w:fill="CCEEFF" w:val="clear"/>
            <w:vAlign w:val="bottom"/>
          </w:tcPr>
          <w:p>
            <w:pPr>
              <w:pStyle w:val="TableContents"/>
              <w:bidi w:val="0"/>
              <w:spacing w:before="0" w:after="0"/>
              <w:ind w:left="0" w:right="0" w:hanging="0"/>
              <w:jc w:val="right"/>
              <w:rPr/>
            </w:pPr>
            <w:r>
              <w:rPr/>
              <w:t> </w:t>
            </w:r>
          </w:p>
        </w:tc>
        <w:tc>
          <w:tcPr>
            <w:tcW w:w="792"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61  </w:t>
            </w:r>
          </w:p>
        </w:tc>
        <w:tc>
          <w:tcPr>
            <w:tcW w:w="390"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78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175 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78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(110) </w:t>
            </w:r>
          </w:p>
        </w:tc>
        <w:tc>
          <w:tcPr>
            <w:tcW w:w="60" w:type="dxa"/>
            <w:tcBorders/>
            <w:shd w:fill="CCEEFF" w:val="clear"/>
            <w:vAlign w:val="bottom"/>
          </w:tcPr>
          <w:p>
            <w:pPr>
              <w:pStyle w:val="TableContents"/>
              <w:bidi w:val="0"/>
              <w:spacing w:before="0" w:after="0"/>
              <w:ind w:left="0" w:right="0" w:hanging="0"/>
              <w:jc w:val="right"/>
              <w:rPr/>
            </w:pPr>
            <w:r>
              <w:rPr/>
              <w:t> </w:t>
            </w:r>
          </w:p>
        </w:tc>
        <w:tc>
          <w:tcPr>
            <w:tcW w:w="785" w:type="dxa"/>
            <w:tcBorders>
              <w:bottom w:val="single" w:sz="8" w:space="0" w:color="000000"/>
            </w:tcBorders>
            <w:shd w:fill="CCEEFF" w:val="clear"/>
            <w:tcMar>
              <w:bottom w:w="28" w:type="dxa"/>
            </w:tcM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&gt;100</w:t>
            </w:r>
          </w:p>
        </w:tc>
        <w:tc>
          <w:tcPr>
            <w:tcW w:w="414"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94"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9,158 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5,453  </w:t>
            </w:r>
          </w:p>
        </w:tc>
        <w:tc>
          <w:tcPr>
            <w:tcW w:w="60" w:type="dxa"/>
            <w:tcBorders/>
            <w:vAlign w:val="bottom"/>
          </w:tcPr>
          <w:p>
            <w:pPr>
              <w:pStyle w:val="TableContents"/>
              <w:bidi w:val="0"/>
              <w:spacing w:before="0" w:after="0"/>
              <w:ind w:left="0" w:right="0" w:hanging="0"/>
              <w:jc w:val="right"/>
              <w:rPr/>
            </w:pPr>
            <w:r>
              <w:rPr/>
              <w:t> </w:t>
            </w:r>
          </w:p>
        </w:tc>
        <w:tc>
          <w:tcPr>
            <w:tcW w:w="792"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68  </w:t>
            </w:r>
          </w:p>
        </w:tc>
        <w:tc>
          <w:tcPr>
            <w:tcW w:w="390"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7,817 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979  </w:t>
            </w:r>
          </w:p>
        </w:tc>
        <w:tc>
          <w:tcPr>
            <w:tcW w:w="60" w:type="dxa"/>
            <w:tcBorders/>
            <w:vAlign w:val="bottom"/>
          </w:tcPr>
          <w:p>
            <w:pPr>
              <w:pStyle w:val="TableContents"/>
              <w:bidi w:val="0"/>
              <w:spacing w:before="0" w:after="0"/>
              <w:ind w:left="0" w:right="0" w:hanging="0"/>
              <w:jc w:val="right"/>
              <w:rPr/>
            </w:pPr>
            <w:r>
              <w:rPr/>
              <w:t> </w:t>
            </w:r>
          </w:p>
        </w:tc>
        <w:tc>
          <w:tcPr>
            <w:tcW w:w="785"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&gt;100</w:t>
            </w:r>
          </w:p>
        </w:tc>
        <w:tc>
          <w:tcPr>
            <w:tcW w:w="414" w:type="dxa"/>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594" w:type="dxa"/>
            <w:tcBorders/>
            <w:shd w:fill="CCEEFF" w:val="clear"/>
            <w:vAlign w:val="bottom"/>
          </w:tcPr>
          <w:p>
            <w:pPr>
              <w:pStyle w:val="TableContents"/>
              <w:bidi w:val="0"/>
              <w:spacing w:before="0" w:after="0"/>
              <w:ind w:left="120" w:right="0" w:hanging="0"/>
              <w:jc w:val="left"/>
              <w:rPr>
                <w:rFonts w:ascii="Times New Roman" w:hAnsi="Times New Roman"/>
                <w:sz w:val="20"/>
                <w:u w:val="single"/>
              </w:rPr>
            </w:pPr>
            <w:r>
              <w:rPr>
                <w:rFonts w:ascii="Times New Roman" w:hAnsi="Times New Roman"/>
                <w:sz w:val="20"/>
                <w:u w:val="single"/>
              </w:rPr>
              <w:t>Real estate</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80"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right"/>
              <w:rPr/>
            </w:pPr>
            <w:r>
              <w:rPr/>
              <w:t> </w:t>
            </w:r>
          </w:p>
        </w:tc>
        <w:tc>
          <w:tcPr>
            <w:tcW w:w="792"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390"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785"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c>
          <w:tcPr>
            <w:tcW w:w="785"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right"/>
              <w:rPr/>
            </w:pPr>
            <w:r>
              <w:rPr/>
              <w:t> </w:t>
            </w:r>
          </w:p>
        </w:tc>
        <w:tc>
          <w:tcPr>
            <w:tcW w:w="785" w:type="dxa"/>
            <w:tcBorders>
              <w:top w:val="single" w:sz="8" w:space="0" w:color="000000"/>
            </w:tcBorders>
            <w:shd w:fill="CCEEFF" w:val="clear"/>
            <w:tcMar>
              <w:top w:w="28" w:type="dxa"/>
            </w:tcMar>
            <w:vAlign w:val="bottom"/>
          </w:tcPr>
          <w:p>
            <w:pPr>
              <w:pStyle w:val="TableContents"/>
              <w:bidi w:val="0"/>
              <w:spacing w:before="0" w:after="0"/>
              <w:ind w:left="0" w:right="0" w:hanging="0"/>
              <w:jc w:val="right"/>
              <w:rPr/>
            </w:pPr>
            <w:r>
              <w:rPr/>
              <w:t> </w:t>
            </w:r>
          </w:p>
        </w:tc>
        <w:tc>
          <w:tcPr>
            <w:tcW w:w="414"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pPr>
            <w:r>
              <w:rPr/>
              <w:t> </w:t>
            </w:r>
          </w:p>
        </w:tc>
      </w:tr>
      <w:tr>
        <w:trPr/>
        <w:tc>
          <w:tcPr>
            <w:tcW w:w="259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United States</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183 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89  </w:t>
            </w:r>
          </w:p>
        </w:tc>
        <w:tc>
          <w:tcPr>
            <w:tcW w:w="60" w:type="dxa"/>
            <w:tcBorders/>
            <w:vAlign w:val="bottom"/>
          </w:tcPr>
          <w:p>
            <w:pPr>
              <w:pStyle w:val="TableContents"/>
              <w:bidi w:val="0"/>
              <w:spacing w:before="0" w:after="0"/>
              <w:ind w:left="0" w:right="0" w:hanging="0"/>
              <w:jc w:val="right"/>
              <w:rPr/>
            </w:pPr>
            <w:r>
              <w:rPr/>
              <w:t> </w:t>
            </w:r>
          </w:p>
        </w:tc>
        <w:tc>
          <w:tcPr>
            <w:tcW w:w="79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&gt;100</w:t>
            </w:r>
          </w:p>
        </w:tc>
        <w:tc>
          <w:tcPr>
            <w:tcW w:w="39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338 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231  </w:t>
            </w:r>
          </w:p>
        </w:tc>
        <w:tc>
          <w:tcPr>
            <w:tcW w:w="60" w:type="dxa"/>
            <w:tcBorders/>
            <w:vAlign w:val="bottom"/>
          </w:tcPr>
          <w:p>
            <w:pPr>
              <w:pStyle w:val="TableContents"/>
              <w:bidi w:val="0"/>
              <w:spacing w:before="0" w:after="0"/>
              <w:ind w:left="0" w:right="0" w:hanging="0"/>
              <w:jc w:val="right"/>
              <w:rPr/>
            </w:pPr>
            <w:r>
              <w:rPr/>
              <w:t> </w:t>
            </w:r>
          </w:p>
        </w:tc>
        <w:tc>
          <w:tcPr>
            <w:tcW w:w="7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46  </w:t>
            </w:r>
          </w:p>
        </w:tc>
        <w:tc>
          <w:tcPr>
            <w:tcW w:w="414"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r>
      <w:tr>
        <w:trPr/>
        <w:tc>
          <w:tcPr>
            <w:tcW w:w="2594"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Australia</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1,342 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1,338  </w:t>
            </w:r>
          </w:p>
        </w:tc>
        <w:tc>
          <w:tcPr>
            <w:tcW w:w="60" w:type="dxa"/>
            <w:tcBorders/>
            <w:shd w:fill="CCEEFF" w:val="clear"/>
            <w:vAlign w:val="bottom"/>
          </w:tcPr>
          <w:p>
            <w:pPr>
              <w:pStyle w:val="TableContents"/>
              <w:bidi w:val="0"/>
              <w:spacing w:before="0" w:after="0"/>
              <w:ind w:left="0" w:right="0" w:hanging="0"/>
              <w:jc w:val="right"/>
              <w:rPr/>
            </w:pPr>
            <w:r>
              <w:rPr/>
              <w:t> </w:t>
            </w:r>
          </w:p>
        </w:tc>
        <w:tc>
          <w:tcPr>
            <w:tcW w:w="792" w:type="dxa"/>
            <w:tcBorders/>
            <w:shd w:fill="CCEEFF" w:val="clear"/>
            <w:vAlign w:val="bottom"/>
          </w:tcPr>
          <w:p>
            <w:pPr>
              <w:pStyle w:val="TableContents"/>
              <w:bidi w:val="0"/>
              <w:spacing w:before="0" w:after="0"/>
              <w:ind w:left="0" w:right="65" w:hanging="0"/>
              <w:jc w:val="right"/>
              <w:rPr/>
            </w:pPr>
            <w:r>
              <w:rPr/>
              <w:t> —</w:t>
            </w:r>
          </w:p>
        </w:tc>
        <w:tc>
          <w:tcPr>
            <w:tcW w:w="39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7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2,508 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7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2,882  </w:t>
            </w:r>
          </w:p>
        </w:tc>
        <w:tc>
          <w:tcPr>
            <w:tcW w:w="60" w:type="dxa"/>
            <w:tcBorders/>
            <w:shd w:fill="CCEEFF" w:val="clear"/>
            <w:vAlign w:val="bottom"/>
          </w:tcPr>
          <w:p>
            <w:pPr>
              <w:pStyle w:val="TableContents"/>
              <w:bidi w:val="0"/>
              <w:spacing w:before="0" w:after="0"/>
              <w:ind w:left="0" w:right="0" w:hanging="0"/>
              <w:jc w:val="right"/>
              <w:rPr/>
            </w:pPr>
            <w:r>
              <w:rPr/>
              <w:t> </w:t>
            </w:r>
          </w:p>
        </w:tc>
        <w:tc>
          <w:tcPr>
            <w:tcW w:w="7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(13) </w:t>
            </w:r>
          </w:p>
        </w:tc>
        <w:tc>
          <w:tcPr>
            <w:tcW w:w="414"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r>
      <w:tr>
        <w:trPr/>
        <w:tc>
          <w:tcPr>
            <w:tcW w:w="2594"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New Zealand</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53 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52  </w:t>
            </w:r>
          </w:p>
        </w:tc>
        <w:tc>
          <w:tcPr>
            <w:tcW w:w="60" w:type="dxa"/>
            <w:tcBorders/>
            <w:vAlign w:val="bottom"/>
          </w:tcPr>
          <w:p>
            <w:pPr>
              <w:pStyle w:val="TableContents"/>
              <w:bidi w:val="0"/>
              <w:spacing w:before="0" w:after="0"/>
              <w:ind w:left="0" w:right="0" w:hanging="0"/>
              <w:jc w:val="right"/>
              <w:rPr/>
            </w:pPr>
            <w:r>
              <w:rPr/>
              <w:t> </w:t>
            </w:r>
          </w:p>
        </w:tc>
        <w:tc>
          <w:tcPr>
            <w:tcW w:w="79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2  </w:t>
            </w:r>
          </w:p>
        </w:tc>
        <w:tc>
          <w:tcPr>
            <w:tcW w:w="390"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78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121 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78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(39) </w:t>
            </w:r>
          </w:p>
        </w:tc>
        <w:tc>
          <w:tcPr>
            <w:tcW w:w="60" w:type="dxa"/>
            <w:tcBorders/>
            <w:vAlign w:val="bottom"/>
          </w:tcPr>
          <w:p>
            <w:pPr>
              <w:pStyle w:val="TableContents"/>
              <w:bidi w:val="0"/>
              <w:spacing w:before="0" w:after="0"/>
              <w:ind w:left="0" w:right="0" w:hanging="0"/>
              <w:jc w:val="right"/>
              <w:rPr/>
            </w:pPr>
            <w:r>
              <w:rPr/>
              <w:t> </w:t>
            </w:r>
          </w:p>
        </w:tc>
        <w:tc>
          <w:tcPr>
            <w:tcW w:w="785" w:type="dxa"/>
            <w:tcBorders>
              <w:bottom w:val="single" w:sz="8" w:space="0" w:color="000000"/>
            </w:tcBorders>
            <w:tcMar>
              <w:bottom w:w="28" w:type="dxa"/>
            </w:tcM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&gt;100</w:t>
            </w:r>
          </w:p>
        </w:tc>
        <w:tc>
          <w:tcPr>
            <w:tcW w:w="414"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r>
      <w:tr>
        <w:trPr/>
        <w:tc>
          <w:tcPr>
            <w:tcW w:w="2594"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1,578 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1,479  </w:t>
            </w:r>
          </w:p>
        </w:tc>
        <w:tc>
          <w:tcPr>
            <w:tcW w:w="60" w:type="dxa"/>
            <w:tcBorders/>
            <w:shd w:fill="CCEEFF" w:val="clear"/>
            <w:vAlign w:val="bottom"/>
          </w:tcPr>
          <w:p>
            <w:pPr>
              <w:pStyle w:val="TableContents"/>
              <w:bidi w:val="0"/>
              <w:spacing w:before="0" w:after="0"/>
              <w:ind w:left="0" w:right="0" w:hanging="0"/>
              <w:jc w:val="right"/>
              <w:rPr/>
            </w:pPr>
            <w:r>
              <w:rPr/>
              <w:t> </w:t>
            </w:r>
          </w:p>
        </w:tc>
        <w:tc>
          <w:tcPr>
            <w:tcW w:w="792"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7  </w:t>
            </w:r>
          </w:p>
        </w:tc>
        <w:tc>
          <w:tcPr>
            <w:tcW w:w="39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2,967 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3,074  </w:t>
            </w:r>
          </w:p>
        </w:tc>
        <w:tc>
          <w:tcPr>
            <w:tcW w:w="60" w:type="dxa"/>
            <w:tcBorders/>
            <w:shd w:fill="CCEEFF" w:val="clear"/>
            <w:vAlign w:val="bottom"/>
          </w:tcPr>
          <w:p>
            <w:pPr>
              <w:pStyle w:val="TableContents"/>
              <w:bidi w:val="0"/>
              <w:spacing w:before="0" w:after="0"/>
              <w:ind w:left="0" w:right="0" w:hanging="0"/>
              <w:jc w:val="right"/>
              <w:rPr/>
            </w:pPr>
            <w:r>
              <w:rPr/>
              <w:t> </w:t>
            </w:r>
          </w:p>
        </w:tc>
        <w:tc>
          <w:tcPr>
            <w:tcW w:w="78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(3) </w:t>
            </w:r>
          </w:p>
        </w:tc>
        <w:tc>
          <w:tcPr>
            <w:tcW w:w="414"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594" w:type="dxa"/>
            <w:tcBorders/>
            <w:vAlign w:val="bottom"/>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b/>
                <w:sz w:val="20"/>
              </w:rPr>
              <w:t xml:space="preserve">Total segment operating income (loss) </w:t>
            </w:r>
            <w:r>
              <w:rPr>
                <w:rFonts w:ascii="Times New Roman" w:hAnsi="Times New Roman"/>
                <w:b/>
                <w:sz w:val="10"/>
              </w:rPr>
              <w:t>(1)</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10,736 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80"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6,932  </w:t>
            </w:r>
          </w:p>
        </w:tc>
        <w:tc>
          <w:tcPr>
            <w:tcW w:w="60" w:type="dxa"/>
            <w:tcBorders/>
            <w:vAlign w:val="bottom"/>
          </w:tcPr>
          <w:p>
            <w:pPr>
              <w:pStyle w:val="TableContents"/>
              <w:bidi w:val="0"/>
              <w:spacing w:before="0" w:after="0"/>
              <w:ind w:left="0" w:right="0" w:hanging="0"/>
              <w:jc w:val="right"/>
              <w:rPr/>
            </w:pPr>
            <w:r>
              <w:rPr/>
              <w:t> </w:t>
            </w:r>
          </w:p>
        </w:tc>
        <w:tc>
          <w:tcPr>
            <w:tcW w:w="792"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55  </w:t>
            </w:r>
          </w:p>
        </w:tc>
        <w:tc>
          <w:tcPr>
            <w:tcW w:w="390"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5"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10,784  </w:t>
            </w:r>
          </w:p>
        </w:tc>
        <w:tc>
          <w:tcPr>
            <w:tcW w:w="60" w:type="dxa"/>
            <w:tcBorders/>
            <w:vAlign w:val="bottom"/>
          </w:tcPr>
          <w:p>
            <w:pPr>
              <w:pStyle w:val="TableContents"/>
              <w:bidi w:val="0"/>
              <w:spacing w:before="0" w:after="0"/>
              <w:ind w:left="0" w:right="0" w:hanging="0"/>
              <w:jc w:val="left"/>
              <w:rPr/>
            </w:pPr>
            <w:r>
              <w:rPr/>
              <w:t> </w:t>
            </w:r>
          </w:p>
        </w:tc>
        <w:tc>
          <w:tcPr>
            <w:tcW w:w="12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85"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 xml:space="preserve">4,053  </w:t>
            </w:r>
          </w:p>
        </w:tc>
        <w:tc>
          <w:tcPr>
            <w:tcW w:w="60" w:type="dxa"/>
            <w:tcBorders/>
            <w:vAlign w:val="bottom"/>
          </w:tcPr>
          <w:p>
            <w:pPr>
              <w:pStyle w:val="TableContents"/>
              <w:bidi w:val="0"/>
              <w:spacing w:before="0" w:after="0"/>
              <w:ind w:left="0" w:right="0" w:hanging="0"/>
              <w:jc w:val="right"/>
              <w:rPr/>
            </w:pPr>
            <w:r>
              <w:rPr/>
              <w:t> </w:t>
            </w:r>
          </w:p>
        </w:tc>
        <w:tc>
          <w:tcPr>
            <w:tcW w:w="78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&gt;100</w:t>
            </w:r>
          </w:p>
        </w:tc>
        <w:tc>
          <w:tcPr>
            <w:tcW w:w="414"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720" w:right="720" w:hanging="0"/>
        <w:jc w:val="left"/>
        <w:rPr>
          <w:rFonts w:cs="Times New Roman"/>
          <w:szCs w:val="20"/>
        </w:rPr>
      </w:pPr>
      <w:r>
        <w:rPr>
          <w:rFonts w:cs="Times New Roman"/>
          <w:szCs w:val="20"/>
        </w:rPr>
        <w:t xml:space="preserve">﻿ </w:t>
      </w:r>
    </w:p>
    <w:tbl>
      <w:tblPr>
        <w:tblW w:w="8765" w:type="dxa"/>
        <w:jc w:val="left"/>
        <w:tblInd w:w="720" w:type="dxa"/>
        <w:tblLayout w:type="fixed"/>
        <w:tblCellMar>
          <w:top w:w="0" w:type="dxa"/>
          <w:left w:w="0" w:type="dxa"/>
          <w:bottom w:w="0" w:type="dxa"/>
          <w:right w:w="0" w:type="dxa"/>
        </w:tblCellMar>
      </w:tblPr>
      <w:tblGrid>
        <w:gridCol w:w="38"/>
        <w:gridCol w:w="265"/>
        <w:gridCol w:w="23"/>
        <w:gridCol w:w="8439"/>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tcPr>
          <w:p>
            <w:pPr>
              <w:pStyle w:val="TableContents"/>
              <w:bidi w:val="0"/>
              <w:spacing w:before="0" w:after="0"/>
              <w:ind w:left="0" w:right="0" w:hanging="0"/>
              <w:jc w:val="both"/>
              <w:rPr>
                <w:rFonts w:ascii="Times New Roman" w:hAnsi="Times New Roman"/>
                <w:sz w:val="16"/>
              </w:rPr>
            </w:pPr>
            <w:r>
              <w:rPr>
                <w:rFonts w:ascii="Times New Roman" w:hAnsi="Times New Roman"/>
                <w:sz w:val="16"/>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8439" w:type="dxa"/>
            <w:tcBorders/>
          </w:tcPr>
          <w:p>
            <w:pPr>
              <w:pStyle w:val="TableContents"/>
              <w:bidi w:val="0"/>
              <w:spacing w:before="0" w:after="0"/>
              <w:ind w:left="0" w:right="0" w:hanging="0"/>
              <w:jc w:val="both"/>
              <w:rPr>
                <w:rFonts w:ascii="Times New Roman" w:hAnsi="Times New Roman"/>
                <w:i/>
                <w:color w:val="000000"/>
                <w:sz w:val="16"/>
              </w:rPr>
            </w:pPr>
            <w:r>
              <w:rPr>
                <w:rFonts w:ascii="Times New Roman" w:hAnsi="Times New Roman"/>
                <w:i/>
                <w:color w:val="000000"/>
                <w:sz w:val="16"/>
              </w:rPr>
              <w:t>Total segment operating income is a non-GAAP financial measure. See the discussion of non-GAAP financial measures that follows.</w:t>
            </w:r>
          </w:p>
        </w:tc>
      </w:tr>
    </w:tbl>
    <w:p>
      <w:pPr>
        <w:pStyle w:val="TextBody"/>
        <w:bidi w:val="0"/>
        <w:spacing w:before="0" w:after="0"/>
        <w:ind w:left="720" w:right="720" w:hanging="0"/>
        <w:jc w:val="both"/>
        <w:rPr>
          <w:rFonts w:cs="Times New Roman"/>
          <w:szCs w:val="16"/>
        </w:rPr>
      </w:pPr>
      <w:r>
        <w:rPr>
          <w:rFonts w:cs="Times New Roman"/>
          <w:color w:val="000000"/>
          <w:szCs w:val="16"/>
        </w:rPr>
        <w:t>﻿</w:t>
      </w:r>
      <w:r>
        <w:rPr>
          <w:rFonts w:cs="Times New Roman"/>
          <w:szCs w:val="16"/>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5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Reading International, Inc. and Subsidiaries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sz w:val="20"/>
        </w:rPr>
        <w:t>Reconciliation of EBITDA and Adjusted EBITDA to Net Income (Loss)</w:t>
      </w:r>
      <w:r>
        <w:rPr>
          <w:rFonts w:ascii="Times New Roman" w:hAnsi="Times New Roman"/>
          <w:sz w:val="20"/>
        </w:rPr>
        <w:t xml:space="preserve"> </w:t>
      </w:r>
    </w:p>
    <w:p>
      <w:pPr>
        <w:pStyle w:val="TextBody"/>
        <w:bidi w:val="0"/>
        <w:spacing w:before="0" w:after="0"/>
        <w:ind w:left="720" w:right="720" w:hanging="0"/>
        <w:jc w:val="left"/>
        <w:rPr>
          <w:rFonts w:ascii="Times New Roman" w:hAnsi="Times New Roman"/>
          <w:sz w:val="20"/>
        </w:rPr>
      </w:pPr>
      <w:r>
        <w:rPr>
          <w:rFonts w:ascii="Times New Roman" w:hAnsi="Times New Roman"/>
          <w:i/>
          <w:color w:val="000000"/>
          <w:sz w:val="20"/>
        </w:rPr>
        <w:t>(Unaudited; U.S. dollars in thousands)</w:t>
      </w:r>
      <w:r>
        <w:rPr>
          <w:rFonts w:ascii="Times New Roman" w:hAnsi="Times New Roman"/>
          <w:sz w:val="20"/>
        </w:rPr>
        <w:t xml:space="preserve"> </w:t>
      </w:r>
    </w:p>
    <w:p>
      <w:pPr>
        <w:pStyle w:val="TextBody"/>
        <w:bidi w:val="0"/>
        <w:spacing w:before="0" w:after="0"/>
        <w:ind w:left="720" w:right="720" w:hanging="0"/>
        <w:jc w:val="both"/>
        <w:rPr>
          <w:rFonts w:cs="Times New Roman"/>
          <w:szCs w:val="16"/>
        </w:rPr>
      </w:pPr>
      <w:r>
        <w:rPr>
          <w:rFonts w:cs="Times New Roman"/>
          <w:szCs w:val="16"/>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tbl>
      <w:tblPr>
        <w:tblW w:w="8280" w:type="dxa"/>
        <w:jc w:val="left"/>
        <w:tblInd w:w="720" w:type="dxa"/>
        <w:tblLayout w:type="fixed"/>
        <w:tblCellMar>
          <w:top w:w="0" w:type="dxa"/>
          <w:left w:w="0" w:type="dxa"/>
          <w:bottom w:w="0" w:type="dxa"/>
          <w:right w:w="0" w:type="dxa"/>
        </w:tblCellMar>
      </w:tblPr>
      <w:tblGrid>
        <w:gridCol w:w="4865"/>
        <w:gridCol w:w="60"/>
        <w:gridCol w:w="125"/>
        <w:gridCol w:w="680"/>
        <w:gridCol w:w="60"/>
        <w:gridCol w:w="125"/>
        <w:gridCol w:w="650"/>
        <w:gridCol w:w="60"/>
        <w:gridCol w:w="125"/>
        <w:gridCol w:w="680"/>
        <w:gridCol w:w="60"/>
        <w:gridCol w:w="125"/>
        <w:gridCol w:w="665"/>
      </w:tblGrid>
      <w:tr>
        <w:trPr/>
        <w:tc>
          <w:tcPr>
            <w:tcW w:w="4865"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5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65" w:type="dxa"/>
            <w:tcBorders/>
            <w:vAlign w:val="bottom"/>
          </w:tcPr>
          <w:p>
            <w:pPr>
              <w:pStyle w:val="TableContents"/>
              <w:bidi w:val="0"/>
              <w:spacing w:before="0" w:after="0"/>
              <w:ind w:left="0" w:right="0" w:hanging="0"/>
              <w:jc w:val="left"/>
              <w:rPr/>
            </w:pPr>
            <w:r>
              <w:rPr/>
              <w:t> </w:t>
            </w:r>
          </w:p>
        </w:tc>
      </w:tr>
      <w:tr>
        <w:trPr/>
        <w:tc>
          <w:tcPr>
            <w:tcW w:w="486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65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68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right"/>
              <w:rPr/>
            </w:pPr>
            <w:r>
              <w:rPr/>
              <w:t> </w:t>
            </w:r>
          </w:p>
        </w:tc>
        <w:tc>
          <w:tcPr>
            <w:tcW w:w="665" w:type="dxa"/>
            <w:tcBorders/>
            <w:vAlign w:val="bottom"/>
          </w:tcPr>
          <w:p>
            <w:pPr>
              <w:pStyle w:val="TableContents"/>
              <w:bidi w:val="0"/>
              <w:spacing w:before="0" w:after="0"/>
              <w:ind w:left="0" w:right="0" w:hanging="0"/>
              <w:jc w:val="left"/>
              <w:rPr/>
            </w:pPr>
            <w:r>
              <w:rPr/>
              <w:t> </w:t>
            </w:r>
          </w:p>
        </w:tc>
      </w:tr>
      <w:tr>
        <w:trPr/>
        <w:tc>
          <w:tcPr>
            <w:tcW w:w="4865" w:type="dxa"/>
            <w:tcBorders/>
            <w:vAlign w:val="bottom"/>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before="0" w:after="0"/>
              <w:ind w:left="0" w:right="0" w:hanging="0"/>
              <w:jc w:val="left"/>
              <w:rPr/>
            </w:pPr>
            <w:r>
              <w:rPr/>
              <w:t> </w:t>
            </w:r>
          </w:p>
        </w:tc>
        <w:tc>
          <w:tcPr>
            <w:tcW w:w="1640" w:type="dxa"/>
            <w:gridSpan w:val="5"/>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Quarter Ended</w:t>
            </w:r>
          </w:p>
        </w:tc>
        <w:tc>
          <w:tcPr>
            <w:tcW w:w="60" w:type="dxa"/>
            <w:tcBorders/>
            <w:vAlign w:val="bottom"/>
          </w:tcPr>
          <w:p>
            <w:pPr>
              <w:pStyle w:val="TableContents"/>
              <w:bidi w:val="0"/>
              <w:spacing w:before="0" w:after="0"/>
              <w:ind w:left="0" w:right="0" w:hanging="0"/>
              <w:jc w:val="left"/>
              <w:rPr/>
            </w:pPr>
            <w:r>
              <w:rPr/>
              <w:t> </w:t>
            </w:r>
          </w:p>
        </w:tc>
        <w:tc>
          <w:tcPr>
            <w:tcW w:w="1655" w:type="dxa"/>
            <w:gridSpan w:val="5"/>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Six Months Ended</w:t>
            </w:r>
          </w:p>
        </w:tc>
      </w:tr>
      <w:tr>
        <w:trPr/>
        <w:tc>
          <w:tcPr>
            <w:tcW w:w="4865" w:type="dxa"/>
            <w:tcBorders/>
            <w:vAlign w:val="bottom"/>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before="0" w:after="0"/>
              <w:ind w:left="0" w:right="0" w:hanging="0"/>
              <w:jc w:val="left"/>
              <w:rPr/>
            </w:pPr>
            <w:r>
              <w:rPr/>
              <w:t> </w:t>
            </w:r>
          </w:p>
        </w:tc>
        <w:tc>
          <w:tcPr>
            <w:tcW w:w="1640" w:type="dxa"/>
            <w:gridSpan w:val="5"/>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0"/>
              <w:ind w:left="0" w:right="0" w:hanging="0"/>
              <w:jc w:val="center"/>
              <w:rPr/>
            </w:pPr>
            <w:r>
              <w:rPr/>
              <w:t> </w:t>
            </w:r>
          </w:p>
        </w:tc>
        <w:tc>
          <w:tcPr>
            <w:tcW w:w="1655" w:type="dxa"/>
            <w:gridSpan w:val="5"/>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June 30,</w:t>
            </w:r>
          </w:p>
        </w:tc>
      </w:tr>
      <w:tr>
        <w:trPr/>
        <w:tc>
          <w:tcPr>
            <w:tcW w:w="4865" w:type="dxa"/>
            <w:tcBorders>
              <w:bottom w:val="single" w:sz="12" w:space="0" w:color="000000"/>
            </w:tcBorders>
            <w:tcMar>
              <w:bottom w:w="28" w:type="dxa"/>
            </w:tcMar>
          </w:tcPr>
          <w:p>
            <w:pPr>
              <w:pStyle w:val="TableContents"/>
              <w:bidi w:val="0"/>
              <w:spacing w:before="0" w:after="0"/>
              <w:ind w:left="0" w:right="0" w:hanging="0"/>
              <w:jc w:val="left"/>
              <w:rPr>
                <w:rFonts w:ascii="Times New Roman" w:hAnsi="Times New Roman"/>
                <w:i/>
                <w:color w:val="000000"/>
                <w:sz w:val="20"/>
              </w:rPr>
            </w:pPr>
            <w:r>
              <w:rPr>
                <w:rFonts w:ascii="Times New Roman" w:hAnsi="Times New Roman"/>
                <w:i/>
                <w:color w:val="000000"/>
                <w:sz w:val="20"/>
              </w:rPr>
              <w:t>(Dollars in thousands)</w:t>
            </w:r>
          </w:p>
        </w:tc>
        <w:tc>
          <w:tcPr>
            <w:tcW w:w="60" w:type="dxa"/>
            <w:tcBorders/>
            <w:vAlign w:val="bottom"/>
          </w:tcPr>
          <w:p>
            <w:pPr>
              <w:pStyle w:val="TableContents"/>
              <w:bidi w:val="0"/>
              <w:spacing w:before="0" w:after="0"/>
              <w:ind w:left="0" w:right="0" w:hanging="0"/>
              <w:jc w:val="left"/>
              <w:rPr/>
            </w:pPr>
            <w:r>
              <w:rPr/>
              <w:t> </w:t>
            </w:r>
          </w:p>
        </w:tc>
        <w:tc>
          <w:tcPr>
            <w:tcW w:w="805"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775"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0"/>
              <w:ind w:left="0" w:right="0" w:hanging="0"/>
              <w:jc w:val="center"/>
              <w:rPr/>
            </w:pPr>
            <w:r>
              <w:rPr/>
              <w:t> </w:t>
            </w:r>
          </w:p>
        </w:tc>
        <w:tc>
          <w:tcPr>
            <w:tcW w:w="805"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790"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2025</w:t>
            </w:r>
          </w:p>
        </w:tc>
      </w:tr>
      <w:tr>
        <w:trPr/>
        <w:tc>
          <w:tcPr>
            <w:tcW w:w="486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Net Income (loss) attributable to Reading International, Inc.</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68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2,270 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65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(2,667)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68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(5,877)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66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(7,423) </w:t>
            </w:r>
          </w:p>
        </w:tc>
      </w:tr>
      <w:tr>
        <w:trPr/>
        <w:tc>
          <w:tcPr>
            <w:tcW w:w="4865" w:type="dxa"/>
            <w:tcBorders/>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Add: Interest expense, net</w:t>
            </w:r>
          </w:p>
        </w:tc>
        <w:tc>
          <w:tcPr>
            <w:tcW w:w="60" w:type="dxa"/>
            <w:tcBorders/>
            <w:vAlign w:val="bottom"/>
          </w:tcPr>
          <w:p>
            <w:pPr>
              <w:pStyle w:val="TableContents"/>
              <w:bidi w:val="0"/>
              <w:spacing w:before="0" w:after="0"/>
              <w:ind w:left="12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4,320 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5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4,354 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8,549 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6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9,096  </w:t>
            </w:r>
          </w:p>
        </w:tc>
      </w:tr>
      <w:tr>
        <w:trPr/>
        <w:tc>
          <w:tcPr>
            <w:tcW w:w="4865"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Add: Income tax expense (benefit)</w:t>
            </w:r>
          </w:p>
        </w:tc>
        <w:tc>
          <w:tcPr>
            <w:tcW w:w="60" w:type="dxa"/>
            <w:tcBorders/>
            <w:shd w:fill="CCEEFF" w:val="clear"/>
            <w:vAlign w:val="bottom"/>
          </w:tcPr>
          <w:p>
            <w:pPr>
              <w:pStyle w:val="TableContents"/>
              <w:bidi w:val="0"/>
              <w:spacing w:before="0" w:after="0"/>
              <w:ind w:left="12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1,497 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5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1,225 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80"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1,354 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665"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753  </w:t>
            </w:r>
          </w:p>
        </w:tc>
      </w:tr>
      <w:tr>
        <w:trPr/>
        <w:tc>
          <w:tcPr>
            <w:tcW w:w="4865" w:type="dxa"/>
            <w:tcBorders/>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Add: Depreciation and amortization</w:t>
            </w:r>
          </w:p>
        </w:tc>
        <w:tc>
          <w:tcPr>
            <w:tcW w:w="60" w:type="dxa"/>
            <w:tcBorders/>
            <w:vAlign w:val="bottom"/>
          </w:tcPr>
          <w:p>
            <w:pPr>
              <w:pStyle w:val="TableContents"/>
              <w:bidi w:val="0"/>
              <w:spacing w:before="0" w:after="0"/>
              <w:ind w:left="12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3,171 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5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3,380 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8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6,401  </w:t>
            </w:r>
          </w:p>
        </w:tc>
        <w:tc>
          <w:tcPr>
            <w:tcW w:w="60" w:type="dxa"/>
            <w:tcBorders/>
            <w:vAlign w:val="bottom"/>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66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6,756  </w:t>
            </w:r>
          </w:p>
        </w:tc>
      </w:tr>
      <w:tr>
        <w:trPr/>
        <w:tc>
          <w:tcPr>
            <w:tcW w:w="4865" w:type="dxa"/>
            <w:tcBorders/>
            <w:shd w:fill="CCEEFF" w:val="cle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EBITDA</w:t>
            </w:r>
          </w:p>
        </w:tc>
        <w:tc>
          <w:tcPr>
            <w:tcW w:w="60" w:type="dxa"/>
            <w:tcBorders/>
            <w:shd w:fill="CCEEFF" w:val="clear"/>
            <w:vAlign w:val="bottom"/>
          </w:tcPr>
          <w:p>
            <w:pPr>
              <w:pStyle w:val="TableContents"/>
              <w:bidi w:val="0"/>
              <w:spacing w:before="0" w:after="0"/>
              <w:ind w:left="12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68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11,258 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65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6,292 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68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10,427 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66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9,182  </w:t>
            </w:r>
          </w:p>
        </w:tc>
      </w:tr>
      <w:tr>
        <w:trPr/>
        <w:tc>
          <w:tcPr>
            <w:tcW w:w="4865" w:type="dxa"/>
            <w:tcBorders/>
            <w:vAlign w:val="bottom"/>
          </w:tcPr>
          <w:p>
            <w:pPr>
              <w:pStyle w:val="TableContents"/>
              <w:bidi w:val="0"/>
              <w:spacing w:before="0" w:after="0"/>
              <w:ind w:left="0" w:right="0" w:hanging="0"/>
              <w:jc w:val="left"/>
              <w:rPr>
                <w:rFonts w:ascii="Times New Roman" w:hAnsi="Times New Roman"/>
                <w:i/>
                <w:color w:val="000000"/>
                <w:sz w:val="20"/>
              </w:rPr>
            </w:pPr>
            <w:r>
              <w:rPr>
                <w:rFonts w:ascii="Times New Roman" w:hAnsi="Times New Roman"/>
                <w:i/>
                <w:color w:val="000000"/>
                <w:sz w:val="20"/>
              </w:rPr>
              <w:t>Adjustments for:</w:t>
            </w:r>
          </w:p>
        </w:tc>
        <w:tc>
          <w:tcPr>
            <w:tcW w:w="60" w:type="dxa"/>
            <w:tcBorders/>
            <w:vAlign w:val="bottom"/>
          </w:tcPr>
          <w:p>
            <w:pPr>
              <w:pStyle w:val="TableContents"/>
              <w:bidi w:val="0"/>
              <w:spacing w:before="0" w:after="0"/>
              <w:ind w:left="12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50" w:type="dxa"/>
            <w:tcBorders/>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80" w:type="dxa"/>
            <w:tcBorders/>
            <w:vAlign w:val="bottom"/>
          </w:tcPr>
          <w:p>
            <w:pPr>
              <w:pStyle w:val="TableContents"/>
              <w:bidi w:val="0"/>
              <w:spacing w:before="0" w:after="0"/>
              <w:ind w:left="0" w:right="0" w:hanging="0"/>
              <w:jc w:val="righ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665" w:type="dxa"/>
            <w:tcBorders/>
            <w:vAlign w:val="bottom"/>
          </w:tcPr>
          <w:p>
            <w:pPr>
              <w:pStyle w:val="TableContents"/>
              <w:bidi w:val="0"/>
              <w:spacing w:before="0" w:after="0"/>
              <w:ind w:left="0" w:right="0" w:hanging="0"/>
              <w:jc w:val="right"/>
              <w:rPr/>
            </w:pPr>
            <w:r>
              <w:rPr/>
              <w:t> </w:t>
            </w:r>
          </w:p>
        </w:tc>
      </w:tr>
      <w:tr>
        <w:trPr/>
        <w:tc>
          <w:tcPr>
            <w:tcW w:w="4865" w:type="dxa"/>
            <w:tcBorders/>
            <w:shd w:fill="CCEEFF" w:val="cle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Adjusted EBITDA</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68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11,258 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65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6,292 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68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10,427  </w:t>
            </w:r>
          </w:p>
        </w:tc>
        <w:tc>
          <w:tcPr>
            <w:tcW w:w="60" w:type="dxa"/>
            <w:tcBorders/>
            <w:shd w:fill="CCEEFF" w:val="clear"/>
            <w:vAlign w:val="bottom"/>
          </w:tcPr>
          <w:p>
            <w:pPr>
              <w:pStyle w:val="TableContents"/>
              <w:bidi w:val="0"/>
              <w:spacing w:before="0" w:after="0"/>
              <w:ind w:left="0" w:right="0" w:hanging="0"/>
              <w:jc w:val="left"/>
              <w:rPr/>
            </w:pPr>
            <w:r>
              <w:rPr/>
              <w:t> </w:t>
            </w:r>
          </w:p>
        </w:tc>
        <w:tc>
          <w:tcPr>
            <w:tcW w:w="125"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665"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9,182  </w:t>
            </w:r>
          </w:p>
        </w:tc>
      </w:tr>
    </w:tbl>
    <w:p>
      <w:pPr>
        <w:pStyle w:val="TextBody"/>
        <w:bidi w:val="0"/>
        <w:spacing w:before="0" w:after="0"/>
        <w:ind w:left="720" w:right="720" w:hanging="0"/>
        <w:jc w:val="both"/>
        <w:rPr>
          <w:rFonts w:cs="Times New Roman"/>
          <w:szCs w:val="16"/>
        </w:rPr>
      </w:pPr>
      <w:r>
        <w:rPr>
          <w:rFonts w:cs="Times New Roman"/>
          <w:szCs w:val="16"/>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6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rFonts w:ascii="Times New Roman" w:hAnsi="Times New Roman"/>
          <w:sz w:val="20"/>
        </w:rPr>
      </w:pPr>
      <w:r>
        <w:rPr>
          <w:rFonts w:ascii="Times New Roman" w:hAnsi="Times New Roman"/>
          <w:b/>
          <w:color w:val="000000"/>
          <w:sz w:val="20"/>
        </w:rPr>
        <w:t>Reading International, Inc. and Subsidiaries</w:t>
      </w:r>
      <w:r>
        <w:rPr>
          <w:rFonts w:ascii="Times New Roman" w:hAnsi="Times New Roman"/>
          <w:sz w:val="20"/>
        </w:rPr>
        <w:t xml:space="preserve"> </w:t>
      </w:r>
    </w:p>
    <w:p>
      <w:pPr>
        <w:pStyle w:val="TextBody"/>
        <w:bidi w:val="0"/>
        <w:spacing w:before="0" w:after="0"/>
        <w:ind w:left="720" w:right="720" w:hanging="0"/>
        <w:jc w:val="both"/>
        <w:rPr>
          <w:rFonts w:ascii="Times New Roman" w:hAnsi="Times New Roman"/>
          <w:sz w:val="20"/>
        </w:rPr>
      </w:pPr>
      <w:r>
        <w:rPr>
          <w:rFonts w:ascii="Times New Roman" w:hAnsi="Times New Roman"/>
          <w:b/>
          <w:sz w:val="20"/>
        </w:rPr>
        <w:t>Reconciliation of Total Segment Operating Income (Loss) to Income (Loss) before Income Taxes</w:t>
      </w:r>
      <w:r>
        <w:rPr>
          <w:rFonts w:ascii="Times New Roman" w:hAnsi="Times New Roman"/>
          <w:sz w:val="20"/>
        </w:rPr>
        <w:t xml:space="preserve"> </w:t>
      </w:r>
    </w:p>
    <w:p>
      <w:pPr>
        <w:pStyle w:val="TextBody"/>
        <w:bidi w:val="0"/>
        <w:spacing w:before="0" w:after="0"/>
        <w:ind w:left="720" w:right="720" w:hanging="0"/>
        <w:jc w:val="left"/>
        <w:rPr>
          <w:rFonts w:ascii="Times New Roman" w:hAnsi="Times New Roman"/>
          <w:sz w:val="20"/>
        </w:rPr>
      </w:pPr>
      <w:r>
        <w:rPr>
          <w:rFonts w:ascii="Times New Roman" w:hAnsi="Times New Roman"/>
          <w:i/>
          <w:color w:val="000000"/>
          <w:sz w:val="20"/>
        </w:rPr>
        <w:t>(Unaudited; U.S. dollars in thousands)</w:t>
      </w:r>
      <w:r>
        <w:rPr>
          <w:rFonts w:ascii="Times New Roman" w:hAnsi="Times New Roman"/>
          <w:sz w:val="20"/>
        </w:rPr>
        <w:t xml:space="preserve"> </w:t>
      </w:r>
    </w:p>
    <w:p>
      <w:pPr>
        <w:pStyle w:val="TextBody"/>
        <w:bidi w:val="0"/>
        <w:spacing w:before="0" w:after="0"/>
        <w:ind w:left="720" w:right="720" w:hanging="0"/>
        <w:jc w:val="both"/>
        <w:rPr>
          <w:rFonts w:cs="Times New Roman"/>
          <w:szCs w:val="16"/>
        </w:rPr>
      </w:pPr>
      <w:r>
        <w:rPr>
          <w:rFonts w:cs="Times New Roman"/>
          <w:szCs w:val="16"/>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p>
      <w:pPr>
        <w:pStyle w:val="TextBody"/>
        <w:bidi w:val="0"/>
        <w:spacing w:before="0" w:after="0"/>
        <w:ind w:left="720" w:right="720" w:hanging="0"/>
        <w:jc w:val="both"/>
        <w:rPr>
          <w:rFonts w:cs="Times New Roman"/>
          <w:szCs w:val="2"/>
        </w:rPr>
      </w:pPr>
      <w:r>
        <w:rPr>
          <w:rFonts w:cs="Times New Roman"/>
          <w:szCs w:val="2"/>
        </w:rPr>
        <w:t xml:space="preserve">﻿ </w:t>
      </w:r>
    </w:p>
    <w:tbl>
      <w:tblPr>
        <w:tblW w:w="8765" w:type="dxa"/>
        <w:jc w:val="left"/>
        <w:tblInd w:w="720" w:type="dxa"/>
        <w:tblLayout w:type="fixed"/>
        <w:tblCellMar>
          <w:top w:w="0" w:type="dxa"/>
          <w:left w:w="0" w:type="dxa"/>
          <w:bottom w:w="0" w:type="dxa"/>
          <w:right w:w="0" w:type="dxa"/>
        </w:tblCellMar>
      </w:tblPr>
      <w:tblGrid>
        <w:gridCol w:w="4432"/>
        <w:gridCol w:w="160"/>
        <w:gridCol w:w="874"/>
        <w:gridCol w:w="60"/>
        <w:gridCol w:w="166"/>
        <w:gridCol w:w="867"/>
        <w:gridCol w:w="60"/>
        <w:gridCol w:w="160"/>
        <w:gridCol w:w="874"/>
        <w:gridCol w:w="60"/>
        <w:gridCol w:w="165"/>
        <w:gridCol w:w="887"/>
      </w:tblGrid>
      <w:tr>
        <w:trPr/>
        <w:tc>
          <w:tcPr>
            <w:tcW w:w="4432"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160" w:type="dxa"/>
            <w:tcBorders/>
            <w:vAlign w:val="bottom"/>
          </w:tcPr>
          <w:p>
            <w:pPr>
              <w:pStyle w:val="TableContents"/>
              <w:bidi w:val="0"/>
              <w:spacing w:before="0" w:after="0"/>
              <w:ind w:left="0" w:right="0" w:hanging="0"/>
              <w:jc w:val="left"/>
              <w:rPr/>
            </w:pPr>
            <w:r>
              <w:rPr/>
              <w:t> </w:t>
            </w:r>
          </w:p>
        </w:tc>
        <w:tc>
          <w:tcPr>
            <w:tcW w:w="874"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66" w:type="dxa"/>
            <w:tcBorders/>
            <w:vAlign w:val="bottom"/>
          </w:tcPr>
          <w:p>
            <w:pPr>
              <w:pStyle w:val="TableContents"/>
              <w:bidi w:val="0"/>
              <w:spacing w:before="0" w:after="0"/>
              <w:ind w:left="0" w:right="0" w:hanging="0"/>
              <w:jc w:val="left"/>
              <w:rPr/>
            </w:pPr>
            <w:r>
              <w:rPr/>
              <w:t> </w:t>
            </w:r>
          </w:p>
        </w:tc>
        <w:tc>
          <w:tcPr>
            <w:tcW w:w="867"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left"/>
              <w:rPr/>
            </w:pPr>
            <w:r>
              <w:rPr/>
              <w:t> </w:t>
            </w:r>
          </w:p>
        </w:tc>
        <w:tc>
          <w:tcPr>
            <w:tcW w:w="874"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65" w:type="dxa"/>
            <w:tcBorders/>
            <w:vAlign w:val="bottom"/>
          </w:tcPr>
          <w:p>
            <w:pPr>
              <w:pStyle w:val="TableContents"/>
              <w:bidi w:val="0"/>
              <w:spacing w:before="0" w:after="0"/>
              <w:ind w:left="0" w:right="0" w:hanging="0"/>
              <w:jc w:val="left"/>
              <w:rPr/>
            </w:pPr>
            <w:r>
              <w:rPr/>
              <w:t> </w:t>
            </w:r>
          </w:p>
        </w:tc>
        <w:tc>
          <w:tcPr>
            <w:tcW w:w="887" w:type="dxa"/>
            <w:tcBorders/>
            <w:vAlign w:val="bottom"/>
          </w:tcPr>
          <w:p>
            <w:pPr>
              <w:pStyle w:val="TableContents"/>
              <w:bidi w:val="0"/>
              <w:spacing w:before="0" w:after="0"/>
              <w:ind w:left="0" w:right="0" w:hanging="0"/>
              <w:jc w:val="left"/>
              <w:rPr/>
            </w:pPr>
            <w:r>
              <w:rPr/>
              <w:t> </w:t>
            </w:r>
          </w:p>
        </w:tc>
      </w:tr>
      <w:tr>
        <w:trPr/>
        <w:tc>
          <w:tcPr>
            <w:tcW w:w="4432" w:type="dxa"/>
            <w:tcBorders/>
            <w:vAlign w:val="bottom"/>
          </w:tcPr>
          <w:p>
            <w:pPr>
              <w:pStyle w:val="TableContents"/>
              <w:bidi w:val="0"/>
              <w:spacing w:before="0" w:after="0"/>
              <w:ind w:left="0" w:right="0" w:hanging="0"/>
              <w:jc w:val="left"/>
              <w:rPr>
                <w:rFonts w:cs="Arial"/>
                <w:color w:val="000000"/>
                <w:szCs w:val="4"/>
              </w:rPr>
            </w:pPr>
            <w:r>
              <w:rPr>
                <w:rFonts w:cs="Arial"/>
                <w:color w:val="000000"/>
                <w:szCs w:val="4"/>
              </w:rPr>
              <w:t>﻿</w:t>
            </w:r>
          </w:p>
        </w:tc>
        <w:tc>
          <w:tcPr>
            <w:tcW w:w="2127" w:type="dxa"/>
            <w:gridSpan w:val="5"/>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Quarter Ended</w:t>
            </w:r>
          </w:p>
        </w:tc>
        <w:tc>
          <w:tcPr>
            <w:tcW w:w="60" w:type="dxa"/>
            <w:tcBorders/>
            <w:vAlign w:val="bottom"/>
          </w:tcPr>
          <w:p>
            <w:pPr>
              <w:pStyle w:val="TableContents"/>
              <w:bidi w:val="0"/>
              <w:spacing w:before="0" w:after="0"/>
              <w:ind w:left="0" w:right="0" w:hanging="0"/>
              <w:jc w:val="left"/>
              <w:rPr/>
            </w:pPr>
            <w:r>
              <w:rPr/>
              <w:t> </w:t>
            </w:r>
          </w:p>
        </w:tc>
        <w:tc>
          <w:tcPr>
            <w:tcW w:w="2146" w:type="dxa"/>
            <w:gridSpan w:val="5"/>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Six Months Ended</w:t>
            </w:r>
          </w:p>
        </w:tc>
      </w:tr>
      <w:tr>
        <w:trPr/>
        <w:tc>
          <w:tcPr>
            <w:tcW w:w="4432" w:type="dxa"/>
            <w:tcBorders>
              <w:bottom w:val="single" w:sz="12" w:space="0" w:color="000000"/>
            </w:tcBorders>
            <w:tcMar>
              <w:bottom w:w="28" w:type="dxa"/>
            </w:tcMar>
            <w:vAlign w:val="bottom"/>
          </w:tcPr>
          <w:p>
            <w:pPr>
              <w:pStyle w:val="TableContents"/>
              <w:bidi w:val="0"/>
              <w:spacing w:before="0" w:after="0"/>
              <w:ind w:left="0" w:right="0" w:hanging="0"/>
              <w:jc w:val="left"/>
              <w:rPr>
                <w:rFonts w:ascii="Times New Roman" w:hAnsi="Times New Roman"/>
                <w:i/>
                <w:color w:val="000000"/>
                <w:sz w:val="16"/>
              </w:rPr>
            </w:pPr>
            <w:r>
              <w:rPr>
                <w:rFonts w:ascii="Times New Roman" w:hAnsi="Times New Roman"/>
                <w:i/>
                <w:color w:val="000000"/>
                <w:sz w:val="16"/>
              </w:rPr>
              <w:t>(Dollars in thousands)</w:t>
            </w:r>
          </w:p>
        </w:tc>
        <w:tc>
          <w:tcPr>
            <w:tcW w:w="1034"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June 30, 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1033"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June 30, 2025</w:t>
            </w:r>
          </w:p>
        </w:tc>
        <w:tc>
          <w:tcPr>
            <w:tcW w:w="60" w:type="dxa"/>
            <w:tcBorders/>
            <w:vAlign w:val="bottom"/>
          </w:tcPr>
          <w:p>
            <w:pPr>
              <w:pStyle w:val="TableContents"/>
              <w:bidi w:val="0"/>
              <w:spacing w:before="0" w:after="0"/>
              <w:ind w:left="0" w:right="0" w:hanging="0"/>
              <w:jc w:val="left"/>
              <w:rPr/>
            </w:pPr>
            <w:r>
              <w:rPr/>
              <w:t> </w:t>
            </w:r>
          </w:p>
        </w:tc>
        <w:tc>
          <w:tcPr>
            <w:tcW w:w="1034"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June 30, 2026</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1052" w:type="dxa"/>
            <w:gridSpan w:val="2"/>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June 30, 2025</w:t>
            </w:r>
          </w:p>
        </w:tc>
      </w:tr>
      <w:tr>
        <w:trPr/>
        <w:tc>
          <w:tcPr>
            <w:tcW w:w="4432"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Segment operating income (loss)</w:t>
            </w:r>
          </w:p>
        </w:tc>
        <w:tc>
          <w:tcPr>
            <w:tcW w:w="160"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7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10,736  </w:t>
            </w:r>
          </w:p>
        </w:tc>
        <w:tc>
          <w:tcPr>
            <w:tcW w:w="60" w:type="dxa"/>
            <w:tcBorders/>
            <w:vAlign w:val="bottom"/>
          </w:tcPr>
          <w:p>
            <w:pPr>
              <w:pStyle w:val="TableContents"/>
              <w:bidi w:val="0"/>
              <w:spacing w:before="0" w:after="0"/>
              <w:ind w:left="0" w:right="0" w:hanging="0"/>
              <w:jc w:val="center"/>
              <w:rPr/>
            </w:pPr>
            <w:r>
              <w:rPr/>
              <w:t> </w:t>
            </w:r>
          </w:p>
        </w:tc>
        <w:tc>
          <w:tcPr>
            <w:tcW w:w="166"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7" w:type="dxa"/>
            <w:tcBorders>
              <w:top w:val="single" w:sz="8" w:space="0" w:color="000000"/>
            </w:tcBorders>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6,932  </w:t>
            </w:r>
          </w:p>
        </w:tc>
        <w:tc>
          <w:tcPr>
            <w:tcW w:w="60" w:type="dxa"/>
            <w:tcBorders/>
            <w:vAlign w:val="bottom"/>
          </w:tcPr>
          <w:p>
            <w:pPr>
              <w:pStyle w:val="TableContents"/>
              <w:bidi w:val="0"/>
              <w:spacing w:before="0" w:after="0"/>
              <w:ind w:left="0" w:right="0" w:hanging="0"/>
              <w:jc w:val="left"/>
              <w:rPr/>
            </w:pPr>
            <w:r>
              <w:rPr/>
              <w:t> </w:t>
            </w:r>
          </w:p>
        </w:tc>
        <w:tc>
          <w:tcPr>
            <w:tcW w:w="160"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7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10,784  </w:t>
            </w:r>
          </w:p>
        </w:tc>
        <w:tc>
          <w:tcPr>
            <w:tcW w:w="60" w:type="dxa"/>
            <w:tcBorders/>
            <w:vAlign w:val="bottom"/>
          </w:tcPr>
          <w:p>
            <w:pPr>
              <w:pStyle w:val="TableContents"/>
              <w:bidi w:val="0"/>
              <w:spacing w:before="0" w:after="0"/>
              <w:ind w:left="0" w:right="0" w:hanging="0"/>
              <w:jc w:val="center"/>
              <w:rPr/>
            </w:pPr>
            <w:r>
              <w:rPr/>
              <w:t> </w:t>
            </w:r>
          </w:p>
        </w:tc>
        <w:tc>
          <w:tcPr>
            <w:tcW w:w="165" w:type="dxa"/>
            <w:tcBorders>
              <w:top w:val="single" w:sz="8" w:space="0" w:color="000000"/>
            </w:tcBorders>
            <w:tcMar>
              <w:top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87" w:type="dxa"/>
            <w:tcBorders>
              <w:top w:val="single" w:sz="8" w:space="0" w:color="000000"/>
            </w:tcBorders>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4,053  </w:t>
            </w:r>
          </w:p>
        </w:tc>
      </w:tr>
      <w:tr>
        <w:trPr/>
        <w:tc>
          <w:tcPr>
            <w:tcW w:w="4432"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Unallocated corporate expense: </w:t>
            </w:r>
          </w:p>
        </w:tc>
        <w:tc>
          <w:tcPr>
            <w:tcW w:w="160" w:type="dxa"/>
            <w:tcBorders/>
            <w:shd w:fill="CCEEFF" w:val="clear"/>
            <w:vAlign w:val="bottom"/>
          </w:tcPr>
          <w:p>
            <w:pPr>
              <w:pStyle w:val="TableContents"/>
              <w:bidi w:val="0"/>
              <w:spacing w:before="0" w:after="0"/>
              <w:ind w:left="0" w:right="0" w:hanging="0"/>
              <w:jc w:val="right"/>
              <w:rPr/>
            </w:pPr>
            <w:r>
              <w:rPr/>
              <w:t> </w:t>
            </w:r>
          </w:p>
        </w:tc>
        <w:tc>
          <w:tcPr>
            <w:tcW w:w="874"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66" w:type="dxa"/>
            <w:tcBorders/>
            <w:shd w:fill="CCEEFF" w:val="clear"/>
            <w:vAlign w:val="bottom"/>
          </w:tcPr>
          <w:p>
            <w:pPr>
              <w:pStyle w:val="TableContents"/>
              <w:bidi w:val="0"/>
              <w:spacing w:before="0" w:after="0"/>
              <w:ind w:left="0" w:right="0" w:hanging="0"/>
              <w:jc w:val="right"/>
              <w:rPr/>
            </w:pPr>
            <w:r>
              <w:rPr/>
              <w:t> </w:t>
            </w:r>
          </w:p>
        </w:tc>
        <w:tc>
          <w:tcPr>
            <w:tcW w:w="867"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60" w:type="dxa"/>
            <w:tcBorders/>
            <w:shd w:fill="CCEEFF" w:val="clear"/>
            <w:vAlign w:val="bottom"/>
          </w:tcPr>
          <w:p>
            <w:pPr>
              <w:pStyle w:val="TableContents"/>
              <w:bidi w:val="0"/>
              <w:spacing w:before="0" w:after="0"/>
              <w:ind w:left="0" w:right="0" w:hanging="0"/>
              <w:jc w:val="right"/>
              <w:rPr/>
            </w:pPr>
            <w:r>
              <w:rPr/>
              <w:t> </w:t>
            </w:r>
          </w:p>
        </w:tc>
        <w:tc>
          <w:tcPr>
            <w:tcW w:w="874"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65" w:type="dxa"/>
            <w:tcBorders/>
            <w:shd w:fill="CCEEFF" w:val="clear"/>
            <w:vAlign w:val="bottom"/>
          </w:tcPr>
          <w:p>
            <w:pPr>
              <w:pStyle w:val="TableContents"/>
              <w:bidi w:val="0"/>
              <w:spacing w:before="0" w:after="0"/>
              <w:ind w:left="0" w:right="0" w:hanging="0"/>
              <w:jc w:val="right"/>
              <w:rPr/>
            </w:pPr>
            <w:r>
              <w:rPr/>
              <w:t> </w:t>
            </w:r>
          </w:p>
        </w:tc>
        <w:tc>
          <w:tcPr>
            <w:tcW w:w="887" w:type="dxa"/>
            <w:tcBorders/>
            <w:shd w:fill="CCEEFF" w:val="clear"/>
            <w:vAlign w:val="bottom"/>
          </w:tcPr>
          <w:p>
            <w:pPr>
              <w:pStyle w:val="TableContents"/>
              <w:bidi w:val="0"/>
              <w:spacing w:before="0" w:after="0"/>
              <w:ind w:left="0" w:right="0" w:hanging="0"/>
              <w:jc w:val="left"/>
              <w:rPr/>
            </w:pPr>
            <w:r>
              <w:rPr/>
              <w:t> </w:t>
            </w:r>
          </w:p>
        </w:tc>
      </w:tr>
      <w:tr>
        <w:trPr/>
        <w:tc>
          <w:tcPr>
            <w:tcW w:w="4432" w:type="dxa"/>
            <w:tcBorders/>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Depreciation and amortization expense</w:t>
            </w:r>
          </w:p>
        </w:tc>
        <w:tc>
          <w:tcPr>
            <w:tcW w:w="160" w:type="dxa"/>
            <w:tcBorders/>
            <w:vAlign w:val="bottom"/>
          </w:tcPr>
          <w:p>
            <w:pPr>
              <w:pStyle w:val="TableContents"/>
              <w:bidi w:val="0"/>
              <w:spacing w:before="0" w:after="0"/>
              <w:ind w:left="0" w:right="0" w:hanging="0"/>
              <w:jc w:val="right"/>
              <w:rPr/>
            </w:pPr>
            <w:r>
              <w:rPr/>
              <w:t> </w:t>
            </w:r>
          </w:p>
        </w:tc>
        <w:tc>
          <w:tcPr>
            <w:tcW w:w="874"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(83) </w:t>
            </w:r>
          </w:p>
        </w:tc>
        <w:tc>
          <w:tcPr>
            <w:tcW w:w="60" w:type="dxa"/>
            <w:tcBorders/>
            <w:vAlign w:val="bottom"/>
          </w:tcPr>
          <w:p>
            <w:pPr>
              <w:pStyle w:val="TableContents"/>
              <w:bidi w:val="0"/>
              <w:spacing w:before="0" w:after="0"/>
              <w:ind w:left="0" w:right="0" w:hanging="0"/>
              <w:jc w:val="left"/>
              <w:rPr/>
            </w:pPr>
            <w:r>
              <w:rPr/>
              <w:t> </w:t>
            </w:r>
          </w:p>
        </w:tc>
        <w:tc>
          <w:tcPr>
            <w:tcW w:w="166" w:type="dxa"/>
            <w:tcBorders/>
            <w:vAlign w:val="bottom"/>
          </w:tcPr>
          <w:p>
            <w:pPr>
              <w:pStyle w:val="TableContents"/>
              <w:bidi w:val="0"/>
              <w:spacing w:before="0" w:after="0"/>
              <w:ind w:left="0" w:right="0" w:hanging="0"/>
              <w:jc w:val="right"/>
              <w:rPr/>
            </w:pPr>
            <w:r>
              <w:rPr/>
              <w:t> </w:t>
            </w:r>
          </w:p>
        </w:tc>
        <w:tc>
          <w:tcPr>
            <w:tcW w:w="867"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(84) </w:t>
            </w:r>
          </w:p>
        </w:tc>
        <w:tc>
          <w:tcPr>
            <w:tcW w:w="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right"/>
              <w:rPr/>
            </w:pPr>
            <w:r>
              <w:rPr/>
              <w:t> </w:t>
            </w:r>
          </w:p>
        </w:tc>
        <w:tc>
          <w:tcPr>
            <w:tcW w:w="874"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(178) </w:t>
            </w:r>
          </w:p>
        </w:tc>
        <w:tc>
          <w:tcPr>
            <w:tcW w:w="60" w:type="dxa"/>
            <w:tcBorders/>
            <w:vAlign w:val="bottom"/>
          </w:tcPr>
          <w:p>
            <w:pPr>
              <w:pStyle w:val="TableContents"/>
              <w:bidi w:val="0"/>
              <w:spacing w:before="0" w:after="0"/>
              <w:ind w:left="0" w:right="0" w:hanging="0"/>
              <w:jc w:val="left"/>
              <w:rPr/>
            </w:pPr>
            <w:r>
              <w:rPr/>
              <w:t> </w:t>
            </w:r>
          </w:p>
        </w:tc>
        <w:tc>
          <w:tcPr>
            <w:tcW w:w="165" w:type="dxa"/>
            <w:tcBorders/>
            <w:vAlign w:val="bottom"/>
          </w:tcPr>
          <w:p>
            <w:pPr>
              <w:pStyle w:val="TableContents"/>
              <w:bidi w:val="0"/>
              <w:spacing w:before="0" w:after="0"/>
              <w:ind w:left="0" w:right="0" w:hanging="0"/>
              <w:jc w:val="right"/>
              <w:rPr/>
            </w:pPr>
            <w:r>
              <w:rPr/>
              <w:t> </w:t>
            </w:r>
          </w:p>
        </w:tc>
        <w:tc>
          <w:tcPr>
            <w:tcW w:w="887"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(219) </w:t>
            </w:r>
          </w:p>
        </w:tc>
      </w:tr>
      <w:tr>
        <w:trPr/>
        <w:tc>
          <w:tcPr>
            <w:tcW w:w="4432" w:type="dxa"/>
            <w:tcBorders/>
            <w:shd w:fill="CCEEFF" w:val="clear"/>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General and administrative expense</w:t>
            </w:r>
          </w:p>
        </w:tc>
        <w:tc>
          <w:tcPr>
            <w:tcW w:w="160" w:type="dxa"/>
            <w:tcBorders/>
            <w:shd w:fill="CCEEFF" w:val="clear"/>
            <w:vAlign w:val="bottom"/>
          </w:tcPr>
          <w:p>
            <w:pPr>
              <w:pStyle w:val="TableContents"/>
              <w:bidi w:val="0"/>
              <w:spacing w:before="0" w:after="0"/>
              <w:ind w:left="0" w:right="0" w:hanging="0"/>
              <w:jc w:val="right"/>
              <w:rPr/>
            </w:pPr>
            <w:r>
              <w:rPr/>
              <w:t> </w:t>
            </w:r>
          </w:p>
        </w:tc>
        <w:tc>
          <w:tcPr>
            <w:tcW w:w="874"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(3,175) </w:t>
            </w:r>
          </w:p>
        </w:tc>
        <w:tc>
          <w:tcPr>
            <w:tcW w:w="60" w:type="dxa"/>
            <w:tcBorders/>
            <w:shd w:fill="CCEEFF" w:val="clear"/>
            <w:vAlign w:val="bottom"/>
          </w:tcPr>
          <w:p>
            <w:pPr>
              <w:pStyle w:val="TableContents"/>
              <w:bidi w:val="0"/>
              <w:spacing w:before="0" w:after="0"/>
              <w:ind w:left="0" w:right="0" w:hanging="0"/>
              <w:jc w:val="left"/>
              <w:rPr/>
            </w:pPr>
            <w:r>
              <w:rPr/>
              <w:t> </w:t>
            </w:r>
          </w:p>
        </w:tc>
        <w:tc>
          <w:tcPr>
            <w:tcW w:w="166" w:type="dxa"/>
            <w:tcBorders/>
            <w:shd w:fill="CCEEFF" w:val="clear"/>
            <w:vAlign w:val="bottom"/>
          </w:tcPr>
          <w:p>
            <w:pPr>
              <w:pStyle w:val="TableContents"/>
              <w:bidi w:val="0"/>
              <w:spacing w:before="0" w:after="0"/>
              <w:ind w:left="0" w:right="0" w:hanging="0"/>
              <w:jc w:val="right"/>
              <w:rPr/>
            </w:pPr>
            <w:r>
              <w:rPr/>
              <w:t> </w:t>
            </w:r>
          </w:p>
        </w:tc>
        <w:tc>
          <w:tcPr>
            <w:tcW w:w="867"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(3,957) </w:t>
            </w:r>
          </w:p>
        </w:tc>
        <w:tc>
          <w:tcPr>
            <w:tcW w:w="60" w:type="dxa"/>
            <w:tcBorders/>
            <w:shd w:fill="CCEEFF" w:val="clear"/>
            <w:vAlign w:val="bottom"/>
          </w:tcPr>
          <w:p>
            <w:pPr>
              <w:pStyle w:val="TableContents"/>
              <w:bidi w:val="0"/>
              <w:spacing w:before="0" w:after="0"/>
              <w:ind w:left="0" w:right="0" w:hanging="0"/>
              <w:jc w:val="left"/>
              <w:rPr/>
            </w:pPr>
            <w:r>
              <w:rPr/>
              <w:t> </w:t>
            </w:r>
          </w:p>
        </w:tc>
        <w:tc>
          <w:tcPr>
            <w:tcW w:w="160" w:type="dxa"/>
            <w:tcBorders/>
            <w:shd w:fill="CCEEFF" w:val="clear"/>
            <w:vAlign w:val="bottom"/>
          </w:tcPr>
          <w:p>
            <w:pPr>
              <w:pStyle w:val="TableContents"/>
              <w:bidi w:val="0"/>
              <w:spacing w:before="0" w:after="0"/>
              <w:ind w:left="0" w:right="0" w:hanging="0"/>
              <w:jc w:val="right"/>
              <w:rPr/>
            </w:pPr>
            <w:r>
              <w:rPr/>
              <w:t> </w:t>
            </w:r>
          </w:p>
        </w:tc>
        <w:tc>
          <w:tcPr>
            <w:tcW w:w="874"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(6,760) </w:t>
            </w:r>
          </w:p>
        </w:tc>
        <w:tc>
          <w:tcPr>
            <w:tcW w:w="60" w:type="dxa"/>
            <w:tcBorders/>
            <w:shd w:fill="CCEEFF" w:val="clear"/>
            <w:vAlign w:val="bottom"/>
          </w:tcPr>
          <w:p>
            <w:pPr>
              <w:pStyle w:val="TableContents"/>
              <w:bidi w:val="0"/>
              <w:spacing w:before="0" w:after="0"/>
              <w:ind w:left="0" w:right="0" w:hanging="0"/>
              <w:jc w:val="left"/>
              <w:rPr/>
            </w:pPr>
            <w:r>
              <w:rPr/>
              <w:t> </w:t>
            </w:r>
          </w:p>
        </w:tc>
        <w:tc>
          <w:tcPr>
            <w:tcW w:w="165" w:type="dxa"/>
            <w:tcBorders/>
            <w:shd w:fill="CCEEFF" w:val="clear"/>
            <w:vAlign w:val="bottom"/>
          </w:tcPr>
          <w:p>
            <w:pPr>
              <w:pStyle w:val="TableContents"/>
              <w:bidi w:val="0"/>
              <w:spacing w:before="0" w:after="0"/>
              <w:ind w:left="0" w:right="0" w:hanging="0"/>
              <w:jc w:val="right"/>
              <w:rPr/>
            </w:pPr>
            <w:r>
              <w:rPr/>
              <w:t> </w:t>
            </w:r>
          </w:p>
        </w:tc>
        <w:tc>
          <w:tcPr>
            <w:tcW w:w="887"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(7,835) </w:t>
            </w:r>
          </w:p>
        </w:tc>
      </w:tr>
      <w:tr>
        <w:trPr/>
        <w:tc>
          <w:tcPr>
            <w:tcW w:w="4432" w:type="dxa"/>
            <w:tcBorders/>
            <w:vAlign w:val="bottom"/>
          </w:tcPr>
          <w:p>
            <w:pPr>
              <w:pStyle w:val="TableContents"/>
              <w:bidi w:val="0"/>
              <w:spacing w:before="0" w:after="0"/>
              <w:ind w:left="120" w:right="0" w:hanging="0"/>
              <w:jc w:val="left"/>
              <w:rPr>
                <w:rFonts w:ascii="Times New Roman" w:hAnsi="Times New Roman"/>
                <w:color w:val="000000"/>
                <w:sz w:val="20"/>
              </w:rPr>
            </w:pPr>
            <w:r>
              <w:rPr>
                <w:rFonts w:ascii="Times New Roman" w:hAnsi="Times New Roman"/>
                <w:color w:val="000000"/>
                <w:sz w:val="20"/>
              </w:rPr>
              <w:t>Interest expense, net</w:t>
            </w:r>
          </w:p>
        </w:tc>
        <w:tc>
          <w:tcPr>
            <w:tcW w:w="160" w:type="dxa"/>
            <w:tcBorders/>
            <w:vAlign w:val="bottom"/>
          </w:tcPr>
          <w:p>
            <w:pPr>
              <w:pStyle w:val="TableContents"/>
              <w:bidi w:val="0"/>
              <w:spacing w:before="0" w:after="0"/>
              <w:ind w:left="0" w:right="0" w:hanging="0"/>
              <w:jc w:val="right"/>
              <w:rPr/>
            </w:pPr>
            <w:r>
              <w:rPr/>
              <w:t> </w:t>
            </w:r>
          </w:p>
        </w:tc>
        <w:tc>
          <w:tcPr>
            <w:tcW w:w="874"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(4,321) </w:t>
            </w:r>
          </w:p>
        </w:tc>
        <w:tc>
          <w:tcPr>
            <w:tcW w:w="60" w:type="dxa"/>
            <w:tcBorders/>
            <w:vAlign w:val="bottom"/>
          </w:tcPr>
          <w:p>
            <w:pPr>
              <w:pStyle w:val="TableContents"/>
              <w:bidi w:val="0"/>
              <w:spacing w:before="0" w:after="0"/>
              <w:ind w:left="0" w:right="0" w:hanging="0"/>
              <w:jc w:val="left"/>
              <w:rPr/>
            </w:pPr>
            <w:r>
              <w:rPr/>
              <w:t> </w:t>
            </w:r>
          </w:p>
        </w:tc>
        <w:tc>
          <w:tcPr>
            <w:tcW w:w="166" w:type="dxa"/>
            <w:tcBorders/>
            <w:vAlign w:val="bottom"/>
          </w:tcPr>
          <w:p>
            <w:pPr>
              <w:pStyle w:val="TableContents"/>
              <w:bidi w:val="0"/>
              <w:spacing w:before="0" w:after="0"/>
              <w:ind w:left="0" w:right="0" w:hanging="0"/>
              <w:jc w:val="right"/>
              <w:rPr/>
            </w:pPr>
            <w:r>
              <w:rPr/>
              <w:t> </w:t>
            </w:r>
          </w:p>
        </w:tc>
        <w:tc>
          <w:tcPr>
            <w:tcW w:w="867"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(4,354) </w:t>
            </w:r>
          </w:p>
        </w:tc>
        <w:tc>
          <w:tcPr>
            <w:tcW w:w="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right"/>
              <w:rPr/>
            </w:pPr>
            <w:r>
              <w:rPr/>
              <w:t> </w:t>
            </w:r>
          </w:p>
        </w:tc>
        <w:tc>
          <w:tcPr>
            <w:tcW w:w="874"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(8,549) </w:t>
            </w:r>
          </w:p>
        </w:tc>
        <w:tc>
          <w:tcPr>
            <w:tcW w:w="60" w:type="dxa"/>
            <w:tcBorders/>
            <w:vAlign w:val="bottom"/>
          </w:tcPr>
          <w:p>
            <w:pPr>
              <w:pStyle w:val="TableContents"/>
              <w:bidi w:val="0"/>
              <w:spacing w:before="0" w:after="0"/>
              <w:ind w:left="0" w:right="0" w:hanging="0"/>
              <w:jc w:val="left"/>
              <w:rPr/>
            </w:pPr>
            <w:r>
              <w:rPr/>
              <w:t> </w:t>
            </w:r>
          </w:p>
        </w:tc>
        <w:tc>
          <w:tcPr>
            <w:tcW w:w="165" w:type="dxa"/>
            <w:tcBorders/>
            <w:vAlign w:val="bottom"/>
          </w:tcPr>
          <w:p>
            <w:pPr>
              <w:pStyle w:val="TableContents"/>
              <w:bidi w:val="0"/>
              <w:spacing w:before="0" w:after="0"/>
              <w:ind w:left="0" w:right="0" w:hanging="0"/>
              <w:jc w:val="right"/>
              <w:rPr/>
            </w:pPr>
            <w:r>
              <w:rPr/>
              <w:t> </w:t>
            </w:r>
          </w:p>
        </w:tc>
        <w:tc>
          <w:tcPr>
            <w:tcW w:w="887"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(9,096) </w:t>
            </w:r>
          </w:p>
        </w:tc>
      </w:tr>
      <w:tr>
        <w:trPr/>
        <w:tc>
          <w:tcPr>
            <w:tcW w:w="4432"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Equity earnings (loss) of unconsolidated joint ventures</w:t>
            </w:r>
          </w:p>
        </w:tc>
        <w:tc>
          <w:tcPr>
            <w:tcW w:w="160" w:type="dxa"/>
            <w:tcBorders/>
            <w:shd w:fill="CCEEFF" w:val="clear"/>
            <w:vAlign w:val="bottom"/>
          </w:tcPr>
          <w:p>
            <w:pPr>
              <w:pStyle w:val="TableContents"/>
              <w:bidi w:val="0"/>
              <w:spacing w:before="0" w:after="0"/>
              <w:ind w:left="0" w:right="0" w:hanging="0"/>
              <w:jc w:val="right"/>
              <w:rPr/>
            </w:pPr>
            <w:r>
              <w:rPr/>
              <w:t> </w:t>
            </w:r>
          </w:p>
        </w:tc>
        <w:tc>
          <w:tcPr>
            <w:tcW w:w="874"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360  </w:t>
            </w:r>
          </w:p>
        </w:tc>
        <w:tc>
          <w:tcPr>
            <w:tcW w:w="60" w:type="dxa"/>
            <w:tcBorders/>
            <w:shd w:fill="CCEEFF" w:val="clear"/>
            <w:vAlign w:val="bottom"/>
          </w:tcPr>
          <w:p>
            <w:pPr>
              <w:pStyle w:val="TableContents"/>
              <w:bidi w:val="0"/>
              <w:spacing w:before="0" w:after="0"/>
              <w:ind w:left="0" w:right="0" w:hanging="0"/>
              <w:jc w:val="left"/>
              <w:rPr/>
            </w:pPr>
            <w:r>
              <w:rPr/>
              <w:t> </w:t>
            </w:r>
          </w:p>
        </w:tc>
        <w:tc>
          <w:tcPr>
            <w:tcW w:w="166" w:type="dxa"/>
            <w:tcBorders/>
            <w:shd w:fill="CCEEFF" w:val="clear"/>
            <w:vAlign w:val="bottom"/>
          </w:tcPr>
          <w:p>
            <w:pPr>
              <w:pStyle w:val="TableContents"/>
              <w:bidi w:val="0"/>
              <w:spacing w:before="0" w:after="0"/>
              <w:ind w:left="0" w:right="0" w:hanging="0"/>
              <w:jc w:val="right"/>
              <w:rPr/>
            </w:pPr>
            <w:r>
              <w:rPr/>
              <w:t> </w:t>
            </w:r>
          </w:p>
        </w:tc>
        <w:tc>
          <w:tcPr>
            <w:tcW w:w="867"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285  </w:t>
            </w:r>
          </w:p>
        </w:tc>
        <w:tc>
          <w:tcPr>
            <w:tcW w:w="60" w:type="dxa"/>
            <w:tcBorders/>
            <w:shd w:fill="CCEEFF" w:val="clear"/>
            <w:vAlign w:val="bottom"/>
          </w:tcPr>
          <w:p>
            <w:pPr>
              <w:pStyle w:val="TableContents"/>
              <w:bidi w:val="0"/>
              <w:spacing w:before="0" w:after="0"/>
              <w:ind w:left="0" w:right="0" w:hanging="0"/>
              <w:jc w:val="left"/>
              <w:rPr/>
            </w:pPr>
            <w:r>
              <w:rPr/>
              <w:t> </w:t>
            </w:r>
          </w:p>
        </w:tc>
        <w:tc>
          <w:tcPr>
            <w:tcW w:w="160" w:type="dxa"/>
            <w:tcBorders/>
            <w:shd w:fill="CCEEFF" w:val="clear"/>
            <w:vAlign w:val="bottom"/>
          </w:tcPr>
          <w:p>
            <w:pPr>
              <w:pStyle w:val="TableContents"/>
              <w:bidi w:val="0"/>
              <w:spacing w:before="0" w:after="0"/>
              <w:ind w:left="0" w:right="0" w:hanging="0"/>
              <w:jc w:val="right"/>
              <w:rPr/>
            </w:pPr>
            <w:r>
              <w:rPr/>
              <w:t> </w:t>
            </w:r>
          </w:p>
        </w:tc>
        <w:tc>
          <w:tcPr>
            <w:tcW w:w="874"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431  </w:t>
            </w:r>
          </w:p>
        </w:tc>
        <w:tc>
          <w:tcPr>
            <w:tcW w:w="60" w:type="dxa"/>
            <w:tcBorders/>
            <w:shd w:fill="CCEEFF" w:val="clear"/>
            <w:vAlign w:val="bottom"/>
          </w:tcPr>
          <w:p>
            <w:pPr>
              <w:pStyle w:val="TableContents"/>
              <w:bidi w:val="0"/>
              <w:spacing w:before="0" w:after="0"/>
              <w:ind w:left="0" w:right="0" w:hanging="0"/>
              <w:jc w:val="left"/>
              <w:rPr/>
            </w:pPr>
            <w:r>
              <w:rPr/>
              <w:t> </w:t>
            </w:r>
          </w:p>
        </w:tc>
        <w:tc>
          <w:tcPr>
            <w:tcW w:w="165" w:type="dxa"/>
            <w:tcBorders/>
            <w:shd w:fill="CCEEFF" w:val="clear"/>
            <w:vAlign w:val="bottom"/>
          </w:tcPr>
          <w:p>
            <w:pPr>
              <w:pStyle w:val="TableContents"/>
              <w:bidi w:val="0"/>
              <w:spacing w:before="0" w:after="0"/>
              <w:ind w:left="0" w:right="0" w:hanging="0"/>
              <w:jc w:val="right"/>
              <w:rPr/>
            </w:pPr>
            <w:r>
              <w:rPr/>
              <w:t> </w:t>
            </w:r>
          </w:p>
        </w:tc>
        <w:tc>
          <w:tcPr>
            <w:tcW w:w="887" w:type="dxa"/>
            <w:tcBorders/>
            <w:shd w:fill="CCEEFF"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308  </w:t>
            </w:r>
          </w:p>
        </w:tc>
      </w:tr>
      <w:tr>
        <w:trPr/>
        <w:tc>
          <w:tcPr>
            <w:tcW w:w="4432"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Gain (loss) on sale of assets</w:t>
            </w:r>
          </w:p>
        </w:tc>
        <w:tc>
          <w:tcPr>
            <w:tcW w:w="160" w:type="dxa"/>
            <w:tcBorders/>
            <w:vAlign w:val="bottom"/>
          </w:tcPr>
          <w:p>
            <w:pPr>
              <w:pStyle w:val="TableContents"/>
              <w:bidi w:val="0"/>
              <w:spacing w:before="0" w:after="0"/>
              <w:ind w:left="0" w:right="0" w:hanging="0"/>
              <w:jc w:val="right"/>
              <w:rPr/>
            </w:pPr>
            <w:r>
              <w:rPr/>
              <w:t> </w:t>
            </w:r>
          </w:p>
        </w:tc>
        <w:tc>
          <w:tcPr>
            <w:tcW w:w="874" w:type="dxa"/>
            <w:tcBorders/>
            <w:vAlign w:val="bottom"/>
          </w:tcPr>
          <w:p>
            <w:pPr>
              <w:pStyle w:val="TableContents"/>
              <w:bidi w:val="0"/>
              <w:spacing w:before="0" w:after="0"/>
              <w:ind w:left="0" w:right="65" w:hanging="0"/>
              <w:jc w:val="right"/>
              <w:rPr>
                <w:color w:val="000000"/>
              </w:rPr>
            </w:pPr>
            <w:r>
              <w:rPr>
                <w:color w:val="000000"/>
              </w:rPr>
              <w:t> —</w:t>
            </w:r>
          </w:p>
        </w:tc>
        <w:tc>
          <w:tcPr>
            <w:tcW w:w="60" w:type="dxa"/>
            <w:tcBorders/>
            <w:vAlign w:val="bottom"/>
          </w:tcPr>
          <w:p>
            <w:pPr>
              <w:pStyle w:val="TableContents"/>
              <w:bidi w:val="0"/>
              <w:spacing w:before="0" w:after="0"/>
              <w:ind w:left="0" w:right="0" w:hanging="0"/>
              <w:jc w:val="left"/>
              <w:rPr/>
            </w:pPr>
            <w:r>
              <w:rPr/>
              <w:t> </w:t>
            </w:r>
          </w:p>
        </w:tc>
        <w:tc>
          <w:tcPr>
            <w:tcW w:w="166" w:type="dxa"/>
            <w:tcBorders/>
            <w:vAlign w:val="bottom"/>
          </w:tcPr>
          <w:p>
            <w:pPr>
              <w:pStyle w:val="TableContents"/>
              <w:bidi w:val="0"/>
              <w:spacing w:before="0" w:after="0"/>
              <w:ind w:left="0" w:right="0" w:hanging="0"/>
              <w:jc w:val="right"/>
              <w:rPr/>
            </w:pPr>
            <w:r>
              <w:rPr/>
              <w:t> </w:t>
            </w:r>
          </w:p>
        </w:tc>
        <w:tc>
          <w:tcPr>
            <w:tcW w:w="867"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1,872  </w:t>
            </w:r>
          </w:p>
        </w:tc>
        <w:tc>
          <w:tcPr>
            <w:tcW w:w="60" w:type="dxa"/>
            <w:tcBorders/>
            <w:vAlign w:val="bottom"/>
          </w:tcPr>
          <w:p>
            <w:pPr>
              <w:pStyle w:val="TableContents"/>
              <w:bidi w:val="0"/>
              <w:spacing w:before="0" w:after="0"/>
              <w:ind w:left="0" w:right="0" w:hanging="0"/>
              <w:jc w:val="left"/>
              <w:rPr/>
            </w:pPr>
            <w:r>
              <w:rPr/>
              <w:t> </w:t>
            </w:r>
          </w:p>
        </w:tc>
        <w:tc>
          <w:tcPr>
            <w:tcW w:w="160" w:type="dxa"/>
            <w:tcBorders/>
            <w:vAlign w:val="bottom"/>
          </w:tcPr>
          <w:p>
            <w:pPr>
              <w:pStyle w:val="TableContents"/>
              <w:bidi w:val="0"/>
              <w:spacing w:before="0" w:after="0"/>
              <w:ind w:left="0" w:right="0" w:hanging="0"/>
              <w:jc w:val="right"/>
              <w:rPr/>
            </w:pPr>
            <w:r>
              <w:rPr/>
              <w:t> </w:t>
            </w:r>
          </w:p>
        </w:tc>
        <w:tc>
          <w:tcPr>
            <w:tcW w:w="874" w:type="dxa"/>
            <w:tcBorders/>
            <w:vAlign w:val="bottom"/>
          </w:tcPr>
          <w:p>
            <w:pPr>
              <w:pStyle w:val="TableContents"/>
              <w:bidi w:val="0"/>
              <w:spacing w:before="0" w:after="0"/>
              <w:ind w:left="0" w:right="65" w:hanging="0"/>
              <w:jc w:val="right"/>
              <w:rPr>
                <w:color w:val="000000"/>
              </w:rPr>
            </w:pPr>
            <w:r>
              <w:rPr>
                <w:color w:val="000000"/>
              </w:rPr>
              <w:t> —</w:t>
            </w:r>
          </w:p>
        </w:tc>
        <w:tc>
          <w:tcPr>
            <w:tcW w:w="60" w:type="dxa"/>
            <w:tcBorders/>
            <w:vAlign w:val="bottom"/>
          </w:tcPr>
          <w:p>
            <w:pPr>
              <w:pStyle w:val="TableContents"/>
              <w:bidi w:val="0"/>
              <w:spacing w:before="0" w:after="0"/>
              <w:ind w:left="0" w:right="0" w:hanging="0"/>
              <w:jc w:val="left"/>
              <w:rPr/>
            </w:pPr>
            <w:r>
              <w:rPr/>
              <w:t> </w:t>
            </w:r>
          </w:p>
        </w:tc>
        <w:tc>
          <w:tcPr>
            <w:tcW w:w="165" w:type="dxa"/>
            <w:tcBorders/>
            <w:vAlign w:val="bottom"/>
          </w:tcPr>
          <w:p>
            <w:pPr>
              <w:pStyle w:val="TableContents"/>
              <w:bidi w:val="0"/>
              <w:spacing w:before="0" w:after="0"/>
              <w:ind w:left="0" w:right="0" w:hanging="0"/>
              <w:jc w:val="right"/>
              <w:rPr/>
            </w:pPr>
            <w:r>
              <w:rPr/>
              <w:t> </w:t>
            </w:r>
          </w:p>
        </w:tc>
        <w:tc>
          <w:tcPr>
            <w:tcW w:w="887"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8,398  </w:t>
            </w:r>
          </w:p>
        </w:tc>
      </w:tr>
      <w:tr>
        <w:trPr/>
        <w:tc>
          <w:tcPr>
            <w:tcW w:w="4432" w:type="dxa"/>
            <w:tcBorders/>
            <w:shd w:fill="CCEEFF"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Other (expense) income</w:t>
            </w:r>
          </w:p>
        </w:tc>
        <w:tc>
          <w:tcPr>
            <w:tcW w:w="160" w:type="dxa"/>
            <w:tcBorders>
              <w:bottom w:val="single" w:sz="8" w:space="0" w:color="000000"/>
            </w:tcBorders>
            <w:shd w:fill="CCEEFF" w:val="clear"/>
            <w:tcMar>
              <w:bottom w:w="28" w:type="dxa"/>
            </w:tcMar>
            <w:vAlign w:val="bottom"/>
          </w:tcPr>
          <w:p>
            <w:pPr>
              <w:pStyle w:val="TableContents"/>
              <w:bidi w:val="0"/>
              <w:spacing w:before="0" w:after="0"/>
              <w:ind w:left="0" w:right="0" w:hanging="0"/>
              <w:jc w:val="right"/>
              <w:rPr/>
            </w:pPr>
            <w:r>
              <w:rPr/>
              <w:t> </w:t>
            </w:r>
          </w:p>
        </w:tc>
        <w:tc>
          <w:tcPr>
            <w:tcW w:w="874"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294  </w:t>
            </w:r>
          </w:p>
        </w:tc>
        <w:tc>
          <w:tcPr>
            <w:tcW w:w="60" w:type="dxa"/>
            <w:tcBorders/>
            <w:shd w:fill="CCEEFF" w:val="clear"/>
            <w:vAlign w:val="bottom"/>
          </w:tcPr>
          <w:p>
            <w:pPr>
              <w:pStyle w:val="TableContents"/>
              <w:bidi w:val="0"/>
              <w:spacing w:before="0" w:after="0"/>
              <w:ind w:left="0" w:right="0" w:hanging="0"/>
              <w:jc w:val="left"/>
              <w:rPr/>
            </w:pPr>
            <w:r>
              <w:rPr/>
              <w:t> </w:t>
            </w:r>
          </w:p>
        </w:tc>
        <w:tc>
          <w:tcPr>
            <w:tcW w:w="166" w:type="dxa"/>
            <w:tcBorders>
              <w:bottom w:val="single" w:sz="8" w:space="0" w:color="000000"/>
            </w:tcBorders>
            <w:shd w:fill="CCEEFF" w:val="clear"/>
            <w:tcMar>
              <w:bottom w:w="28" w:type="dxa"/>
            </w:tcMar>
            <w:vAlign w:val="bottom"/>
          </w:tcPr>
          <w:p>
            <w:pPr>
              <w:pStyle w:val="TableContents"/>
              <w:bidi w:val="0"/>
              <w:spacing w:before="0" w:after="0"/>
              <w:ind w:left="0" w:right="0" w:hanging="0"/>
              <w:jc w:val="right"/>
              <w:rPr/>
            </w:pPr>
            <w:r>
              <w:rPr/>
              <w:t> </w:t>
            </w:r>
          </w:p>
        </w:tc>
        <w:tc>
          <w:tcPr>
            <w:tcW w:w="867"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(2,273) </w:t>
            </w:r>
          </w:p>
        </w:tc>
        <w:tc>
          <w:tcPr>
            <w:tcW w:w="60" w:type="dxa"/>
            <w:tcBorders/>
            <w:shd w:fill="CCEEFF" w:val="clear"/>
            <w:vAlign w:val="bottom"/>
          </w:tcPr>
          <w:p>
            <w:pPr>
              <w:pStyle w:val="TableContents"/>
              <w:bidi w:val="0"/>
              <w:spacing w:before="0" w:after="0"/>
              <w:ind w:left="0" w:right="0" w:hanging="0"/>
              <w:jc w:val="left"/>
              <w:rPr/>
            </w:pPr>
            <w:r>
              <w:rPr/>
              <w:t> </w:t>
            </w:r>
          </w:p>
        </w:tc>
        <w:tc>
          <w:tcPr>
            <w:tcW w:w="160" w:type="dxa"/>
            <w:tcBorders>
              <w:bottom w:val="single" w:sz="8" w:space="0" w:color="000000"/>
            </w:tcBorders>
            <w:shd w:fill="CCEEFF" w:val="clear"/>
            <w:tcMar>
              <w:bottom w:w="28" w:type="dxa"/>
            </w:tcMar>
            <w:vAlign w:val="bottom"/>
          </w:tcPr>
          <w:p>
            <w:pPr>
              <w:pStyle w:val="TableContents"/>
              <w:bidi w:val="0"/>
              <w:spacing w:before="0" w:after="0"/>
              <w:ind w:left="0" w:right="0" w:hanging="0"/>
              <w:jc w:val="right"/>
              <w:rPr/>
            </w:pPr>
            <w:r>
              <w:rPr/>
              <w:t> </w:t>
            </w:r>
          </w:p>
        </w:tc>
        <w:tc>
          <w:tcPr>
            <w:tcW w:w="874"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(194) </w:t>
            </w:r>
          </w:p>
        </w:tc>
        <w:tc>
          <w:tcPr>
            <w:tcW w:w="60" w:type="dxa"/>
            <w:tcBorders/>
            <w:shd w:fill="CCEEFF" w:val="clear"/>
            <w:vAlign w:val="bottom"/>
          </w:tcPr>
          <w:p>
            <w:pPr>
              <w:pStyle w:val="TableContents"/>
              <w:bidi w:val="0"/>
              <w:spacing w:before="0" w:after="0"/>
              <w:ind w:left="0" w:right="0" w:hanging="0"/>
              <w:jc w:val="left"/>
              <w:rPr/>
            </w:pPr>
            <w:r>
              <w:rPr/>
              <w:t> </w:t>
            </w:r>
          </w:p>
        </w:tc>
        <w:tc>
          <w:tcPr>
            <w:tcW w:w="165" w:type="dxa"/>
            <w:tcBorders>
              <w:bottom w:val="single" w:sz="8" w:space="0" w:color="000000"/>
            </w:tcBorders>
            <w:shd w:fill="CCEEFF" w:val="clear"/>
            <w:tcMar>
              <w:bottom w:w="28" w:type="dxa"/>
            </w:tcMar>
            <w:vAlign w:val="bottom"/>
          </w:tcPr>
          <w:p>
            <w:pPr>
              <w:pStyle w:val="TableContents"/>
              <w:bidi w:val="0"/>
              <w:spacing w:before="0" w:after="0"/>
              <w:ind w:left="0" w:right="0" w:hanging="0"/>
              <w:jc w:val="right"/>
              <w:rPr/>
            </w:pPr>
            <w:r>
              <w:rPr/>
              <w:t> </w:t>
            </w:r>
          </w:p>
        </w:tc>
        <w:tc>
          <w:tcPr>
            <w:tcW w:w="887"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(2,607) </w:t>
            </w:r>
          </w:p>
        </w:tc>
      </w:tr>
      <w:tr>
        <w:trPr/>
        <w:tc>
          <w:tcPr>
            <w:tcW w:w="4432" w:type="dxa"/>
            <w:tcBorders/>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Income (loss) before income taxes</w:t>
            </w:r>
          </w:p>
        </w:tc>
        <w:tc>
          <w:tcPr>
            <w:tcW w:w="160"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74"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3,811  </w:t>
            </w:r>
          </w:p>
        </w:tc>
        <w:tc>
          <w:tcPr>
            <w:tcW w:w="60" w:type="dxa"/>
            <w:tcBorders/>
            <w:vAlign w:val="bottom"/>
          </w:tcPr>
          <w:p>
            <w:pPr>
              <w:pStyle w:val="TableContents"/>
              <w:bidi w:val="0"/>
              <w:spacing w:before="0" w:after="0"/>
              <w:ind w:left="0" w:right="0" w:hanging="0"/>
              <w:jc w:val="left"/>
              <w:rPr/>
            </w:pPr>
            <w:r>
              <w:rPr/>
              <w:t> </w:t>
            </w:r>
          </w:p>
        </w:tc>
        <w:tc>
          <w:tcPr>
            <w:tcW w:w="166"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67"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(1,579) </w:t>
            </w:r>
          </w:p>
        </w:tc>
        <w:tc>
          <w:tcPr>
            <w:tcW w:w="60" w:type="dxa"/>
            <w:tcBorders/>
            <w:vAlign w:val="bottom"/>
          </w:tcPr>
          <w:p>
            <w:pPr>
              <w:pStyle w:val="TableContents"/>
              <w:bidi w:val="0"/>
              <w:spacing w:before="0" w:after="0"/>
              <w:ind w:left="0" w:right="0" w:hanging="0"/>
              <w:jc w:val="left"/>
              <w:rPr/>
            </w:pPr>
            <w:r>
              <w:rPr/>
              <w:t> </w:t>
            </w:r>
          </w:p>
        </w:tc>
        <w:tc>
          <w:tcPr>
            <w:tcW w:w="160"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74"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(4,466) </w:t>
            </w:r>
          </w:p>
        </w:tc>
        <w:tc>
          <w:tcPr>
            <w:tcW w:w="60" w:type="dxa"/>
            <w:tcBorders/>
            <w:vAlign w:val="bottom"/>
          </w:tcPr>
          <w:p>
            <w:pPr>
              <w:pStyle w:val="TableContents"/>
              <w:bidi w:val="0"/>
              <w:spacing w:before="0" w:after="0"/>
              <w:ind w:left="0" w:right="0" w:hanging="0"/>
              <w:jc w:val="left"/>
              <w:rPr/>
            </w:pPr>
            <w:r>
              <w:rPr/>
              <w:t> </w:t>
            </w:r>
          </w:p>
        </w:tc>
        <w:tc>
          <w:tcPr>
            <w:tcW w:w="165" w:type="dxa"/>
            <w:tcBorders>
              <w:top w:val="single" w:sz="8" w:space="0" w:color="000000"/>
              <w:bottom w:val="single" w:sz="12"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887" w:type="dxa"/>
            <w:tcBorders>
              <w:top w:val="single" w:sz="8" w:space="0" w:color="000000"/>
              <w:bottom w:val="single" w:sz="12"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(6,998) </w:t>
            </w:r>
          </w:p>
        </w:tc>
      </w:tr>
    </w:tbl>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7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both"/>
        <w:rPr>
          <w:rFonts w:ascii="Times New Roman" w:hAnsi="Times New Roman"/>
          <w:b/>
          <w:sz w:val="22"/>
          <w:u w:val="single"/>
        </w:rPr>
      </w:pPr>
      <w:bookmarkStart w:id="13" w:name="_Hlk174282042"/>
      <w:bookmarkEnd w:id="13"/>
      <w:r>
        <w:rPr>
          <w:rFonts w:ascii="Times New Roman" w:hAnsi="Times New Roman"/>
          <w:b/>
          <w:sz w:val="22"/>
          <w:u w:val="single"/>
        </w:rPr>
        <w:t xml:space="preserve">Non-GAAP Financial Measures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This Earnings Release presents total segment operating income (loss), EBITDA, and Adjusted EBITDA, which are important financial measures for our Company, but are not financial measures defined by U.S. GAAP.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720" w:right="720" w:hanging="0"/>
        <w:jc w:val="both"/>
        <w:rPr>
          <w:rFonts w:ascii="Times New Roman" w:hAnsi="Times New Roman"/>
          <w:sz w:val="22"/>
        </w:rPr>
      </w:pPr>
      <w:r>
        <w:rPr>
          <w:rFonts w:ascii="Times New Roman" w:hAnsi="Times New Roman"/>
          <w:sz w:val="22"/>
        </w:rPr>
        <w:t xml:space="preserve">These measures should be reviewed in conjunction with the relevant U.S. GAAP financial measures and are not presented as alternative measures of earnings (loss) per share, cash flows or net income (loss) as determined in accordance with U.S. GAAP. Total segment operating income (loss) and EBITDA, as we have calculated them, may not be comparable to similarly titled measures reported by other companies. </w:t>
      </w:r>
    </w:p>
    <w:p>
      <w:pPr>
        <w:pStyle w:val="TextBody"/>
        <w:bidi w:val="0"/>
        <w:spacing w:before="0" w:after="0"/>
        <w:ind w:left="72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b/>
          <w:i/>
          <w:sz w:val="22"/>
        </w:rPr>
        <w:t xml:space="preserve">Total segment operating income (loss) </w:t>
      </w:r>
      <w:r>
        <w:rPr>
          <w:rFonts w:ascii="Times New Roman" w:hAnsi="Times New Roman"/>
          <w:sz w:val="22"/>
        </w:rPr>
        <w:t xml:space="preserve">– We evaluate the performance of our business segments based on segment operating income (loss), and management uses total segment operating income (loss) as a measure of the performance of operating businesses separate from non-operating factors. We believe that information about total segment operating income (loss) assists investors by allowing them to evaluate changes in the operating results of our Company’s business separate from non-operational factors that affect net income (loss), thus providing separate insight into both operations and the other factors that affect reported results. </w:t>
      </w:r>
    </w:p>
    <w:p>
      <w:pPr>
        <w:pStyle w:val="TextBody"/>
        <w:bidi w:val="0"/>
        <w:spacing w:before="0" w:after="0"/>
        <w:ind w:left="108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b/>
          <w:i/>
          <w:sz w:val="22"/>
        </w:rPr>
        <w:t>EBITDA</w:t>
      </w:r>
      <w:r>
        <w:rPr>
          <w:rFonts w:ascii="Times New Roman" w:hAnsi="Times New Roman"/>
          <w:sz w:val="22"/>
        </w:rPr>
        <w:t xml:space="preserve"> – We use EBITDA in the evaluation of our Company’s performance since we believe that EBITDA provides a useful measure of financial performance and value. We believe this principally for the following reasons: </w:t>
      </w:r>
    </w:p>
    <w:p>
      <w:pPr>
        <w:pStyle w:val="TextBody"/>
        <w:bidi w:val="0"/>
        <w:spacing w:before="0" w:after="0"/>
        <w:ind w:left="108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sz w:val="22"/>
        </w:rPr>
        <w:t xml:space="preserve">We believe that EBITDA is an accepted industry-wide comparative measure of financial performance. It is, in our experience, a measure commonly adopted by analysts and financial commentators who report upon the cinema exhibition and real estate industries, and it is also a measure used by financial institutions in underwriting the creditworthiness of companies in these industries. Accordingly, our management monitors this calculation as a method of judging our performance against our peers, market expectations, and our creditworthiness. It is widely accepted that analysts, financial commentators, and persons active in the cinema exhibition and real estate industries typically value enterprises engaged in these businesses at various multiples of EBITDA. Accordingly, we find EBITDA valuable as an indicator of the underlying value of our businesses. We expect that investors may use EBITDA to judge our ability to generate cash, as a basis of comparison to other companies engaged in the cinema exhibition and real estate businesses and as a basis to value our company against such other companies. </w:t>
      </w:r>
    </w:p>
    <w:p>
      <w:pPr>
        <w:pStyle w:val="TextBody"/>
        <w:bidi w:val="0"/>
        <w:spacing w:before="0" w:after="0"/>
        <w:ind w:left="108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sz w:val="22"/>
        </w:rPr>
        <w:t xml:space="preserve">EBITDA is not a measurement of financial performance under generally accepted accounting principles in the United States of America and it should not be considered in isolation or construed as a substitute for net income (loss) or other operations data or cash flow data prepared in accordance with generally accepted accounting principles in the United States for purposes of analyzing our profitability. The exclusion of various components, such as interest, taxes, depreciation, and amortization, limits the usefulness of these measures when assessing our financial performance, as not all funds depicted by EBITDA are available for management’s discretionary use. For example, a substantial portion of such funds may be subject to contractual restrictions and functional requirements to service debt, to fund necessary capital expenditures, and to meet other commitments from time to time. </w:t>
      </w:r>
    </w:p>
    <w:p>
      <w:pPr>
        <w:pStyle w:val="TextBody"/>
        <w:bidi w:val="0"/>
        <w:spacing w:before="0" w:after="0"/>
        <w:ind w:left="108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sz w:val="22"/>
        </w:rPr>
        <w:t xml:space="preserve">EBITDA also fails to take into account the cost of interest and taxes. Interest is clearly a real cost that for us is paid periodically as accrued. Taxes may or may not be a current cash item but are nevertheless real costs that, in most situations, must eventually be paid. A company that realizes taxable earnings in high tax jurisdictions may, ultimately, be less valuable than a company that realizes the same amount of taxable earnings in a low tax jurisdiction. EBITDA fails to take into account the cost of depreciation and amortization and the fact that assets will eventually wear out and have to be replaced. </w:t>
      </w:r>
    </w:p>
    <w:p>
      <w:pPr>
        <w:pStyle w:val="TextBody"/>
        <w:bidi w:val="0"/>
        <w:spacing w:before="0" w:after="0"/>
        <w:ind w:left="1080" w:right="720" w:hanging="0"/>
        <w:jc w:val="both"/>
        <w:rPr>
          <w:rFonts w:cs="Times New Roman"/>
          <w:szCs w:val="22"/>
        </w:rPr>
      </w:pPr>
      <w:r>
        <w:rPr>
          <w:rFonts w:cs="Times New Roman"/>
          <w:szCs w:val="22"/>
        </w:rPr>
        <w:t xml:space="preserve">﻿ </w:t>
      </w:r>
    </w:p>
    <w:p>
      <w:pPr>
        <w:pStyle w:val="TextBody"/>
        <w:bidi w:val="0"/>
        <w:spacing w:before="0" w:after="0"/>
        <w:ind w:left="1080" w:right="720" w:hanging="0"/>
        <w:jc w:val="both"/>
        <w:rPr>
          <w:rFonts w:ascii="Times New Roman" w:hAnsi="Times New Roman"/>
          <w:sz w:val="22"/>
        </w:rPr>
      </w:pPr>
      <w:r>
        <w:rPr>
          <w:rFonts w:ascii="Times New Roman" w:hAnsi="Times New Roman"/>
          <w:b/>
          <w:i/>
          <w:sz w:val="22"/>
        </w:rPr>
        <w:t>Adjusted EBITDA</w:t>
      </w:r>
      <w:r>
        <w:rPr>
          <w:rFonts w:ascii="Times New Roman" w:hAnsi="Times New Roman"/>
          <w:sz w:val="22"/>
        </w:rPr>
        <w:t xml:space="preserve"> – using the principles we consistently apply to determine our EBITDA, we further adjusted the EBITDA for certain items we believe to be external to our core business and not reflective of our costs of doing business or results of operation. Specifically, we have adjusted for (i) legal expenses relating to extraordinary litigation, and (ii) any other items that can be considered non-recurring in accordance with the two-year SEC requirement for determining an item is non-recurring, infrequent or unusual in nature. </w:t>
      </w:r>
    </w:p>
    <w:p>
      <w:pPr>
        <w:pStyle w:val="TextBody"/>
        <w:bidi w:val="0"/>
        <w:spacing w:before="0" w:after="0"/>
        <w:ind w:left="1080" w:right="720" w:hanging="0"/>
        <w:jc w:val="both"/>
        <w:rPr>
          <w:rFonts w:cs="Times New Roman"/>
          <w:szCs w:val="20"/>
        </w:rPr>
      </w:pPr>
      <w:r>
        <w:rPr>
          <w:rFonts w:cs="Times New Roman"/>
          <w:szCs w:val="20"/>
        </w:rPr>
        <w:t xml:space="preserve">﻿ </w:t>
      </w:r>
    </w:p>
    <w:p>
      <w:pPr>
        <w:pStyle w:val="TextBody"/>
        <w:bidi w:val="0"/>
        <w:spacing w:before="0" w:after="0"/>
        <w:ind w:left="720" w:right="720" w:hanging="0"/>
        <w:jc w:val="center"/>
        <w:rPr>
          <w:rFonts w:ascii="Times New Roman" w:hAnsi="Times New Roman"/>
          <w:sz w:val="20"/>
        </w:rPr>
      </w:pPr>
      <w:r>
        <w:rPr>
          <w:rFonts w:ascii="Times New Roman" w:hAnsi="Times New Roman"/>
          <w:sz w:val="20"/>
        </w:rPr>
        <w:t xml:space="preserve">8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nherit">
    <w:charset w:val="01"/>
    <w:family w:val="auto"/>
    <w:pitch w:val="default"/>
  </w:font>
  <w:font w:name="Times New Roman">
    <w:charset w:val="01"/>
    <w:family w:val="auto"/>
    <w:pitch w:val="default"/>
  </w:font>
  <w:font w:name="Wingdings">
    <w:charset w:val="02"/>
    <w:family w:val="auto"/>
    <w:pitch w:val="default"/>
  </w:font>
  <w:font w:name="Symbol">
    <w:charset w:val="02"/>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4733</Words>
  <Characters>24876</Characters>
  <CharactersWithSpaces>30437</CharactersWithSpaces>
  <Paragraphs>1849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