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3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(Amendment No. __)</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660" w:hanging="25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 w:lineRule="exact"/>
        <w:rPr>
          <w:rFonts w:ascii="MS PGothic" w:cs="MS PGothic" w:eastAsia="MS PGothic" w:hAnsi="MS PGothic"/>
          <w:sz w:val="18"/>
          <w:szCs w:val="18"/>
          <w:color w:val="auto"/>
        </w:rPr>
      </w:pPr>
    </w:p>
    <w:p>
      <w:pPr>
        <w:ind w:left="400" w:right="4540" w:firstLine="2"/>
        <w:spacing w:after="0" w:line="215" w:lineRule="exact"/>
        <w:tabs>
          <w:tab w:leader="none" w:pos="6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660" w:hanging="25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660" w:hanging="25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Sec. 240.14a-12</w:t>
      </w:r>
    </w:p>
    <w:p>
      <w:pPr>
        <w:spacing w:after="0" w:line="230"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READING INTERNATIONAL, INC.</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(Name of Registrant as Specified In Its Charter)</w:t>
      </w:r>
    </w:p>
    <w:p>
      <w:pPr>
        <w:spacing w:after="0" w:line="23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18"/>
          <w:szCs w:val="18"/>
          <w:color w:val="auto"/>
        </w:rPr>
      </w:pPr>
    </w:p>
    <w:p>
      <w:pPr>
        <w:ind w:left="1280" w:hanging="70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 w:lineRule="exact"/>
        <w:rPr>
          <w:rFonts w:ascii="Arial" w:cs="Arial" w:eastAsia="Arial" w:hAnsi="Arial"/>
          <w:sz w:val="18"/>
          <w:szCs w:val="18"/>
          <w:color w:val="auto"/>
        </w:rPr>
      </w:pPr>
    </w:p>
    <w:p>
      <w:pPr>
        <w:ind w:left="1280" w:hanging="70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 w:lineRule="exact"/>
        <w:rPr>
          <w:rFonts w:ascii="Arial" w:cs="Arial" w:eastAsia="Arial" w:hAnsi="Arial"/>
          <w:sz w:val="18"/>
          <w:szCs w:val="18"/>
          <w:color w:val="auto"/>
        </w:rPr>
      </w:pPr>
    </w:p>
    <w:p>
      <w:pPr>
        <w:ind w:left="1280" w:right="3260" w:hanging="708"/>
        <w:spacing w:after="0" w:line="255" w:lineRule="auto"/>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280" w:hanging="70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rFonts w:ascii="Arial" w:cs="Arial" w:eastAsia="Arial" w:hAnsi="Arial"/>
          <w:sz w:val="18"/>
          <w:szCs w:val="18"/>
          <w:color w:val="auto"/>
        </w:rPr>
      </w:pPr>
    </w:p>
    <w:p>
      <w:pPr>
        <w:ind w:left="1280" w:hanging="70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4" w:lineRule="exact"/>
        <w:rPr>
          <w:rFonts w:ascii="MS PGothic" w:cs="MS PGothic" w:eastAsia="MS PGothic" w:hAnsi="MS PGothic"/>
          <w:sz w:val="18"/>
          <w:szCs w:val="18"/>
          <w:color w:val="auto"/>
        </w:rPr>
      </w:pPr>
    </w:p>
    <w:p>
      <w:pPr>
        <w:ind w:left="580" w:hanging="572"/>
        <w:spacing w:after="0" w:line="263"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80" w:hanging="70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rFonts w:ascii="Arial" w:cs="Arial" w:eastAsia="Arial" w:hAnsi="Arial"/>
          <w:sz w:val="18"/>
          <w:szCs w:val="18"/>
          <w:color w:val="auto"/>
        </w:rPr>
      </w:pPr>
    </w:p>
    <w:p>
      <w:pPr>
        <w:ind w:left="1280" w:hanging="70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 w:lineRule="exact"/>
        <w:rPr>
          <w:rFonts w:ascii="Arial" w:cs="Arial" w:eastAsia="Arial" w:hAnsi="Arial"/>
          <w:sz w:val="18"/>
          <w:szCs w:val="18"/>
          <w:color w:val="auto"/>
        </w:rPr>
      </w:pPr>
    </w:p>
    <w:p>
      <w:pPr>
        <w:ind w:left="1280" w:hanging="70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 w:lineRule="exact"/>
        <w:rPr>
          <w:rFonts w:ascii="Arial" w:cs="Arial" w:eastAsia="Arial" w:hAnsi="Arial"/>
          <w:sz w:val="18"/>
          <w:szCs w:val="18"/>
          <w:color w:val="auto"/>
        </w:rPr>
      </w:pPr>
    </w:p>
    <w:p>
      <w:pPr>
        <w:ind w:left="1280" w:hanging="708"/>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5126355</wp:posOffset>
            </wp:positionH>
            <wp:positionV relativeFrom="paragraph">
              <wp:posOffset>-1880235</wp:posOffset>
            </wp:positionV>
            <wp:extent cx="21253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5345" cy="1714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-1726565</wp:posOffset>
            </wp:positionV>
            <wp:extent cx="21253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5345" cy="1714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-1316990</wp:posOffset>
            </wp:positionV>
            <wp:extent cx="21253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5345" cy="1714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-1163320</wp:posOffset>
            </wp:positionV>
            <wp:extent cx="2125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5345" cy="1714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-1009650</wp:posOffset>
            </wp:positionV>
            <wp:extent cx="21253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5345" cy="171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-445770</wp:posOffset>
            </wp:positionV>
            <wp:extent cx="31324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32455" cy="171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-292100</wp:posOffset>
            </wp:positionV>
            <wp:extent cx="31324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2455" cy="171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-139065</wp:posOffset>
            </wp:positionV>
            <wp:extent cx="31324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32455" cy="171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13970</wp:posOffset>
            </wp:positionV>
            <wp:extent cx="31324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32455"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259715</wp:posOffset>
            </wp:positionV>
            <wp:extent cx="7251065" cy="44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44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772160</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40"/>
          </w:cols>
          <w:pgMar w:left="240" w:top="551"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2700655</wp:posOffset>
            </wp:positionH>
            <wp:positionV relativeFrom="page">
              <wp:posOffset>336550</wp:posOffset>
            </wp:positionV>
            <wp:extent cx="2167890" cy="1049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67890" cy="10496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 Citadel Drive, Suite 300</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Commerce, California 90040</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THURSDAY, MAY 13, 2010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2010 Annual Meeting of Stockholders (the “Annual Meeting”) of Reading International, Inc., a Nevada corporation, will be held at Montage Beverly Hills, 225 North Canon Drive, Beverly Hills, California, on Thursday, May 13, 2010, at 11:00 a.m., local time for the following purposes:</w:t>
      </w:r>
    </w:p>
    <w:p>
      <w:pPr>
        <w:spacing w:after="0" w:line="198" w:lineRule="exact"/>
        <w:rPr>
          <w:sz w:val="20"/>
          <w:szCs w:val="20"/>
          <w:color w:val="auto"/>
        </w:rPr>
      </w:pPr>
    </w:p>
    <w:p>
      <w:pPr>
        <w:ind w:left="980" w:hanging="2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adoption of the Reading International, Inc. 2010 Stock Incentive Plan;</w:t>
      </w:r>
    </w:p>
    <w:p>
      <w:pPr>
        <w:spacing w:after="0" w:line="250" w:lineRule="exact"/>
        <w:rPr>
          <w:rFonts w:ascii="Arial" w:cs="Arial" w:eastAsia="Arial" w:hAnsi="Arial"/>
          <w:sz w:val="18"/>
          <w:szCs w:val="18"/>
          <w:color w:val="auto"/>
        </w:rPr>
      </w:pPr>
    </w:p>
    <w:p>
      <w:pPr>
        <w:ind w:left="980" w:hanging="2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to our Board of Directors to serve until the 2011 Annual Meeting of Stockholders; and</w:t>
      </w:r>
    </w:p>
    <w:p>
      <w:pPr>
        <w:spacing w:after="0" w:line="250" w:lineRule="exact"/>
        <w:rPr>
          <w:rFonts w:ascii="Arial" w:cs="Arial" w:eastAsia="Arial" w:hAnsi="Arial"/>
          <w:sz w:val="18"/>
          <w:szCs w:val="18"/>
          <w:color w:val="auto"/>
        </w:rPr>
      </w:pPr>
    </w:p>
    <w:p>
      <w:pPr>
        <w:ind w:left="980" w:hanging="22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50"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A copy of our Annual Report on Form 10-K for the fiscal year ended December 31, 2009 is enclosed. Only holders of our class B voting common stock at the close of business on March 24, 2010 are entitled to notice of and to vote at the meeting and any adjournment or postponement thereof.</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you hold shares of our class B voting common stock, you will have received a proxy card enclosed with this notice. Whether or not you expect to attend the Annual Meeting in person, please complete, sign, and date the enclosed proxy card and return it promptly in the accompanying postage prepaid envelope to ensure that your shares will be represented at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13970</wp:posOffset>
            </wp:positionV>
            <wp:extent cx="1160780" cy="537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0780"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James J. Cotter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April 13,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7312660" cy="379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660" cy="379730"/>
                    </a:xfrm>
                    <a:prstGeom prst="rect">
                      <a:avLst/>
                    </a:prstGeom>
                    <a:noFill/>
                  </pic:spPr>
                </pic:pic>
              </a:graphicData>
            </a:graphic>
          </wp:anchor>
        </w:drawing>
      </w:r>
    </w:p>
    <w:p>
      <w:pPr>
        <w:spacing w:after="0" w:line="307" w:lineRule="exact"/>
        <w:rPr>
          <w:sz w:val="20"/>
          <w:szCs w:val="20"/>
          <w:color w:val="auto"/>
        </w:rPr>
      </w:pPr>
    </w:p>
    <w:p>
      <w:pPr>
        <w:jc w:val="center"/>
        <w:ind w:left="420" w:right="160"/>
        <w:spacing w:after="0" w:line="280" w:lineRule="auto"/>
        <w:rPr>
          <w:sz w:val="20"/>
          <w:szCs w:val="20"/>
          <w:color w:val="auto"/>
        </w:rPr>
      </w:pPr>
      <w:r>
        <w:rPr>
          <w:rFonts w:ascii="Arial" w:cs="Arial" w:eastAsia="Arial" w:hAnsi="Arial"/>
          <w:sz w:val="18"/>
          <w:szCs w:val="18"/>
          <w:b w:val="1"/>
          <w:bCs w:val="1"/>
          <w:color w:val="auto"/>
        </w:rPr>
        <w:t>PLEASE SIGN AND DATE THE ENCLOSED PROXY CARD AND MAIL IT PROMPTLY IN THE ENCLOSED RETURN ENVELOPE TO ENSURE THAT YOUR VOTES ARE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436880</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2700655</wp:posOffset>
            </wp:positionH>
            <wp:positionV relativeFrom="page">
              <wp:posOffset>336550</wp:posOffset>
            </wp:positionV>
            <wp:extent cx="2167890" cy="1049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67890" cy="10496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 Citadel Drive, Suite 300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Commerce, California 90040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Thursday, May 13, 2010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Reading International, Inc. (the “company,” “Reading,” “we,” “us,” or “our”) of proxies for use at our upcoming Annual Meeting of Stockholders (the “Annual Meeting”) to be held on Thursday, May 13, 2010, at 11:00 a.m., local time, at Montage Beverly Hills, 225 North Canon Drive, Beverly Hills, California, and at any adjournment or postponement thereof. This proxy statement and form of proxy are first being sent or given to stockholders on or about April 16, 2010.</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our Annual Meeting, you will be asked to (1) approve the adoption of the 2010 Stock Incentive Plan described herein and (2) elect eight directors to our Board of Directors to serve until the 2011 Annual Meeting of Stockholders.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24, 2010 (the “Record Date”), James J. Cotter, our Chairman and Chief Executive Officer, owned directly or indirectly, 1,023,888 shares of our class B voting common stock (“Class B Stock”), which represent a majority of the outstanding voting rights of the Company. Accordingly, Mr. Cotter has the power, acting alone and without the support or approval of any of our other stockholders, to determine the outcome of the proposal to approve the adoption of the 2010 Stock Incentive Plan, as well as the election of directors at the Annual Meeting. Mr. Cotter has advised us that he intends to vote in favor of both proposals described herein.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PROXIES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 I eligible to vote?</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you owned shares of Class B Stock on the Record Date, you are eligible to vote, and you should have received a proxy card enclosed with this notice. If you did not receive a proxy card, please contact our Corporate Secretary, Kathryn Smith, at (213) 235-2236.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own Class A Stock?</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Holders of our class A nonvoting common stock (“Class A Stock”) on the Record Date do not have voting rights with respect to the matters to be brought before the stockholders at this meeting.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With respect to each matter to be considered at the Annual Meeting, you will have one vote for each share of Class B Stock that you owned on the Record Date. On that date, there were outstanding 1,495,490 shares of Class B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in person?</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You may vote in person by attending the 2010 Annual Meeting. If you are not the record holder of your shares, please refer to the discussion following the questions “What if I am not the record holder of my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by proxy?</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vote by proxy, you should complete, sign and date the enclosed proxy card and return it promptly in the enclosed postage-paid envelope.</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be able to vote in accordance with your instructions at the Annual Meeting, we must receive your proxy as soon as possible, and before the Annual Meeting. We will vote at the Annual Meeting in accordance with the instructions given to us in properly executed proxies. If you execute and return the enclosed proxy card without marking instructions, we will vote “FOR” each of the nominees for director. Although we do not know of any other matter to be acted upon at the Annual Meeting, the individuals indicated on your proxy card may vote in accordance with their judgment with respect to any other matters that may properly come before the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I plan to attend the Annual Meeting, should I still submit a proxy?</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Whether or not you plan to attend the Annual Meeting, we urge you to submit a proxy. Execution of a proxy will not in any way affect your right to attend the Annual Meeting and vote in person.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want to revoke my proxy?</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have the right to revoke your proxy at any time before it is voted on your behalf by:</w:t>
      </w:r>
    </w:p>
    <w:p>
      <w:pPr>
        <w:spacing w:after="0" w:line="250" w:lineRule="exact"/>
        <w:rPr>
          <w:sz w:val="20"/>
          <w:szCs w:val="20"/>
          <w:color w:val="auto"/>
        </w:rPr>
      </w:pPr>
    </w:p>
    <w:p>
      <w:pPr>
        <w:ind w:left="980" w:hanging="139"/>
        <w:spacing w:after="0" w:line="27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Corporate Secretary at our address at 500 Citadel Drive, Suite 300, Commerce, California 90040, prior to the commencement of the Annual Meeting, a duly executed instrument dated subsequent to such proxy revoking the same;</w:t>
      </w:r>
    </w:p>
    <w:p>
      <w:pPr>
        <w:spacing w:after="0" w:line="197" w:lineRule="exact"/>
        <w:rPr>
          <w:rFonts w:ascii="Arial" w:cs="Arial" w:eastAsia="Arial" w:hAnsi="Arial"/>
          <w:sz w:val="18"/>
          <w:szCs w:val="18"/>
          <w:color w:val="auto"/>
        </w:rPr>
      </w:pPr>
    </w:p>
    <w:p>
      <w:pPr>
        <w:ind w:left="980" w:hanging="13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submitting a duly executed proxy bearing a later date; or</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am not the record holder of my shares?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If your shares are held in the name of a brokerage firm, bank nominee, or other institution, only it can give a proxy with respect to your shares. You should receive a proxy card from your bank or broker, which you must return in the envelope provided in order to have your shares voted.</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If you do not have record ownership of your shares and want to vote in person at the Annual Meeting, you must obtain a document called a “legal proxy” from the record holder of your shares and bring it with you to the Annual Meeting.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Proxy Solicitation and Expenses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the solicitation by mail, our employees may solicit proxies in person or by telephone, but no additional compensation will be paid to them for such services. We will bear all costs of soliciting proxies on behalf of our Board of Directors and will reimburse persons holding shares in their own names or in the names of their nominees, but not owning such shares beneficially, for the expenses of forwarding solicitation materials to the beneficial owners. We estimate that the costs of soliciting proxies will total approximately $17,000.</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presence in person or by proxy of the holders of a majority of our outstanding shares of Class B Stock will constitute a quorum. Abstentions will be counted for purposes of determining the presence of a quorum, as will broker non-votes, provided authority is given to attend the meeting or to vote on any matter to come before the meeting. Directors are elected by a plurality vote, so abstentions and broker non-votes will not affect the outcome of the election of directors.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APPROVAL OF ADOPTION OF THE 2010 STOCK INCENTIVE PLAN</w:t>
      </w:r>
    </w:p>
    <w:p>
      <w:pPr>
        <w:spacing w:after="0" w:line="254" w:lineRule="exact"/>
        <w:rPr>
          <w:sz w:val="20"/>
          <w:szCs w:val="20"/>
          <w:color w:val="auto"/>
        </w:rPr>
      </w:pPr>
    </w:p>
    <w:p>
      <w:pPr>
        <w:jc w:val="both"/>
        <w:ind w:right="220" w:firstLine="645"/>
        <w:spacing w:after="0" w:line="258" w:lineRule="auto"/>
        <w:rPr>
          <w:sz w:val="20"/>
          <w:szCs w:val="20"/>
          <w:color w:val="auto"/>
        </w:rPr>
      </w:pPr>
      <w:r>
        <w:rPr>
          <w:rFonts w:ascii="Arial" w:cs="Arial" w:eastAsia="Arial" w:hAnsi="Arial"/>
          <w:sz w:val="18"/>
          <w:szCs w:val="18"/>
          <w:color w:val="auto"/>
        </w:rPr>
        <w:t>On March 11, 2010, our Board of Directors adopted the Reading International, Inc. 2010 Stock Incentive Plan, which we refer to as the 2010 Plan, and recommended that the adoption of the 2010 Plan be submitted for approval by our stockholders as required under listing rules of The NASDAQ Capital Market on which our shares are listed for trading. In the meantime, we may make awards under the 2010 Plan, as long as the effectiveness of the awards is conditioned upon obtaining such stockholder approval.</w:t>
      </w:r>
    </w:p>
    <w:p>
      <w:pPr>
        <w:spacing w:after="0" w:line="212"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A summary of the 2010 Plan is set forth below. The summary is qualified in its entirety by reference to the full text of the 2010 Plan, a copy of which is set forth as Appendix A to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4" w:lineRule="exact"/>
        <w:rPr>
          <w:sz w:val="20"/>
          <w:szCs w:val="20"/>
          <w:color w:val="auto"/>
        </w:rPr>
      </w:pPr>
    </w:p>
    <w:p>
      <w:pPr>
        <w:ind w:right="40" w:firstLine="645"/>
        <w:spacing w:after="0" w:line="255" w:lineRule="auto"/>
        <w:rPr>
          <w:sz w:val="20"/>
          <w:szCs w:val="20"/>
          <w:color w:val="auto"/>
        </w:rPr>
      </w:pPr>
      <w:r>
        <w:rPr>
          <w:rFonts w:ascii="Arial" w:cs="Arial" w:eastAsia="Arial" w:hAnsi="Arial"/>
          <w:sz w:val="18"/>
          <w:szCs w:val="18"/>
          <w:color w:val="auto"/>
        </w:rPr>
        <w:t>The 2010 Plan provides for awards of incentive stock options, nonstatutory stock options, stock bonuses, rights to acquire restricted stock, and stock appreciation rights (“SARs”). Incentive stock options granted under the 2010 Plan are intended to qualify as “incentive stock options” within the meaning of Section 422 of the Internal Revenue Code of 1986, as amended (the “Code”). Nonstatutory stock options granted under the 2010 Plan are not intended to qualify as incentive stock options under the Code. See “Federal Income Tax Information” for a discussion of the principal federal income tax consequences of awards under the 2010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54" w:lineRule="exact"/>
        <w:rPr>
          <w:sz w:val="20"/>
          <w:szCs w:val="20"/>
          <w:color w:val="auto"/>
        </w:rPr>
      </w:pPr>
    </w:p>
    <w:p>
      <w:pPr>
        <w:ind w:firstLine="645"/>
        <w:spacing w:after="0" w:line="255" w:lineRule="auto"/>
        <w:rPr>
          <w:sz w:val="20"/>
          <w:szCs w:val="20"/>
          <w:color w:val="auto"/>
        </w:rPr>
      </w:pPr>
      <w:r>
        <w:rPr>
          <w:rFonts w:ascii="Arial" w:cs="Arial" w:eastAsia="Arial" w:hAnsi="Arial"/>
          <w:sz w:val="18"/>
          <w:szCs w:val="18"/>
          <w:color w:val="auto"/>
        </w:rPr>
        <w:t>Our Board of Directors adopted the 2010 Plan to provide a means by which employees, directors and consultants of Reading and our affiliates may be given an opportunity to benefit from increases in value of our Class A Stock, to assist in attracting and retaining the services of such persons, to bind the interests of eligible recipients more closely to our own interests by offering them opportunities to acquire Class A Stock and to afford such persons stock-based compensation opportunities that are competitive with those afforded by similar businesses. All of our employees, directors and consultants are eligible to participate in the 2010 Plan.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Administration</w:t>
      </w:r>
    </w:p>
    <w:p>
      <w:pPr>
        <w:spacing w:after="0" w:line="254" w:lineRule="exact"/>
        <w:rPr>
          <w:sz w:val="20"/>
          <w:szCs w:val="20"/>
          <w:color w:val="auto"/>
        </w:rPr>
      </w:pPr>
    </w:p>
    <w:p>
      <w:pPr>
        <w:ind w:firstLine="645"/>
        <w:spacing w:after="0" w:line="274" w:lineRule="auto"/>
        <w:rPr>
          <w:sz w:val="20"/>
          <w:szCs w:val="20"/>
          <w:color w:val="auto"/>
        </w:rPr>
      </w:pPr>
      <w:r>
        <w:rPr>
          <w:rFonts w:ascii="Arial" w:cs="Arial" w:eastAsia="Arial" w:hAnsi="Arial"/>
          <w:sz w:val="17"/>
          <w:szCs w:val="17"/>
          <w:color w:val="auto"/>
        </w:rPr>
        <w:t>Unless it delegates administration to a committee as described below, our Board of Directors will administer the 2010 Plan. Subject to the provisions of the 2010 Plan, the Board of Directors has the power to construe and interpret the 2010 Plan and to determine the persons to whom and the dates on which awards will be granted, what types or combinations of types of awards will be granted, the number of shares of Class A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w:t>
      </w:r>
    </w:p>
    <w:p>
      <w:pPr>
        <w:spacing w:after="0" w:line="202" w:lineRule="exact"/>
        <w:rPr>
          <w:sz w:val="20"/>
          <w:szCs w:val="20"/>
          <w:color w:val="auto"/>
        </w:rPr>
      </w:pPr>
    </w:p>
    <w:p>
      <w:pPr>
        <w:ind w:right="60" w:firstLine="645"/>
        <w:spacing w:after="0" w:line="271" w:lineRule="auto"/>
        <w:rPr>
          <w:sz w:val="20"/>
          <w:szCs w:val="20"/>
          <w:color w:val="auto"/>
        </w:rPr>
      </w:pPr>
      <w:r>
        <w:rPr>
          <w:rFonts w:ascii="Arial" w:cs="Arial" w:eastAsia="Arial" w:hAnsi="Arial"/>
          <w:sz w:val="17"/>
          <w:szCs w:val="17"/>
          <w:color w:val="auto"/>
        </w:rPr>
        <w:t>The Board of Directors has the power to delegate administration of the 2010 Plan to a committee composed of one or more directors. In the discretion of the Board, a committee may consist solely of two or more “Outside Directors” or two or more “Non-Employee Directors” (as such terms are defined in the 2010 Plan). Within the scope of such authority, the Board or the committee may (1) delegate to our Chairman of the Board of Directors the authority to grant awards to eligible persons who are either (a) not then “Covered Employees” (as such term is defined in the 2010 Plan) and are not expected to be Covered Employees at the time of recognition of income resulting from such stock award or (b) not persons with respect to whom Reading wishes to comply with Section 162(m) of t he Code or (2) delegate to the Chairman of the Board of Directors the authority to grant awards to eligible persons who are not then subject to Section 16 of the Securities Exchange Act of 1934.</w:t>
      </w:r>
    </w:p>
    <w:p>
      <w:pPr>
        <w:spacing w:after="0" w:line="20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Our Board of Directors has delegated administration of the 2010 Plan to the Compensation and Stock Options Committee of our Board of Directors, and has delegated to our Chairman the authority to grant awards to those who do not fall under the exceptions listed in the previous paragraph. As used in this section with respect to the 2010 Plan, references to the “Board” include the Compensation Committee or any other committee to which our Board of Directors has delegated administration of the 2010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Subject to the 2010 Plan</w:t>
      </w:r>
    </w:p>
    <w:p>
      <w:pPr>
        <w:spacing w:after="0" w:line="254" w:lineRule="exact"/>
        <w:rPr>
          <w:sz w:val="20"/>
          <w:szCs w:val="20"/>
          <w:color w:val="auto"/>
        </w:rPr>
      </w:pPr>
    </w:p>
    <w:p>
      <w:pPr>
        <w:ind w:right="360" w:firstLine="645"/>
        <w:spacing w:after="0" w:line="275" w:lineRule="auto"/>
        <w:rPr>
          <w:sz w:val="20"/>
          <w:szCs w:val="20"/>
          <w:color w:val="auto"/>
        </w:rPr>
      </w:pPr>
      <w:r>
        <w:rPr>
          <w:rFonts w:ascii="Arial" w:cs="Arial" w:eastAsia="Arial" w:hAnsi="Arial"/>
          <w:sz w:val="18"/>
          <w:szCs w:val="18"/>
          <w:color w:val="auto"/>
        </w:rPr>
        <w:t>Subject to the provisions of subsection 11(a) of the 2010 Plan relating to adjustments upon changes in common stock, an aggregate of 1,250,000 shares of Class A Stock will be reserved for issuance under the 2010 Plan.</w:t>
      </w:r>
    </w:p>
    <w:p>
      <w:pPr>
        <w:spacing w:after="0" w:line="198" w:lineRule="exact"/>
        <w:rPr>
          <w:sz w:val="20"/>
          <w:szCs w:val="20"/>
          <w:color w:val="auto"/>
        </w:rPr>
      </w:pPr>
    </w:p>
    <w:p>
      <w:pPr>
        <w:ind w:right="180" w:firstLine="645"/>
        <w:spacing w:after="0" w:line="310" w:lineRule="auto"/>
        <w:rPr>
          <w:sz w:val="20"/>
          <w:szCs w:val="20"/>
          <w:color w:val="auto"/>
        </w:rPr>
      </w:pPr>
      <w:r>
        <w:rPr>
          <w:rFonts w:ascii="Arial" w:cs="Arial" w:eastAsia="Arial" w:hAnsi="Arial"/>
          <w:sz w:val="16"/>
          <w:szCs w:val="16"/>
          <w:color w:val="auto"/>
        </w:rPr>
        <w:t>If awards granted under the 2010 Plan expire or otherwise terminate without being exercised in full, the shares of Class A Stock not acquired pursuant to such awards will again become available for issuance under the 2010 Plan. If shares of Class A Stock issued pursuant to awards under the 2010 Plan are forfeited to or repurchased by us, the forfeited or repurchased stock will again become available for issuance under the 2010 Plan.</w:t>
      </w:r>
    </w:p>
    <w:p>
      <w:pPr>
        <w:spacing w:after="0" w:line="174" w:lineRule="exact"/>
        <w:rPr>
          <w:sz w:val="20"/>
          <w:szCs w:val="20"/>
          <w:color w:val="auto"/>
        </w:rPr>
      </w:pPr>
    </w:p>
    <w:p>
      <w:pPr>
        <w:ind w:right="40" w:firstLine="645"/>
        <w:spacing w:after="0" w:line="258" w:lineRule="auto"/>
        <w:rPr>
          <w:sz w:val="20"/>
          <w:szCs w:val="20"/>
          <w:color w:val="auto"/>
        </w:rPr>
      </w:pPr>
      <w:r>
        <w:rPr>
          <w:rFonts w:ascii="Arial" w:cs="Arial" w:eastAsia="Arial" w:hAnsi="Arial"/>
          <w:sz w:val="18"/>
          <w:szCs w:val="18"/>
          <w:color w:val="auto"/>
        </w:rPr>
        <w:t>If shares of Class A Stock subject to an award are not delivered to a participant because such shares are withheld for payment of taxes incurred in connection with the exercise of an award, or because the award is exercised through a reduction of shares subject to the award (“net exercised”), the undelivered shares will no longer be available for issuance under the 2010 Plan. If the exercise price of any award is satisfied by the tender of shares of Class A Stock to us, the shares tendered will not be available for issuance under the 2010 Plan.</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48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Eligibility</w:t>
      </w:r>
    </w:p>
    <w:p>
      <w:pPr>
        <w:spacing w:after="0" w:line="254" w:lineRule="exact"/>
        <w:rPr>
          <w:sz w:val="20"/>
          <w:szCs w:val="20"/>
          <w:color w:val="auto"/>
        </w:rPr>
      </w:pPr>
    </w:p>
    <w:p>
      <w:pPr>
        <w:ind w:right="80" w:firstLine="645"/>
        <w:spacing w:after="0" w:line="275" w:lineRule="auto"/>
        <w:rPr>
          <w:sz w:val="20"/>
          <w:szCs w:val="20"/>
          <w:color w:val="auto"/>
        </w:rPr>
      </w:pPr>
      <w:r>
        <w:rPr>
          <w:rFonts w:ascii="Arial" w:cs="Arial" w:eastAsia="Arial" w:hAnsi="Arial"/>
          <w:sz w:val="18"/>
          <w:szCs w:val="18"/>
          <w:color w:val="auto"/>
        </w:rPr>
        <w:t>Incentive stock options may be granted under the 2010 Plan only to employees of Reading and its affiliates. Employees, directors and consultants of Reading and its affiliates are eligible to receive all other types of awards under the 2010 Plan.</w:t>
      </w:r>
    </w:p>
    <w:p>
      <w:pPr>
        <w:spacing w:after="0" w:line="198" w:lineRule="exact"/>
        <w:rPr>
          <w:sz w:val="20"/>
          <w:szCs w:val="20"/>
          <w:color w:val="auto"/>
        </w:rPr>
      </w:pPr>
    </w:p>
    <w:p>
      <w:pPr>
        <w:ind w:right="220" w:firstLine="645"/>
        <w:spacing w:after="0" w:line="254" w:lineRule="auto"/>
        <w:rPr>
          <w:sz w:val="20"/>
          <w:szCs w:val="20"/>
          <w:color w:val="auto"/>
        </w:rPr>
      </w:pPr>
      <w:r>
        <w:rPr>
          <w:rFonts w:ascii="Arial" w:cs="Arial" w:eastAsia="Arial" w:hAnsi="Arial"/>
          <w:sz w:val="18"/>
          <w:szCs w:val="18"/>
          <w:color w:val="auto"/>
        </w:rPr>
        <w:t>No incentive stock option may be granted under the 2010 Plan to any person who, at the time of the grant, owns (or is deemed to own) stock possessing more than 10% of the total combined voting power of Reading or any affiliate of Reading, unless the exercise price is at least 110% of the fair market value of the stock subject to the option on the date of grant and the term of the option does not exceed five years from the date of grant. In addition, the aggregate fair market value, determined at the time of grant, of the shares of Class A Stock with respect to which incentive stock options are exercisable for the first time by any option holder during any calendar year (under the 2010 Plan and any other such plans of Reading and its affiliates) may not exceed $100,000.</w:t>
      </w:r>
    </w:p>
    <w:p>
      <w:pPr>
        <w:spacing w:after="0" w:line="218" w:lineRule="exact"/>
        <w:rPr>
          <w:sz w:val="20"/>
          <w:szCs w:val="20"/>
          <w:color w:val="auto"/>
        </w:rPr>
      </w:pPr>
    </w:p>
    <w:p>
      <w:pPr>
        <w:ind w:right="340" w:firstLine="645"/>
        <w:spacing w:after="0" w:line="275" w:lineRule="auto"/>
        <w:rPr>
          <w:sz w:val="20"/>
          <w:szCs w:val="20"/>
          <w:color w:val="auto"/>
        </w:rPr>
      </w:pPr>
      <w:r>
        <w:rPr>
          <w:rFonts w:ascii="Arial" w:cs="Arial" w:eastAsia="Arial" w:hAnsi="Arial"/>
          <w:sz w:val="18"/>
          <w:szCs w:val="18"/>
          <w:color w:val="auto"/>
        </w:rPr>
        <w:t>No employee may be granted options under the 2010 Plan exercisable for more than 1,000,000 shares of Class A Stock during any twelve-month period, which we refer to as the Section 162(m) limitation.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Options</w:t>
      </w:r>
    </w:p>
    <w:p>
      <w:pPr>
        <w:spacing w:after="0" w:line="254" w:lineRule="exact"/>
        <w:rPr>
          <w:sz w:val="20"/>
          <w:szCs w:val="20"/>
          <w:color w:val="auto"/>
        </w:rPr>
      </w:pPr>
    </w:p>
    <w:p>
      <w:pPr>
        <w:ind w:right="100" w:firstLine="645"/>
        <w:spacing w:after="0" w:line="306" w:lineRule="auto"/>
        <w:rPr>
          <w:sz w:val="20"/>
          <w:szCs w:val="20"/>
          <w:color w:val="auto"/>
        </w:rPr>
      </w:pPr>
      <w:r>
        <w:rPr>
          <w:rFonts w:ascii="Arial" w:cs="Arial" w:eastAsia="Arial" w:hAnsi="Arial"/>
          <w:sz w:val="17"/>
          <w:szCs w:val="17"/>
          <w:color w:val="auto"/>
        </w:rPr>
        <w:t>Options may be granted under the 2010 Plan pursuant to stock option agreements. The following is a description of the permissible terms of options under the 2010 Plan. Individual option grants may be more restrictive as to any or all of the permissible terms described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Price; Payment</w:t>
      </w:r>
    </w:p>
    <w:p>
      <w:pPr>
        <w:spacing w:after="0" w:line="250" w:lineRule="exact"/>
        <w:rPr>
          <w:sz w:val="20"/>
          <w:szCs w:val="20"/>
          <w:color w:val="auto"/>
        </w:rPr>
      </w:pPr>
    </w:p>
    <w:p>
      <w:pPr>
        <w:ind w:right="20" w:firstLine="645"/>
        <w:spacing w:after="0" w:line="262" w:lineRule="auto"/>
        <w:rPr>
          <w:sz w:val="20"/>
          <w:szCs w:val="20"/>
          <w:color w:val="auto"/>
        </w:rPr>
      </w:pPr>
      <w:r>
        <w:rPr>
          <w:rFonts w:ascii="Arial" w:cs="Arial" w:eastAsia="Arial" w:hAnsi="Arial"/>
          <w:sz w:val="18"/>
          <w:szCs w:val="18"/>
          <w:color w:val="auto"/>
        </w:rPr>
        <w:t>The exercise price of incentive stock options may not be less than the fair market value of the Class A Stock subject to the option on the date of the grant and, in some cases (see “Eligibility” above), may not be less than 110% of such fair market value. The exercise price of nonstatutory options may not be less than the fair market value of the Class A Stock on the date of grant.</w:t>
      </w:r>
    </w:p>
    <w:p>
      <w:pPr>
        <w:spacing w:after="0" w:line="209" w:lineRule="exact"/>
        <w:rPr>
          <w:sz w:val="20"/>
          <w:szCs w:val="20"/>
          <w:color w:val="auto"/>
        </w:rPr>
      </w:pPr>
    </w:p>
    <w:p>
      <w:pPr>
        <w:ind w:firstLine="645"/>
        <w:spacing w:after="0" w:line="258" w:lineRule="auto"/>
        <w:rPr>
          <w:sz w:val="20"/>
          <w:szCs w:val="20"/>
          <w:color w:val="auto"/>
        </w:rPr>
      </w:pPr>
      <w:r>
        <w:rPr>
          <w:rFonts w:ascii="Arial" w:cs="Arial" w:eastAsia="Arial" w:hAnsi="Arial"/>
          <w:sz w:val="18"/>
          <w:szCs w:val="18"/>
          <w:color w:val="auto"/>
        </w:rPr>
        <w:t>The exercise price of options granted under the 2010 Plan must be paid either in cash at the time the option is exercised or, at the discretion of the Board, (i) by delivery of other Reading common stock, (ii) pursuant to a deferred payment arrangement, (iii) pursuant to a net exercise arrangement, (iv) pursuant to a cashless exercise as permitted under applicable rules and regulations of the Securities and Exchange Commission and the Federal Reserve Board, or (v) in any other form of legal consideration acceptable to the Board.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w:t>
      </w:r>
    </w:p>
    <w:p>
      <w:pPr>
        <w:spacing w:after="0" w:line="250" w:lineRule="exact"/>
        <w:rPr>
          <w:sz w:val="20"/>
          <w:szCs w:val="20"/>
          <w:color w:val="auto"/>
        </w:rPr>
      </w:pPr>
    </w:p>
    <w:p>
      <w:pPr>
        <w:ind w:right="220" w:firstLine="645"/>
        <w:spacing w:after="0" w:line="275" w:lineRule="auto"/>
        <w:rPr>
          <w:sz w:val="20"/>
          <w:szCs w:val="20"/>
          <w:color w:val="auto"/>
        </w:rPr>
      </w:pPr>
      <w:r>
        <w:rPr>
          <w:rFonts w:ascii="Arial" w:cs="Arial" w:eastAsia="Arial" w:hAnsi="Arial"/>
          <w:sz w:val="18"/>
          <w:szCs w:val="18"/>
          <w:color w:val="auto"/>
        </w:rPr>
        <w:t>Options granted under the 2010 Plan may become exercisable in cumulative increments, or “vest,” as determined by the Board. Our Board has the power to accelerate the time as of which an option may vest or be exercised.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Withholding</w:t>
      </w:r>
    </w:p>
    <w:p>
      <w:pPr>
        <w:spacing w:after="0" w:line="250" w:lineRule="exact"/>
        <w:rPr>
          <w:sz w:val="20"/>
          <w:szCs w:val="20"/>
          <w:color w:val="auto"/>
        </w:rPr>
      </w:pPr>
    </w:p>
    <w:p>
      <w:pPr>
        <w:ind w:right="240" w:firstLine="645"/>
        <w:spacing w:after="0" w:line="262" w:lineRule="auto"/>
        <w:rPr>
          <w:sz w:val="20"/>
          <w:szCs w:val="20"/>
          <w:color w:val="auto"/>
        </w:rPr>
      </w:pPr>
      <w:r>
        <w:rPr>
          <w:rFonts w:ascii="Arial" w:cs="Arial" w:eastAsia="Arial" w:hAnsi="Arial"/>
          <w:sz w:val="18"/>
          <w:szCs w:val="18"/>
          <w:color w:val="auto"/>
        </w:rPr>
        <w:t>To the extent provided by the terms of an option, a participant may satisfy any federal, state or local tax withholding obligation relating to the exercise of such option by a cash payment upon exercise, by authorizing Reading to withhold a portion of the stock otherwise issuable to the participant, by delivering already-owned Reading common stock or by a combination of these means.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Term</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maximum term of options under the 2010 Plan is ten years, except that in certain cases (see “Eligibility”) the maximum term is five</w:t>
      </w:r>
    </w:p>
    <w:p>
      <w:pPr>
        <w:spacing w:after="0" w:line="2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years. Options awarded under the 2010 Plan generally will terminate three months after termination of the participant’s service unless: (i) such termination is due to the participant’s permanent and total disability (as defined in the Code), in which case the option may, but need not, provide that it may be exercised (to the extent the option was exercisable at the time of the termination of service) at any time within 12 months of such termination; (ii) the participant dies before the participant's service has terminated or within the period (if any) specified in the stock option agreement after termination of such service for a reason other than de ath, in which case the option may, but need not, provide that it may be exercised (to the extent the option was exercisable at the time of the participant’s death) within 12 months following the participant’s death by the person or persons to whom the rights to such option pass by will or by the laws of descent and distribution; or (iii) the option, by its terms, specifically provides otherwise. A participant may designate a beneficiary who may exercise the option following the participant’s death. Individual option grants by their terms may provide for exercise within a longer period of time following termination of service.</w:t>
      </w:r>
    </w:p>
    <w:p>
      <w:pPr>
        <w:spacing w:after="0" w:line="223" w:lineRule="exact"/>
        <w:rPr>
          <w:sz w:val="20"/>
          <w:szCs w:val="20"/>
          <w:color w:val="auto"/>
        </w:rPr>
      </w:pPr>
    </w:p>
    <w:p>
      <w:pPr>
        <w:ind w:right="340" w:firstLine="645"/>
        <w:spacing w:after="0" w:line="258" w:lineRule="auto"/>
        <w:rPr>
          <w:sz w:val="20"/>
          <w:szCs w:val="20"/>
          <w:color w:val="auto"/>
        </w:rPr>
      </w:pPr>
      <w:r>
        <w:rPr>
          <w:rFonts w:ascii="Arial" w:cs="Arial" w:eastAsia="Arial" w:hAnsi="Arial"/>
          <w:sz w:val="18"/>
          <w:szCs w:val="18"/>
          <w:color w:val="auto"/>
        </w:rPr>
        <w:t>A participant’s option agreement may provide that if the exercise of the option following the termination of the participant’s service would be prohibited because the issuance of stock would violate the registration requirements under the Securities Act of 1933, then the option will terminate on the earlier of (i) the expiration of the term of the option or (ii) three months after the termination of the participant’s service during which the exercise of the option would not be in violation of such registration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w:t>
      </w:r>
    </w:p>
    <w:p>
      <w:pPr>
        <w:spacing w:after="0" w:line="254"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The participant may not transfer an incentive stock option otherwise than by will or by the laws of descent and distribution. During the lifetime of the participant, only the participant may exercise an incentive stock option. The Board may grant nonstatutory stock options that are transferable to the extent provided in the stock option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Stock Bonus Awards, Restricted Stock Awards, and SARs</w:t>
      </w:r>
    </w:p>
    <w:p>
      <w:pPr>
        <w:spacing w:after="0" w:line="254" w:lineRule="exact"/>
        <w:rPr>
          <w:sz w:val="20"/>
          <w:szCs w:val="20"/>
          <w:color w:val="auto"/>
        </w:rPr>
      </w:pPr>
    </w:p>
    <w:p>
      <w:pPr>
        <w:ind w:right="400" w:firstLine="645"/>
        <w:spacing w:after="0" w:line="378" w:lineRule="auto"/>
        <w:rPr>
          <w:sz w:val="20"/>
          <w:szCs w:val="20"/>
          <w:color w:val="auto"/>
        </w:rPr>
      </w:pPr>
      <w:r>
        <w:rPr>
          <w:rFonts w:ascii="Arial" w:cs="Arial" w:eastAsia="Arial" w:hAnsi="Arial"/>
          <w:sz w:val="15"/>
          <w:szCs w:val="15"/>
          <w:color w:val="auto"/>
        </w:rPr>
        <w:t>Stock bonus awards may be granted under the 2010 Plan pursuant to stock bonus agreements. Restricted stock awards may be granted under the 2010 Plan pursuant to restricted stock purchase agreements. SARs may be granted under the 2010 Plan pursuant to stock appreciation right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250" w:lineRule="exact"/>
        <w:rPr>
          <w:sz w:val="20"/>
          <w:szCs w:val="20"/>
          <w:color w:val="auto"/>
        </w:rPr>
      </w:pPr>
    </w:p>
    <w:p>
      <w:pPr>
        <w:ind w:firstLine="645"/>
        <w:spacing w:after="0" w:line="258" w:lineRule="auto"/>
        <w:rPr>
          <w:sz w:val="20"/>
          <w:szCs w:val="20"/>
          <w:color w:val="auto"/>
        </w:rPr>
      </w:pPr>
      <w:r>
        <w:rPr>
          <w:rFonts w:ascii="Arial" w:cs="Arial" w:eastAsia="Arial" w:hAnsi="Arial"/>
          <w:sz w:val="18"/>
          <w:szCs w:val="18"/>
          <w:color w:val="auto"/>
        </w:rPr>
        <w:t>Our Board determines the purchase price under a restricted stock purchase agreement, but the purchase price may not be less than the par value, if any, of the Class A Stock on the date such award is made or at the time the purchase is consummated. Our Board may award stock bonuses in consideration of past services without a purchase payment. The purchase price of SARs must be at a “strike price” of not less than the fair market value of the stock on the date the SAR is awarded.</w:t>
      </w:r>
    </w:p>
    <w:p>
      <w:pPr>
        <w:spacing w:after="0" w:line="212" w:lineRule="exact"/>
        <w:rPr>
          <w:sz w:val="20"/>
          <w:szCs w:val="20"/>
          <w:color w:val="auto"/>
        </w:rPr>
      </w:pPr>
    </w:p>
    <w:p>
      <w:pPr>
        <w:jc w:val="both"/>
        <w:ind w:right="20" w:firstLine="645"/>
        <w:spacing w:after="0" w:line="285" w:lineRule="auto"/>
        <w:rPr>
          <w:sz w:val="20"/>
          <w:szCs w:val="20"/>
          <w:color w:val="auto"/>
        </w:rPr>
      </w:pPr>
      <w:r>
        <w:rPr>
          <w:rFonts w:ascii="Arial" w:cs="Arial" w:eastAsia="Arial" w:hAnsi="Arial"/>
          <w:sz w:val="17"/>
          <w:szCs w:val="17"/>
          <w:color w:val="auto"/>
        </w:rPr>
        <w:t>The purchase price of stock acquired pursuant to a restricted stock purchase agreement or SARs under the 2010 Plan must be paid either in cash at the time of purchase or, at the discretion of the Board, (i) pursuant to a deferred payment arrangement or (ii) in any other form of legal consideration acceptable to the Board, provided that payment of the par value of the restricted stock may not be made by deferred payment.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Vesting</w:t>
      </w:r>
    </w:p>
    <w:p>
      <w:pPr>
        <w:spacing w:after="0" w:line="250" w:lineRule="exact"/>
        <w:rPr>
          <w:sz w:val="20"/>
          <w:szCs w:val="20"/>
          <w:color w:val="auto"/>
        </w:rPr>
      </w:pPr>
    </w:p>
    <w:p>
      <w:pPr>
        <w:ind w:firstLine="645"/>
        <w:spacing w:after="0" w:line="310" w:lineRule="auto"/>
        <w:rPr>
          <w:sz w:val="20"/>
          <w:szCs w:val="20"/>
          <w:color w:val="auto"/>
        </w:rPr>
      </w:pPr>
      <w:r>
        <w:rPr>
          <w:rFonts w:ascii="Arial" w:cs="Arial" w:eastAsia="Arial" w:hAnsi="Arial"/>
          <w:sz w:val="16"/>
          <w:szCs w:val="16"/>
          <w:color w:val="auto"/>
        </w:rPr>
        <w:t>Shares of stock awarded under the stock bonus agreement may, but need not, be subject to a repurchase option in favor of Reading in accordance with a vesting schedule as determined by the Board. Unless the stock bonus agreement provides otherwise, all shares subject to the agreement will become fully vested upon the occurrence of a “Corporate Transaction” (as such term is defined in the 2010 Plan) pursuant to subsection 11(c) of the 2010 Plan.</w:t>
      </w:r>
    </w:p>
    <w:p>
      <w:pPr>
        <w:spacing w:after="0" w:line="174" w:lineRule="exact"/>
        <w:rPr>
          <w:sz w:val="20"/>
          <w:szCs w:val="20"/>
          <w:color w:val="auto"/>
        </w:rPr>
      </w:pPr>
    </w:p>
    <w:p>
      <w:pPr>
        <w:ind w:right="260" w:firstLine="645"/>
        <w:spacing w:after="0" w:line="262" w:lineRule="auto"/>
        <w:rPr>
          <w:sz w:val="20"/>
          <w:szCs w:val="20"/>
          <w:color w:val="auto"/>
        </w:rPr>
      </w:pPr>
      <w:r>
        <w:rPr>
          <w:rFonts w:ascii="Arial" w:cs="Arial" w:eastAsia="Arial" w:hAnsi="Arial"/>
          <w:sz w:val="18"/>
          <w:szCs w:val="18"/>
          <w:color w:val="auto"/>
        </w:rPr>
        <w:t>Shares of stock acquired under the restricted stock purchase agreement may, but need not, be subject to forfeiture to Reading or be subject to other restrictions that will lapse in accordance with a vesting schedule to be determined by the Board. SARs may be subject to vesting at the discretion of the Board.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Service</w:t>
      </w:r>
    </w:p>
    <w:p>
      <w:pPr>
        <w:spacing w:after="0" w:line="250" w:lineRule="exact"/>
        <w:rPr>
          <w:sz w:val="20"/>
          <w:szCs w:val="20"/>
          <w:color w:val="auto"/>
        </w:rPr>
      </w:pPr>
    </w:p>
    <w:p>
      <w:pPr>
        <w:ind w:right="40" w:firstLine="645"/>
        <w:spacing w:after="0" w:line="258" w:lineRule="auto"/>
        <w:rPr>
          <w:sz w:val="20"/>
          <w:szCs w:val="20"/>
          <w:color w:val="auto"/>
        </w:rPr>
      </w:pPr>
      <w:r>
        <w:rPr>
          <w:rFonts w:ascii="Arial" w:cs="Arial" w:eastAsia="Arial" w:hAnsi="Arial"/>
          <w:sz w:val="18"/>
          <w:szCs w:val="18"/>
          <w:color w:val="auto"/>
        </w:rPr>
        <w:t>Upon termination of a participant’s service, Reading may reacquire any shares of stock that have not vested as of such termination under the terms of the stock bonus agreement. Reading will not exercise its repurchase option until at least six months (or such longer or shorter period of time required to avoid a change to earnings for financial accounting purposes) have elapsed following receipt of the stock bonus unless otherwise specifically provided in the stock bonus agreement.</w:t>
      </w:r>
    </w:p>
    <w:p>
      <w:pPr>
        <w:spacing w:after="0" w:line="212" w:lineRule="exact"/>
        <w:rPr>
          <w:sz w:val="20"/>
          <w:szCs w:val="20"/>
          <w:color w:val="auto"/>
        </w:rPr>
      </w:pPr>
    </w:p>
    <w:p>
      <w:pPr>
        <w:ind w:right="140" w:firstLine="645"/>
        <w:spacing w:after="0" w:line="340" w:lineRule="auto"/>
        <w:rPr>
          <w:sz w:val="20"/>
          <w:szCs w:val="20"/>
          <w:color w:val="auto"/>
        </w:rPr>
      </w:pPr>
      <w:r>
        <w:rPr>
          <w:rFonts w:ascii="Arial" w:cs="Arial" w:eastAsia="Arial" w:hAnsi="Arial"/>
          <w:sz w:val="16"/>
          <w:szCs w:val="16"/>
          <w:color w:val="auto"/>
        </w:rPr>
        <w:t>Upon termination of a participant’s service, any or all of the shares of Class A Stock held by the participant that have not vested as of the date of termination under the terms of a restricted stock purchase agreement will be forfeited to Reading in accordance with the restricted stock purchase agreement.</w:t>
      </w:r>
    </w:p>
    <w:p>
      <w:pPr>
        <w:spacing w:after="0" w:line="151" w:lineRule="exact"/>
        <w:rPr>
          <w:sz w:val="20"/>
          <w:szCs w:val="20"/>
          <w:color w:val="auto"/>
        </w:rPr>
      </w:pPr>
    </w:p>
    <w:p>
      <w:pPr>
        <w:ind w:right="320" w:firstLine="645"/>
        <w:spacing w:after="0" w:line="275" w:lineRule="auto"/>
        <w:rPr>
          <w:sz w:val="20"/>
          <w:szCs w:val="20"/>
          <w:color w:val="auto"/>
        </w:rPr>
      </w:pPr>
      <w:r>
        <w:rPr>
          <w:rFonts w:ascii="Arial" w:cs="Arial" w:eastAsia="Arial" w:hAnsi="Arial"/>
          <w:sz w:val="18"/>
          <w:szCs w:val="18"/>
          <w:color w:val="auto"/>
        </w:rPr>
        <w:t>Upon termination of a participant’s service, any SARs that have not vested as of the date of termination will be forfeited, and the participant must exercise any vested SARs within three months of the termination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Transfer</w:t>
      </w:r>
    </w:p>
    <w:p>
      <w:pPr>
        <w:spacing w:after="0" w:line="250" w:lineRule="exact"/>
        <w:rPr>
          <w:sz w:val="20"/>
          <w:szCs w:val="20"/>
          <w:color w:val="auto"/>
        </w:rPr>
      </w:pPr>
    </w:p>
    <w:p>
      <w:pPr>
        <w:ind w:right="700" w:firstLine="645"/>
        <w:spacing w:after="0" w:line="275" w:lineRule="auto"/>
        <w:rPr>
          <w:sz w:val="20"/>
          <w:szCs w:val="20"/>
          <w:color w:val="auto"/>
        </w:rPr>
      </w:pPr>
      <w:r>
        <w:rPr>
          <w:rFonts w:ascii="Arial" w:cs="Arial" w:eastAsia="Arial" w:hAnsi="Arial"/>
          <w:sz w:val="18"/>
          <w:szCs w:val="18"/>
          <w:color w:val="auto"/>
        </w:rPr>
        <w:t>Rights under a stock bonus agreement or restricted stock purchase agreement may not be transferred except where such transfer is expressly authorized by the terms of the applicable stock bonus agreement or restricted stock purchase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Provisions</w:t>
      </w:r>
    </w:p>
    <w:p>
      <w:pPr>
        <w:spacing w:after="0" w:line="254" w:lineRule="exact"/>
        <w:rPr>
          <w:sz w:val="20"/>
          <w:szCs w:val="20"/>
          <w:color w:val="auto"/>
        </w:rPr>
      </w:pPr>
    </w:p>
    <w:p>
      <w:pPr>
        <w:ind w:right="60" w:firstLine="645"/>
        <w:spacing w:after="0" w:line="274" w:lineRule="auto"/>
        <w:rPr>
          <w:sz w:val="20"/>
          <w:szCs w:val="20"/>
          <w:color w:val="auto"/>
        </w:rPr>
      </w:pPr>
      <w:r>
        <w:rPr>
          <w:rFonts w:ascii="Arial" w:cs="Arial" w:eastAsia="Arial" w:hAnsi="Arial"/>
          <w:sz w:val="17"/>
          <w:szCs w:val="17"/>
          <w:color w:val="auto"/>
        </w:rPr>
        <w:t>If any change is made to the outstanding shares of common stock without Reading’s receipt of consideration (whether through merger, consolidation, reorganization, stock dividend or stock split, or other specified change in the capital structure of the Company), appropriate adjustments will be made in the class and maximum number of shares of common stock subject to the 2010 Plan and outstanding awards. In that event, the 2010 Plan will be appropriately adjusted in the class and maximum number of shares of common stock subject to the 2010 Plan and the Section 162(m) limitation, and outstanding awards will be adjusted in the class, number of shares and price per share of common stock subject to such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Corporate Events</w:t>
      </w:r>
    </w:p>
    <w:p>
      <w:pPr>
        <w:spacing w:after="0" w:line="254" w:lineRule="exact"/>
        <w:rPr>
          <w:sz w:val="20"/>
          <w:szCs w:val="20"/>
          <w:color w:val="auto"/>
        </w:rPr>
      </w:pPr>
    </w:p>
    <w:p>
      <w:pPr>
        <w:ind w:right="200" w:firstLine="645"/>
        <w:spacing w:after="0" w:line="272" w:lineRule="auto"/>
        <w:rPr>
          <w:sz w:val="20"/>
          <w:szCs w:val="20"/>
          <w:color w:val="auto"/>
        </w:rPr>
      </w:pPr>
      <w:r>
        <w:rPr>
          <w:rFonts w:ascii="Arial" w:cs="Arial" w:eastAsia="Arial" w:hAnsi="Arial"/>
          <w:sz w:val="17"/>
          <w:szCs w:val="17"/>
          <w:color w:val="auto"/>
        </w:rPr>
        <w:t>In the event of (i) a sale, lease or other disposition of all or substantially all of Reading’s capital stock or assets, (ii) a merger or consolidation of Reading in which Reading is not the surviving corporation or (iii) a reverse merger in which Reading is the surviving corporation but the shares of common stock outstanding immediately preceding the merger are converted by virtue of the merger into other property, whether in the form of securities, cash or otherwise, any surviving or acquiring corporation may assume awards outstanding under the 2010 Plan or may substitute similar awards. Unless the stock award agreement otherwise provides, in the event any surviving or acquiring corporation does not assume such awards or substitute similar awards, then the awards will terminate if not exercised at or pri or to such event.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9" w:name="page10"/>
    <w:bookmarkEnd w:id="9"/>
    <w:p>
      <w:pPr>
        <w:ind w:firstLine="645"/>
        <w:spacing w:after="0" w:line="262" w:lineRule="auto"/>
        <w:rPr>
          <w:sz w:val="20"/>
          <w:szCs w:val="20"/>
          <w:color w:val="auto"/>
        </w:rPr>
      </w:pPr>
      <w:r>
        <w:rPr>
          <w:rFonts w:ascii="Arial" w:cs="Arial" w:eastAsia="Arial" w:hAnsi="Arial"/>
          <w:sz w:val="18"/>
          <w:szCs w:val="18"/>
          <w:color w:val="auto"/>
        </w:rPr>
        <w:t>The 2010 Plan provides that, in the event of a dissolution or liquidation of Reading, all outstanding awards under the 2010 Plan will terminate prior to such event and shares of bonus stock and restricted stock subject to Reading’s repurchase option or to forfeiture may be repurchased by Reading or forfeited, notwithstanding whether the holder of such stock is still providing services to Reading.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Amendment and Termination</w:t>
      </w:r>
    </w:p>
    <w:p>
      <w:pPr>
        <w:spacing w:after="0" w:line="254" w:lineRule="exact"/>
        <w:rPr>
          <w:sz w:val="20"/>
          <w:szCs w:val="20"/>
          <w:color w:val="auto"/>
        </w:rPr>
      </w:pPr>
    </w:p>
    <w:p>
      <w:pPr>
        <w:ind w:right="420" w:firstLine="645"/>
        <w:spacing w:after="0" w:line="275" w:lineRule="auto"/>
        <w:rPr>
          <w:sz w:val="20"/>
          <w:szCs w:val="20"/>
          <w:color w:val="auto"/>
        </w:rPr>
      </w:pPr>
      <w:r>
        <w:rPr>
          <w:rFonts w:ascii="Arial" w:cs="Arial" w:eastAsia="Arial" w:hAnsi="Arial"/>
          <w:sz w:val="18"/>
          <w:szCs w:val="18"/>
          <w:color w:val="auto"/>
        </w:rPr>
        <w:t>The Board may suspend or terminate the 2010 Plan without stockholder approval or ratification at any time or from time to time. Unless sooner terminated, the 2010 Plan will terminate on March 10, 2020.</w:t>
      </w:r>
    </w:p>
    <w:p>
      <w:pPr>
        <w:spacing w:after="0" w:line="198" w:lineRule="exact"/>
        <w:rPr>
          <w:sz w:val="20"/>
          <w:szCs w:val="20"/>
          <w:color w:val="auto"/>
        </w:rPr>
      </w:pPr>
    </w:p>
    <w:p>
      <w:pPr>
        <w:ind w:right="40" w:firstLine="645"/>
        <w:spacing w:after="0" w:line="254" w:lineRule="auto"/>
        <w:rPr>
          <w:sz w:val="20"/>
          <w:szCs w:val="20"/>
          <w:color w:val="auto"/>
        </w:rPr>
      </w:pPr>
      <w:r>
        <w:rPr>
          <w:rFonts w:ascii="Arial" w:cs="Arial" w:eastAsia="Arial" w:hAnsi="Arial"/>
          <w:sz w:val="18"/>
          <w:szCs w:val="18"/>
          <w:color w:val="auto"/>
        </w:rPr>
        <w:t>The Board may also amend the 2010 Plan at any time, and from time to time. However, except as provided in Section 11 of the 2010 Plan relating to adjustments upon changes in common stock, no amendment will be effective unless approved by our stockholders to the extent stockholder approval is necessary to satisfy the requirements of Section 422 of the Code, Rule 16b-3 under the Securities Exchange Act of 1934 or any securities exchange listing requirements. Our Board may submit any other amendment to the 2010 Plan for stockholder approval, including, but not limited to, amendments intended to satisfy the requirements of Section 162(m) of the Code regarding the exclusion of performance-based compensation from the limitation on the deductibility of compensation paid to certain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Information</w:t>
      </w:r>
    </w:p>
    <w:p>
      <w:pPr>
        <w:spacing w:after="0" w:line="254" w:lineRule="exact"/>
        <w:rPr>
          <w:sz w:val="20"/>
          <w:szCs w:val="20"/>
          <w:color w:val="auto"/>
        </w:rPr>
      </w:pPr>
    </w:p>
    <w:p>
      <w:pPr>
        <w:ind w:right="180" w:firstLine="645"/>
        <w:spacing w:after="0" w:line="262" w:lineRule="auto"/>
        <w:rPr>
          <w:sz w:val="20"/>
          <w:szCs w:val="20"/>
          <w:color w:val="auto"/>
        </w:rPr>
      </w:pPr>
      <w:r>
        <w:rPr>
          <w:rFonts w:ascii="Arial" w:cs="Arial" w:eastAsia="Arial" w:hAnsi="Arial"/>
          <w:sz w:val="18"/>
          <w:szCs w:val="18"/>
          <w:color w:val="auto"/>
        </w:rPr>
        <w:t>The following is a summary of the principal United States federal income tax consequences to the participant and us with respect to participation in the 2010 Plan. This summary is not intended to be exhaustive, and does not discuss the income tax laws of any city, state or foreign jurisdiction in which a participant may reside.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250" w:lineRule="exact"/>
        <w:rPr>
          <w:sz w:val="20"/>
          <w:szCs w:val="20"/>
          <w:color w:val="auto"/>
        </w:rPr>
      </w:pPr>
    </w:p>
    <w:p>
      <w:pPr>
        <w:ind w:right="100" w:firstLine="645"/>
        <w:spacing w:after="0" w:line="270" w:lineRule="auto"/>
        <w:rPr>
          <w:sz w:val="20"/>
          <w:szCs w:val="20"/>
          <w:color w:val="auto"/>
        </w:rPr>
      </w:pPr>
      <w:r>
        <w:rPr>
          <w:rFonts w:ascii="Arial" w:cs="Arial" w:eastAsia="Arial" w:hAnsi="Arial"/>
          <w:sz w:val="17"/>
          <w:szCs w:val="17"/>
          <w:color w:val="auto"/>
        </w:rPr>
        <w:t>There will be no federal income tax consequences to either us or the participant upon the grant of an incentive stock option. Upon exercise of the option, the excess of the fair market value of the stock over the exercise price, or the “spread,” will be added to the alternative minimum tax base of the participant unless a disqualifying disposition is made in the year of exercise. A disqualifying disposition is the sale of the stock prior to the expiration of two years from the date of grant and one year from the date of exercise. If the shares of Class A Stock are disposed of in a disqualifying disposition, the participant will realize taxable ordinary income in an amount equal to the spread at the time of exercise, and we will be entitled (subject to the requirement of reasonableness, the pro visions of Section 162(m) of the Code and the satisfaction of a tax reporting obligation) to a federal income tax deduction equal to such amount. If the participant sells the shares of Class A Stock after the specified periods, the gain or loss on the sale of the shares will be long-term capital gain or loss and we will not be entitled to a federal income tax deduction.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Nonstatutory Stock Options, Restricted Stock Purchase Awards and Stock Bonuses</w:t>
      </w:r>
    </w:p>
    <w:p>
      <w:pPr>
        <w:spacing w:after="0" w:line="250" w:lineRule="exact"/>
        <w:rPr>
          <w:sz w:val="20"/>
          <w:szCs w:val="20"/>
          <w:color w:val="auto"/>
        </w:rPr>
      </w:pPr>
    </w:p>
    <w:p>
      <w:pPr>
        <w:ind w:right="300" w:firstLine="645"/>
        <w:spacing w:after="0" w:line="275" w:lineRule="auto"/>
        <w:rPr>
          <w:sz w:val="20"/>
          <w:szCs w:val="20"/>
          <w:color w:val="auto"/>
        </w:rPr>
      </w:pPr>
      <w:r>
        <w:rPr>
          <w:rFonts w:ascii="Arial" w:cs="Arial" w:eastAsia="Arial" w:hAnsi="Arial"/>
          <w:sz w:val="18"/>
          <w:szCs w:val="18"/>
          <w:color w:val="auto"/>
        </w:rPr>
        <w:t>Nonstatutory stock options, restricted stock purchase awards, and stock bonuses granted under the 2010 Plan generally have the following federal income tax consequences.</w:t>
      </w:r>
    </w:p>
    <w:p>
      <w:pPr>
        <w:spacing w:after="0" w:line="198" w:lineRule="exact"/>
        <w:rPr>
          <w:sz w:val="20"/>
          <w:szCs w:val="20"/>
          <w:color w:val="auto"/>
        </w:rPr>
      </w:pPr>
    </w:p>
    <w:p>
      <w:pPr>
        <w:ind w:right="20" w:firstLine="645"/>
        <w:spacing w:after="0" w:line="287" w:lineRule="auto"/>
        <w:rPr>
          <w:sz w:val="20"/>
          <w:szCs w:val="20"/>
          <w:color w:val="auto"/>
        </w:rPr>
      </w:pPr>
      <w:r>
        <w:rPr>
          <w:rFonts w:ascii="Arial" w:cs="Arial" w:eastAsia="Arial" w:hAnsi="Arial"/>
          <w:sz w:val="16"/>
          <w:szCs w:val="16"/>
          <w:color w:val="auto"/>
        </w:rPr>
        <w:t>There are no tax consequences to the participant or us by reason of the grant. Upon acquisition of the stock, the participant will recognize taxable ordinary income equal to the excess, if any, of the stock’s fair market value on the acquisition date over the purchase price. However, to the extent the stock is subject to “a substantial risk of forfeiture” (as defined in Section 83 of the Code), the taxable event will be delayed until the forfeiture provision lapses unless the participant elects to be taxed on receipt of the stock by making a Section 83(b) election within 30 days of receipt of the stock. If such election is not made, the participant generally will recognize income as and when the forfeiture provision lapses, and the income recognized will be based on the fair market value of the stock on such future date. On that date, the participant’s holding period for purposes of determining the long-term or short-term nature of any capital gain or loss recognized on a subsequent disposition of the stock will begin. If a participant makes a Section 83(b) election, the participant will recognize ordinary income equal to the difference between the stock’s fair market value and the purchase price, if any, as of the date of receipt and the holding period for purposes of characterizing as long-term or short-term any subsequent gain or loss will begin at the date of receipt. If stock underlying an award does not vest and is forfeited, the award recipient recognizes no loss for income tax purposes.</w:t>
      </w:r>
    </w:p>
    <w:p>
      <w:pPr>
        <w:spacing w:after="0" w:line="193" w:lineRule="exact"/>
        <w:rPr>
          <w:sz w:val="20"/>
          <w:szCs w:val="20"/>
          <w:color w:val="auto"/>
        </w:rPr>
      </w:pPr>
    </w:p>
    <w:p>
      <w:pPr>
        <w:ind w:firstLine="645"/>
        <w:spacing w:after="0" w:line="285" w:lineRule="auto"/>
        <w:rPr>
          <w:sz w:val="20"/>
          <w:szCs w:val="20"/>
          <w:color w:val="auto"/>
        </w:rPr>
      </w:pPr>
      <w:r>
        <w:rPr>
          <w:rFonts w:ascii="Arial" w:cs="Arial" w:eastAsia="Arial" w:hAnsi="Arial"/>
          <w:sz w:val="17"/>
          <w:szCs w:val="17"/>
          <w:color w:val="auto"/>
        </w:rPr>
        <w:t>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w:t>
      </w:r>
    </w:p>
    <w:p>
      <w:pPr>
        <w:spacing w:after="0" w:line="191" w:lineRule="exact"/>
        <w:rPr>
          <w:sz w:val="20"/>
          <w:szCs w:val="20"/>
          <w:color w:val="auto"/>
        </w:rPr>
      </w:pPr>
    </w:p>
    <w:p>
      <w:pPr>
        <w:ind w:right="80" w:firstLine="645"/>
        <w:spacing w:after="0" w:line="262" w:lineRule="auto"/>
        <w:rPr>
          <w:sz w:val="20"/>
          <w:szCs w:val="20"/>
          <w:color w:val="auto"/>
        </w:rPr>
      </w:pPr>
      <w:r>
        <w:rPr>
          <w:rFonts w:ascii="Arial" w:cs="Arial" w:eastAsia="Arial" w:hAnsi="Arial"/>
          <w:sz w:val="18"/>
          <w:szCs w:val="18"/>
          <w:color w:val="auto"/>
        </w:rPr>
        <w:t>Upon disposition of the stock, the participant will recognize a capital gain or loss equal to the difference between the selling price and the sum of the amount paid for such stock plus any amount recognized as ordinary income with respect to the stock. Such gain or loss will be long-term or short-term depending on whether the stock has been held for more than one year.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Bonus Awards</w:t>
      </w:r>
    </w:p>
    <w:p>
      <w:pPr>
        <w:spacing w:after="0" w:line="250" w:lineRule="exact"/>
        <w:rPr>
          <w:sz w:val="20"/>
          <w:szCs w:val="20"/>
          <w:color w:val="auto"/>
        </w:rPr>
      </w:pPr>
    </w:p>
    <w:p>
      <w:pPr>
        <w:ind w:right="100" w:firstLine="645"/>
        <w:spacing w:after="0" w:line="258" w:lineRule="auto"/>
        <w:rPr>
          <w:sz w:val="20"/>
          <w:szCs w:val="20"/>
          <w:color w:val="auto"/>
        </w:rPr>
      </w:pPr>
      <w:r>
        <w:rPr>
          <w:rFonts w:ascii="Arial" w:cs="Arial" w:eastAsia="Arial" w:hAnsi="Arial"/>
          <w:sz w:val="18"/>
          <w:szCs w:val="18"/>
          <w:color w:val="auto"/>
        </w:rPr>
        <w:t>Upon receipt of a stock bonus award, the participant will recognize ordinary income equal to the excess, if any, of the fair market value of the shares on the date of issuance over the purchase price, if any, paid for those shares. We will be entitled (subject to the requirement of reasonableness, the provisions of Section 162(m) of the Code, and the satisfaction of a tax reporting obligation) to a corresponding income tax deduction in the tax year in which such ordinary income is recognized by the participant.</w:t>
      </w:r>
    </w:p>
    <w:p>
      <w:pPr>
        <w:spacing w:after="0" w:line="212" w:lineRule="exact"/>
        <w:rPr>
          <w:sz w:val="20"/>
          <w:szCs w:val="20"/>
          <w:color w:val="auto"/>
        </w:rPr>
      </w:pPr>
    </w:p>
    <w:p>
      <w:pPr>
        <w:ind w:firstLine="645"/>
        <w:spacing w:after="0" w:line="271" w:lineRule="auto"/>
        <w:rPr>
          <w:sz w:val="20"/>
          <w:szCs w:val="20"/>
          <w:color w:val="auto"/>
        </w:rPr>
      </w:pPr>
      <w:r>
        <w:rPr>
          <w:rFonts w:ascii="Arial" w:cs="Arial" w:eastAsia="Arial" w:hAnsi="Arial"/>
          <w:sz w:val="17"/>
          <w:szCs w:val="17"/>
          <w:color w:val="auto"/>
        </w:rPr>
        <w:t>If the shares issued upon the grant of a stock bonus award are unvested and subject to reacquisition or repurchase by Reading in the event of the participant’s termination of service prior to vesting in those shares, the participant will not recognize any taxable income at the time of issuance, but will have to report as ordinary income, as and when Reading’s reacquisition or repurchase right lapses, in an amount equal to the excess of the fair market value of the shares on the date the reacquisition or repurchase right lapses over the purchase price, if any, paid for the shares. The participant may, however, elect under Section 83(b) of the Code to include as ordinary income in the year of issuance an amount equal to the excess of the fair market value of the shares on the date of issuance over the purchase price, if an y, paid for such shares. If the Section 83(b) election is made, the participant will not recognize any additional income as and when the reacquisition or repurchase right lapses.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1" w:name="page12"/>
    <w:bookmarkEnd w:id="11"/>
    <w:p>
      <w:pPr>
        <w:ind w:right="100" w:firstLine="645"/>
        <w:spacing w:after="0" w:line="285" w:lineRule="auto"/>
        <w:rPr>
          <w:sz w:val="20"/>
          <w:szCs w:val="20"/>
          <w:color w:val="auto"/>
        </w:rPr>
      </w:pPr>
      <w:r>
        <w:rPr>
          <w:rFonts w:ascii="Arial" w:cs="Arial" w:eastAsia="Arial" w:hAnsi="Arial"/>
          <w:sz w:val="17"/>
          <w:szCs w:val="17"/>
          <w:color w:val="auto"/>
        </w:rPr>
        <w:t>Upon disposition of the stock acquired upon the receipt of a stock bonus award, the participant will recognize a capital gain or loss equal to the difference between the selling price and the sum of the amount paid for such stock plus any amount recognized as ordinary income upon issuance (or vesting) of the stock. Such gain or loss will be long-term or short-term depending on whether the stock was held for more than one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on Company Deductions</w:t>
      </w:r>
    </w:p>
    <w:p>
      <w:pPr>
        <w:spacing w:after="0" w:line="250" w:lineRule="exact"/>
        <w:rPr>
          <w:sz w:val="20"/>
          <w:szCs w:val="20"/>
          <w:color w:val="auto"/>
        </w:rPr>
      </w:pPr>
    </w:p>
    <w:p>
      <w:pPr>
        <w:ind w:firstLine="645"/>
        <w:spacing w:after="0" w:line="310" w:lineRule="auto"/>
        <w:rPr>
          <w:sz w:val="20"/>
          <w:szCs w:val="20"/>
          <w:color w:val="auto"/>
        </w:rPr>
      </w:pPr>
      <w:r>
        <w:rPr>
          <w:rFonts w:ascii="Arial" w:cs="Arial" w:eastAsia="Arial" w:hAnsi="Arial"/>
          <w:sz w:val="16"/>
          <w:szCs w:val="16"/>
          <w:color w:val="auto"/>
        </w:rPr>
        <w:t>Section 162(m) of the Code denies a deduction to any publicly held corporation for compensation paid to a Covered Employee in a taxable year to the extent that compensation to such Covered Employee exceeds $1,000,000. It is possible that compensation attributable to awards, when combined with all other types of compensation received by a Covered Employee from Reading, may cause this limitation to be exceeded in any particular year.</w:t>
      </w:r>
    </w:p>
    <w:p>
      <w:pPr>
        <w:spacing w:after="0" w:line="174" w:lineRule="exact"/>
        <w:rPr>
          <w:sz w:val="20"/>
          <w:szCs w:val="20"/>
          <w:color w:val="auto"/>
        </w:rPr>
      </w:pPr>
    </w:p>
    <w:p>
      <w:pPr>
        <w:ind w:right="20" w:firstLine="645"/>
        <w:spacing w:after="0" w:line="254" w:lineRule="auto"/>
        <w:rPr>
          <w:sz w:val="20"/>
          <w:szCs w:val="20"/>
          <w:color w:val="auto"/>
        </w:rPr>
      </w:pPr>
      <w:r>
        <w:rPr>
          <w:rFonts w:ascii="Arial" w:cs="Arial" w:eastAsia="Arial" w:hAnsi="Arial"/>
          <w:sz w:val="18"/>
          <w:szCs w:val="18"/>
          <w:color w:val="auto"/>
        </w:rPr>
        <w:t>Certain kinds of compensation, including qualified “performance-based compensation,” are disregarded for purposes of the deduction limitation. In accordance with Treasury Regulations issued under Section 162(m), compensation attributable to stock options will qualify as performance-based compensation if the award is granted by a committee solely comprising Outside Directors and, among other things, the plan contains a per-employee limitation on the number of shares for which such awards may be granted during a specified period, the per-employee limitation is approved by the stockholders, and the exercise price of the award is no less than the fair market value of the stock on the date of grant. The 2010 Plan is designed to comply with this exception from the deduction limitation under Section 162(m).</w:t>
      </w:r>
    </w:p>
    <w:p>
      <w:pPr>
        <w:spacing w:after="0" w:line="218" w:lineRule="exact"/>
        <w:rPr>
          <w:sz w:val="20"/>
          <w:szCs w:val="20"/>
          <w:color w:val="auto"/>
        </w:rPr>
      </w:pPr>
    </w:p>
    <w:p>
      <w:pPr>
        <w:ind w:right="480" w:firstLine="645"/>
        <w:spacing w:after="0" w:line="275" w:lineRule="auto"/>
        <w:rPr>
          <w:sz w:val="20"/>
          <w:szCs w:val="20"/>
          <w:color w:val="auto"/>
        </w:rPr>
      </w:pPr>
      <w:r>
        <w:rPr>
          <w:rFonts w:ascii="Arial" w:cs="Arial" w:eastAsia="Arial" w:hAnsi="Arial"/>
          <w:sz w:val="18"/>
          <w:szCs w:val="18"/>
          <w:color w:val="auto"/>
        </w:rPr>
        <w:t>Awards to purchase restricted stock and stock bonus awards under the 2010 Plan will not qualify as performance-based compensation under the Treasury Regulations issued under Section 162(m).</w:t>
      </w:r>
    </w:p>
    <w:p>
      <w:pPr>
        <w:spacing w:after="0" w:line="194"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THE BOARD OF DIRECTORS RECOMMENDS THAT STOCKHOLDERS VOTE “FOR” APPROVAL OF THE ADOPTION OF THE 2010 STOCK INCENTIVE PLAN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ELECTION OF DIRECTORS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Securities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shares of Class A Stock and Class B Stock beneficially owned as of the Record Date by:</w:t>
      </w:r>
    </w:p>
    <w:p>
      <w:pPr>
        <w:spacing w:after="0" w:line="250" w:lineRule="exact"/>
        <w:rPr>
          <w:sz w:val="20"/>
          <w:szCs w:val="20"/>
          <w:color w:val="auto"/>
        </w:rPr>
      </w:pPr>
    </w:p>
    <w:p>
      <w:pPr>
        <w:ind w:left="980" w:hanging="13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our incumbent directors and each director nominee;</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our named executive officers set forth in the Summary Compensation Table of this Proxy Statement;</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Class B Stock; and</w:t>
      </w:r>
    </w:p>
    <w:p>
      <w:pPr>
        <w:spacing w:after="0" w:line="250" w:lineRule="exact"/>
        <w:rPr>
          <w:rFonts w:ascii="Arial" w:cs="Arial" w:eastAsia="Arial" w:hAnsi="Arial"/>
          <w:sz w:val="18"/>
          <w:szCs w:val="18"/>
          <w:color w:val="auto"/>
        </w:rPr>
      </w:pPr>
    </w:p>
    <w:p>
      <w:pPr>
        <w:ind w:left="980" w:hanging="13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Except as noted, we believe that the indicated beneficial owner of the shares has sole voting power and sole investment power.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0"/>
        </w:trPr>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8"/>
          </w:tcPr>
          <w:p>
            <w:pPr>
              <w:ind w:left="820"/>
              <w:spacing w:after="0"/>
              <w:rPr>
                <w:sz w:val="20"/>
                <w:szCs w:val="20"/>
                <w:color w:val="auto"/>
              </w:rPr>
            </w:pPr>
            <w:r>
              <w:rPr>
                <w:rFonts w:ascii="Arial" w:cs="Arial" w:eastAsia="Arial" w:hAnsi="Arial"/>
                <w:sz w:val="18"/>
                <w:szCs w:val="18"/>
                <w:b w:val="1"/>
                <w:bCs w:val="1"/>
                <w:color w:val="auto"/>
              </w:rPr>
              <w:t>Amount and Nature of Beneficial Ownership (1)</w:t>
            </w:r>
          </w:p>
        </w:tc>
      </w:tr>
      <w:tr>
        <w:trPr>
          <w:trHeight w:val="222"/>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Borders>
              <w:top w:val="single" w:sz="8" w:color="auto"/>
            </w:tcBorders>
            <w:gridSpan w:val="4"/>
          </w:tcPr>
          <w:p>
            <w:pPr>
              <w:jc w:val="right"/>
              <w:ind w:right="1020"/>
              <w:spacing w:after="0"/>
              <w:rPr>
                <w:sz w:val="20"/>
                <w:szCs w:val="20"/>
                <w:color w:val="auto"/>
              </w:rPr>
            </w:pPr>
            <w:r>
              <w:rPr>
                <w:rFonts w:ascii="Arial" w:cs="Arial" w:eastAsia="Arial" w:hAnsi="Arial"/>
                <w:sz w:val="18"/>
                <w:szCs w:val="18"/>
                <w:b w:val="1"/>
                <w:bCs w:val="1"/>
                <w:color w:val="auto"/>
              </w:rPr>
              <w:t>Class A Stock</w:t>
            </w:r>
          </w:p>
        </w:tc>
        <w:tc>
          <w:tcPr>
            <w:tcW w:w="2480" w:type="dxa"/>
            <w:vAlign w:val="bottom"/>
            <w:tcBorders>
              <w:top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Class B Stock</w:t>
            </w:r>
          </w:p>
        </w:tc>
        <w:tc>
          <w:tcPr>
            <w:tcW w:w="160" w:type="dxa"/>
            <w:vAlign w:val="bottom"/>
          </w:tcPr>
          <w:p>
            <w:pPr>
              <w:spacing w:after="0"/>
              <w:rPr>
                <w:sz w:val="19"/>
                <w:szCs w:val="19"/>
                <w:color w:val="auto"/>
              </w:rPr>
            </w:pPr>
          </w:p>
        </w:tc>
      </w:tr>
      <w:tr>
        <w:trPr>
          <w:trHeight w:val="197"/>
        </w:trPr>
        <w:tc>
          <w:tcPr>
            <w:tcW w:w="594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rPr>
              <w:t>Name and Address of</w:t>
            </w:r>
          </w:p>
        </w:tc>
        <w:tc>
          <w:tcPr>
            <w:tcW w:w="1440" w:type="dxa"/>
            <w:vAlign w:val="bottom"/>
            <w:tcBorders>
              <w:top w:val="single" w:sz="8" w:color="auto"/>
            </w:tcBorders>
            <w:gridSpan w:val="2"/>
          </w:tcPr>
          <w:p>
            <w:pPr>
              <w:jc w:val="right"/>
              <w:ind w:right="460"/>
              <w:spacing w:after="0" w:line="197" w:lineRule="exact"/>
              <w:rPr>
                <w:sz w:val="20"/>
                <w:szCs w:val="20"/>
                <w:color w:val="auto"/>
              </w:rPr>
            </w:pPr>
            <w:r>
              <w:rPr>
                <w:rFonts w:ascii="Arial" w:cs="Arial" w:eastAsia="Arial" w:hAnsi="Arial"/>
                <w:sz w:val="18"/>
                <w:szCs w:val="18"/>
                <w:b w:val="1"/>
                <w:bCs w:val="1"/>
                <w:color w:val="auto"/>
              </w:rPr>
              <w:t>Number of</w:t>
            </w:r>
          </w:p>
        </w:tc>
        <w:tc>
          <w:tcPr>
            <w:tcW w:w="1140" w:type="dxa"/>
            <w:vAlign w:val="bottom"/>
            <w:tcBorders>
              <w:top w:val="single" w:sz="8" w:color="auto"/>
            </w:tcBorders>
          </w:tcPr>
          <w:p>
            <w:pPr>
              <w:jc w:val="right"/>
              <w:ind w:right="50"/>
              <w:spacing w:after="0" w:line="197" w:lineRule="exact"/>
              <w:rPr>
                <w:sz w:val="20"/>
                <w:szCs w:val="20"/>
                <w:color w:val="auto"/>
              </w:rPr>
            </w:pPr>
            <w:r>
              <w:rPr>
                <w:rFonts w:ascii="Arial" w:cs="Arial" w:eastAsia="Arial" w:hAnsi="Arial"/>
                <w:sz w:val="18"/>
                <w:szCs w:val="18"/>
                <w:b w:val="1"/>
                <w:bCs w:val="1"/>
                <w:color w:val="auto"/>
              </w:rPr>
              <w:t>Percentage</w:t>
            </w:r>
          </w:p>
        </w:tc>
        <w:tc>
          <w:tcPr>
            <w:tcW w:w="26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00"/>
              <w:spacing w:after="0" w:line="197" w:lineRule="exact"/>
              <w:rPr>
                <w:sz w:val="20"/>
                <w:szCs w:val="20"/>
                <w:color w:val="auto"/>
              </w:rPr>
            </w:pPr>
            <w:r>
              <w:rPr>
                <w:rFonts w:ascii="Arial" w:cs="Arial" w:eastAsia="Arial" w:hAnsi="Arial"/>
                <w:sz w:val="18"/>
                <w:szCs w:val="18"/>
                <w:b w:val="1"/>
                <w:bCs w:val="1"/>
                <w:color w:val="auto"/>
                <w:w w:val="91"/>
              </w:rPr>
              <w:t>Number of</w:t>
            </w:r>
          </w:p>
        </w:tc>
        <w:tc>
          <w:tcPr>
            <w:tcW w:w="1140" w:type="dxa"/>
            <w:vAlign w:val="bottom"/>
            <w:tcBorders>
              <w:top w:val="single" w:sz="8" w:color="auto"/>
            </w:tcBorders>
          </w:tcPr>
          <w:p>
            <w:pPr>
              <w:jc w:val="right"/>
              <w:ind w:right="50"/>
              <w:spacing w:after="0" w:line="197" w:lineRule="exact"/>
              <w:rPr>
                <w:sz w:val="20"/>
                <w:szCs w:val="20"/>
                <w:color w:val="auto"/>
              </w:rPr>
            </w:pPr>
            <w:r>
              <w:rPr>
                <w:rFonts w:ascii="Arial" w:cs="Arial" w:eastAsia="Arial" w:hAnsi="Arial"/>
                <w:sz w:val="18"/>
                <w:szCs w:val="18"/>
                <w:b w:val="1"/>
                <w:bCs w:val="1"/>
                <w:color w:val="auto"/>
              </w:rPr>
              <w:t>Percentage</w:t>
            </w:r>
          </w:p>
        </w:tc>
        <w:tc>
          <w:tcPr>
            <w:tcW w:w="160" w:type="dxa"/>
            <w:vAlign w:val="bottom"/>
          </w:tcPr>
          <w:p>
            <w:pPr>
              <w:spacing w:after="0"/>
              <w:rPr>
                <w:sz w:val="17"/>
                <w:szCs w:val="17"/>
                <w:color w:val="auto"/>
              </w:rPr>
            </w:pPr>
          </w:p>
        </w:tc>
      </w:tr>
      <w:tr>
        <w:trPr>
          <w:trHeight w:val="240"/>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of 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Shares</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of Stock</w:t>
            </w:r>
          </w:p>
        </w:tc>
      </w:tr>
      <w:tr>
        <w:trPr>
          <w:trHeight w:val="215"/>
        </w:trPr>
        <w:tc>
          <w:tcPr>
            <w:tcW w:w="5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Cotter (2)</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3,305,448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1,123,888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r>
      <w:tr>
        <w:trPr>
          <w:trHeight w:val="215"/>
        </w:trPr>
        <w:tc>
          <w:tcPr>
            <w:tcW w:w="5940" w:type="dxa"/>
            <w:vAlign w:val="bottom"/>
            <w:gridSpan w:val="2"/>
          </w:tcPr>
          <w:p>
            <w:pPr>
              <w:spacing w:after="0"/>
              <w:rPr>
                <w:sz w:val="20"/>
                <w:szCs w:val="20"/>
                <w:color w:val="auto"/>
              </w:rPr>
            </w:pPr>
            <w:r>
              <w:rPr>
                <w:rFonts w:ascii="Arial" w:cs="Arial" w:eastAsia="Arial" w:hAnsi="Arial"/>
                <w:sz w:val="18"/>
                <w:szCs w:val="18"/>
                <w:color w:val="auto"/>
              </w:rPr>
              <w:t>Eric Barr</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30,000(3)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Cotter, Jr.</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554,569(4)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5940" w:type="dxa"/>
            <w:vAlign w:val="bottom"/>
            <w:gridSpan w:val="2"/>
          </w:tcPr>
          <w:p>
            <w:pPr>
              <w:spacing w:after="0"/>
              <w:rPr>
                <w:sz w:val="20"/>
                <w:szCs w:val="20"/>
                <w:color w:val="auto"/>
              </w:rPr>
            </w:pPr>
            <w:r>
              <w:rPr>
                <w:rFonts w:ascii="Arial" w:cs="Arial" w:eastAsia="Arial" w:hAnsi="Arial"/>
                <w:sz w:val="18"/>
                <w:szCs w:val="18"/>
                <w:color w:val="auto"/>
              </w:rPr>
              <w:t>Margaret Cotter</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559,207(4)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 Gould</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67,340(4)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5940" w:type="dxa"/>
            <w:vAlign w:val="bottom"/>
            <w:gridSpan w:val="2"/>
          </w:tcPr>
          <w:p>
            <w:pPr>
              <w:spacing w:after="0"/>
              <w:rPr>
                <w:sz w:val="20"/>
                <w:szCs w:val="20"/>
                <w:color w:val="auto"/>
              </w:rPr>
            </w:pPr>
            <w:r>
              <w:rPr>
                <w:rFonts w:ascii="Arial" w:cs="Arial" w:eastAsia="Arial" w:hAnsi="Arial"/>
                <w:sz w:val="18"/>
                <w:szCs w:val="18"/>
                <w:color w:val="auto"/>
              </w:rPr>
              <w:t>Edward L. Kane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37,500(4)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Gerard P. Laheney</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30,000(3)</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Alfred Villaseñor</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30,000(3)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1"/>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Cotter(5)</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601,909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5"/>
        </w:trPr>
        <w:tc>
          <w:tcPr>
            <w:tcW w:w="5940" w:type="dxa"/>
            <w:vAlign w:val="bottom"/>
            <w:gridSpan w:val="2"/>
          </w:tcPr>
          <w:p>
            <w:pPr>
              <w:spacing w:after="0"/>
              <w:rPr>
                <w:sz w:val="20"/>
                <w:szCs w:val="20"/>
                <w:color w:val="auto"/>
              </w:rPr>
            </w:pPr>
            <w:r>
              <w:rPr>
                <w:rFonts w:ascii="Arial" w:cs="Arial" w:eastAsia="Arial" w:hAnsi="Arial"/>
                <w:sz w:val="18"/>
                <w:szCs w:val="18"/>
                <w:color w:val="auto"/>
              </w:rPr>
              <w:t>John Hunter</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30,362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Andrzej Matyczynski</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55,000(6)</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Robert F. Smerling</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43,750(3)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1"/>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5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 Cuban (7)</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5424 Deloache Avenue</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Dallas, Texas 75220</w:t>
            </w:r>
          </w:p>
        </w:tc>
        <w:tc>
          <w:tcPr>
            <w:tcW w:w="14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207,511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r>
      <w:tr>
        <w:trPr>
          <w:trHeight w:val="201"/>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rPr>
              <w:t>PICO Holdings, Inc. and PICO Deferred Holdings, LLC (8)</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5940" w:type="dxa"/>
            <w:vAlign w:val="bottom"/>
            <w:gridSpan w:val="2"/>
          </w:tcPr>
          <w:p>
            <w:pPr>
              <w:spacing w:after="0"/>
              <w:rPr>
                <w:sz w:val="20"/>
                <w:szCs w:val="20"/>
                <w:color w:val="auto"/>
              </w:rPr>
            </w:pPr>
            <w:r>
              <w:rPr>
                <w:rFonts w:ascii="Arial" w:cs="Arial" w:eastAsia="Arial" w:hAnsi="Arial"/>
                <w:sz w:val="18"/>
                <w:szCs w:val="18"/>
                <w:color w:val="auto"/>
              </w:rPr>
              <w:t>875 Prospect Street, Suite 301</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La Jolla, California 92037</w:t>
            </w: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r>
      <w:tr>
        <w:trPr>
          <w:trHeight w:val="215"/>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persons)(9)</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5,345,085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1,173,988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r>
    </w:tbl>
    <w:p>
      <w:pPr>
        <w:spacing w:after="0" w:line="228"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0" w:lineRule="exact"/>
        <w:rPr>
          <w:rFonts w:ascii="Arial" w:cs="Arial" w:eastAsia="Arial" w:hAnsi="Arial"/>
          <w:sz w:val="18"/>
          <w:szCs w:val="18"/>
          <w:color w:val="auto"/>
        </w:rPr>
      </w:pPr>
    </w:p>
    <w:p>
      <w:pPr>
        <w:jc w:val="both"/>
        <w:ind w:left="660" w:hanging="306"/>
        <w:spacing w:after="0" w:line="255"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Percentage ownership is determined based on 21,248,823 shares of Class A Stock and 1,495,490 shares of Class B Stock outstanding on the Record Date. Beneficial ownership is determined in accordance with Securities and Exchange Commission rules. Shares subject to options that are presently exercisable, or exercisable within 60 days of the Record Date, which are indicated by footnote, are deemed outstanding in computing the percentage ownership of the person holding the warrants or options, but not in computing the percentage ownership of any other person. An asterisk (*) denotes beneficial ownership of less than 1%.</w:t>
      </w:r>
    </w:p>
    <w:p>
      <w:pPr>
        <w:spacing w:after="0" w:line="217" w:lineRule="exact"/>
        <w:rPr>
          <w:rFonts w:ascii="Arial" w:cs="Arial" w:eastAsia="Arial" w:hAnsi="Arial"/>
          <w:sz w:val="18"/>
          <w:szCs w:val="18"/>
          <w:color w:val="auto"/>
        </w:rPr>
      </w:pPr>
    </w:p>
    <w:p>
      <w:pPr>
        <w:jc w:val="both"/>
        <w:ind w:left="660" w:hanging="306"/>
        <w:spacing w:after="0" w:line="25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Mr. Cotter’s address is c/o the Company, 500 Citadel Drive, Suite 300, Commerce, California 90040. The Class B Stock shown includes 100,000 shares subject to stock options and 1,023,888 shares owned by the James J. Cotter Living Trust, of which Mr. Cotter is the sole trustee. The Class A Stock shown includes 768,076 shares of Class A Stock owned by Hecco Ventures, a general partnership. Mr. Cotter is a 40% general partner of James J. Cotter Ltd., a 20% general partner of Hecco Ventures. The Class A Stock shown also includes 2,497,642 shares owned by the James J. Cotter Living Trust, 29,730 shares held in Mr. Cotter’s profit sharing plan, and 10,000 shares held by Cotter Enterprises, LLC, of which Mr. Cotter is the sole voting member.</w:t>
      </w:r>
    </w:p>
    <w:p>
      <w:pPr>
        <w:spacing w:after="0" w:line="218" w:lineRule="exact"/>
        <w:rPr>
          <w:rFonts w:ascii="Arial" w:cs="Arial" w:eastAsia="Arial" w:hAnsi="Arial"/>
          <w:sz w:val="18"/>
          <w:szCs w:val="18"/>
          <w:color w:val="auto"/>
        </w:rPr>
      </w:pPr>
    </w:p>
    <w:p>
      <w:pPr>
        <w:ind w:left="660" w:hanging="306"/>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of the shares shown are subject to stock options.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3" w:name="page14"/>
    <w:bookmarkEnd w:id="13"/>
    <w:p>
      <w:pPr>
        <w:ind w:left="660" w:hanging="3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30,000 shares subject to stock options.</w:t>
      </w:r>
    </w:p>
    <w:p>
      <w:pPr>
        <w:spacing w:after="0" w:line="250" w:lineRule="exact"/>
        <w:rPr>
          <w:rFonts w:ascii="Arial" w:cs="Arial" w:eastAsia="Arial" w:hAnsi="Arial"/>
          <w:sz w:val="18"/>
          <w:szCs w:val="18"/>
          <w:color w:val="auto"/>
        </w:rPr>
      </w:pPr>
    </w:p>
    <w:p>
      <w:pPr>
        <w:ind w:left="660" w:hanging="306"/>
        <w:spacing w:after="0" w:line="27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A Stock shown includes 75,000 shares subject to stock options and the Class B Stock shown includes 50,000 shares subject to stock options.</w:t>
      </w:r>
    </w:p>
    <w:p>
      <w:pPr>
        <w:spacing w:after="0" w:line="197" w:lineRule="exact"/>
        <w:rPr>
          <w:rFonts w:ascii="Arial" w:cs="Arial" w:eastAsia="Arial" w:hAnsi="Arial"/>
          <w:sz w:val="18"/>
          <w:szCs w:val="18"/>
          <w:color w:val="auto"/>
        </w:rPr>
      </w:pPr>
    </w:p>
    <w:p>
      <w:pPr>
        <w:ind w:left="660" w:hanging="3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35,000 shares subject to stock options.</w:t>
      </w:r>
    </w:p>
    <w:p>
      <w:pPr>
        <w:spacing w:after="0" w:line="250" w:lineRule="exact"/>
        <w:rPr>
          <w:rFonts w:ascii="Arial" w:cs="Arial" w:eastAsia="Arial" w:hAnsi="Arial"/>
          <w:sz w:val="18"/>
          <w:szCs w:val="18"/>
          <w:color w:val="auto"/>
        </w:rPr>
      </w:pPr>
    </w:p>
    <w:p>
      <w:pPr>
        <w:ind w:left="660" w:hanging="3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on February 16, 2010.</w:t>
      </w:r>
    </w:p>
    <w:p>
      <w:pPr>
        <w:spacing w:after="0" w:line="250" w:lineRule="exact"/>
        <w:rPr>
          <w:rFonts w:ascii="Arial" w:cs="Arial" w:eastAsia="Arial" w:hAnsi="Arial"/>
          <w:sz w:val="18"/>
          <w:szCs w:val="18"/>
          <w:color w:val="auto"/>
        </w:rPr>
      </w:pPr>
    </w:p>
    <w:p>
      <w:pPr>
        <w:ind w:left="660" w:hanging="3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on January 7, 2010.</w:t>
      </w:r>
    </w:p>
    <w:p>
      <w:pPr>
        <w:spacing w:after="0" w:line="250" w:lineRule="exact"/>
        <w:rPr>
          <w:rFonts w:ascii="Arial" w:cs="Arial" w:eastAsia="Arial" w:hAnsi="Arial"/>
          <w:sz w:val="18"/>
          <w:szCs w:val="18"/>
          <w:color w:val="auto"/>
        </w:rPr>
      </w:pPr>
    </w:p>
    <w:p>
      <w:pPr>
        <w:ind w:left="660" w:hanging="306"/>
        <w:spacing w:after="0" w:line="27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A Stock shown includes 363,750 shares subject to stock options and the Class B Stock shown includes 150,000 shares subject to stock options.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Eight directors are to be elected at our Annual Meeting to serve until the next annual meeting of stockholders to be held in 2010 or until their successors are elected and qualified. Unless otherwise instructed, the proxy holders will vote the proxies received by us for the election of the nominees below, all of whom are currently our directors. The eight nominees for election to the Board of Directors who receive the greatest number of votes cast for the election of directors by the shares present and entitled to vote will be elected directors. If any nominee becomes unavailable for any reason, it is intended that the proxies will be voted for a substitute nominee designated by the Board of Directors. We have no reason to believe the nominees named will be unable to serve if elected.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names of the nominees for director, together with certain information regarding them,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52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Age</w:t>
            </w:r>
          </w:p>
        </w:tc>
        <w:tc>
          <w:tcPr>
            <w:tcW w:w="77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Position</w:t>
            </w: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James J. Cotter</w:t>
            </w:r>
          </w:p>
        </w:tc>
        <w:tc>
          <w:tcPr>
            <w:tcW w:w="1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72</w:t>
            </w: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Chairman of the Board and Chief Executive Officer (1)</w:t>
            </w: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James J. Cotter, Jr.</w:t>
            </w:r>
          </w:p>
        </w:tc>
        <w:tc>
          <w:tcPr>
            <w:tcW w:w="1520" w:type="dxa"/>
            <w:vAlign w:val="bottom"/>
          </w:tcPr>
          <w:p>
            <w:pPr>
              <w:ind w:left="860"/>
              <w:spacing w:after="0"/>
              <w:rPr>
                <w:sz w:val="20"/>
                <w:szCs w:val="20"/>
                <w:color w:val="auto"/>
              </w:rPr>
            </w:pPr>
            <w:r>
              <w:rPr>
                <w:rFonts w:ascii="Arial" w:cs="Arial" w:eastAsia="Arial" w:hAnsi="Arial"/>
                <w:sz w:val="18"/>
                <w:szCs w:val="18"/>
                <w:color w:val="auto"/>
              </w:rPr>
              <w:t>40</w:t>
            </w:r>
          </w:p>
        </w:tc>
        <w:tc>
          <w:tcPr>
            <w:tcW w:w="7700" w:type="dxa"/>
            <w:vAlign w:val="bottom"/>
          </w:tcPr>
          <w:p>
            <w:pPr>
              <w:ind w:left="340"/>
              <w:spacing w:after="0"/>
              <w:rPr>
                <w:sz w:val="20"/>
                <w:szCs w:val="20"/>
                <w:color w:val="auto"/>
              </w:rPr>
            </w:pPr>
            <w:r>
              <w:rPr>
                <w:rFonts w:ascii="Arial" w:cs="Arial" w:eastAsia="Arial" w:hAnsi="Arial"/>
                <w:sz w:val="18"/>
                <w:szCs w:val="18"/>
                <w:color w:val="auto"/>
              </w:rPr>
              <w:t>Vice Chairman of the Board</w:t>
            </w: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Eric Barr</w:t>
            </w:r>
          </w:p>
        </w:tc>
        <w:tc>
          <w:tcPr>
            <w:tcW w:w="1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63</w:t>
            </w: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 (2)</w:t>
            </w: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Margaret Cotter</w:t>
            </w:r>
          </w:p>
        </w:tc>
        <w:tc>
          <w:tcPr>
            <w:tcW w:w="1520" w:type="dxa"/>
            <w:vAlign w:val="bottom"/>
          </w:tcPr>
          <w:p>
            <w:pPr>
              <w:ind w:left="860"/>
              <w:spacing w:after="0"/>
              <w:rPr>
                <w:sz w:val="20"/>
                <w:szCs w:val="20"/>
                <w:color w:val="auto"/>
              </w:rPr>
            </w:pPr>
            <w:r>
              <w:rPr>
                <w:rFonts w:ascii="Arial" w:cs="Arial" w:eastAsia="Arial" w:hAnsi="Arial"/>
                <w:sz w:val="18"/>
                <w:szCs w:val="18"/>
                <w:color w:val="auto"/>
              </w:rPr>
              <w:t>42</w:t>
            </w:r>
          </w:p>
        </w:tc>
        <w:tc>
          <w:tcPr>
            <w:tcW w:w="770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William D. Gould</w:t>
            </w:r>
          </w:p>
        </w:tc>
        <w:tc>
          <w:tcPr>
            <w:tcW w:w="1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71</w:t>
            </w: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 (3)</w:t>
            </w: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Edward L. Kane</w:t>
            </w:r>
          </w:p>
        </w:tc>
        <w:tc>
          <w:tcPr>
            <w:tcW w:w="1520" w:type="dxa"/>
            <w:vAlign w:val="bottom"/>
          </w:tcPr>
          <w:p>
            <w:pPr>
              <w:ind w:left="860"/>
              <w:spacing w:after="0"/>
              <w:rPr>
                <w:sz w:val="20"/>
                <w:szCs w:val="20"/>
                <w:color w:val="auto"/>
              </w:rPr>
            </w:pPr>
            <w:r>
              <w:rPr>
                <w:rFonts w:ascii="Arial" w:cs="Arial" w:eastAsia="Arial" w:hAnsi="Arial"/>
                <w:sz w:val="18"/>
                <w:szCs w:val="18"/>
                <w:color w:val="auto"/>
              </w:rPr>
              <w:t>72</w:t>
            </w:r>
          </w:p>
        </w:tc>
        <w:tc>
          <w:tcPr>
            <w:tcW w:w="7700" w:type="dxa"/>
            <w:vAlign w:val="bottom"/>
          </w:tcPr>
          <w:p>
            <w:pPr>
              <w:ind w:left="340"/>
              <w:spacing w:after="0"/>
              <w:rPr>
                <w:sz w:val="20"/>
                <w:szCs w:val="20"/>
                <w:color w:val="auto"/>
              </w:rPr>
            </w:pPr>
            <w:r>
              <w:rPr>
                <w:rFonts w:ascii="Arial" w:cs="Arial" w:eastAsia="Arial" w:hAnsi="Arial"/>
                <w:sz w:val="18"/>
                <w:szCs w:val="18"/>
                <w:color w:val="auto"/>
              </w:rPr>
              <w:t>Director (2)</w:t>
            </w: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Gerard P. Laheney</w:t>
            </w:r>
          </w:p>
        </w:tc>
        <w:tc>
          <w:tcPr>
            <w:tcW w:w="1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72</w:t>
            </w: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 (1)(2)(3)</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Alfred Villaseñor</w:t>
            </w:r>
          </w:p>
        </w:tc>
        <w:tc>
          <w:tcPr>
            <w:tcW w:w="1520" w:type="dxa"/>
            <w:vAlign w:val="bottom"/>
          </w:tcPr>
          <w:p>
            <w:pPr>
              <w:ind w:left="860"/>
              <w:spacing w:after="0"/>
              <w:rPr>
                <w:sz w:val="20"/>
                <w:szCs w:val="20"/>
                <w:color w:val="auto"/>
              </w:rPr>
            </w:pPr>
            <w:r>
              <w:rPr>
                <w:rFonts w:ascii="Arial" w:cs="Arial" w:eastAsia="Arial" w:hAnsi="Arial"/>
                <w:sz w:val="18"/>
                <w:szCs w:val="18"/>
                <w:color w:val="auto"/>
              </w:rPr>
              <w:t>79</w:t>
            </w:r>
          </w:p>
        </w:tc>
        <w:tc>
          <w:tcPr>
            <w:tcW w:w="7700" w:type="dxa"/>
            <w:vAlign w:val="bottom"/>
          </w:tcPr>
          <w:p>
            <w:pPr>
              <w:ind w:left="340"/>
              <w:spacing w:after="0"/>
              <w:rPr>
                <w:sz w:val="20"/>
                <w:szCs w:val="20"/>
                <w:color w:val="auto"/>
              </w:rPr>
            </w:pPr>
            <w:r>
              <w:rPr>
                <w:rFonts w:ascii="Arial" w:cs="Arial" w:eastAsia="Arial" w:hAnsi="Arial"/>
                <w:sz w:val="18"/>
                <w:szCs w:val="18"/>
                <w:color w:val="auto"/>
              </w:rPr>
              <w:t>Director (1)(3)</w:t>
            </w:r>
          </w:p>
        </w:tc>
      </w:tr>
    </w:tbl>
    <w:p>
      <w:pPr>
        <w:spacing w:after="0" w:line="213" w:lineRule="exact"/>
        <w:rPr>
          <w:sz w:val="20"/>
          <w:szCs w:val="20"/>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250" w:lineRule="exact"/>
        <w:rPr>
          <w:rFonts w:ascii="Arial" w:cs="Arial" w:eastAsia="Arial" w:hAnsi="Arial"/>
          <w:sz w:val="18"/>
          <w:szCs w:val="18"/>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Audit and Conflicts Committee.</w:t>
      </w:r>
    </w:p>
    <w:p>
      <w:pPr>
        <w:spacing w:after="0" w:line="250" w:lineRule="exact"/>
        <w:rPr>
          <w:rFonts w:ascii="Arial" w:cs="Arial" w:eastAsia="Arial" w:hAnsi="Arial"/>
          <w:sz w:val="18"/>
          <w:szCs w:val="18"/>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Compensation and Stock Options Committee.</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James J. Cotter has been a director of the Company since 1991, the Chairman of our Board since 1992, and our Chief Executive Officer since December 27, 2000. Mr. Cotter also served as our Chief Executive Officer from August 1, 1999 to October 16, 2000, and as a director of our company from 1986 to</w:t>
      </w:r>
    </w:p>
    <w:p>
      <w:pPr>
        <w:jc w:val="both"/>
        <w:spacing w:after="0" w:line="276" w:lineRule="auto"/>
        <w:rPr>
          <w:sz w:val="20"/>
          <w:szCs w:val="20"/>
          <w:color w:val="auto"/>
        </w:rPr>
      </w:pPr>
      <w:r>
        <w:rPr>
          <w:rFonts w:ascii="Arial" w:cs="Arial" w:eastAsia="Arial" w:hAnsi="Arial"/>
          <w:sz w:val="17"/>
          <w:szCs w:val="17"/>
          <w:color w:val="auto"/>
        </w:rPr>
        <w:t>1988. Mr. Cotter is the general partner of James J. Cotter, Ltd., the general partner of Hecco Ventures, a private investment partnership that owns stock in our company. He is a 50% owner of Sutton Hill Associates, a general partnership engaged in cinema-related activities, primarily with our company, and the sole voting member of Cotter Enterprises LLC. Mr. Cotter is the father of Ellen Cotter, James J. Cotter, Jr., and Margaret Cotter.</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Cotter, Sr. brings to the Board his decades of experience as an executive in the film exhibition and real estate industries, as well as his experience in diverse ventures and investments. As a large shareholder of the Company, his interests are well aligned with those of the other shareholders of the Company, which enhances his value as a director.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 w:name="page15"/>
    <w:bookmarkEnd w:id="14"/>
    <w:p>
      <w:pPr>
        <w:jc w:val="both"/>
        <w:spacing w:after="0" w:line="310" w:lineRule="auto"/>
        <w:rPr>
          <w:sz w:val="20"/>
          <w:szCs w:val="20"/>
          <w:color w:val="auto"/>
        </w:rPr>
      </w:pPr>
      <w:r>
        <w:rPr>
          <w:rFonts w:ascii="Arial" w:cs="Arial" w:eastAsia="Arial" w:hAnsi="Arial"/>
          <w:sz w:val="16"/>
          <w:szCs w:val="16"/>
          <w:color w:val="auto"/>
        </w:rPr>
        <w:t>Eric Barr has been a director of the Company since March 21, 2002. For the past five years, Mr. Barr has been a director and the chairman of the audit committee of Australian Pacific Exchange Limited, an Australian stock exchange. In June 2001, Mr. Barr retired from his position as audit partner with PricewaterhouseCoopers LLC in Australia, after having been with that firm for 36 years. He serves as the Chairman of our Audit and Conflicts Committee.</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resident of Brighton, Victoria, Australia, Mr. Barr brings to the Board his extensive knowledge of the Australian business community and his decades of experience in public accounting in Australia.</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James J. Cotter, Jr. has been a director of the Company since March 21, 2002, and was appointed Vice Chairman of the Board in 2007. He has been Chief Executive Officer of Cecelia Packing Corporation (a Cotter family-owned citrus grower, packer, and marketer) since July 2004. Mr. Cotter, Jr. served as a director to Cecelia Packing Corporation from February 1996 to September 1997 and as a director of Gish Biomedical from September 1999 to March 2002. He was an attorney in the law firm of Winston &amp; Strawn, specializing in corporate law, from September 1997 to May 2004. Mr. Cotter, Jr. is the son of James J. Cotter, Sr. and the brother of Margaret Cotter and Ellen Cotter.</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Mr. Cotter, Jr. brings to the Board his experience as a corporate attorney. He also brings more than five years of experience as a corporate executive since leaving the practice of law.</w:t>
      </w:r>
    </w:p>
    <w:p>
      <w:pPr>
        <w:spacing w:after="0" w:line="19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Margaret Cotter has been a director of the Company since September 27, 2002. Ms. Cotter is the owner and President of Off Broadway Investments, LLC, a company that provides live theater management services to our live theaters. Pursuant to that management arrangement, Ms. Cotter also serves as the President of Liberty Theaters, the subsidiary through which we own our live theaters. Ms. Cotter is also a theatrical producer who has produced shows in Chicago and New York. Ms. Cotter is a board member of the League of Off-Broadway Theaters and Producers and is a member of the New York State Bar. From February 1994 until October 1997, Ms. Cotter was an Assistant District Attorney for King’s County in Brooklyn, New York. M s. Cotter graduated from Georgetown University Law Center in 1993. She is the daughter of Mr. James J. Cotter and the sister of Mr. James J. Cotter, Jr. and Ms. Ellen Cotter.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Ms. Cotter brings to the Board her experience as a live theater producer and theater operator.</w:t>
      </w:r>
    </w:p>
    <w:p>
      <w:pPr>
        <w:spacing w:after="0" w:line="25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William D. Gould has been a director of the Company since October 15, 2004 and has been a member of the law firm of TroyGould PC since 1986. Previously, he was a partner of the law firm of O’Melveny &amp; Myers. We have from time to time retained TroyGould PC for legal advice.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an author and lecturer on the subjects of corporate governance and mergers and acquisitions, Mr. Gould brings to the Board specialized experience as a corporate attorney.</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Edward L. Kane has been a director of the Company since October 15, 2004. Mr. Kane was also a director of the Company from 1985 to 1991, and served as President from 1987 to 1988. Mr. Kane currently serves as the Chairman of our Tax Oversight Committee. Mr. Kane has been President of High Avenue Consulting, a healthcare consulting firm, since May 2000. Mr. Kane is also an Adjunct Professor at Thomas Jefferson School of Law.</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 w:name="page16"/>
    <w:bookmarkEnd w:id="15"/>
    <w:p>
      <w:pPr>
        <w:jc w:val="both"/>
        <w:spacing w:after="0" w:line="306" w:lineRule="auto"/>
        <w:rPr>
          <w:sz w:val="20"/>
          <w:szCs w:val="20"/>
          <w:color w:val="auto"/>
        </w:rPr>
      </w:pPr>
      <w:r>
        <w:rPr>
          <w:rFonts w:ascii="Arial" w:cs="Arial" w:eastAsia="Arial" w:hAnsi="Arial"/>
          <w:sz w:val="17"/>
          <w:szCs w:val="17"/>
          <w:color w:val="auto"/>
        </w:rPr>
        <w:t>Mr. Kane brings to the Board his many years as a tax attorney and law professor. He also brings his experience as a past President of Craig Corporation and of Reading Company, our predecessors, as well as a former member of the boards of directors of several publicly held corporations.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Gerard P. Laheney has been a director of the Company since September 27, 2002. Mr. Laheney has been President of Aegis Investment Management Company, an investment advisory firm specializing in global investment portfolio management, since August 1993. Mr. Laheney was a Vice President of Dean Witter Reynolds from April 1990 to December 1993.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Mr. Laheney brings to the Board his experience in investment advice and foreign currency trends.</w:t>
      </w:r>
    </w:p>
    <w:p>
      <w:pPr>
        <w:spacing w:after="0" w:line="25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Alfred Villaseñor has been a director of the Company since 1987. Mr. Villaseñor serves as the Chairman of our Compensation and Stock Option Committee. He also served from 1987 to 1994 as a director for Fidelity Federal Bank. Mr. Villaseñor is the President and owner of Unisure Insurance Services, Incorporated, an insurance agency that has specialized in life, business and group health insurance for over 40 years. Mr. Villaseñor was a director of the John Gogian Family Foundation and currently serves as a member of their scholarship committee. Mr. Villaseñor is a past president and is currently a director of Richstone Family Centers, a non-profit organization helping abused children.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Villaseñor brings to the Board his decades of experience in the insurance industry.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During the year ended December 31, 2009, the Board of Directors met five times. Each director attended at least 75% of the aggregate of the meetings of the Board of Directors and of all committees on which he or she served, during the period such individual served. The Audit and Conflicts Committee held four meetings in 2009. The Compensation and Stock Options Committee held seven meetings during 2009. We do not have a standing nominating committee. Our Board committees are discussed in greater detail under the caption </w:t>
      </w:r>
      <w:r>
        <w:rPr>
          <w:rFonts w:ascii="Arial" w:cs="Arial" w:eastAsia="Arial" w:hAnsi="Arial"/>
          <w:sz w:val="17"/>
          <w:szCs w:val="17"/>
          <w:b w:val="1"/>
          <w:bCs w:val="1"/>
          <w:color w:val="auto"/>
        </w:rPr>
        <w:t>“Board Committees and Corporate Governance,”</w:t>
      </w:r>
      <w:r>
        <w:rPr>
          <w:rFonts w:ascii="Arial" w:cs="Arial" w:eastAsia="Arial" w:hAnsi="Arial"/>
          <w:sz w:val="17"/>
          <w:szCs w:val="17"/>
          <w:color w:val="auto"/>
        </w:rPr>
        <w:t xml:space="preserve">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either class of our common stock to file reports of ownership and changes in ownership with the Securities and Exchange Commission (“SEC”). The SEC rules also require such reporting persons to furnish us with a copy of all Section 16(a) forms they file.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Based solely on a review of the copies of the forms we have received and written representations from certain reporting persons, during 2009,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16(a) filings were filed late: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00" w:type="dxa"/>
            <w:vAlign w:val="bottom"/>
          </w:tcPr>
          <w:p>
            <w:pPr>
              <w:spacing w:after="0"/>
              <w:rPr>
                <w:sz w:val="20"/>
                <w:szCs w:val="20"/>
                <w:color w:val="auto"/>
              </w:rPr>
            </w:pPr>
            <w:r>
              <w:rPr>
                <w:rFonts w:ascii="Arial" w:cs="Arial" w:eastAsia="Arial" w:hAnsi="Arial"/>
                <w:sz w:val="18"/>
                <w:szCs w:val="18"/>
                <w:b w:val="1"/>
                <w:bCs w:val="1"/>
                <w:color w:val="auto"/>
              </w:rPr>
              <w:t>Filer</w:t>
            </w:r>
          </w:p>
        </w:tc>
        <w:tc>
          <w:tcPr>
            <w:tcW w:w="170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Form</w:t>
            </w:r>
          </w:p>
        </w:tc>
        <w:tc>
          <w:tcPr>
            <w:tcW w:w="2780" w:type="dxa"/>
            <w:vAlign w:val="bottom"/>
          </w:tcPr>
          <w:p>
            <w:pPr>
              <w:jc w:val="right"/>
              <w:ind w:right="210"/>
              <w:spacing w:after="0"/>
              <w:rPr>
                <w:sz w:val="20"/>
                <w:szCs w:val="20"/>
                <w:color w:val="auto"/>
              </w:rPr>
            </w:pPr>
            <w:r>
              <w:rPr>
                <w:rFonts w:ascii="Arial" w:cs="Arial" w:eastAsia="Arial" w:hAnsi="Arial"/>
                <w:sz w:val="18"/>
                <w:szCs w:val="18"/>
                <w:b w:val="1"/>
                <w:bCs w:val="1"/>
                <w:color w:val="auto"/>
              </w:rPr>
              <w:t>Date of Earliest Transaction</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0"/>
              </w:rPr>
              <w:t>Date Filed</w:t>
            </w: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Andrzej Matyczynski</w:t>
            </w:r>
          </w:p>
        </w:tc>
        <w:tc>
          <w:tcPr>
            <w:tcW w:w="17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79"/>
              </w:rPr>
              <w:t>4</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8/21/2008</w:t>
            </w: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2/17/2009 on Form 5 (amendment filed on 3/17/2010)</w:t>
            </w: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James J. Cotter</w:t>
            </w:r>
          </w:p>
        </w:tc>
        <w:tc>
          <w:tcPr>
            <w:tcW w:w="1700" w:type="dxa"/>
            <w:vAlign w:val="bottom"/>
          </w:tcPr>
          <w:p>
            <w:pPr>
              <w:jc w:val="center"/>
              <w:ind w:left="530"/>
              <w:spacing w:after="0"/>
              <w:rPr>
                <w:sz w:val="20"/>
                <w:szCs w:val="20"/>
                <w:color w:val="auto"/>
              </w:rPr>
            </w:pPr>
            <w:r>
              <w:rPr>
                <w:rFonts w:ascii="Arial" w:cs="Arial" w:eastAsia="Arial" w:hAnsi="Arial"/>
                <w:sz w:val="18"/>
                <w:szCs w:val="18"/>
                <w:color w:val="auto"/>
                <w:w w:val="79"/>
              </w:rPr>
              <w:t>4</w:t>
            </w: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6/24/2008</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2/17/2009 on Form 5</w:t>
            </w: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John Hunter</w:t>
            </w:r>
          </w:p>
        </w:tc>
        <w:tc>
          <w:tcPr>
            <w:tcW w:w="17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79"/>
              </w:rPr>
              <w:t>4</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2/12/2008</w:t>
            </w: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2/17/2009 on Form 5 (amendment filed on 3/16/2010)</w:t>
            </w: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Jay S. Laifman</w:t>
            </w:r>
          </w:p>
        </w:tc>
        <w:tc>
          <w:tcPr>
            <w:tcW w:w="1700" w:type="dxa"/>
            <w:vAlign w:val="bottom"/>
          </w:tcPr>
          <w:p>
            <w:pPr>
              <w:jc w:val="center"/>
              <w:ind w:left="530"/>
              <w:spacing w:after="0"/>
              <w:rPr>
                <w:sz w:val="20"/>
                <w:szCs w:val="20"/>
                <w:color w:val="auto"/>
              </w:rPr>
            </w:pPr>
            <w:r>
              <w:rPr>
                <w:rFonts w:ascii="Arial" w:cs="Arial" w:eastAsia="Arial" w:hAnsi="Arial"/>
                <w:sz w:val="18"/>
                <w:szCs w:val="18"/>
                <w:color w:val="auto"/>
                <w:w w:val="79"/>
              </w:rPr>
              <w:t>4</w:t>
            </w: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8/21/2008</w:t>
            </w:r>
          </w:p>
        </w:tc>
        <w:tc>
          <w:tcPr>
            <w:tcW w:w="4440" w:type="dxa"/>
            <w:vAlign w:val="bottom"/>
          </w:tcPr>
          <w:p>
            <w:pPr>
              <w:jc w:val="right"/>
              <w:ind w:right="1810"/>
              <w:spacing w:after="0"/>
              <w:rPr>
                <w:sz w:val="20"/>
                <w:szCs w:val="20"/>
                <w:color w:val="auto"/>
              </w:rPr>
            </w:pPr>
            <w:r>
              <w:rPr>
                <w:rFonts w:ascii="Arial" w:cs="Arial" w:eastAsia="Arial" w:hAnsi="Arial"/>
                <w:sz w:val="18"/>
                <w:szCs w:val="18"/>
                <w:color w:val="auto"/>
              </w:rPr>
              <w:t>7/2/2009</w:t>
            </w: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Wayne Smith</w:t>
            </w:r>
          </w:p>
        </w:tc>
        <w:tc>
          <w:tcPr>
            <w:tcW w:w="17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79"/>
              </w:rPr>
              <w:t>4</w:t>
            </w: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9/9/2009</w:t>
            </w:r>
          </w:p>
        </w:tc>
        <w:tc>
          <w:tcPr>
            <w:tcW w:w="444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rPr>
              <w:t>9/15/2009</w:t>
            </w:r>
          </w:p>
        </w:tc>
      </w:tr>
      <w:tr>
        <w:trPr>
          <w:trHeight w:val="605"/>
        </w:trPr>
        <w:tc>
          <w:tcPr>
            <w:tcW w:w="2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80" w:type="dxa"/>
            <w:vAlign w:val="bottom"/>
          </w:tcPr>
          <w:p>
            <w:pPr>
              <w:jc w:val="right"/>
              <w:ind w:right="1090"/>
              <w:spacing w:after="0"/>
              <w:rPr>
                <w:sz w:val="20"/>
                <w:szCs w:val="20"/>
                <w:color w:val="auto"/>
              </w:rPr>
            </w:pPr>
            <w:r>
              <w:rPr>
                <w:rFonts w:ascii="Arial" w:cs="Arial" w:eastAsia="Arial" w:hAnsi="Arial"/>
                <w:sz w:val="18"/>
                <w:szCs w:val="18"/>
                <w:color w:val="auto"/>
              </w:rPr>
              <w:t>14</w:t>
            </w:r>
          </w:p>
        </w:tc>
        <w:tc>
          <w:tcPr>
            <w:tcW w:w="4440" w:type="dxa"/>
            <w:vAlign w:val="bottom"/>
          </w:tcPr>
          <w:p>
            <w:pPr>
              <w:spacing w:after="0"/>
              <w:rPr>
                <w:sz w:val="24"/>
                <w:szCs w:val="24"/>
                <w:color w:val="auto"/>
              </w:rPr>
            </w:pPr>
          </w:p>
        </w:tc>
      </w:tr>
      <w:tr>
        <w:trPr>
          <w:trHeight w:val="117"/>
        </w:trPr>
        <w:tc>
          <w:tcPr>
            <w:tcW w:w="25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Code of Ethics</w:t>
      </w:r>
    </w:p>
    <w:p>
      <w:pPr>
        <w:spacing w:after="0" w:line="25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We have adopted a Code of Ethics applicable to our principal executive officer, principal financial officer, principal accounting officer or controller and company employees, which is available on our website at www.readingrdi.com.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currently have indemnity agreements in place with each of our current directors and senior officers, as well as certain of the directors and senior officers of our subsidiaries. Under these agreements, we have agreed, subject to certain exceptions, to indemnify our directors and some of our senior officers against all expenses, liabilities and losses incurred in connection with any threatened, pending or contemplated action, suit or proceeding, whether civil or criminal, administrative or investigative, to which any such director or officer is a party or is threatened to be made a party, in any manner, based upon, arising from, relating to or by reason of the fact that such individual is, was, shall be or has been a director, officer employee, agent or fiduciary of our comp 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director compensation for the year ended December 31, 2009:</w:t>
      </w: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DIRECTOR COMPENSATION FOR FISCAL YEAR ENDED 2009</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20"/>
              <w:spacing w:after="0" w:line="204" w:lineRule="exact"/>
              <w:rPr>
                <w:sz w:val="20"/>
                <w:szCs w:val="20"/>
                <w:color w:val="auto"/>
              </w:rPr>
            </w:pPr>
            <w:r>
              <w:rPr>
                <w:rFonts w:ascii="Arial" w:cs="Arial" w:eastAsia="Arial" w:hAnsi="Arial"/>
                <w:sz w:val="18"/>
                <w:szCs w:val="18"/>
                <w:b w:val="1"/>
                <w:bCs w:val="1"/>
                <w:color w:val="auto"/>
                <w:w w:val="89"/>
              </w:rPr>
              <w:t>Fees Earned</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Paid in Cash</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Awards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40"/>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 (1)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James J. Cotter (1)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Eric Barr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37,000</w:t>
            </w: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James J. Cotter, Jr.</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Margaret Cotter (2)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William D. Gould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Edward L. Kane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Gerard P. Laheney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Alfred Villaseñor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bl>
    <w:p>
      <w:pPr>
        <w:spacing w:after="0" w:line="213" w:lineRule="exact"/>
        <w:rPr>
          <w:sz w:val="20"/>
          <w:szCs w:val="20"/>
          <w:color w:val="auto"/>
        </w:rPr>
      </w:pPr>
    </w:p>
    <w:p>
      <w:pPr>
        <w:ind w:left="980" w:hanging="303"/>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Cotter receives compensation only as an executive officer of the Company and not in his capacity as a director.</w:t>
      </w:r>
    </w:p>
    <w:p>
      <w:pPr>
        <w:spacing w:after="0" w:line="22" w:lineRule="exact"/>
        <w:rPr>
          <w:rFonts w:ascii="Arial" w:cs="Arial" w:eastAsia="Arial" w:hAnsi="Arial"/>
          <w:sz w:val="18"/>
          <w:szCs w:val="18"/>
          <w:color w:val="auto"/>
        </w:rPr>
      </w:pPr>
    </w:p>
    <w:p>
      <w:pPr>
        <w:ind w:left="980" w:right="20" w:hanging="303"/>
        <w:spacing w:after="0" w:line="321"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Margaret Cotter receives no director’s fee, but receives a combination of fixed and incentive management fees under the OBI Management Agreement described under the caption “Certain Transactions and Related Party Transactions - OBI Management Agreement,” below.</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2009, our non-employee directors received an annual fee of $35,000 for their services, including attendance at meetings and service on Board committees. Mr. James J. Cotter, Jr. receives $100,000 in addition to his $35,000 director’s fee to serve as the Vice Chairman of the Board. The Chairman of our Audit and Conflicts Committee receives an additional $2,000 of compensation for his services. Mr. Kane, the Chairman of our Tax Oversight Committee, received an additional $40,000 in 2009. In addition, upon joining the Board, non-employee directors receive immediately vested options to purchase 20,000 shares of our Class A Stock at an exercise price equal to the market price of the stock at the date of grant.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Board Committees and Corporate Governance</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has standing Executive, Audit and Conflicts, and Compensation and Stock Options Committees. These committees are discussed in greater detail below. Our Board of Directors does not have a nominating committee. Typically, nominations are suggested to our Board of Directors by our Chairman and Chief Executive Officer and controlling stockholder, Mr. Cotter.</w:t>
      </w:r>
    </w:p>
    <w:p>
      <w:pPr>
        <w:spacing w:after="0" w:line="209"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Because Mr. Cotter owns a majority of our Class B Stock, our Board of Directors has determined that our company satisfies the criteria for a “Controlled Company” under section 5615(c)(1) of the listing rules of The NASDAQ Capital Stock Market (the “NASDAQ Rules”). After reviewing the benefits and detriments of taking advantage of the exceptions to the corporate governance rules set forth in section 5605 of the NASDAQ Rules, our Board of Directors in 2009 unanimously determined to take advantage of all of the exceptions from the NASDAQ Rules afforded to us as a Controlled Company.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the exceptions afforded to Controlled Companies is an exception from the requirement that we have an independent nominating committee or independent nominating process. It was noted by our directors that the use of an independent nominating committee or independent nominating process would be of limited utility, since any nominee would need to be acceptable to Mr. Cotter as our controlling stockholder Mr. Cotter, as the holder of a majority of the voting power of our company, is able to unilaterally elect candidates to our Board of Directors at our annual meeting or any other meeting where our directors are to be elected. Historically, Mr. Cotter has identified and selected nominees to our Board of Directors in consultation with our other incumbent directors.&lt; /font&gt;</w:t>
      </w:r>
    </w:p>
    <w:p>
      <w:pPr>
        <w:spacing w:after="0" w:line="191"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6"/>
          <w:szCs w:val="16"/>
          <w:color w:val="auto"/>
        </w:rPr>
        <w:t>Our Board of Directors does not have a formal written policy with respect to the consideration of director candidates recommended by our stockholders. No stockholder has, in more than the past ten years, made any proposal or recommendation to the Board as to potential nominees, nor has Mr. Cotter ever proposed, in the time he has been our principal or controlling stockholder, any nominee that our remaining directors have found to be unacceptable. Furthermore, except for the notice requirement described in the succeeding paragraph below, neither our governing documents nor applicable Nevada law place any restriction on the nomination of candidates for election to our Board of Directors directly by our stockholders. In light of the facts that</w:t>
      </w:r>
    </w:p>
    <w:p>
      <w:pPr>
        <w:spacing w:after="0" w:line="1" w:lineRule="exact"/>
        <w:rPr>
          <w:sz w:val="20"/>
          <w:szCs w:val="20"/>
          <w:color w:val="auto"/>
        </w:rPr>
      </w:pPr>
    </w:p>
    <w:p>
      <w:pPr>
        <w:jc w:val="both"/>
        <w:ind w:firstLine="8"/>
        <w:spacing w:after="0" w:line="254" w:lineRule="auto"/>
        <w:tabs>
          <w:tab w:leader="none" w:pos="2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 Controlled Company under the NASDAQ Rules and exe mpted from the requirements for an independent nominating process and (ii) our governing documents and Nevada law place no limitation upon the direct nomination of director candidates by our stockholders, our Board of Directors believes there is no need for a formal policy with respect to director nominations.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Board of Directors will consider nominations from our stockholders, provided written notice is delivered to our Secretary at our principal executive offices not less than 120 days prior to the first anniversary of the immediately preceding annual meeting of our stockholders at which directors are elected, or such earlier date as may be reasonable in the event that our annual stockholders meeting is moved forward. Such written notice must set forth the name, age, address, and principal occupation or employment of such nominee, the number of shares of our common stock that are beneficially owned by such nominee, and such other information required by the proxy rules of the SEC with respect to a nominee of our Board of Directors.</w:t>
      </w:r>
    </w:p>
    <w:p>
      <w:pPr>
        <w:spacing w:after="0" w:line="17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Alternatively, under our governing documents and applicable Nevada Law, nominations may be made directly by stockholders from the floor of any meeting at which directors are to be elected. See also, the material set forth below under the caption “Stockholder Proposals and Director Nominations,” below.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8" w:name="page19"/>
    <w:bookmarkEnd w:id="18"/>
    <w:p>
      <w:pPr>
        <w:jc w:val="both"/>
        <w:spacing w:after="0" w:line="258" w:lineRule="auto"/>
        <w:rPr>
          <w:sz w:val="20"/>
          <w:szCs w:val="20"/>
          <w:color w:val="auto"/>
        </w:rPr>
      </w:pPr>
      <w:r>
        <w:rPr>
          <w:rFonts w:ascii="Arial" w:cs="Arial" w:eastAsia="Arial" w:hAnsi="Arial"/>
          <w:sz w:val="18"/>
          <w:szCs w:val="18"/>
          <w:color w:val="auto"/>
        </w:rPr>
        <w:t>Our directors have not adopted any formal criteria with respect to the qualifications required to be a director or the particular skills that should be represented on our Board of Directors, other than the need to have at least one director and member of our Audit and Compensation Committee who qualifies as an “audit committee financial expert,” and has not historically retained any third party to identify or evaluate or to assist in identifying or evaluating potential nominees. We do not have a policy to consider diversity in identifying director nominees.</w:t>
      </w:r>
    </w:p>
    <w:p>
      <w:pPr>
        <w:spacing w:after="0" w:line="18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All of the current nominees are incumbent directors who originally were recommended by Mr. Cotter. No other recommendations were received by us with respect to possible nominees to our Board of Directors of directors.</w:t>
      </w:r>
    </w:p>
    <w:p>
      <w:pPr>
        <w:spacing w:after="0" w:line="171"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The same person, Mr. Cotter, Sr., serves as both our principal executive officer and as the chairman of the Board of Directors. We believe this leadership structure is beneficial because of the efficiency of having these roles combined, and because the firsthand knowledge of our business operations that our Chairman possesses as CEO better equips our entire board in their decision making. We do not have a lead independent director. Our Board of Directors effectively oversees risk by having an Audit and Conflicts Committee consisting only of independent directors. Our Board of Directors also administers its risk oversight function by having a majority of independent directors who review the reports of management at regular Board meetings.</w:t>
      </w:r>
    </w:p>
    <w:p>
      <w:pPr>
        <w:spacing w:after="0" w:line="16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We encourage, but do not require, our Board members to attend our Annual Meeting of Stockholders. All of our incumbent directors attended last year’s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 standing Executive Committee comprised of Messrs. Cotter, Laheney and Villaseñor that is authorized, to the fullest extent permitted by Nevada law, to take action on matters between meetings of the full Board of Directors. In recent years, this Committee has not been used, and with the exception of matters delegated to the Audit and Conflicts Committee or the Compensation and Stock Options Committee, all matters requiring Board approval have been considered by the entire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Conflicts Committee; Audit Committee Report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maintains a standing Audit and Conflicts Committee, which we refer to as the Audit Committee. The Audit Committee operates under a Charter adopted by the Board of Directors, which is available on our website at www.readingrdi.com. Our Board of Directors has determined that the Audit Committee is comprised entirely of independent directors, (as defined in section 5605(a)(2) of the NASDAQ Rules), and that Mr. Barr, the Chairman of our Audit Committee, is qualified as an Audit Committee Financial Expert. With respect to our fiscal year ended December 31, 2009, our Audit and Conflicts Committee was comprised of Messrs. Barr, Kane and Laheney.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9" w:name="page20"/>
    <w:bookmarkEnd w:id="19"/>
    <w:p>
      <w:pPr>
        <w:ind w:left="640"/>
        <w:spacing w:after="0"/>
        <w:rPr>
          <w:sz w:val="20"/>
          <w:szCs w:val="20"/>
          <w:color w:val="auto"/>
        </w:rPr>
      </w:pPr>
      <w:r>
        <w:rPr>
          <w:rFonts w:ascii="Arial" w:cs="Arial" w:eastAsia="Arial" w:hAnsi="Arial"/>
          <w:sz w:val="18"/>
          <w:szCs w:val="18"/>
          <w:color w:val="auto"/>
        </w:rPr>
        <w:t>Set forth below is the Audit Committee Report.</w:t>
      </w:r>
    </w:p>
    <w:p>
      <w:pPr>
        <w:spacing w:after="0" w:line="23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The following is the report of the Audit Committee of our Board of Directors with respect to our audited financial statements for the fiscal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247255" cy="5890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255" cy="5890260"/>
                    </a:xfrm>
                    <a:prstGeom prst="rect">
                      <a:avLst/>
                    </a:prstGeom>
                    <a:noFill/>
                  </pic:spPr>
                </pic:pic>
              </a:graphicData>
            </a:graphic>
          </wp:anchor>
        </w:drawing>
      </w:r>
    </w:p>
    <w:p>
      <w:pPr>
        <w:spacing w:after="0" w:line="151" w:lineRule="exact"/>
        <w:rPr>
          <w:sz w:val="20"/>
          <w:szCs w:val="20"/>
          <w:color w:val="auto"/>
        </w:rPr>
      </w:pPr>
    </w:p>
    <w:p>
      <w:pPr>
        <w:ind w:right="80" w:firstLine="645"/>
        <w:spacing w:after="0" w:line="262"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Audit Committee</w:t>
      </w:r>
    </w:p>
    <w:p>
      <w:pPr>
        <w:spacing w:after="0" w:line="22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Audit Committee of our Board of Directors is composed of the directors named below. Each member of the Audit Committee meets the independence requirements under applicable SEC rules and NASDAQ Stock Market listing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Board of Directors has determined that Mr. Barr is an “audit committee financial expert” as defined by SEC rules.</w:t>
      </w:r>
    </w:p>
    <w:p>
      <w:pPr>
        <w:spacing w:after="0" w:line="2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purpose of the Audit Committee is to assist the Board in its general oversight of our financial reporting, internal controls and audit functions. The Audit Committee operates under a written Charter adopted by our Board of Directors. The Charter is reviewed periodically and subject to change, as appropriate. The Audit Committee Charter describes in greater detail the full responsibilities of the Committee.</w:t>
      </w:r>
    </w:p>
    <w:p>
      <w:pPr>
        <w:spacing w:after="0" w:line="18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Deloitte &amp; Touche,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Deloitte &amp; Touche, LLP is responsible for performing an independent audit of the consolidated financial statements and expressing an opinion on the conformity of those financial statements with accounting principles generally accepted in the United States of America, as well as expressing an opinion on (i) management’s assessment of the effectiveness of internal control over financial reporting and (ii) the effectiveness of internal control over financial reporting.</w:t>
      </w:r>
    </w:p>
    <w:p>
      <w:pPr>
        <w:spacing w:after="0" w:line="16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Audit Committee also has discussed with Deloitte &amp; Touche, LLP the matters required to be discussed by Statement on Auditing Standards No. 61, as amended, “Communication with Audit Committees” and PCAOB Auditing Standard No. 2, “An Audit of Internal Control Over Financial Reporting Performed in Conjunction with an Audit of Financial Statements.” In addition, Deloitte &amp; Touche, LLP has provided the Audit Committee with the written disclosures and the letter required by the Independence Standards Board Standard No. 1, as amended, “Independence Discussions with Audit Committees,” and the Audit Committee has discussed with Deloitte &amp; Touche, LLP their firm’s independence.</w:t>
      </w:r>
    </w:p>
    <w:p>
      <w:pPr>
        <w:spacing w:after="0" w:line="17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Based on their review of the consolidated financial statements and discussions with and representations from management and Deloitte &amp; Touche, LLP referred to above, the Audit Committee recommended to our Board of Directors that the audited financial statements be included in our Annual Report on Form 10-K for fiscal year 2009, for filing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Audit Committee.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Eric Barr,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Edward L. Kane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Gerard P. Laheney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60" w:top="488"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Compensation and Stock Options Committee</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Our Board of Directors has a standing Compensation and Stock Options Committee, which we refer to as our Compensation Committee, comprised of two or more of our independent directors. The current Compensation Committee members are Alfred Villaseñor, William D. Gould and Gerard P. Laheney. Mr. Villaseñor serves as Chairman of the Compensation Committee.</w:t>
      </w:r>
    </w:p>
    <w:p>
      <w:pPr>
        <w:spacing w:after="0" w:line="18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Compensation Committee evaluates and makes recommendations to the full Board of Directors regarding the compensation of our Chief Executive Officer, James J. Cotter, and that of any Cotter family members and generally oversees our executive compensation programs. The Compensation Committee Report is shown below under the heading, “Compensation Committee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eight nominees receiving the greatest number of votes cast at the Annual Meeting will be elected to the Board of Directors. Mr. Cotter has advised us that he intends to vote his shares of Class B Stock in favor of each of our nominees. Since Mr. Cotter owns a majority of the outstanding Class B Stock, if he votes his shares as he has advised, then the nominees will be elected whether or not they receive the votes of any other stockholders.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EACH OF THE NOMINEES.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our executive officers other than Mr. Cotter, whose information is set forth in the Nominees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Election section of this Proxy Statement: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88"/>
              </w:rPr>
              <w:t>Age</w:t>
            </w:r>
          </w:p>
        </w:tc>
        <w:tc>
          <w:tcPr>
            <w:tcW w:w="72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Title</w:t>
            </w:r>
          </w:p>
        </w:tc>
      </w:tr>
      <w:tr>
        <w:trPr>
          <w:trHeight w:val="215"/>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Ellen M. Cotter</w:t>
            </w:r>
          </w:p>
        </w:tc>
        <w:tc>
          <w:tcPr>
            <w:tcW w:w="158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9"/>
              </w:rPr>
              <w:t>44</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Operating Officer – Domestic Cinemas</w:t>
            </w:r>
          </w:p>
        </w:tc>
      </w:tr>
      <w:tr>
        <w:trPr>
          <w:trHeight w:val="215"/>
        </w:trPr>
        <w:tc>
          <w:tcPr>
            <w:tcW w:w="2640" w:type="dxa"/>
            <w:vAlign w:val="bottom"/>
          </w:tcPr>
          <w:p>
            <w:pPr>
              <w:spacing w:after="0"/>
              <w:rPr>
                <w:sz w:val="20"/>
                <w:szCs w:val="20"/>
                <w:color w:val="auto"/>
              </w:rPr>
            </w:pPr>
            <w:r>
              <w:rPr>
                <w:rFonts w:ascii="Arial" w:cs="Arial" w:eastAsia="Arial" w:hAnsi="Arial"/>
                <w:sz w:val="18"/>
                <w:szCs w:val="18"/>
                <w:color w:val="auto"/>
              </w:rPr>
              <w:t>John Hunter</w:t>
            </w:r>
          </w:p>
        </w:tc>
        <w:tc>
          <w:tcPr>
            <w:tcW w:w="1580" w:type="dxa"/>
            <w:vAlign w:val="bottom"/>
          </w:tcPr>
          <w:p>
            <w:pPr>
              <w:jc w:val="center"/>
              <w:ind w:left="790"/>
              <w:spacing w:after="0"/>
              <w:rPr>
                <w:sz w:val="20"/>
                <w:szCs w:val="20"/>
                <w:color w:val="auto"/>
              </w:rPr>
            </w:pPr>
            <w:r>
              <w:rPr>
                <w:rFonts w:ascii="Arial" w:cs="Arial" w:eastAsia="Arial" w:hAnsi="Arial"/>
                <w:sz w:val="18"/>
                <w:szCs w:val="18"/>
                <w:color w:val="auto"/>
                <w:w w:val="89"/>
              </w:rPr>
              <w:t>51</w:t>
            </w:r>
          </w:p>
        </w:tc>
        <w:tc>
          <w:tcPr>
            <w:tcW w:w="7200" w:type="dxa"/>
            <w:vAlign w:val="bottom"/>
          </w:tcPr>
          <w:p>
            <w:pPr>
              <w:ind w:left="220"/>
              <w:spacing w:after="0"/>
              <w:rPr>
                <w:sz w:val="20"/>
                <w:szCs w:val="20"/>
                <w:color w:val="auto"/>
              </w:rPr>
            </w:pPr>
            <w:r>
              <w:rPr>
                <w:rFonts w:ascii="Arial" w:cs="Arial" w:eastAsia="Arial" w:hAnsi="Arial"/>
                <w:sz w:val="18"/>
                <w:szCs w:val="18"/>
                <w:color w:val="auto"/>
              </w:rPr>
              <w:t>Chief Operating Officer</w:t>
            </w:r>
          </w:p>
        </w:tc>
      </w:tr>
      <w:tr>
        <w:trPr>
          <w:trHeight w:val="215"/>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Andrzej Matyczynski</w:t>
            </w:r>
          </w:p>
        </w:tc>
        <w:tc>
          <w:tcPr>
            <w:tcW w:w="158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9"/>
              </w:rPr>
              <w:t>57</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and Treasurer</w:t>
            </w:r>
          </w:p>
        </w:tc>
      </w:tr>
      <w:tr>
        <w:trPr>
          <w:trHeight w:val="215"/>
        </w:trPr>
        <w:tc>
          <w:tcPr>
            <w:tcW w:w="2640" w:type="dxa"/>
            <w:vAlign w:val="bottom"/>
          </w:tcPr>
          <w:p>
            <w:pPr>
              <w:spacing w:after="0"/>
              <w:rPr>
                <w:sz w:val="20"/>
                <w:szCs w:val="20"/>
                <w:color w:val="auto"/>
              </w:rPr>
            </w:pPr>
            <w:r>
              <w:rPr>
                <w:rFonts w:ascii="Arial" w:cs="Arial" w:eastAsia="Arial" w:hAnsi="Arial"/>
                <w:sz w:val="18"/>
                <w:szCs w:val="18"/>
                <w:color w:val="auto"/>
              </w:rPr>
              <w:t>Wayne Smith</w:t>
            </w:r>
          </w:p>
        </w:tc>
        <w:tc>
          <w:tcPr>
            <w:tcW w:w="1580" w:type="dxa"/>
            <w:vAlign w:val="bottom"/>
          </w:tcPr>
          <w:p>
            <w:pPr>
              <w:jc w:val="center"/>
              <w:ind w:left="790"/>
              <w:spacing w:after="0"/>
              <w:rPr>
                <w:sz w:val="20"/>
                <w:szCs w:val="20"/>
                <w:color w:val="auto"/>
              </w:rPr>
            </w:pPr>
            <w:r>
              <w:rPr>
                <w:rFonts w:ascii="Arial" w:cs="Arial" w:eastAsia="Arial" w:hAnsi="Arial"/>
                <w:sz w:val="18"/>
                <w:szCs w:val="18"/>
                <w:color w:val="auto"/>
                <w:w w:val="89"/>
              </w:rPr>
              <w:t>52</w:t>
            </w:r>
          </w:p>
        </w:tc>
        <w:tc>
          <w:tcPr>
            <w:tcW w:w="7200" w:type="dxa"/>
            <w:vAlign w:val="bottom"/>
          </w:tcPr>
          <w:p>
            <w:pPr>
              <w:ind w:left="220"/>
              <w:spacing w:after="0"/>
              <w:rPr>
                <w:sz w:val="20"/>
                <w:szCs w:val="20"/>
                <w:color w:val="auto"/>
              </w:rPr>
            </w:pPr>
            <w:r>
              <w:rPr>
                <w:rFonts w:ascii="Arial" w:cs="Arial" w:eastAsia="Arial" w:hAnsi="Arial"/>
                <w:sz w:val="18"/>
                <w:szCs w:val="18"/>
                <w:color w:val="auto"/>
              </w:rPr>
              <w:t>Managing Director – Australia and New Zealand Cinemas</w:t>
            </w:r>
          </w:p>
        </w:tc>
      </w:tr>
      <w:tr>
        <w:trPr>
          <w:trHeight w:val="215"/>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Robert F. Smerling</w:t>
            </w:r>
          </w:p>
        </w:tc>
        <w:tc>
          <w:tcPr>
            <w:tcW w:w="158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9"/>
              </w:rPr>
              <w:t>75</w:t>
            </w:r>
          </w:p>
        </w:tc>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President - Domestic Cinemas</w:t>
            </w: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Ellen Cotter joined us in March 1998 and is the Chief Operating Officer of our domestic cinema operations. Ms. Cotter is also Chief Executive Officer of our subsidiary, Consolidated Entertainment, Inc. Ms. Cotter is a graduate of Smith College and holds a Juris Doctorate from Georgetown Law School. Prior to joining us, Ms. Cotter spent four years in private practice as a corporate attorney with the law firm of White &amp; Case in Manhattan. Ms. Cotter is the daughter of James J. Cotter and the sister of James J. Cotter, Jr. and Margaret Cotter, each of whom are directors of our company.</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John Hunter joined our Company in February 2007 as our Chief Operating Officer. He is also President of all of our Australia and New Zealand based subsidiaries. Mr. Hunter has spent fifteen years in senior management positions in cinema operations and real estate development. He has worked with Landmark Theatres, Loews Theatres, and Pacific Theatres. Immediately prior to joining the Company, he was the Chief Operating Officer and Chief Financial Officer for Hollywood Theatres.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8"/>
          <w:szCs w:val="18"/>
          <w:color w:val="auto"/>
        </w:rPr>
        <w:t>Andrzej Matyczynski has served as our Chief Financial Officer and Treasurer of our Company and Craig Corporation and the Chief Administrative Officer of Reading Holdings, Inc. (formerly Reading Entertainment, Inc.) since November 18, 1999. Mr. Matyczynski has a Masters of Business Administration from the University of Southern California.</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Wayne Smith joined the Company in April 2004 after 23 years with Hoyts Cinemas, where he was the head of property and development.</w:t>
      </w: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Robert F. Smerling has served as President of Citadel Cinemas, Inc. since September 1, 2000 following our acquisition of our City Cinemas circuit. Mr. Smerling also served as the President and a director of one of our predecessors, Reading Holdings, Inc. Mr. Smerling has been in the cinema industry for 56 years, and immediately before joining the Company, he served as the President of Loews Theatres Management Corporation.</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and Authority of the Compensation Committee</w:t>
      </w:r>
    </w:p>
    <w:p>
      <w:pPr>
        <w:spacing w:after="0" w:line="227" w:lineRule="exact"/>
        <w:rPr>
          <w:sz w:val="20"/>
          <w:szCs w:val="20"/>
          <w:color w:val="auto"/>
        </w:rPr>
      </w:pPr>
    </w:p>
    <w:p>
      <w:pPr>
        <w:jc w:val="both"/>
        <w:ind w:right="80" w:firstLine="645"/>
        <w:spacing w:after="0" w:line="274" w:lineRule="auto"/>
        <w:rPr>
          <w:sz w:val="20"/>
          <w:szCs w:val="20"/>
          <w:color w:val="auto"/>
        </w:rPr>
      </w:pPr>
      <w:r>
        <w:rPr>
          <w:rFonts w:ascii="Arial" w:cs="Arial" w:eastAsia="Arial" w:hAnsi="Arial"/>
          <w:sz w:val="17"/>
          <w:szCs w:val="17"/>
          <w:color w:val="auto"/>
        </w:rPr>
        <w:t>The Board of Directors of our company has established a standing Compensation and Stock Options Committee, which we refer to in this section as the “Compensation Committee” or the “Committee,” consisting of two or more of our non-employee directors. As a Controlled Company within the meaning of the NASDAQ Rules, we are exempt from the NASDAQ Rules regarding the determination of executive compensation. The Compensation Committee has no formal charter, and acts pursuant to the general authority delegated to the Committee by our Board of Directors at the time it established the Compensation Committee and any specific authority delegated by our Board from time to time.</w:t>
      </w:r>
    </w:p>
    <w:p>
      <w:pPr>
        <w:spacing w:after="0" w:line="175" w:lineRule="exact"/>
        <w:rPr>
          <w:sz w:val="20"/>
          <w:szCs w:val="20"/>
          <w:color w:val="auto"/>
        </w:rPr>
      </w:pPr>
    </w:p>
    <w:p>
      <w:pPr>
        <w:ind w:right="200" w:firstLine="645"/>
        <w:spacing w:after="0" w:line="275" w:lineRule="auto"/>
        <w:rPr>
          <w:sz w:val="20"/>
          <w:szCs w:val="20"/>
          <w:color w:val="auto"/>
        </w:rPr>
      </w:pPr>
      <w:r>
        <w:rPr>
          <w:rFonts w:ascii="Arial" w:cs="Arial" w:eastAsia="Arial" w:hAnsi="Arial"/>
          <w:sz w:val="18"/>
          <w:szCs w:val="18"/>
          <w:color w:val="auto"/>
        </w:rPr>
        <w:t>Generally speaking, the Compensation Committee has advisory authority only with respect to the compensation of our Chief Executive Officer and other named executive officers. The final authority to make compensation decisions rests with our Board of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Throughout this proxy section, the individuals named in the Summary Compensation Table below are referred to as “named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Objectives and Policies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objectives of our executive compensation program are to:</w:t>
      </w:r>
    </w:p>
    <w:p>
      <w:pPr>
        <w:spacing w:after="0" w:line="223" w:lineRule="exact"/>
        <w:rPr>
          <w:sz w:val="20"/>
          <w:szCs w:val="20"/>
          <w:color w:val="auto"/>
        </w:rPr>
      </w:pPr>
    </w:p>
    <w:p>
      <w:pPr>
        <w:ind w:left="1300" w:hanging="136"/>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talented executives;</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reward executives appropriately for their individual efforts and job performance; and</w:t>
      </w:r>
    </w:p>
    <w:p>
      <w:pPr>
        <w:spacing w:after="0" w:line="223" w:lineRule="exact"/>
        <w:rPr>
          <w:rFonts w:ascii="Arial" w:cs="Arial" w:eastAsia="Arial" w:hAnsi="Arial"/>
          <w:sz w:val="18"/>
          <w:szCs w:val="18"/>
          <w:color w:val="auto"/>
        </w:rPr>
      </w:pPr>
    </w:p>
    <w:p>
      <w:pPr>
        <w:ind w:left="1300" w:right="20" w:hanging="136"/>
        <w:spacing w:after="0" w:line="27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afford executives appropriate incentives to achieve the short-term and long-term business objectives established by management and our Board of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general policies for achieving these objectives are that the total compensation paid to our named executive officers:</w:t>
      </w:r>
    </w:p>
    <w:p>
      <w:pPr>
        <w:spacing w:after="0" w:line="2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should be fair to us and to the named executive officers;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2" w:name="page23"/>
    <w:bookmarkEnd w:id="22"/>
    <w:p>
      <w:pPr>
        <w:ind w:left="1300" w:hanging="136"/>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reasonable in nature and amount; and</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with market compensation rates.</w:t>
      </w:r>
    </w:p>
    <w:p>
      <w:pPr>
        <w:spacing w:after="0" w:line="223" w:lineRule="exact"/>
        <w:rPr>
          <w:sz w:val="20"/>
          <w:szCs w:val="20"/>
          <w:color w:val="auto"/>
        </w:rPr>
      </w:pPr>
    </w:p>
    <w:p>
      <w:pPr>
        <w:ind w:right="120" w:firstLine="645"/>
        <w:spacing w:after="0" w:line="272" w:lineRule="auto"/>
        <w:rPr>
          <w:sz w:val="20"/>
          <w:szCs w:val="20"/>
          <w:color w:val="auto"/>
        </w:rPr>
      </w:pPr>
      <w:r>
        <w:rPr>
          <w:rFonts w:ascii="Arial" w:cs="Arial" w:eastAsia="Arial" w:hAnsi="Arial"/>
          <w:sz w:val="17"/>
          <w:szCs w:val="17"/>
          <w:color w:val="auto"/>
        </w:rPr>
        <w:t>With certain exceptions, our company’s compensation policies are not related specifically to our company’s performance, which is just one of the factors considered by us and our Compensation Committee in establishing base salaries and awarding discretionary compensation. We have not established any policy regarding recoupment, or “clawback,” of any performance-based compensation in the event our company’s historical performance is subsequently revised or restated in a way that would have produced a lower compensation amount. We also have not relied upon wealth accumulation analyses, or “tally sheets,” or internal pay equity analyses in making executive compensation decisions. These policies remained in place throughout 2009, and we expect to continue to follow the m for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27" w:lineRule="exact"/>
        <w:rPr>
          <w:sz w:val="20"/>
          <w:szCs w:val="20"/>
          <w:color w:val="auto"/>
        </w:rPr>
      </w:pPr>
    </w:p>
    <w:p>
      <w:pPr>
        <w:ind w:right="220" w:firstLine="645"/>
        <w:spacing w:after="0" w:line="236" w:lineRule="auto"/>
        <w:rPr>
          <w:sz w:val="20"/>
          <w:szCs w:val="20"/>
          <w:color w:val="auto"/>
        </w:rPr>
      </w:pPr>
      <w:r>
        <w:rPr>
          <w:rFonts w:ascii="Arial" w:cs="Arial" w:eastAsia="Arial" w:hAnsi="Arial"/>
          <w:sz w:val="18"/>
          <w:szCs w:val="18"/>
          <w:color w:val="auto"/>
        </w:rPr>
        <w:t>In 2004, our company retained Towers Perrin, executive compensation consultants, to perform an analysis of our Chief Executive Officer’s compensation compared to a peer group of companies. In consultation with our management, including Mr. Cotter, our Chairman and Chief Executive Officer, Towers Perrin identified a peer group of companies in the real estate investment trust and cinema exhibition industries, the two principal lines of business of our company. Based upon Towers Perrin’s review, the Compensation Committee determined that Mr. Cotter’s total direct compensation, consisting of base salary, most recent bonus paid, and annualized expected value of long-term incentive compensation, should fall within the 66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 centile among the peer group.</w:t>
      </w:r>
    </w:p>
    <w:p>
      <w:pPr>
        <w:spacing w:after="0" w:line="205" w:lineRule="exact"/>
        <w:rPr>
          <w:sz w:val="20"/>
          <w:szCs w:val="20"/>
          <w:color w:val="auto"/>
        </w:rPr>
      </w:pPr>
    </w:p>
    <w:p>
      <w:pPr>
        <w:ind w:right="20" w:firstLine="645"/>
        <w:spacing w:after="0" w:line="274" w:lineRule="auto"/>
        <w:rPr>
          <w:sz w:val="20"/>
          <w:szCs w:val="20"/>
          <w:color w:val="auto"/>
        </w:rPr>
      </w:pPr>
      <w:r>
        <w:rPr>
          <w:rFonts w:ascii="Arial" w:cs="Arial" w:eastAsia="Arial" w:hAnsi="Arial"/>
          <w:sz w:val="17"/>
          <w:szCs w:val="17"/>
          <w:color w:val="auto"/>
        </w:rPr>
        <w:t>The Compensation Committee has periodically requested new assessments from Towers Perrin for the purpose of benchmarking Mr. Cotter’s compensation. In April 2009, Towers Perrin reassessed Mr. Cotter’s total direct compensation compared to a peer group of seventeen companies in a primary peer group and an exhibition peer group. The primary peer companies comprise twelve companies selected by Towers Perrin based on market value, industry, and business description. The exhibition peer companies comprise five companies identified by our management, including Mr. Cotter. The following is a list of the peer companies used in this assessment (which excludes one company that filed for Chapter 11 bankruptcy):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Acadia Realty Trust</w:t>
            </w:r>
          </w:p>
        </w:tc>
        <w:tc>
          <w:tcPr>
            <w:tcW w:w="756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LTC Properties Inc</w:t>
            </w:r>
          </w:p>
        </w:tc>
      </w:tr>
      <w:tr>
        <w:trPr>
          <w:trHeight w:val="215"/>
        </w:trPr>
        <w:tc>
          <w:tcPr>
            <w:tcW w:w="3860" w:type="dxa"/>
            <w:vAlign w:val="bottom"/>
          </w:tcPr>
          <w:p>
            <w:pPr>
              <w:spacing w:after="0"/>
              <w:rPr>
                <w:sz w:val="20"/>
                <w:szCs w:val="20"/>
                <w:color w:val="auto"/>
              </w:rPr>
            </w:pPr>
            <w:r>
              <w:rPr>
                <w:rFonts w:ascii="Arial" w:cs="Arial" w:eastAsia="Arial" w:hAnsi="Arial"/>
                <w:sz w:val="18"/>
                <w:szCs w:val="18"/>
                <w:color w:val="auto"/>
              </w:rPr>
              <w:t>Agree Realty Corp</w:t>
            </w:r>
          </w:p>
        </w:tc>
        <w:tc>
          <w:tcPr>
            <w:tcW w:w="7560" w:type="dxa"/>
            <w:vAlign w:val="bottom"/>
          </w:tcPr>
          <w:p>
            <w:pPr>
              <w:ind w:left="1580"/>
              <w:spacing w:after="0"/>
              <w:rPr>
                <w:sz w:val="20"/>
                <w:szCs w:val="20"/>
                <w:color w:val="auto"/>
              </w:rPr>
            </w:pPr>
            <w:r>
              <w:rPr>
                <w:rFonts w:ascii="Arial" w:cs="Arial" w:eastAsia="Arial" w:hAnsi="Arial"/>
                <w:sz w:val="18"/>
                <w:szCs w:val="18"/>
                <w:color w:val="auto"/>
              </w:rPr>
              <w:t>Marcus Corp (The)</w:t>
            </w:r>
          </w:p>
        </w:tc>
      </w:tr>
      <w:tr>
        <w:trPr>
          <w:trHeight w:val="21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AMC Entertainment Inc.</w:t>
            </w:r>
          </w:p>
        </w:tc>
        <w:tc>
          <w:tcPr>
            <w:tcW w:w="756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Monmouth Real Estate Investment Corp</w:t>
            </w:r>
          </w:p>
        </w:tc>
      </w:tr>
      <w:tr>
        <w:trPr>
          <w:trHeight w:val="215"/>
        </w:trPr>
        <w:tc>
          <w:tcPr>
            <w:tcW w:w="3860" w:type="dxa"/>
            <w:vAlign w:val="bottom"/>
          </w:tcPr>
          <w:p>
            <w:pPr>
              <w:spacing w:after="0"/>
              <w:rPr>
                <w:sz w:val="20"/>
                <w:szCs w:val="20"/>
                <w:color w:val="auto"/>
              </w:rPr>
            </w:pPr>
            <w:r>
              <w:rPr>
                <w:rFonts w:ascii="Arial" w:cs="Arial" w:eastAsia="Arial" w:hAnsi="Arial"/>
                <w:sz w:val="18"/>
                <w:szCs w:val="18"/>
                <w:color w:val="auto"/>
              </w:rPr>
              <w:t>Associated Estates Realty Corp</w:t>
            </w:r>
          </w:p>
        </w:tc>
        <w:tc>
          <w:tcPr>
            <w:tcW w:w="7560" w:type="dxa"/>
            <w:vAlign w:val="bottom"/>
          </w:tcPr>
          <w:p>
            <w:pPr>
              <w:ind w:left="1580"/>
              <w:spacing w:after="0"/>
              <w:rPr>
                <w:sz w:val="20"/>
                <w:szCs w:val="20"/>
                <w:color w:val="auto"/>
              </w:rPr>
            </w:pPr>
            <w:r>
              <w:rPr>
                <w:rFonts w:ascii="Arial" w:cs="Arial" w:eastAsia="Arial" w:hAnsi="Arial"/>
                <w:sz w:val="18"/>
                <w:szCs w:val="18"/>
                <w:color w:val="auto"/>
              </w:rPr>
              <w:t>Omega Healthcare Investors Inc.</w:t>
            </w:r>
          </w:p>
        </w:tc>
      </w:tr>
      <w:tr>
        <w:trPr>
          <w:trHeight w:val="21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Bluegreen Corp</w:t>
            </w:r>
          </w:p>
        </w:tc>
        <w:tc>
          <w:tcPr>
            <w:tcW w:w="756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Orleans Homebuilders Inc.</w:t>
            </w:r>
          </w:p>
        </w:tc>
      </w:tr>
      <w:tr>
        <w:trPr>
          <w:trHeight w:val="215"/>
        </w:trPr>
        <w:tc>
          <w:tcPr>
            <w:tcW w:w="3860" w:type="dxa"/>
            <w:vAlign w:val="bottom"/>
          </w:tcPr>
          <w:p>
            <w:pPr>
              <w:spacing w:after="0"/>
              <w:rPr>
                <w:sz w:val="20"/>
                <w:szCs w:val="20"/>
                <w:color w:val="auto"/>
              </w:rPr>
            </w:pPr>
            <w:r>
              <w:rPr>
                <w:rFonts w:ascii="Arial" w:cs="Arial" w:eastAsia="Arial" w:hAnsi="Arial"/>
                <w:sz w:val="18"/>
                <w:szCs w:val="18"/>
                <w:color w:val="auto"/>
              </w:rPr>
              <w:t>Bresler &amp; Reiner Inc</w:t>
            </w:r>
          </w:p>
        </w:tc>
        <w:tc>
          <w:tcPr>
            <w:tcW w:w="7560" w:type="dxa"/>
            <w:vAlign w:val="bottom"/>
          </w:tcPr>
          <w:p>
            <w:pPr>
              <w:ind w:left="1580"/>
              <w:spacing w:after="0"/>
              <w:rPr>
                <w:sz w:val="20"/>
                <w:szCs w:val="20"/>
                <w:color w:val="auto"/>
              </w:rPr>
            </w:pPr>
            <w:r>
              <w:rPr>
                <w:rFonts w:ascii="Arial" w:cs="Arial" w:eastAsia="Arial" w:hAnsi="Arial"/>
                <w:sz w:val="18"/>
                <w:szCs w:val="18"/>
                <w:color w:val="auto"/>
              </w:rPr>
              <w:t>Ramco-Gershenson Properties Trust</w:t>
            </w:r>
          </w:p>
        </w:tc>
      </w:tr>
      <w:tr>
        <w:trPr>
          <w:trHeight w:val="21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Carmike Cinemas Inc</w:t>
            </w:r>
          </w:p>
        </w:tc>
        <w:tc>
          <w:tcPr>
            <w:tcW w:w="756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Regal Entertainment Group</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Imax Corp</w:t>
            </w:r>
          </w:p>
        </w:tc>
        <w:tc>
          <w:tcPr>
            <w:tcW w:w="7560" w:type="dxa"/>
            <w:vAlign w:val="bottom"/>
          </w:tcPr>
          <w:p>
            <w:pPr>
              <w:ind w:left="1580"/>
              <w:spacing w:after="0"/>
              <w:rPr>
                <w:sz w:val="20"/>
                <w:szCs w:val="20"/>
                <w:color w:val="auto"/>
              </w:rPr>
            </w:pPr>
            <w:r>
              <w:rPr>
                <w:rFonts w:ascii="Arial" w:cs="Arial" w:eastAsia="Arial" w:hAnsi="Arial"/>
                <w:sz w:val="18"/>
                <w:szCs w:val="18"/>
                <w:color w:val="auto"/>
              </w:rPr>
              <w:t>Urstadt Biddle Properties Inc.</w:t>
            </w:r>
          </w:p>
        </w:tc>
      </w:tr>
    </w:tbl>
    <w:p>
      <w:pPr>
        <w:spacing w:after="0" w:line="186" w:lineRule="exact"/>
        <w:rPr>
          <w:sz w:val="20"/>
          <w:szCs w:val="20"/>
          <w:color w:val="auto"/>
        </w:rPr>
      </w:pPr>
    </w:p>
    <w:p>
      <w:pPr>
        <w:ind w:right="220" w:firstLine="645"/>
        <w:spacing w:after="0" w:line="245" w:lineRule="auto"/>
        <w:rPr>
          <w:sz w:val="20"/>
          <w:szCs w:val="20"/>
          <w:color w:val="auto"/>
        </w:rPr>
      </w:pPr>
      <w:r>
        <w:rPr>
          <w:rFonts w:ascii="Arial" w:cs="Arial" w:eastAsia="Arial" w:hAnsi="Arial"/>
          <w:sz w:val="17"/>
          <w:szCs w:val="17"/>
          <w:color w:val="auto"/>
        </w:rPr>
        <w:t>Towers Perrin determined predicted pay levels of the peer group for 2009 using regression analysis to adjust pay data based on estimated annual reviews of $191,000,000. Using Towers Perrin’s assessment, the Compensation Committee decided to maintain Mr. Cotter’s total direct compensation at or about the 66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among the peer group of companies. As a result, the Compensation Committee maintained Mr. Cotter’s annual base salary of $500,000 and target cash bonus and target stock bonus of $500,000 each for 2009, which were the same as for 2008.</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7" w:lineRule="exact"/>
        <w:rPr>
          <w:sz w:val="20"/>
          <w:szCs w:val="20"/>
          <w:color w:val="auto"/>
        </w:rPr>
      </w:pPr>
    </w:p>
    <w:p>
      <w:pPr>
        <w:ind w:right="60" w:firstLine="645"/>
        <w:spacing w:after="0" w:line="295" w:lineRule="auto"/>
        <w:rPr>
          <w:sz w:val="20"/>
          <w:szCs w:val="20"/>
          <w:color w:val="auto"/>
        </w:rPr>
      </w:pPr>
      <w:r>
        <w:rPr>
          <w:rFonts w:ascii="Arial" w:cs="Arial" w:eastAsia="Arial" w:hAnsi="Arial"/>
          <w:sz w:val="16"/>
          <w:szCs w:val="16"/>
          <w:color w:val="auto"/>
        </w:rPr>
        <w:t>The Compensation Committee recommends to our full Board of Directors for its determination all compensation decisions relating to Mr. Cotter, as well as Mr. Cotter’s family members who serve as officers or directors of our company. Decisions regarding the compensation of our other named executive officers are made by Mr. Cotter in consultation with our Compensation Committee. Mr. Cotter also recommends to our Board of Directors for its determination the compensation of non-employee directors. Annual director fees are reviewed from time to time and adjusted periodically based primarily on market considerations. We also review and adjust periodically the fees we pay to directors for any special services provided by them.</w:t>
      </w:r>
    </w:p>
    <w:p>
      <w:pPr>
        <w:spacing w:after="0" w:line="160" w:lineRule="exact"/>
        <w:rPr>
          <w:sz w:val="20"/>
          <w:szCs w:val="20"/>
          <w:color w:val="auto"/>
        </w:rPr>
      </w:pPr>
    </w:p>
    <w:p>
      <w:pPr>
        <w:ind w:firstLine="645"/>
        <w:spacing w:after="0" w:line="272" w:lineRule="auto"/>
        <w:rPr>
          <w:sz w:val="20"/>
          <w:szCs w:val="20"/>
          <w:color w:val="auto"/>
        </w:rPr>
      </w:pPr>
      <w:r>
        <w:rPr>
          <w:rFonts w:ascii="Arial" w:cs="Arial" w:eastAsia="Arial" w:hAnsi="Arial"/>
          <w:sz w:val="17"/>
          <w:szCs w:val="17"/>
          <w:color w:val="auto"/>
        </w:rPr>
        <w:t>The Compensation Committee and Mr. Cotter review at least annually the performance of each named executive officer (other than Mr. Cotter, whose performance may be reviewed less frequently and only by the Compensation Committee). Mr. Cotter, personally, assesses the performance of our named executive officers and their base salaries, cash bonuses, and any stock-based compensation, which is based largely on subjective factors. Mr. Cotter then presents to the Committee his conclusions and recommendations, including with respect to salary adjustments and annual discretionary cash bonuses and other awards. The Compensation Committee may suggest its own modifications to Mr. Cotter’s proposals, and Mr. Cotter’s conclusions regarding the co mpensation of our other named executive officers are subject to the final oversight authority of our Board of Directors.</w:t>
      </w:r>
    </w:p>
    <w:p>
      <w:pPr>
        <w:spacing w:after="0" w:line="176" w:lineRule="exact"/>
        <w:rPr>
          <w:sz w:val="20"/>
          <w:szCs w:val="20"/>
          <w:color w:val="auto"/>
        </w:rPr>
      </w:pPr>
    </w:p>
    <w:p>
      <w:pPr>
        <w:ind w:right="120" w:firstLine="645"/>
        <w:spacing w:after="0" w:line="300" w:lineRule="auto"/>
        <w:rPr>
          <w:sz w:val="20"/>
          <w:szCs w:val="20"/>
          <w:color w:val="auto"/>
        </w:rPr>
      </w:pPr>
      <w:r>
        <w:rPr>
          <w:rFonts w:ascii="Arial" w:cs="Arial" w:eastAsia="Arial" w:hAnsi="Arial"/>
          <w:sz w:val="16"/>
          <w:szCs w:val="16"/>
          <w:color w:val="auto"/>
        </w:rPr>
        <w:t>Mr. Cotter sometimes attends the Compensation Committee meetings, but did not do so in 2009. Andrzej Matyczynski, our Chief Financial Officer, attended all of the Compensation Committee meetings in 2009. The Compensation Committee occasionally meets in executive session without the presence or participation of any members of management, but did not do so in 2009. Before recommending any changes to Mr. Cotter’s compensation or that of his family members who serve as officers or directors, the Compensation Committee typically discusses the proposed changes with Mr. Cotter.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7" w:lineRule="exact"/>
        <w:rPr>
          <w:sz w:val="20"/>
          <w:szCs w:val="20"/>
          <w:color w:val="auto"/>
        </w:rPr>
      </w:pPr>
    </w:p>
    <w:p>
      <w:pPr>
        <w:ind w:right="120" w:firstLine="645"/>
        <w:spacing w:after="0" w:line="255" w:lineRule="auto"/>
        <w:rPr>
          <w:sz w:val="20"/>
          <w:szCs w:val="20"/>
          <w:color w:val="auto"/>
        </w:rPr>
      </w:pPr>
      <w:r>
        <w:rPr>
          <w:rFonts w:ascii="Arial" w:cs="Arial" w:eastAsia="Arial" w:hAnsi="Arial"/>
          <w:sz w:val="18"/>
          <w:szCs w:val="18"/>
          <w:color w:val="auto"/>
        </w:rPr>
        <w:t>John Hunter, our Chief Operating Officer, and Mr. Matyczynski have written employment agreements with our company that provide for a specified annual base salary and other compensation to them. Each of the other named executive officers other than Mr. Cotter receives a base annual salary that was originally established by negotiation between our company and the executive when he or she joined our company. These base salaries may be adjusted periodically, based primarily upon the recommendations of the Compensation Committee, Mr. Cotter, and other senior management, and upon other factors, including market and competitive factors.</w:t>
      </w:r>
    </w:p>
    <w:p>
      <w:pPr>
        <w:spacing w:after="0" w:line="191" w:lineRule="exact"/>
        <w:rPr>
          <w:sz w:val="20"/>
          <w:szCs w:val="20"/>
          <w:color w:val="auto"/>
        </w:rPr>
      </w:pPr>
    </w:p>
    <w:p>
      <w:pPr>
        <w:ind w:right="240" w:firstLine="645"/>
        <w:spacing w:after="0" w:line="262" w:lineRule="auto"/>
        <w:rPr>
          <w:sz w:val="20"/>
          <w:szCs w:val="20"/>
          <w:color w:val="auto"/>
        </w:rPr>
      </w:pPr>
      <w:r>
        <w:rPr>
          <w:rFonts w:ascii="Arial" w:cs="Arial" w:eastAsia="Arial" w:hAnsi="Arial"/>
          <w:sz w:val="18"/>
          <w:szCs w:val="18"/>
          <w:color w:val="auto"/>
        </w:rPr>
        <w:t>The Compensation Committee is not authorized generally to retain its own independent advisors to assist in carrying out its responsibilities. From time to time, however, our company and the Compensation Committee have relied upon outside compensation consultants retained by our company as discussed above.</w:t>
      </w:r>
    </w:p>
    <w:p>
      <w:pPr>
        <w:spacing w:after="0" w:line="182" w:lineRule="exact"/>
        <w:rPr>
          <w:sz w:val="20"/>
          <w:szCs w:val="20"/>
          <w:color w:val="auto"/>
        </w:rPr>
      </w:pPr>
    </w:p>
    <w:p>
      <w:pPr>
        <w:jc w:val="both"/>
        <w:ind w:right="40" w:firstLine="645"/>
        <w:spacing w:after="0" w:line="262" w:lineRule="auto"/>
        <w:rPr>
          <w:sz w:val="20"/>
          <w:szCs w:val="20"/>
          <w:color w:val="auto"/>
        </w:rPr>
      </w:pPr>
      <w:r>
        <w:rPr>
          <w:rFonts w:ascii="Arial" w:cs="Arial" w:eastAsia="Arial" w:hAnsi="Arial"/>
          <w:sz w:val="18"/>
          <w:szCs w:val="18"/>
          <w:color w:val="auto"/>
        </w:rPr>
        <w:t>We have no pre-established policy or target for allocating total executive compensation between base and discretionary or incentive compensation, or between cash and stock-based incentive compensation. Historically, including in 2009, a majority of total compensation to our named executive officers was in the form of annual base salaries and discretionary cash bonuses.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2009 Executive Compensation Components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2009, the principal components of compensation for our named executive officers were:</w:t>
      </w:r>
    </w:p>
    <w:p>
      <w:pPr>
        <w:spacing w:after="0" w:line="223" w:lineRule="exact"/>
        <w:rPr>
          <w:sz w:val="20"/>
          <w:szCs w:val="20"/>
          <w:color w:val="auto"/>
        </w:rPr>
      </w:pPr>
    </w:p>
    <w:p>
      <w:pPr>
        <w:ind w:left="1300" w:hanging="136"/>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cash bonuses; and</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stock awards.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7" w:lineRule="exact"/>
        <w:rPr>
          <w:sz w:val="20"/>
          <w:szCs w:val="20"/>
          <w:color w:val="auto"/>
        </w:rPr>
      </w:pPr>
    </w:p>
    <w:p>
      <w:pPr>
        <w:ind w:right="120" w:firstLine="645"/>
        <w:spacing w:after="0" w:line="275" w:lineRule="auto"/>
        <w:rPr>
          <w:sz w:val="20"/>
          <w:szCs w:val="20"/>
          <w:color w:val="auto"/>
        </w:rPr>
      </w:pPr>
      <w:r>
        <w:rPr>
          <w:rFonts w:ascii="Arial" w:cs="Arial" w:eastAsia="Arial" w:hAnsi="Arial"/>
          <w:sz w:val="18"/>
          <w:szCs w:val="18"/>
          <w:color w:val="auto"/>
        </w:rPr>
        <w:t>We provide our named executive officers with base salaries to compensate them for services rendered during the fiscal year in the ordinary course of performing their job responsibilities. We determine base salaries for named executive officers primarily based on:</w:t>
      </w:r>
    </w:p>
    <w:p>
      <w:pPr>
        <w:spacing w:after="0" w:line="171" w:lineRule="exact"/>
        <w:rPr>
          <w:sz w:val="20"/>
          <w:szCs w:val="20"/>
          <w:color w:val="auto"/>
        </w:rPr>
      </w:pPr>
    </w:p>
    <w:p>
      <w:pPr>
        <w:ind w:left="1300" w:hanging="136"/>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negotiated terms of each executive’s employment agreement or original terms of employment;</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individual’s position and level of responsibility with our company;</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 review of the executive’s compensation, both individually and relative to other named executive officers; and</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subjective evaluation of individual job performance of the executive.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Salary levels are typically considered periodically, as part of our performance review process, as well as upon any change in job</w:t>
      </w:r>
    </w:p>
    <w:p>
      <w:pPr>
        <w:spacing w:after="0" w:line="23"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responsibility. Merit-based increases or other changes to salaries also are determined at that time, based on the Compensation Committee’s discussions with Mr. Cotter and Ellen Cotter in the cases of their respective salaries, or based on Mr. Cotter’s own assessment in the cases of our other officers.</w:t>
      </w:r>
    </w:p>
    <w:p>
      <w:pPr>
        <w:spacing w:after="0" w:line="139"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The Compensation Committee approved an annual base salary for Mr. Cotter of $500,000 for 2009. Mr. Matyczynski’s annual base salary increased from $276,000 in 2008 to $300,000 in 2009. Ms. Ellen Cotter’s annual base salary increased from $225,000 in 2008 to $275,000 in 2009. The base salaries of the remaining named executive officers remained unchanged from 2008 to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Bonuses</w:t>
      </w:r>
    </w:p>
    <w:p>
      <w:pPr>
        <w:spacing w:after="0" w:line="227" w:lineRule="exact"/>
        <w:rPr>
          <w:sz w:val="20"/>
          <w:szCs w:val="20"/>
          <w:color w:val="auto"/>
        </w:rPr>
      </w:pPr>
    </w:p>
    <w:p>
      <w:pPr>
        <w:ind w:right="180" w:firstLine="645"/>
        <w:spacing w:after="0" w:line="284" w:lineRule="auto"/>
        <w:rPr>
          <w:sz w:val="20"/>
          <w:szCs w:val="20"/>
          <w:color w:val="auto"/>
        </w:rPr>
      </w:pPr>
      <w:r>
        <w:rPr>
          <w:rFonts w:ascii="Arial" w:cs="Arial" w:eastAsia="Arial" w:hAnsi="Arial"/>
          <w:sz w:val="16"/>
          <w:szCs w:val="16"/>
          <w:color w:val="auto"/>
        </w:rPr>
        <w:t>We supplement the base salaries of Mr. Cotter and our other named executive officers with periodic cash bonuses in recognition of individual performance and predicated on, among other things, the overall financial performance of our company. Unless and until any specified bonus criteria are established, the bonuses are entirely discretionary on the part of any company. These bonuses are made in recognition of individual contributions, and are determined based upon such factors as the level of the executive’s responsibilities, the efficiency and effectiveness with which he or she oversees the matters under his or her supervision, and the degree to which the officer has contributed to the accomplishment of major tasks that advance the company’s</w:t>
      </w:r>
    </w:p>
    <w:p>
      <w:pPr>
        <w:spacing w:after="0" w:line="1"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goals. Except in Mr. Cotter’s case, we genera lly assign no particular weighting to individual performance versus the achievement of the company’s objectives. Due to the discretionary nature of the bonuses, generally, and the uncertainty that any established bonus criteria will actually be achieved, we deem these bonuses as earned compensation once they are approved for payment by management or, in the case of Mr. Cotter, by our Compensation Committee.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5" w:name="page26"/>
    <w:bookmarkEnd w:id="25"/>
    <w:p>
      <w:pPr>
        <w:ind w:right="580" w:firstLine="645"/>
        <w:spacing w:after="0" w:line="306" w:lineRule="auto"/>
        <w:rPr>
          <w:sz w:val="20"/>
          <w:szCs w:val="20"/>
          <w:color w:val="auto"/>
        </w:rPr>
      </w:pPr>
      <w:r>
        <w:rPr>
          <w:rFonts w:ascii="Arial" w:cs="Arial" w:eastAsia="Arial" w:hAnsi="Arial"/>
          <w:sz w:val="17"/>
          <w:szCs w:val="17"/>
          <w:color w:val="auto"/>
        </w:rPr>
        <w:t>In establishing annual bonus criteria, the Compensation Committee considers whether the criteria could possibly result in an incentive for any executives to take unwarranted risks in our company’s business and generally seeks to avoid creating any such incentives.</w:t>
      </w:r>
    </w:p>
    <w:p>
      <w:pPr>
        <w:spacing w:after="0" w:line="147"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The Compensation Committee set Mr. Cotter’s maximum cash bonus for 2009 at $500,000 and established eleven specific cash bonus criteria, which, if accomplished, would entitle Mr. Cotter to a specific cash bonus amount of from $50,000 to $100,000 depending on the particular criterion. The criteria included (1) compliance by our company as of December 31, 2009 with the financial and other covenants contained in its credit facilities, (2) the achievement by our Australian theatres of same theater-level cash flow of 30% or more than 2008 cash flow, (3) the achievement by our largest New Zealand property of cash flow 10% higher than cash flow in 2008, (4) the achievement by our U.S. theaters (other than newly acquired theaters) of cash flow at least equal to 2008 cash flow, (5) the achievement by our newly acquired theaters of theater-level cash flow for the ten months ended December 31, 2009 at least equal to the cash flow for the same period in 2008, (6) the achievement of targeted reductions in general and administrative expenses, including salary expenses, (7) an increase in our Class A Stock trading price to at least $5.00 as of December 31, 2009, (8) the acquisition or development of at least seven additional theaters by December 31,2009, and (8) our completion of at least $20,000,000 in capital-raising. The Committee determined that enough of these criteria were met to warrant awarding to Mr. Cotter the full target bonus amount of $500,000 for 2009.</w:t>
      </w:r>
    </w:p>
    <w:p>
      <w:pPr>
        <w:spacing w:after="0" w:line="183" w:lineRule="exact"/>
        <w:rPr>
          <w:sz w:val="20"/>
          <w:szCs w:val="20"/>
          <w:color w:val="auto"/>
        </w:rPr>
      </w:pPr>
    </w:p>
    <w:p>
      <w:pPr>
        <w:ind w:right="60" w:firstLine="645"/>
        <w:spacing w:after="0" w:line="262" w:lineRule="auto"/>
        <w:rPr>
          <w:sz w:val="20"/>
          <w:szCs w:val="20"/>
          <w:color w:val="auto"/>
        </w:rPr>
      </w:pPr>
      <w:r>
        <w:rPr>
          <w:rFonts w:ascii="Arial" w:cs="Arial" w:eastAsia="Arial" w:hAnsi="Arial"/>
          <w:sz w:val="18"/>
          <w:szCs w:val="18"/>
          <w:color w:val="auto"/>
        </w:rPr>
        <w:t>Due to the global economic recession, in 2008 our company suspended discretionary cash bonuses for our other named executive officers. Except as provided in any employment agreement with our named executive officers, additional compensation in excess of base salary, whether in the form of cash bonuses or stock-based awards, is awarded entirely on a discretionary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w:t>
      </w:r>
    </w:p>
    <w:p>
      <w:pPr>
        <w:spacing w:after="0" w:line="227" w:lineRule="exact"/>
        <w:rPr>
          <w:sz w:val="20"/>
          <w:szCs w:val="20"/>
          <w:color w:val="auto"/>
        </w:rPr>
      </w:pPr>
    </w:p>
    <w:p>
      <w:pPr>
        <w:ind w:right="160" w:firstLine="645"/>
        <w:spacing w:after="0" w:line="255" w:lineRule="auto"/>
        <w:rPr>
          <w:sz w:val="20"/>
          <w:szCs w:val="20"/>
          <w:color w:val="auto"/>
        </w:rPr>
      </w:pPr>
      <w:r>
        <w:rPr>
          <w:rFonts w:ascii="Arial" w:cs="Arial" w:eastAsia="Arial" w:hAnsi="Arial"/>
          <w:sz w:val="18"/>
          <w:szCs w:val="18"/>
          <w:color w:val="auto"/>
        </w:rPr>
        <w:t>Historically, we have relied upon periodic awards of stock-based compensation to link the executives’ long-term compensation to appreciation in stockholder value over time. Initial stock-based awards are made at the time of hire of named executive officers. We may award restricted stock in lieu of stock options where appropriate, because of the relative advantages to the recipient of restricted stock as compared to stock options and the elimination of beneficial accounting treatment previously given to stock options. We may also continue to grant stock options from time to time, although we did not grant any stock options to named executive officers in 2009.</w:t>
      </w:r>
    </w:p>
    <w:p>
      <w:pPr>
        <w:spacing w:after="0" w:line="191" w:lineRule="exact"/>
        <w:rPr>
          <w:sz w:val="20"/>
          <w:szCs w:val="20"/>
          <w:color w:val="auto"/>
        </w:rPr>
      </w:pPr>
    </w:p>
    <w:p>
      <w:pPr>
        <w:ind w:right="280" w:firstLine="645"/>
        <w:spacing w:after="0" w:line="258" w:lineRule="auto"/>
        <w:rPr>
          <w:sz w:val="20"/>
          <w:szCs w:val="20"/>
          <w:color w:val="auto"/>
        </w:rPr>
      </w:pPr>
      <w:r>
        <w:rPr>
          <w:rFonts w:ascii="Arial" w:cs="Arial" w:eastAsia="Arial" w:hAnsi="Arial"/>
          <w:sz w:val="18"/>
          <w:szCs w:val="18"/>
          <w:color w:val="auto"/>
        </w:rPr>
        <w:t>During 2009, we awarded Mr. Cotter the right to receive $500,000 of stock-based compensation in the form of Class A shares valued at $3.97 per share, or, at Mr. Cotter’s election, Class B shares valued at $7.78 per share, which corresponded to the market prices of our shares at August 19, 2009. The award was made subject to Mr. Cotter remaining in our company’s employ as of December 31, 2009. Mr. Cotter elected to receive Class A shares, which vested as of December 31,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Guidelines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requirement that each named executive officer maintain any specific ownership interest in our company.</w:t>
      </w:r>
    </w:p>
    <w:p>
      <w:pPr>
        <w:spacing w:after="0" w:line="223" w:lineRule="exact"/>
        <w:rPr>
          <w:sz w:val="20"/>
          <w:szCs w:val="20"/>
          <w:color w:val="auto"/>
        </w:rPr>
      </w:pPr>
    </w:p>
    <w:p>
      <w:pPr>
        <w:ind w:right="20" w:firstLine="645"/>
        <w:spacing w:after="0" w:line="262" w:lineRule="auto"/>
        <w:rPr>
          <w:sz w:val="20"/>
          <w:szCs w:val="20"/>
          <w:color w:val="auto"/>
        </w:rPr>
      </w:pPr>
      <w:r>
        <w:rPr>
          <w:rFonts w:ascii="Arial" w:cs="Arial" w:eastAsia="Arial" w:hAnsi="Arial"/>
          <w:sz w:val="18"/>
          <w:szCs w:val="18"/>
          <w:color w:val="auto"/>
        </w:rPr>
        <w:t>Awards of stock-based compensation are determined based primarily on negotiations with our named executive officers at the time of their hire or thereafter, and vary among the named executive officers based on their positions within our company. Newly hired executive officers who are to receive stock options or restricted stock are awarded such options or restricted stock at their hire date.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26" w:name="page27"/>
    <w:bookmarkEnd w:id="26"/>
    <w:p>
      <w:pPr>
        <w:ind w:right="40" w:firstLine="645"/>
        <w:spacing w:after="0" w:line="289" w:lineRule="auto"/>
        <w:rPr>
          <w:sz w:val="20"/>
          <w:szCs w:val="20"/>
          <w:color w:val="auto"/>
        </w:rPr>
      </w:pPr>
      <w:r>
        <w:rPr>
          <w:rFonts w:ascii="Arial" w:cs="Arial" w:eastAsia="Arial" w:hAnsi="Arial"/>
          <w:sz w:val="16"/>
          <w:szCs w:val="16"/>
          <w:color w:val="auto"/>
        </w:rPr>
        <w:t>It is generally our policy to award stock options and restricted stock at the closing price of our common stock as reported on the NASDAQ Capital Market on the date the award is approved by our Compensation Committee or our Board of Directors, or on the date of hire, if the stock is granted as a recruitment incentive. When stock is granted as bonus compensation for a particular transaction, we sometimes value the stock based on the market price on a date calculated from the closing date of the relevant transaction. In some instances, we value restricted stock on another date that is set by our Compensation Committee or our Board of Directors. In early 2009, for example, the Compensation Committee determined that the $500,000 stock bonus to Mr. Cotter for 2008 would be valued based on the market price of our Class A shares as of August 31, 2008, which was the date we agreed to the award. In some circumstances, we may grant options to a named executive officer at an exercise price in excess of the closing price of our common stock on the award date. We have never granted options with an exercise price that is less than the fair market value of our common stock on the award or hire date.</w:t>
      </w:r>
    </w:p>
    <w:p>
      <w:pPr>
        <w:spacing w:after="0" w:line="163" w:lineRule="exact"/>
        <w:rPr>
          <w:sz w:val="20"/>
          <w:szCs w:val="20"/>
          <w:color w:val="auto"/>
        </w:rPr>
      </w:pPr>
    </w:p>
    <w:p>
      <w:pPr>
        <w:jc w:val="both"/>
        <w:ind w:right="20" w:firstLine="645"/>
        <w:spacing w:after="0" w:line="300" w:lineRule="auto"/>
        <w:rPr>
          <w:sz w:val="20"/>
          <w:szCs w:val="20"/>
          <w:color w:val="auto"/>
        </w:rPr>
      </w:pPr>
      <w:r>
        <w:rPr>
          <w:rFonts w:ascii="Arial" w:cs="Arial" w:eastAsia="Arial" w:hAnsi="Arial"/>
          <w:sz w:val="16"/>
          <w:szCs w:val="16"/>
          <w:color w:val="auto"/>
        </w:rPr>
        <w:t>Most stock options that we grant are subject to vesting at a rate of 25% to 50% per year and have a ten-year option term. Vesting and exercise rights generally cease upon termination of employment, except in the case of fully vested options, which may be exercised within 90 days of the termination date (or any such other period as may be prescribed by the Compensation Committee). Prior to the exercise of an option, the holder has no rights as a stockholder with respect to the shares subject to such option, including voting rights and the right to receive dividends or dividend equivalents.</w:t>
      </w:r>
    </w:p>
    <w:p>
      <w:pPr>
        <w:spacing w:after="0" w:line="155"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Restricted stock awarded by us generally is subject to forfeiture unless the recipient remains in our employ for a specified period of time, typically one to two years. The holder of the restricted stock is entitled to all rights of a stockholder immediately upon issuance of the restricted stock and so long as the restricted stock has not been forfeited.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Policies</w:t>
      </w:r>
    </w:p>
    <w:p>
      <w:pPr>
        <w:spacing w:after="0" w:line="227" w:lineRule="exact"/>
        <w:rPr>
          <w:sz w:val="20"/>
          <w:szCs w:val="20"/>
          <w:color w:val="auto"/>
        </w:rPr>
      </w:pPr>
    </w:p>
    <w:p>
      <w:pPr>
        <w:ind w:right="440" w:firstLine="645"/>
        <w:spacing w:after="0" w:line="285" w:lineRule="auto"/>
        <w:rPr>
          <w:sz w:val="20"/>
          <w:szCs w:val="20"/>
          <w:color w:val="auto"/>
        </w:rPr>
      </w:pPr>
      <w:r>
        <w:rPr>
          <w:rFonts w:ascii="Arial" w:cs="Arial" w:eastAsia="Arial" w:hAnsi="Arial"/>
          <w:sz w:val="17"/>
          <w:szCs w:val="17"/>
          <w:color w:val="auto"/>
        </w:rPr>
        <w:t>We have no program, practice or plan to grant stock-based compensation to our named executive officers, including new executive officers, in coordination with the release of material nonpublic information. We also have not timed the release of material nonpublic information for the purpose of affecting the value of stock-based compensation to our named executive officers, and we have no plan to do so.</w:t>
      </w:r>
    </w:p>
    <w:p>
      <w:pPr>
        <w:spacing w:after="0" w:line="164" w:lineRule="exact"/>
        <w:rPr>
          <w:sz w:val="20"/>
          <w:szCs w:val="20"/>
          <w:color w:val="auto"/>
        </w:rPr>
      </w:pPr>
    </w:p>
    <w:p>
      <w:pPr>
        <w:ind w:right="20" w:firstLine="645"/>
        <w:spacing w:after="0" w:line="340" w:lineRule="auto"/>
        <w:rPr>
          <w:sz w:val="20"/>
          <w:szCs w:val="20"/>
          <w:color w:val="auto"/>
        </w:rPr>
      </w:pPr>
      <w:r>
        <w:rPr>
          <w:rFonts w:ascii="Arial" w:cs="Arial" w:eastAsia="Arial" w:hAnsi="Arial"/>
          <w:sz w:val="16"/>
          <w:szCs w:val="16"/>
          <w:color w:val="auto"/>
        </w:rPr>
        <w:t>Except as described above with respect to Mr. Cotter’s total annual compensation compared to the total annual compensation of chief executive officers at a peer group of companies, the Compensation Committee does not attempt to establish or measure executive compensation against any benchmarks.</w:t>
      </w:r>
    </w:p>
    <w:p>
      <w:pPr>
        <w:spacing w:after="0" w:line="124" w:lineRule="exact"/>
        <w:rPr>
          <w:sz w:val="20"/>
          <w:szCs w:val="20"/>
          <w:color w:val="auto"/>
        </w:rPr>
      </w:pPr>
    </w:p>
    <w:p>
      <w:pPr>
        <w:ind w:firstLine="645"/>
        <w:spacing w:after="0" w:line="262" w:lineRule="auto"/>
        <w:rPr>
          <w:sz w:val="20"/>
          <w:szCs w:val="20"/>
          <w:color w:val="auto"/>
        </w:rPr>
      </w:pPr>
      <w:r>
        <w:rPr>
          <w:rFonts w:ascii="Arial" w:cs="Arial" w:eastAsia="Arial" w:hAnsi="Arial"/>
          <w:sz w:val="18"/>
          <w:szCs w:val="18"/>
          <w:color w:val="auto"/>
        </w:rPr>
        <w:t>We have not had occasion to restate our company’s historical financial statements, and we have not established any policy regarding the adjustment or recovery of compensation payments or awards if any performance measures upon which such payments or awards are based are subsequently restated or adjusted.</w:t>
      </w:r>
    </w:p>
    <w:p>
      <w:pPr>
        <w:spacing w:after="0" w:line="182" w:lineRule="exact"/>
        <w:rPr>
          <w:sz w:val="20"/>
          <w:szCs w:val="20"/>
          <w:color w:val="auto"/>
        </w:rPr>
      </w:pPr>
    </w:p>
    <w:p>
      <w:pPr>
        <w:ind w:right="420" w:firstLine="645"/>
        <w:spacing w:after="0" w:line="262" w:lineRule="auto"/>
        <w:rPr>
          <w:sz w:val="20"/>
          <w:szCs w:val="20"/>
          <w:color w:val="auto"/>
        </w:rPr>
      </w:pPr>
      <w:r>
        <w:rPr>
          <w:rFonts w:ascii="Arial" w:cs="Arial" w:eastAsia="Arial" w:hAnsi="Arial"/>
          <w:sz w:val="18"/>
          <w:szCs w:val="18"/>
          <w:color w:val="auto"/>
        </w:rPr>
        <w:t>Generally speaking, we have not taken into consideration any amounts realized by our named executive officers from prior stock option or stock awards in determining whether to grant new stock options or stock awards or, in the cases of Mr. Cotter and Mr. Hunter, the establishment of their Supplemental Executive Retirement Plan and unfunded pension benefit,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Compensation of Chief Executive Officer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discussed above, the Compensation Committee determined that Mr. Cotter’s total direct annual compensation, consisting of base salary, cash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bonus most recently paid, and annualized expected value of long-term incentive compensation, generally should fall at or about the 66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among chief</w:t>
      </w:r>
    </w:p>
    <w:p>
      <w:pPr>
        <w:spacing w:after="0"/>
        <w:rPr>
          <w:sz w:val="20"/>
          <w:szCs w:val="20"/>
          <w:color w:val="auto"/>
        </w:rPr>
      </w:pPr>
      <w:r>
        <w:rPr>
          <w:rFonts w:ascii="Arial" w:cs="Arial" w:eastAsia="Arial" w:hAnsi="Arial"/>
          <w:sz w:val="16"/>
          <w:szCs w:val="16"/>
          <w:color w:val="auto"/>
        </w:rPr>
        <w:t>executive officers of the selected peer group. Towers Perrin’s assessment in 2009 showed that, based on predicted pay levels using a regression analysis to</w:t>
      </w:r>
    </w:p>
    <w:p>
      <w:pPr>
        <w:spacing w:after="0" w:line="233" w:lineRule="auto"/>
        <w:rPr>
          <w:sz w:val="20"/>
          <w:szCs w:val="20"/>
          <w:color w:val="auto"/>
        </w:rPr>
      </w:pPr>
      <w:r>
        <w:rPr>
          <w:rFonts w:ascii="Arial" w:cs="Arial" w:eastAsia="Arial" w:hAnsi="Arial"/>
          <w:sz w:val="16"/>
          <w:szCs w:val="16"/>
          <w:color w:val="auto"/>
        </w:rPr>
        <w:t>adjust pay data based on estimated annual revenues of $191,000,000, the 66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consisted of an annual base salary of $520,000, a cash bonus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$323,000, and long-term incentives of $793,000, for total d irect annual compensation of $1,636,000. The Compensation Committee approved total direct</w:t>
      </w:r>
    </w:p>
    <w:p>
      <w:pPr>
        <w:spacing w:after="0" w:line="233" w:lineRule="auto"/>
        <w:rPr>
          <w:sz w:val="20"/>
          <w:szCs w:val="20"/>
          <w:color w:val="auto"/>
        </w:rPr>
      </w:pPr>
      <w:r>
        <w:rPr>
          <w:rFonts w:ascii="Arial" w:cs="Arial" w:eastAsia="Arial" w:hAnsi="Arial"/>
          <w:sz w:val="16"/>
          <w:szCs w:val="16"/>
          <w:color w:val="auto"/>
        </w:rPr>
        <w:t>compensation for Mr. Cotter of $1,500,000 for 2009, the same as in 2008, which is about 8% below the 66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among the peer group used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07" w:lineRule="exact"/>
        <w:rPr>
          <w:sz w:val="20"/>
          <w:szCs w:val="20"/>
          <w:color w:val="auto"/>
        </w:rPr>
      </w:pPr>
    </w:p>
    <w:p>
      <w:pPr>
        <w:ind w:right="120" w:firstLine="645"/>
        <w:spacing w:after="0" w:line="258" w:lineRule="auto"/>
        <w:rPr>
          <w:sz w:val="20"/>
          <w:szCs w:val="20"/>
          <w:color w:val="auto"/>
        </w:rPr>
      </w:pPr>
      <w:r>
        <w:rPr>
          <w:rFonts w:ascii="Arial" w:cs="Arial" w:eastAsia="Arial" w:hAnsi="Arial"/>
          <w:sz w:val="18"/>
          <w:szCs w:val="18"/>
          <w:color w:val="auto"/>
        </w:rPr>
        <w:t>The Compensation Committee sets the criteria for Mr. Cotter’s annual discretionary bonus in consultation with our Chief Financial Officer, Mr. Matyczynski. The criteria are based on specific business objectives of our company for the ensuing year. The Compensation Committee also assigns a target value to each of those criteria, which together add up to the maximum possible bonus amount, or more. The specific bonus criteria for 2009 and the Compensation Committee’s determinations are described above under “Discretionary Cash Bonuses.”</w:t>
      </w:r>
    </w:p>
    <w:p>
      <w:pPr>
        <w:spacing w:after="0" w:line="185" w:lineRule="exact"/>
        <w:rPr>
          <w:sz w:val="20"/>
          <w:szCs w:val="20"/>
          <w:color w:val="auto"/>
        </w:rPr>
      </w:pPr>
    </w:p>
    <w:p>
      <w:pPr>
        <w:ind w:right="80" w:firstLine="645"/>
        <w:spacing w:after="0" w:line="306" w:lineRule="auto"/>
        <w:rPr>
          <w:sz w:val="20"/>
          <w:szCs w:val="20"/>
          <w:color w:val="auto"/>
        </w:rPr>
      </w:pPr>
      <w:r>
        <w:rPr>
          <w:rFonts w:ascii="Arial" w:cs="Arial" w:eastAsia="Arial" w:hAnsi="Arial"/>
          <w:sz w:val="17"/>
          <w:szCs w:val="17"/>
          <w:color w:val="auto"/>
        </w:rPr>
        <w:t>For 2009, Mr. Cotter received $500,000 of our Class A shares valued as of the $3.97 closing price of our Class A shares as reported on the NASDAQ Capital Market on August 19, 2009. The details of this grant and its restrictions are described above under “Stock-Based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Change-of-Control Arrangements</w:t>
      </w:r>
    </w:p>
    <w:p>
      <w:pPr>
        <w:spacing w:after="0" w:line="227" w:lineRule="exact"/>
        <w:rPr>
          <w:sz w:val="20"/>
          <w:szCs w:val="20"/>
          <w:color w:val="auto"/>
        </w:rPr>
      </w:pPr>
    </w:p>
    <w:p>
      <w:pPr>
        <w:ind w:right="20" w:firstLine="645"/>
        <w:spacing w:after="0" w:line="288" w:lineRule="auto"/>
        <w:rPr>
          <w:sz w:val="20"/>
          <w:szCs w:val="20"/>
          <w:color w:val="auto"/>
        </w:rPr>
      </w:pPr>
      <w:r>
        <w:rPr>
          <w:rFonts w:ascii="Arial" w:cs="Arial" w:eastAsia="Arial" w:hAnsi="Arial"/>
          <w:sz w:val="16"/>
          <w:szCs w:val="16"/>
          <w:color w:val="auto"/>
        </w:rPr>
        <w:t>We have severance arrangements with some of our named executive officers other than Mr. Cotter. The main purpose of these agreements is to protect the company from business risks such as competition for the executives’ service, loss of confidentiality or trade secrets, and solicitation of our other employees, and to define our right to terminate the employment relationship. The employment agreements also protect the executive from termination without “cause.” Each arrangement was individually negotiated, so there are some variations in the terms among executive officers. Generally speaking, however, the arrangements provide for termination and severance benefits that the Compensation Committee believes are consistent with industry practices for similarly situated executives.&amp;# 160; The Compensation Committee believes that the termination and severance benefits help the company retain the named executive officers by providing them with a competitive employment arrangement and protection against unknowns such as termination without “cause” that go along with the position. We currently have no agreements that provide for payments to our named executive officers upon a change in control of our company, except that we generally make awards of stock options and restricted stock subject to vesting, in full, upon a change of control.</w:t>
      </w:r>
    </w:p>
    <w:p>
      <w:pPr>
        <w:spacing w:after="0" w:line="164" w:lineRule="exact"/>
        <w:rPr>
          <w:sz w:val="20"/>
          <w:szCs w:val="20"/>
          <w:color w:val="auto"/>
        </w:rPr>
      </w:pPr>
    </w:p>
    <w:p>
      <w:pPr>
        <w:ind w:right="240" w:firstLine="645"/>
        <w:spacing w:after="0" w:line="275" w:lineRule="auto"/>
        <w:rPr>
          <w:sz w:val="20"/>
          <w:szCs w:val="20"/>
          <w:color w:val="auto"/>
        </w:rPr>
      </w:pPr>
      <w:r>
        <w:rPr>
          <w:rFonts w:ascii="Arial" w:cs="Arial" w:eastAsia="Arial" w:hAnsi="Arial"/>
          <w:sz w:val="18"/>
          <w:szCs w:val="18"/>
          <w:color w:val="auto"/>
        </w:rPr>
        <w:t>Information regarding applicable severance payments under agreements for the named executive officers is provided under the heading “Payments Upon Termination or Change in Control,”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Other Benefits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Reading International, Inc. 401(k) Plan</w:t>
      </w:r>
    </w:p>
    <w:p>
      <w:pPr>
        <w:spacing w:after="0" w:line="223" w:lineRule="exact"/>
        <w:rPr>
          <w:sz w:val="20"/>
          <w:szCs w:val="20"/>
          <w:color w:val="auto"/>
        </w:rPr>
      </w:pPr>
    </w:p>
    <w:p>
      <w:pPr>
        <w:ind w:right="40" w:firstLine="645"/>
        <w:spacing w:after="0" w:line="255" w:lineRule="auto"/>
        <w:rPr>
          <w:sz w:val="20"/>
          <w:szCs w:val="20"/>
          <w:color w:val="auto"/>
        </w:rPr>
      </w:pPr>
      <w:r>
        <w:rPr>
          <w:rFonts w:ascii="Arial" w:cs="Arial" w:eastAsia="Arial" w:hAnsi="Arial"/>
          <w:sz w:val="18"/>
          <w:szCs w:val="18"/>
          <w:color w:val="auto"/>
        </w:rPr>
        <w:t>We provide all of our employees, including Mr. Cotter and our other named executive officers a retirement savings plan qualified under Internal Revenue Code section 401(k). To be eligible to participate, employees must have completed four months of employment, and must be over 21 years of age. Employees choosing to participate can make contributions to their plan account on a pre-tax basis up to the maximum annual amount permitted by IRS rulings. The Company usually matches employee contributions dollar-for-dollar up to 3% of employee wages, then 50 cents per dollar between 3% and 5% of employee wages.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223" w:lineRule="exact"/>
        <w:rPr>
          <w:sz w:val="20"/>
          <w:szCs w:val="20"/>
          <w:color w:val="auto"/>
        </w:rPr>
      </w:pPr>
    </w:p>
    <w:p>
      <w:pPr>
        <w:ind w:right="80" w:firstLine="645"/>
        <w:spacing w:after="0" w:line="272" w:lineRule="auto"/>
        <w:rPr>
          <w:sz w:val="20"/>
          <w:szCs w:val="20"/>
          <w:color w:val="auto"/>
        </w:rPr>
      </w:pPr>
      <w:r>
        <w:rPr>
          <w:rFonts w:ascii="Arial" w:cs="Arial" w:eastAsia="Arial" w:hAnsi="Arial"/>
          <w:sz w:val="17"/>
          <w:szCs w:val="17"/>
          <w:color w:val="auto"/>
        </w:rPr>
        <w:t>In March 2007, our Board of Directors approved a Supplemental Executive Retirement Plan (“SERP”) pursuant to which we agreed to provide Mr. Cotter supplemental retirement benefits to reward him for his more than 15 years of service to our company and its predecessors. Under the SERP, following his separation from our company, Mr. Cotter will be entitled to receive from our company for the remainder of his life (with a guaranteed minimum of 180 monthly payments) a monthly payment of the greater of (i) 40% of his average monthly base salary and cash bonuses over the highest consecutive 36-month period of earnings prior to Mr. Cotter’s separation from service with us or (ii) $25,000. The beneficiaries under the SERP may be designated by Mr. Cotter or by his beneficiary following his or his beneficiary ’s death. The benefits under the SERP are fully vested.</w:t>
      </w:r>
    </w:p>
    <w:p>
      <w:pPr>
        <w:spacing w:after="0" w:line="176" w:lineRule="exact"/>
        <w:rPr>
          <w:sz w:val="20"/>
          <w:szCs w:val="20"/>
          <w:color w:val="auto"/>
        </w:rPr>
      </w:pPr>
    </w:p>
    <w:p>
      <w:pPr>
        <w:ind w:right="100" w:firstLine="645"/>
        <w:spacing w:after="0" w:line="306" w:lineRule="auto"/>
        <w:rPr>
          <w:sz w:val="20"/>
          <w:szCs w:val="20"/>
          <w:color w:val="auto"/>
        </w:rPr>
      </w:pPr>
      <w:r>
        <w:rPr>
          <w:rFonts w:ascii="Arial" w:cs="Arial" w:eastAsia="Arial" w:hAnsi="Arial"/>
          <w:sz w:val="17"/>
          <w:szCs w:val="17"/>
          <w:color w:val="auto"/>
        </w:rPr>
        <w:t>The SERP currently is unfunded and, as such, the SERP benefits are unsecured, general obligations of our company. We may choose in the future to establish one or more grantor trusts from which to pay the SERP benefits. The SERP is administered by the Compensation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Retirement Plans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Hunter has an unfunded pension benefit that vests on the following dates, assuming he remains in our continuous employ through such dates: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12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r>
      <w:tr>
        <w:trPr>
          <w:trHeight w:val="215"/>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5"/>
        </w:trPr>
        <w:tc>
          <w:tcPr>
            <w:tcW w:w="1006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800,000</w:t>
            </w:r>
          </w:p>
        </w:tc>
      </w:tr>
      <w:tr>
        <w:trPr>
          <w:trHeight w:val="215"/>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greatest vested amount above is to be paid to Mr. Hunter in a lump sum on the date he ceases employment with the company.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maintain no other retirement plan for our named executive officers or other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Personal Benefits</w:t>
      </w:r>
    </w:p>
    <w:p>
      <w:pPr>
        <w:spacing w:after="0" w:line="22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We offer a number of other benefits to the named executive officers pursuant to benefits programs that provide for broad-based employee</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participation. The named executive officers are eligible to participate on the same basis as other U.S. employees in these benefits programs, which include:</w:t>
      </w:r>
    </w:p>
    <w:p>
      <w:pPr>
        <w:spacing w:after="0" w:line="232" w:lineRule="exact"/>
        <w:rPr>
          <w:sz w:val="20"/>
          <w:szCs w:val="20"/>
          <w:color w:val="auto"/>
        </w:rPr>
      </w:pPr>
    </w:p>
    <w:p>
      <w:pPr>
        <w:ind w:left="1300" w:hanging="136"/>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medical, dental and vision insurance;</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and short-term disability insurance;</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life and accidental death and dismemberment insurance;</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and dependent care flexible spending accounts; and</w:t>
      </w:r>
    </w:p>
    <w:p>
      <w:pPr>
        <w:spacing w:after="0" w:line="223" w:lineRule="exact"/>
        <w:rPr>
          <w:rFonts w:ascii="Arial" w:cs="Arial" w:eastAsia="Arial" w:hAnsi="Arial"/>
          <w:sz w:val="18"/>
          <w:szCs w:val="18"/>
          <w:color w:val="auto"/>
        </w:rPr>
      </w:pPr>
    </w:p>
    <w:p>
      <w:pPr>
        <w:ind w:left="1300" w:hanging="136"/>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other benefits.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9" w:name="page30"/>
    <w:bookmarkEnd w:id="29"/>
    <w:p>
      <w:pPr>
        <w:ind w:right="20" w:firstLine="645"/>
        <w:spacing w:after="0" w:line="278" w:lineRule="auto"/>
        <w:rPr>
          <w:sz w:val="20"/>
          <w:szCs w:val="20"/>
          <w:color w:val="auto"/>
        </w:rPr>
      </w:pPr>
      <w:r>
        <w:rPr>
          <w:rFonts w:ascii="Arial" w:cs="Arial" w:eastAsia="Arial" w:hAnsi="Arial"/>
          <w:sz w:val="17"/>
          <w:szCs w:val="17"/>
          <w:color w:val="auto"/>
        </w:rPr>
        <w:t>In addition, we provide Mr. Cotter with perquisites and other personal benefits, including a company car and personal use of a condominium owned by the company. Some of our other named executive officers also receive allowances for automobiles. We periodically review the levels of perquisites and other personal benefits provided to our named executive officers. Any perquisites and other personal benefits to Mr. Cotter not shared by our other named executive officers are reviewed and approved by our Audit and Conflicts Committee as related-person transactions.</w:t>
      </w:r>
    </w:p>
    <w:p>
      <w:pPr>
        <w:spacing w:after="0" w:line="170" w:lineRule="exact"/>
        <w:rPr>
          <w:sz w:val="20"/>
          <w:szCs w:val="20"/>
          <w:color w:val="auto"/>
        </w:rPr>
      </w:pPr>
    </w:p>
    <w:p>
      <w:pPr>
        <w:ind w:right="180" w:firstLine="645"/>
        <w:spacing w:after="0" w:line="275" w:lineRule="auto"/>
        <w:rPr>
          <w:sz w:val="20"/>
          <w:szCs w:val="20"/>
          <w:color w:val="auto"/>
        </w:rPr>
      </w:pPr>
      <w:r>
        <w:rPr>
          <w:rFonts w:ascii="Arial" w:cs="Arial" w:eastAsia="Arial" w:hAnsi="Arial"/>
          <w:sz w:val="18"/>
          <w:szCs w:val="18"/>
          <w:color w:val="auto"/>
        </w:rPr>
        <w:t>The aggregate incremental cost to the company of the personal benefits described above for the named executive officers for the fiscal year ended December 31, 2009 are included in the column “All Other Compensation” of the “Summary Compensation Table,”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23" w:lineRule="exact"/>
        <w:rPr>
          <w:sz w:val="20"/>
          <w:szCs w:val="20"/>
          <w:color w:val="auto"/>
        </w:rPr>
      </w:pPr>
    </w:p>
    <w:p>
      <w:pPr>
        <w:ind w:firstLine="645"/>
        <w:spacing w:after="0" w:line="300" w:lineRule="auto"/>
        <w:rPr>
          <w:sz w:val="20"/>
          <w:szCs w:val="20"/>
          <w:color w:val="auto"/>
        </w:rPr>
      </w:pPr>
      <w:r>
        <w:rPr>
          <w:rFonts w:ascii="Arial" w:cs="Arial" w:eastAsia="Arial" w:hAnsi="Arial"/>
          <w:sz w:val="16"/>
          <w:szCs w:val="16"/>
          <w:color w:val="auto"/>
        </w:rPr>
        <w:t>Subject to an exception for “performance-based compensation,” Section 162(m) of the Internal Revenue Code generally prohibits corporations from deducting for federal income tax purposes annual compensation paid to any senior executive officer to the extent that such annual compensation exceeds $1,000,000. The Compensation Committee and our Board of Directors consider the limits on deductibility under Section 162(m) in establishing executive compensation, but retain the discretion to authorize the payment of compensation that exceeds the limit on deductibility under this Section.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we are operating, where applicable, in compliance with the tax rules applicable to nonqualified deferred compensation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3" w:lineRule="exact"/>
        <w:rPr>
          <w:sz w:val="20"/>
          <w:szCs w:val="20"/>
          <w:color w:val="auto"/>
        </w:rPr>
      </w:pPr>
    </w:p>
    <w:p>
      <w:pPr>
        <w:ind w:right="20" w:firstLine="645"/>
        <w:spacing w:after="0" w:line="285" w:lineRule="auto"/>
        <w:rPr>
          <w:sz w:val="20"/>
          <w:szCs w:val="20"/>
          <w:color w:val="auto"/>
        </w:rPr>
      </w:pPr>
      <w:r>
        <w:rPr>
          <w:rFonts w:ascii="Arial" w:cs="Arial" w:eastAsia="Arial" w:hAnsi="Arial"/>
          <w:sz w:val="17"/>
          <w:szCs w:val="17"/>
          <w:color w:val="auto"/>
        </w:rPr>
        <w:t>Beginning on January 1, 2006, we began accounting for stock-based payments in accordance with the requirements of Statement of Accounting Standards No. 123(R). Our decisions to award restricted stock to Messrs. Cotter, Hunter, and Matyczynski were based in part upon the change in accounting treatment for stock options. Accounting treatment otherwise has had no significant effect on our compensation decisions.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required by Item 401(b) of Regulation S-K and, based on such review and discussions, has recommended to our Board of Directors that the foregoing “Compensation Discussion and Analysis” be included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Alfred Villaseñor,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D. Gould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Gerard P. Laheney</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80"/>
          </w:cols>
          <w:pgMar w:left="240" w:top="488"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SUMMARY COMPENSATION TABLE</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summary information concerning all compensation payable to our named executive officers for services rendered in all capacities during the past three completed fiscal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Change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Pension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Nonqualified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Deferred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Stock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All 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1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Salary ($)</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Bonus ($)</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Awards ($)</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Earnings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Compensation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 ($)</w:t>
            </w:r>
          </w:p>
        </w:tc>
        <w:tc>
          <w:tcPr>
            <w:tcW w:w="100" w:type="dxa"/>
            <w:vAlign w:val="bottom"/>
          </w:tcPr>
          <w:p>
            <w:pPr>
              <w:spacing w:after="0"/>
              <w:rPr>
                <w:sz w:val="20"/>
                <w:szCs w:val="20"/>
                <w:color w:val="auto"/>
              </w:rPr>
            </w:pPr>
          </w:p>
        </w:tc>
      </w:tr>
      <w:tr>
        <w:trPr>
          <w:trHeight w:val="215"/>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6"/>
              </w:rPr>
              <w:t>James J. Cotter (1)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CEEFF"/>
          </w:tcPr>
          <w:p>
            <w:pPr>
              <w:jc w:val="right"/>
              <w:ind w:right="11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2,663,000</w:t>
            </w:r>
          </w:p>
        </w:tc>
      </w:tr>
      <w:tr>
        <w:trPr>
          <w:trHeight w:val="201"/>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Chairman of the</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Board and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265,000</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2,122,000</w:t>
            </w:r>
          </w:p>
        </w:tc>
      </w:tr>
      <w:tr>
        <w:trPr>
          <w:trHeight w:val="201"/>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Executive</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176,000</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2,458,000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3,819,000</w:t>
            </w:r>
          </w:p>
        </w:tc>
      </w:tr>
      <w:tr>
        <w:trPr>
          <w:trHeight w:val="416"/>
        </w:trPr>
        <w:tc>
          <w:tcPr>
            <w:tcW w:w="1500" w:type="dxa"/>
            <w:vAlign w:val="bottom"/>
          </w:tcPr>
          <w:p>
            <w:pPr>
              <w:spacing w:after="0"/>
              <w:rPr>
                <w:sz w:val="20"/>
                <w:szCs w:val="20"/>
                <w:color w:val="auto"/>
              </w:rPr>
            </w:pPr>
            <w:r>
              <w:rPr>
                <w:rFonts w:ascii="Arial" w:cs="Arial" w:eastAsia="Arial" w:hAnsi="Arial"/>
                <w:sz w:val="18"/>
                <w:szCs w:val="18"/>
                <w:color w:val="auto"/>
              </w:rPr>
              <w:t>Andrzej</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1500" w:type="dxa"/>
            <w:vAlign w:val="bottom"/>
          </w:tcPr>
          <w:p>
            <w:pPr>
              <w:spacing w:after="0"/>
              <w:rPr>
                <w:sz w:val="20"/>
                <w:szCs w:val="20"/>
                <w:color w:val="auto"/>
              </w:rPr>
            </w:pPr>
            <w:r>
              <w:rPr>
                <w:rFonts w:ascii="Arial" w:cs="Arial" w:eastAsia="Arial" w:hAnsi="Arial"/>
                <w:sz w:val="18"/>
                <w:szCs w:val="18"/>
                <w:color w:val="auto"/>
              </w:rPr>
              <w:t>Matyczynski (2)(3)</w:t>
            </w:r>
          </w:p>
        </w:tc>
        <w:tc>
          <w:tcPr>
            <w:tcW w:w="380" w:type="dxa"/>
            <w:vAlign w:val="bottom"/>
          </w:tcPr>
          <w:p>
            <w:pP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r>
      <w:tr>
        <w:trPr>
          <w:trHeight w:val="215"/>
        </w:trPr>
        <w:tc>
          <w:tcPr>
            <w:tcW w:w="1500" w:type="dxa"/>
            <w:vAlign w:val="bottom"/>
          </w:tcPr>
          <w:p>
            <w:pPr>
              <w:spacing w:after="0"/>
              <w:rPr>
                <w:sz w:val="20"/>
                <w:szCs w:val="20"/>
                <w:color w:val="auto"/>
              </w:rPr>
            </w:pPr>
            <w:r>
              <w:rPr>
                <w:rFonts w:ascii="Arial" w:cs="Arial" w:eastAsia="Arial" w:hAnsi="Arial"/>
                <w:sz w:val="18"/>
                <w:szCs w:val="18"/>
                <w:color w:val="auto"/>
              </w:rPr>
              <w:t>Chief Financial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tcPr>
          <w:p>
            <w:pPr>
              <w:ind w:left="340"/>
              <w:spacing w:after="0"/>
              <w:rPr>
                <w:sz w:val="20"/>
                <w:szCs w:val="20"/>
                <w:color w:val="auto"/>
              </w:rPr>
            </w:pPr>
            <w:r>
              <w:rPr>
                <w:rFonts w:ascii="Arial" w:cs="Arial" w:eastAsia="Arial" w:hAnsi="Arial"/>
                <w:sz w:val="18"/>
                <w:szCs w:val="18"/>
                <w:color w:val="auto"/>
              </w:rPr>
              <w:t>Officer</w:t>
            </w: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276,000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377,000</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and Treasurer</w:t>
            </w:r>
          </w:p>
        </w:tc>
        <w:tc>
          <w:tcPr>
            <w:tcW w:w="380" w:type="dxa"/>
            <w:vAlign w:val="bottom"/>
          </w:tcPr>
          <w:p>
            <w:pPr>
              <w:spacing w:after="0"/>
              <w:rPr>
                <w:sz w:val="20"/>
                <w:szCs w:val="20"/>
                <w:color w:val="auto"/>
              </w:rPr>
            </w:pPr>
            <w:r>
              <w:rPr>
                <w:rFonts w:ascii="Arial" w:cs="Arial" w:eastAsia="Arial" w:hAnsi="Arial"/>
                <w:sz w:val="18"/>
                <w:szCs w:val="18"/>
                <w:color w:val="auto"/>
                <w:w w:val="89"/>
              </w:rPr>
              <w:t>2007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276,000</w:t>
            </w: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397,000</w:t>
            </w:r>
          </w:p>
        </w:tc>
      </w:tr>
      <w:tr>
        <w:trPr>
          <w:trHeight w:val="215"/>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John Hunter (2)(3)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w:t>
            </w:r>
          </w:p>
        </w:tc>
      </w:tr>
      <w:tr>
        <w:trPr>
          <w:trHeight w:val="201"/>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Operating</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489,000</w:t>
            </w:r>
          </w:p>
        </w:tc>
      </w:tr>
      <w:tr>
        <w:trPr>
          <w:trHeight w:val="215"/>
        </w:trPr>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362,000</w:t>
            </w:r>
          </w:p>
        </w:tc>
      </w:tr>
      <w:tr>
        <w:trPr>
          <w:trHeight w:val="416"/>
        </w:trPr>
        <w:tc>
          <w:tcPr>
            <w:tcW w:w="1500" w:type="dxa"/>
            <w:vAlign w:val="bottom"/>
          </w:tcPr>
          <w:p>
            <w:pPr>
              <w:spacing w:after="0"/>
              <w:rPr>
                <w:sz w:val="20"/>
                <w:szCs w:val="20"/>
                <w:color w:val="auto"/>
              </w:rPr>
            </w:pPr>
            <w:r>
              <w:rPr>
                <w:rFonts w:ascii="Arial" w:cs="Arial" w:eastAsia="Arial" w:hAnsi="Arial"/>
                <w:sz w:val="18"/>
                <w:szCs w:val="18"/>
                <w:color w:val="auto"/>
                <w:w w:val="97"/>
              </w:rPr>
              <w:t>Robert F. Smerling</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1500" w:type="dxa"/>
            <w:vAlign w:val="bottom"/>
          </w:tcPr>
          <w:p>
            <w:pPr>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39,000</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432,000</w:t>
            </w:r>
          </w:p>
        </w:tc>
      </w:tr>
      <w:tr>
        <w:trPr>
          <w:trHeight w:val="215"/>
        </w:trPr>
        <w:tc>
          <w:tcPr>
            <w:tcW w:w="1500" w:type="dxa"/>
            <w:vAlign w:val="bottom"/>
          </w:tcPr>
          <w:p>
            <w:pPr>
              <w:spacing w:after="0"/>
              <w:rPr>
                <w:sz w:val="20"/>
                <w:szCs w:val="20"/>
                <w:color w:val="auto"/>
              </w:rPr>
            </w:pPr>
            <w:r>
              <w:rPr>
                <w:rFonts w:ascii="Arial" w:cs="Arial" w:eastAsia="Arial" w:hAnsi="Arial"/>
                <w:sz w:val="18"/>
                <w:szCs w:val="18"/>
                <w:color w:val="auto"/>
              </w:rPr>
              <w:t>President –</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tcPr>
          <w:p>
            <w:pPr>
              <w:ind w:left="340"/>
              <w:spacing w:after="0"/>
              <w:rPr>
                <w:sz w:val="20"/>
                <w:szCs w:val="20"/>
                <w:color w:val="auto"/>
              </w:rPr>
            </w:pPr>
            <w:r>
              <w:rPr>
                <w:rFonts w:ascii="Arial" w:cs="Arial" w:eastAsia="Arial" w:hAnsi="Arial"/>
                <w:sz w:val="18"/>
                <w:szCs w:val="18"/>
                <w:color w:val="auto"/>
              </w:rPr>
              <w:t>Domestic</w:t>
            </w: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116,000</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514,000</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w w:val="95"/>
              </w:rPr>
              <w:t>Cinema Operations</w:t>
            </w:r>
          </w:p>
        </w:tc>
        <w:tc>
          <w:tcPr>
            <w:tcW w:w="380" w:type="dxa"/>
            <w:vAlign w:val="bottom"/>
          </w:tcPr>
          <w:p>
            <w:pPr>
              <w:spacing w:after="0"/>
              <w:rPr>
                <w:sz w:val="20"/>
                <w:szCs w:val="20"/>
                <w:color w:val="auto"/>
              </w:rPr>
            </w:pPr>
            <w:r>
              <w:rPr>
                <w:rFonts w:ascii="Arial" w:cs="Arial" w:eastAsia="Arial" w:hAnsi="Arial"/>
                <w:sz w:val="18"/>
                <w:szCs w:val="18"/>
                <w:color w:val="auto"/>
                <w:w w:val="89"/>
              </w:rPr>
              <w:t>2007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77,000</w:t>
            </w: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445,000</w:t>
            </w:r>
          </w:p>
        </w:tc>
      </w:tr>
      <w:tr>
        <w:trPr>
          <w:trHeight w:val="215"/>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Ellen M. Cotter (2)</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343,000</w:t>
            </w:r>
          </w:p>
        </w:tc>
      </w:tr>
      <w:tr>
        <w:trPr>
          <w:trHeight w:val="201"/>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Operating</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 –</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267,000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132,000</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472,000</w:t>
            </w:r>
          </w:p>
        </w:tc>
      </w:tr>
      <w:tr>
        <w:trPr>
          <w:trHeight w:val="215"/>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7"/>
              </w:rPr>
              <w:t>Domestic Cinemas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366,000</w:t>
            </w:r>
          </w:p>
        </w:tc>
      </w:tr>
    </w:tbl>
    <w:p>
      <w:pPr>
        <w:spacing w:after="0" w:line="201" w:lineRule="exact"/>
        <w:rPr>
          <w:sz w:val="20"/>
          <w:szCs w:val="20"/>
          <w:color w:val="auto"/>
        </w:rPr>
      </w:pPr>
    </w:p>
    <w:p>
      <w:pPr>
        <w:jc w:val="both"/>
        <w:ind w:left="660" w:hanging="306"/>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own a condominium in a high-rise building located in West Hollywood, California, which is used as an executive office. “All Other Compensation” includes our matching contribution under our 401(k) plan and the value to Mr. Cotter of his personal use of our condominium, a company automobile, club dues, and other perquisites.</w:t>
      </w:r>
    </w:p>
    <w:p>
      <w:pPr>
        <w:spacing w:after="0" w:line="182" w:lineRule="exact"/>
        <w:rPr>
          <w:rFonts w:ascii="Arial" w:cs="Arial" w:eastAsia="Arial" w:hAnsi="Arial"/>
          <w:sz w:val="18"/>
          <w:szCs w:val="18"/>
          <w:color w:val="auto"/>
        </w:rPr>
      </w:pPr>
    </w:p>
    <w:p>
      <w:pPr>
        <w:ind w:left="660" w:hanging="306"/>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Other Compensation” represents our employer’s matching contributions under our 401(k) plan and car allowances to the executives.</w:t>
      </w:r>
    </w:p>
    <w:p>
      <w:pPr>
        <w:spacing w:after="0" w:line="234" w:lineRule="exact"/>
        <w:rPr>
          <w:rFonts w:ascii="Arial" w:cs="Arial" w:eastAsia="Arial" w:hAnsi="Arial"/>
          <w:sz w:val="17"/>
          <w:szCs w:val="17"/>
          <w:color w:val="auto"/>
        </w:rPr>
      </w:pPr>
    </w:p>
    <w:p>
      <w:pPr>
        <w:jc w:val="both"/>
        <w:ind w:left="660" w:hanging="305"/>
        <w:spacing w:after="0" w:line="272"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August 2008, we granted Mr. Hunter and Mr. Matyczynski the option to receive either $40,000 of cash or $80,000 of Class A shares valued at $9.45 per share bonus compensation relating to our completion of the acquisition of cinemas in California and Hawaii. The value of these shares is based on the market price on March 24, 2008, which was 30 days after the closing date of the transaction. Additionally, we granted Mr. Matyczynski the option to receive either $25,000 of cash or $50,000 of Class A shares valued at $8.34 per share as a bonus for completing our trust preferred securities transaction. The value of these shares is based on the market price on March 7, 2007, which was 30 days after the closing date of the transaction. In each case, they chose to receive the Class A shares in lieu of cash.&lt; /div&gt;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GRANTS OF PLAN-BASED AWARDS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concerning the stock grants made to our named executive officers for the year ended December 31, 2009:</w:t>
      </w:r>
    </w:p>
    <w:p>
      <w:pPr>
        <w:sectPr>
          <w:pgSz w:w="11900" w:h="16838" w:orient="portrait"/>
          <w:cols w:equalWidth="0" w:num="1">
            <w:col w:w="11420"/>
          </w:cols>
          <w:pgMar w:left="240" w:top="484"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3315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15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Estimated Future Payouts Under Equity Incentive Plan</w:t>
      </w:r>
    </w:p>
    <w:p>
      <w:pPr>
        <w:spacing w:after="0" w:line="50"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Awards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Maximum</w:t>
            </w:r>
          </w:p>
        </w:tc>
      </w:tr>
      <w:tr>
        <w:trPr>
          <w:trHeight w:val="215"/>
        </w:trPr>
        <w:tc>
          <w:tcPr>
            <w:tcW w:w="10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Number of</w:t>
            </w:r>
          </w:p>
        </w:tc>
      </w:t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Shares</w:t>
            </w: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All Other Option</w:t>
            </w: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All Other Stock</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0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r>
      <w:tr>
        <w:trPr>
          <w:trHeight w:val="215"/>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Exercise or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Fair Value of</w:t>
            </w:r>
          </w:p>
        </w:tc>
      </w:tr>
      <w:tr>
        <w:trPr>
          <w:trHeight w:val="215"/>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Base Price of</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Stock and</w:t>
            </w:r>
          </w:p>
        </w:tc>
      </w:tr>
      <w:tr>
        <w:trPr>
          <w:trHeight w:val="215"/>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of Stock</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or Units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0</wp:posOffset>
            </wp:positionV>
            <wp:extent cx="59156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15660" cy="1714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3">
            <w:col w:w="1540" w:space="720"/>
            <w:col w:w="4260" w:space="220"/>
            <w:col w:w="4680"/>
          </w:cols>
          <w:pgMar w:left="240" w:top="484"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James J. Cotter</w:t>
      </w:r>
    </w:p>
    <w:p>
      <w:pPr>
        <w:spacing w:after="0" w:line="20" w:lineRule="exact"/>
        <w:rPr>
          <w:sz w:val="20"/>
          <w:szCs w:val="20"/>
          <w:color w:val="auto"/>
        </w:rPr>
      </w:pPr>
      <w:r>
        <w:rPr>
          <w:sz w:val="20"/>
          <w:szCs w:val="20"/>
          <w:color w:val="auto"/>
        </w:rPr>
        <w:br w:type="column"/>
      </w:r>
    </w:p>
    <w:p>
      <w:pPr>
        <w:spacing w:after="0"/>
        <w:tabs>
          <w:tab w:leader="none" w:pos="980" w:val="left"/>
          <w:tab w:leader="none" w:pos="2180" w:val="left"/>
          <w:tab w:leader="none" w:pos="3200" w:val="left"/>
          <w:tab w:leader="none" w:pos="4380" w:val="left"/>
          <w:tab w:leader="none" w:pos="5700" w:val="left"/>
          <w:tab w:leader="none" w:pos="7480" w:val="left"/>
          <w:tab w:leader="none" w:pos="8060" w:val="left"/>
        </w:tabs>
        <w:rPr>
          <w:sz w:val="20"/>
          <w:szCs w:val="20"/>
          <w:color w:val="auto"/>
        </w:rPr>
      </w:pPr>
      <w:r>
        <w:rPr>
          <w:rFonts w:ascii="Arial" w:cs="Arial" w:eastAsia="Arial" w:hAnsi="Arial"/>
          <w:sz w:val="18"/>
          <w:szCs w:val="18"/>
          <w:color w:val="auto"/>
        </w:rPr>
        <w:t>12/31/2009</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125,945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500,000</w:t>
      </w:r>
    </w:p>
    <w:p>
      <w:pPr>
        <w:spacing w:after="0" w:line="200" w:lineRule="exact"/>
        <w:rPr>
          <w:sz w:val="20"/>
          <w:szCs w:val="20"/>
          <w:color w:val="auto"/>
        </w:rPr>
      </w:pPr>
    </w:p>
    <w:p>
      <w:pPr>
        <w:sectPr>
          <w:pgSz w:w="11900" w:h="16838" w:orient="portrait"/>
          <w:cols w:equalWidth="0" w:num="2">
            <w:col w:w="1560" w:space="720"/>
            <w:col w:w="9140"/>
          </w:cols>
          <w:pgMar w:left="240" w:top="484"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information concerning the outstanding option and stock awards of our named executive officers as of December 31,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ind w:left="640"/>
              <w:spacing w:after="0"/>
              <w:rPr>
                <w:sz w:val="20"/>
                <w:szCs w:val="20"/>
                <w:color w:val="auto"/>
              </w:rPr>
            </w:pPr>
            <w:r>
              <w:rPr>
                <w:rFonts w:ascii="Arial" w:cs="Arial" w:eastAsia="Arial" w:hAnsi="Arial"/>
                <w:sz w:val="18"/>
                <w:szCs w:val="18"/>
                <w:b w:val="1"/>
                <w:bCs w:val="1"/>
                <w:color w:val="auto"/>
              </w:rPr>
              <w:t>Option Awards</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ind w:left="740"/>
              <w:spacing w:after="0"/>
              <w:rPr>
                <w:sz w:val="20"/>
                <w:szCs w:val="20"/>
                <w:color w:val="auto"/>
              </w:rPr>
            </w:pPr>
            <w:r>
              <w:rPr>
                <w:rFonts w:ascii="Arial" w:cs="Arial" w:eastAsia="Arial" w:hAnsi="Arial"/>
                <w:sz w:val="18"/>
                <w:szCs w:val="18"/>
                <w:b w:val="1"/>
                <w:bCs w:val="1"/>
                <w:color w:val="auto"/>
              </w:rPr>
              <w:t>Stock Awards</w:t>
            </w:r>
          </w:p>
        </w:tc>
      </w:tr>
      <w:tr>
        <w:trPr>
          <w:trHeight w:val="197"/>
        </w:trPr>
        <w:tc>
          <w:tcPr>
            <w:tcW w:w="336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7" w:lineRule="exact"/>
              <w:rPr>
                <w:sz w:val="20"/>
                <w:szCs w:val="20"/>
                <w:color w:val="auto"/>
              </w:rPr>
            </w:pPr>
            <w:r>
              <w:rPr>
                <w:rFonts w:ascii="Arial" w:cs="Arial" w:eastAsia="Arial" w:hAnsi="Arial"/>
                <w:sz w:val="18"/>
                <w:szCs w:val="18"/>
                <w:b w:val="1"/>
                <w:bCs w:val="1"/>
                <w:color w:val="auto"/>
                <w:w w:val="93"/>
              </w:rPr>
              <w:t>Number of</w:t>
            </w:r>
          </w:p>
        </w:tc>
        <w:tc>
          <w:tcPr>
            <w:tcW w:w="116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33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Market Value</w:t>
            </w:r>
          </w:p>
        </w:tc>
      </w:tr>
      <w:tr>
        <w:trPr>
          <w:trHeight w:val="215"/>
        </w:trPr>
        <w:tc>
          <w:tcPr>
            <w:tcW w:w="33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Shares or</w:t>
            </w:r>
          </w:p>
        </w:tc>
      </w:tr>
      <w:tr>
        <w:trPr>
          <w:trHeight w:val="215"/>
        </w:trPr>
        <w:tc>
          <w:tcPr>
            <w:tcW w:w="33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Unexercised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Option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Units of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Units that</w:t>
            </w:r>
          </w:p>
        </w:tc>
      </w:tr>
      <w:tr>
        <w:trPr>
          <w:trHeight w:val="215"/>
        </w:trPr>
        <w:tc>
          <w:tcPr>
            <w:tcW w:w="33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that Have Not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Have Not</w:t>
            </w:r>
          </w:p>
        </w:tc>
      </w:tr>
      <w:tr>
        <w:trPr>
          <w:trHeight w:val="240"/>
        </w:trPr>
        <w:tc>
          <w:tcPr>
            <w:tcW w:w="33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Vested ($)</w:t>
            </w:r>
          </w:p>
        </w:tc>
        <w:tc>
          <w:tcPr>
            <w:tcW w:w="120" w:type="dxa"/>
            <w:vAlign w:val="bottom"/>
          </w:tcPr>
          <w:p>
            <w:pPr>
              <w:spacing w:after="0"/>
              <w:rPr>
                <w:sz w:val="20"/>
                <w:szCs w:val="20"/>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James J. Cotter</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5/9/2017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Andrzej Matyczynski</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4/13/2010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7/2/2012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John Hunter</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21,000</w:t>
            </w: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Robert F. Smerling</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5/9/2017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Ellen M. Cotter</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10.24</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5/9/2017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contains information for our named executive officers concerning the option awards that were exercised and stock awards that vested during the year ended December 31,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Option Awards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700"/>
              <w:spacing w:after="0"/>
              <w:rPr>
                <w:sz w:val="20"/>
                <w:szCs w:val="20"/>
                <w:color w:val="auto"/>
              </w:rPr>
            </w:pPr>
            <w:r>
              <w:rPr>
                <w:rFonts w:ascii="Arial" w:cs="Arial" w:eastAsia="Arial" w:hAnsi="Arial"/>
                <w:sz w:val="18"/>
                <w:szCs w:val="18"/>
                <w:b w:val="1"/>
                <w:bCs w:val="1"/>
                <w:color w:val="auto"/>
              </w:rPr>
              <w:t>Stock Awards</w:t>
            </w:r>
          </w:p>
        </w:tc>
      </w:tr>
      <w:tr>
        <w:trPr>
          <w:trHeight w:val="19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120"/>
              <w:spacing w:after="0" w:line="197"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7"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r>
      <w:tr>
        <w:trPr>
          <w:trHeight w:val="215"/>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Acquired on</w:t>
            </w:r>
          </w:p>
        </w:tc>
        <w:tc>
          <w:tcPr>
            <w:tcW w:w="12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Realized 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Acquired on</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Realized on</w:t>
            </w:r>
          </w:p>
        </w:tc>
      </w:tr>
      <w:tr>
        <w:trPr>
          <w:trHeight w:val="240"/>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Exercise ($)</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Vesting ($)</w:t>
            </w:r>
          </w:p>
        </w:tc>
        <w:tc>
          <w:tcPr>
            <w:tcW w:w="100" w:type="dxa"/>
            <w:vAlign w:val="bottom"/>
          </w:tcPr>
          <w:p>
            <w:pPr>
              <w:spacing w:after="0"/>
              <w:rPr>
                <w:sz w:val="20"/>
                <w:szCs w:val="20"/>
                <w:color w:val="auto"/>
              </w:rPr>
            </w:pPr>
          </w:p>
        </w:tc>
      </w:tr>
      <w:tr>
        <w:trPr>
          <w:trHeight w:val="215"/>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Cotter (1)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675,000</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John Hunter</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bl>
    <w:p>
      <w:pPr>
        <w:spacing w:after="0" w:line="186" w:lineRule="exact"/>
        <w:rPr>
          <w:sz w:val="20"/>
          <w:szCs w:val="20"/>
          <w:color w:val="auto"/>
        </w:rPr>
      </w:pPr>
    </w:p>
    <w:p>
      <w:pPr>
        <w:jc w:val="both"/>
        <w:ind w:left="980" w:hanging="327"/>
        <w:spacing w:after="0" w:line="310"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Cotter was granted $500,000 of restricted Class A shares for the year ended December 31, 2009, or 125,945 shares based on the value per share on August 19, 2009 of $3.97. Also included for 2009 are 17,517 restricted shares granted to Mr. Cotter in 2007, which represents the second of two installments that vested on December 31, 2008 and 2009, and were based on the value per share on December 31, 2007 of $9.99.</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PENSION BENEFITS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information concerning pension plans for each of the named executive officers for the year ended December 31,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Present Value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Years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Payments</w:t>
            </w:r>
          </w:p>
        </w:tc>
      </w:tr>
      <w:tr>
        <w:trPr>
          <w:trHeight w:val="215"/>
        </w:trPr>
        <w:tc>
          <w:tcPr>
            <w:tcW w:w="3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Credited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During Last</w:t>
            </w:r>
          </w:p>
        </w:tc>
      </w:tr>
      <w:tr>
        <w:trPr>
          <w:trHeight w:val="240"/>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3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91"/>
              </w:rPr>
              <w:t>Plan Name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Service</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Benefit ($)</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 xml:space="preserve">Fiscal Year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5"/>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James J. Cotter</w:t>
            </w:r>
          </w:p>
        </w:tc>
        <w:tc>
          <w:tcPr>
            <w:tcW w:w="430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5"/>
              </w:rPr>
              <w:t>SERP</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John Hunter</w:t>
            </w:r>
          </w:p>
        </w:tc>
        <w:tc>
          <w:tcPr>
            <w:tcW w:w="4300" w:type="dxa"/>
            <w:vAlign w:val="bottom"/>
          </w:tcPr>
          <w:p>
            <w:pPr>
              <w:jc w:val="center"/>
              <w:ind w:left="770"/>
              <w:spacing w:after="0"/>
              <w:rPr>
                <w:sz w:val="20"/>
                <w:szCs w:val="20"/>
                <w:color w:val="auto"/>
              </w:rPr>
            </w:pPr>
            <w:r>
              <w:rPr>
                <w:rFonts w:ascii="Arial" w:cs="Arial" w:eastAsia="Arial" w:hAnsi="Arial"/>
                <w:sz w:val="18"/>
                <w:szCs w:val="18"/>
                <w:color w:val="auto"/>
                <w:w w:val="89"/>
              </w:rPr>
              <w:t>COO Pension Plan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292,000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the following termination arrangements with only the following named executive officers: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i w:val="1"/>
          <w:iCs w:val="1"/>
          <w:color w:val="auto"/>
        </w:rPr>
        <w:t>Andrzej Matyczynski</w:t>
      </w:r>
      <w:r>
        <w:rPr>
          <w:rFonts w:ascii="Arial" w:cs="Arial" w:eastAsia="Arial" w:hAnsi="Arial"/>
          <w:sz w:val="18"/>
          <w:szCs w:val="18"/>
          <w:color w:val="auto"/>
        </w:rPr>
        <w:t>. Pursuant to his employment agreement, Mr. Matyczynski is entitled to a severance payment equal to six months’ salary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his employment is involuntarily terminated.</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i w:val="1"/>
          <w:iCs w:val="1"/>
          <w:color w:val="auto"/>
        </w:rPr>
        <w:t>John Hunter</w:t>
      </w:r>
      <w:r>
        <w:rPr>
          <w:rFonts w:ascii="Arial" w:cs="Arial" w:eastAsia="Arial" w:hAnsi="Arial"/>
          <w:sz w:val="18"/>
          <w:szCs w:val="18"/>
          <w:color w:val="auto"/>
        </w:rPr>
        <w:t>. Under the terms of his employment, Mr. Hunter is entitled to a severance payment equal to his annual base salary if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his employment for any reason before February 12, 2011. If the company terminates his employment for any reason on February 12, 2011 or later, Mr. Hunter is entitled to a severance payment of 50% of his annual base salary.</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No other named executive officers have termination benefits in their employment agreements. None of our employment agreements with our named executive officers have provisions relating to change in control.</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current members of our Compensation Committee are Alfred Villaseñor, Chairman, William D. Gould, and Gerard P. Laheney. There are no “interlocks,” as defined by the SEC, with respect to any member of our Compensation Committee.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AND RELATED PARTY TRANSACTIONS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members of our Conflicts Committee are Eric Barr, Chairman, Edward L. Kane, and Gerard P. Laheney. Management presents all potential related party transactions to the Conflicts Committee for review. Our Conflicts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Sutton Hill Capital</w:t>
      </w:r>
    </w:p>
    <w:p>
      <w:pPr>
        <w:spacing w:after="0" w:line="227"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auto"/>
        </w:rPr>
        <w:t>In 2001, we entered into a transaction with Sutton Hill Capital, LLC (“SHC”) regarding the leasing with an option to purchase of certain cinemas located in Manhattan.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and Michael Forman and of which Mr. Cotter is the managing member. During 2009, 2008, and 2007, we paid rent to SHC in the amount of $487,000, $487,000 and $491,000, respectively, and we owed SHC $5.0 million (due December 31, 2010) with respect to the borrowing used principally to finance the acquisitio n of our interest in the limited liability company currently developing the Sutton Cinema site and $9.0 million on the Purchase Money Promissory Note (due December 31, 2010), for an aggregate liability of $14.0 million.</w:t>
      </w:r>
    </w:p>
    <w:p>
      <w:pPr>
        <w:spacing w:after="0" w:line="176"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In 2005, we acquired from a third party the fee interest and from SHC its interest in the ground lease estate underlying the Cinemas 1, 2 &amp; 3 in Manhattan. In connection with that transaction, we agreed to grant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OBI Management Agreement</w:t>
      </w:r>
    </w:p>
    <w:p>
      <w:pPr>
        <w:spacing w:after="0" w:line="227"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spacing w:after="0" w:line="147"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The Management Agreement generally provides that we will pay OBI Management a combination of fixed and incentive fees, which historically have equated to approximately 20%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2009, OB I Management earned $325,000, which was 28.3% of net cash flows for the year. In 2008, OBI Management earned $428,000, which was 23.8% of net cash flows for the year. In 2007, OBI Management earned $377,000, which was 19.9% of net cash flows for the year. In each year, we reimbursed travel related expenses for OBI Management personnel with respect to travel between New York City and Chicago in connection with the management of the Royal George complex.</w:t>
      </w:r>
    </w:p>
    <w:p>
      <w:pPr>
        <w:spacing w:after="0" w:line="179"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Live Theater Play Investment</w:t>
      </w:r>
    </w:p>
    <w:p>
      <w:pPr>
        <w:spacing w:after="0" w:line="227" w:lineRule="exact"/>
        <w:rPr>
          <w:sz w:val="20"/>
          <w:szCs w:val="20"/>
          <w:color w:val="auto"/>
        </w:rPr>
      </w:pPr>
    </w:p>
    <w:p>
      <w:pPr>
        <w:jc w:val="both"/>
        <w:ind w:firstLine="645"/>
        <w:spacing w:after="0" w:line="278" w:lineRule="auto"/>
        <w:rPr>
          <w:sz w:val="20"/>
          <w:szCs w:val="20"/>
          <w:color w:val="auto"/>
        </w:rPr>
      </w:pPr>
      <w:r>
        <w:rPr>
          <w:rFonts w:ascii="Arial" w:cs="Arial" w:eastAsia="Arial" w:hAnsi="Arial"/>
          <w:sz w:val="17"/>
          <w:szCs w:val="17"/>
          <w:color w:val="auto"/>
        </w:rPr>
        <w:t>From time to time, our officers and directors may invest in plays that lease our live theaters. During 2004, an affiliate of Mr. James J. Cotter and Michael Forman have a 25% investment in the play, I Love You, You’re Perfect, Now Change, playing in one of our auditoriums at our Royal George Theatre until March 2006. We similarly had a 25% investment in the play. The play has earned for us $0, $2,000, and, $27,000 during the years ended December 31, 2009, 2008 and 2007, respectively. This investment received Board approval from our Conflicts Committee on August 12, 2002.</w:t>
      </w:r>
    </w:p>
    <w:p>
      <w:pPr>
        <w:spacing w:after="0" w:line="17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During 2008, we had a 37.4% investment in a show that played at our Minetta Lane Theatre from February to July 2008. The operations from the play resulted in a net loss to us of $304,000. No changes to this investment were recorded during 2009.</w:t>
      </w:r>
    </w:p>
    <w:p>
      <w:pPr>
        <w:spacing w:after="0" w:line="171"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Cotter, our controlling stockholder, has advised the Board of Directors that he considers his holdings in our company to be long-term investments to be passed onto his heirs. The Directors believe that it is in the best interests of our company and our stockholders for his heirs to become experienced in our operations and affairs. Accordingly, all of Mr. Cotter’s children are currently involved with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Miscellaneous Transactions</w:t>
      </w:r>
    </w:p>
    <w:p>
      <w:pPr>
        <w:spacing w:after="0" w:line="227"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We have loaned Mr. Smerling $70,000 pursuant to an interest-free demand loan that antedated the effective date of the Sarbanes-Oxley prohibition on loans to directors and officers.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PUBLIC ACCOUNTANTS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independent public accountants, Deloitte &amp; Touche, LLP, have audited our financial statements for the fiscal year ended December 31, 2009, and are expected to have a representative present at the Annual Meeting who will have the opportunity to make a statement if he or she desires to do so and is expected to be available to respond to appropriate questions.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aggregate fees for professional services rendered by Deloitte &amp; Touche, LLP for the audit of our financial statements, audit of internal controls related to the Sarbanes-Oxley Act, and the reviews of the financial statements included in our Forms 10-Q were approximately $785,000 and $1,100,000 for the years ended December 31, 2009 and 2008,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Audit-Related Fees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aggregate fees in each of 2009 and 2008 for assurance and related services provided by Deloitte &amp; Touche, LLP that are reasonably related to the performance of the audit or review of our financial statements and that are not reported above under the caption “Audit Fees,” above, were approximately $36,000 and $20,000,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aggregate fees in each of 2009 and 2008 for products and services for tax compliance, tax advice, and tax planning provided by Deloitte &amp; Touche, LLP were $221,000 and $145,000,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7"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The aggregate fees for 2009 and 2008 for services provided by Deloitte &amp; Touche, LLP other than as set forth above were $15,000 and $30,000, respectively. These fees related generally to advice on accounting matters that were outside of the audit and audit-related services referred to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brought to our Audit Committee's attention and approved prior to the completion of the audit by our Audit Committee or any of its member(s) who has authority to give such approval. Our Audit Committee pre-approved all services, audit and non-audit, provided or to be provided to us by Deloitte &amp; Touche, LLP for 2008 and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 copy of our Annual Report on Form 10-K for the fiscal year ended December 31, 2009 is being provided with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It is the policy of our Board of Directors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stockholder who, in accordance with and subject to the provisions of the proxy rules of the SEC, wishes to submit a proposal for inclusion in our Proxy Statement for our 2011 Annual Meeting of Stockholders, must deliver such proposal in writing to the Secretary of the Company at the address of our company's principal executive offices at 500 Citadel Drive, Suite 300, Commerce, California 90040. Unless we change the date of our annual meeting by more than 30 days from the prior year’s meeting, such written proposal must be delivered to us no later than December 15, 2010 to be considered timely. If our 2011 Annual Meeting is not within 30 days of the anniversary of our 2010 Annual Meeting, to be considered timely, stockholder proposals must be received no la ter than ten days after the earlier of (a) the date on which notice of the 2011 Annual Meeting is mailed, or (b) the date on which the Company publicly discloses the date of the 2011 Annual Meeting, including disclosure in an SEC filing or through a press release. If we do not receive timely notice of a stockholder proposal, the proxies that we hold may confer discretionary authority to vote against such stockholder proposal, even though such proposal is not discussed in our Proxy Statement for that meeting.</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Board of Directors will consider written nominations for directors from stockholders. Nominations for the election of directors made by our stockholders must be made by written notice delivered to our Secretary at our principal executive offices not less than 120 days prior to the first anniversary of the immediately preceding annual meeting of our stockholders at which directors are elected. Such written notice must set forth the name, age, address, and principal occupation or employment of such nominee, the number of shares of our company’s common stock that is beneficially owned by such nominee and such other information required by the proxy rules of the SEC with respect to a nominee of the Board of Directors.</w:t>
      </w:r>
    </w:p>
    <w:p>
      <w:pPr>
        <w:spacing w:after="0" w:line="16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Under our governing documents and applicable Nevada law, our stockholders may also directly nominate candidate from the floor at any meeting of our stockholders held at which directors are to be elected.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permitted by the Securities Exchange Act of 1934, only one copy of the proxy materials are being delivered to our stockholders residing at the same address, unless such stockholders have notified us of their desire to receive multiple copies of the proxy materials.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500 Citadel Drive, Suite 300, Commerce, California 90040.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7" w:name="page38"/>
    <w:bookmarkEnd w:id="37"/>
    <w:p>
      <w:pPr>
        <w:ind w:firstLine="645"/>
        <w:spacing w:after="0" w:line="275" w:lineRule="auto"/>
        <w:rPr>
          <w:sz w:val="20"/>
          <w:szCs w:val="20"/>
          <w:color w:val="auto"/>
        </w:rPr>
      </w:pPr>
      <w:r>
        <w:rPr>
          <w:rFonts w:ascii="Arial" w:cs="Arial" w:eastAsia="Arial" w:hAnsi="Arial"/>
          <w:sz w:val="18"/>
          <w:szCs w:val="18"/>
          <w:color w:val="auto"/>
        </w:rPr>
        <w:t>Stockholders residing at the same address and currently receiving only one copy of the proxy materials may contact the Corporate Secretary as described above to request multiple copies of the proxy materials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60780" cy="537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60780"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James J. Cotter,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April 13, 2010</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READING INTERNATIONAL, INC.</w:t>
      </w:r>
    </w:p>
    <w:p>
      <w:pPr>
        <w:spacing w:after="0" w:line="2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2010 STOCK INCENTIVE PLAN</w:t>
      </w:r>
    </w:p>
    <w:p>
      <w:pPr>
        <w:spacing w:after="0" w:line="219" w:lineRule="exact"/>
        <w:rPr>
          <w:sz w:val="20"/>
          <w:szCs w:val="20"/>
          <w:color w:val="auto"/>
        </w:rPr>
      </w:pPr>
    </w:p>
    <w:p>
      <w:pPr>
        <w:ind w:left="240" w:hanging="231"/>
        <w:spacing w:after="0"/>
        <w:tabs>
          <w:tab w:leader="none" w:pos="2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w:t>
      </w:r>
    </w:p>
    <w:p>
      <w:pPr>
        <w:spacing w:after="0" w:line="227" w:lineRule="exact"/>
        <w:rPr>
          <w:rFonts w:ascii="Arial" w:cs="Arial" w:eastAsia="Arial" w:hAnsi="Arial"/>
          <w:sz w:val="18"/>
          <w:szCs w:val="18"/>
          <w:b w:val="1"/>
          <w:bCs w:val="1"/>
          <w:color w:val="auto"/>
        </w:rPr>
      </w:pPr>
    </w:p>
    <w:p>
      <w:pPr>
        <w:ind w:left="560" w:hanging="293"/>
        <w:spacing w:after="0" w:line="275" w:lineRule="auto"/>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purpose of the Plan is to provide to eligible recipients an opportunity to benefit from increases in value of the Common Stock through Stock Awards.</w:t>
      </w:r>
    </w:p>
    <w:p>
      <w:pPr>
        <w:spacing w:after="0" w:line="170" w:lineRule="exact"/>
        <w:rPr>
          <w:rFonts w:ascii="Arial" w:cs="Arial" w:eastAsia="Arial" w:hAnsi="Arial"/>
          <w:sz w:val="18"/>
          <w:szCs w:val="18"/>
          <w:color w:val="auto"/>
        </w:rPr>
      </w:pPr>
    </w:p>
    <w:p>
      <w:pPr>
        <w:jc w:val="both"/>
        <w:ind w:left="560" w:hanging="303"/>
        <w:spacing w:after="0" w:line="310" w:lineRule="auto"/>
        <w:tabs>
          <w:tab w:leader="none" w:pos="5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Company, by means of the Plan, seeks to attract and retain the services of persons eligible to receive Stock Awards, to bind the interests of eligible recipients more closely to the Company’s own interests by offering them opportunities to acquire Common Stock and/or cash and to afford eligible recipients stock-based compensation opportunities that are competitive with those afforded by similar businesses.</w:t>
      </w:r>
    </w:p>
    <w:p>
      <w:pPr>
        <w:spacing w:after="0" w:line="147" w:lineRule="exact"/>
        <w:rPr>
          <w:rFonts w:ascii="Arial" w:cs="Arial" w:eastAsia="Arial" w:hAnsi="Arial"/>
          <w:sz w:val="16"/>
          <w:szCs w:val="16"/>
          <w:color w:val="auto"/>
        </w:rPr>
      </w:pPr>
    </w:p>
    <w:p>
      <w:pPr>
        <w:ind w:left="560" w:hanging="293"/>
        <w:spacing w:after="0"/>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persons eligible to receive Stock Awards are the Directors, Employees and Consultants of the Company and of its Affiliates.</w:t>
      </w:r>
    </w:p>
    <w:p>
      <w:pPr>
        <w:spacing w:after="0" w:line="219" w:lineRule="exact"/>
        <w:rPr>
          <w:rFonts w:ascii="Arial" w:cs="Arial" w:eastAsia="Arial" w:hAnsi="Arial"/>
          <w:sz w:val="18"/>
          <w:szCs w:val="18"/>
          <w:color w:val="auto"/>
        </w:rPr>
      </w:pPr>
    </w:p>
    <w:p>
      <w:pPr>
        <w:ind w:left="240" w:hanging="231"/>
        <w:spacing w:after="0"/>
        <w:tabs>
          <w:tab w:leader="none" w:pos="2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7" w:lineRule="exact"/>
        <w:rPr>
          <w:rFonts w:ascii="Arial" w:cs="Arial" w:eastAsia="Arial" w:hAnsi="Arial"/>
          <w:sz w:val="18"/>
          <w:szCs w:val="18"/>
          <w:b w:val="1"/>
          <w:bCs w:val="1"/>
          <w:color w:val="auto"/>
        </w:rPr>
      </w:pPr>
    </w:p>
    <w:p>
      <w:pPr>
        <w:ind w:left="560" w:hanging="293"/>
        <w:spacing w:after="0" w:line="275" w:lineRule="auto"/>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“parent corporation” or “subsidiary corporation” of the Company, whether now or hereafter existing, as those terms are defined in Sections 424(e) and (f), respectively, of the Code.</w:t>
      </w:r>
    </w:p>
    <w:p>
      <w:pPr>
        <w:spacing w:after="0" w:line="170" w:lineRule="exact"/>
        <w:rPr>
          <w:rFonts w:ascii="Arial" w:cs="Arial" w:eastAsia="Arial" w:hAnsi="Arial"/>
          <w:sz w:val="18"/>
          <w:szCs w:val="18"/>
          <w:color w:val="auto"/>
        </w:rPr>
      </w:pPr>
    </w:p>
    <w:p>
      <w:pPr>
        <w:ind w:left="560" w:hanging="303"/>
        <w:spacing w:after="0"/>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rFonts w:ascii="Arial" w:cs="Arial" w:eastAsia="Arial" w:hAnsi="Arial"/>
          <w:sz w:val="18"/>
          <w:szCs w:val="18"/>
          <w:color w:val="auto"/>
        </w:rPr>
      </w:pPr>
    </w:p>
    <w:p>
      <w:pPr>
        <w:ind w:left="560" w:hanging="293"/>
        <w:spacing w:after="0"/>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3" w:lineRule="exact"/>
        <w:rPr>
          <w:rFonts w:ascii="Arial" w:cs="Arial" w:eastAsia="Arial" w:hAnsi="Arial"/>
          <w:sz w:val="18"/>
          <w:szCs w:val="18"/>
          <w:color w:val="auto"/>
        </w:rPr>
      </w:pPr>
    </w:p>
    <w:p>
      <w:pPr>
        <w:ind w:left="560" w:hanging="303"/>
        <w:spacing w:after="0"/>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one or more members of the Board appointed by the Board in accordance with subsection 3(c).</w:t>
      </w:r>
    </w:p>
    <w:p>
      <w:pPr>
        <w:spacing w:after="0" w:line="223" w:lineRule="exact"/>
        <w:rPr>
          <w:rFonts w:ascii="Arial" w:cs="Arial" w:eastAsia="Arial" w:hAnsi="Arial"/>
          <w:sz w:val="18"/>
          <w:szCs w:val="18"/>
          <w:color w:val="auto"/>
        </w:rPr>
      </w:pPr>
    </w:p>
    <w:p>
      <w:pPr>
        <w:ind w:left="560" w:hanging="293"/>
        <w:spacing w:after="0"/>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Non-voting Common Stock, $0.01 par value per share, of the Company.</w:t>
      </w:r>
    </w:p>
    <w:p>
      <w:pPr>
        <w:spacing w:after="0" w:line="223" w:lineRule="exact"/>
        <w:rPr>
          <w:rFonts w:ascii="Arial" w:cs="Arial" w:eastAsia="Arial" w:hAnsi="Arial"/>
          <w:sz w:val="18"/>
          <w:szCs w:val="18"/>
          <w:color w:val="auto"/>
        </w:rPr>
      </w:pPr>
    </w:p>
    <w:p>
      <w:pPr>
        <w:ind w:left="560" w:hanging="273"/>
        <w:spacing w:after="0"/>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Reading International, Inc., a Nevada corporation.</w:t>
      </w:r>
    </w:p>
    <w:p>
      <w:pPr>
        <w:spacing w:after="0" w:line="223" w:lineRule="exact"/>
        <w:rPr>
          <w:rFonts w:ascii="Arial" w:cs="Arial" w:eastAsia="Arial" w:hAnsi="Arial"/>
          <w:sz w:val="18"/>
          <w:szCs w:val="18"/>
          <w:color w:val="auto"/>
        </w:rPr>
      </w:pPr>
    </w:p>
    <w:p>
      <w:pPr>
        <w:jc w:val="both"/>
        <w:ind w:left="560" w:hanging="303"/>
        <w:spacing w:after="0" w:line="310" w:lineRule="auto"/>
        <w:tabs>
          <w:tab w:leader="none" w:pos="5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individual engaged by the Company or by an Affiliate to render consulting or advisory services, and who is compensated for such services, or who is a member of the Board of Directors of an Affiliate. For clarity, the term “Consultant” shall not include a Director who is not compensated by the Company other than by way of fees and other compensation for his or her service as a Director.</w:t>
      </w:r>
    </w:p>
    <w:p>
      <w:pPr>
        <w:spacing w:after="0" w:line="147" w:lineRule="exact"/>
        <w:rPr>
          <w:rFonts w:ascii="Arial" w:cs="Arial" w:eastAsia="Arial" w:hAnsi="Arial"/>
          <w:sz w:val="16"/>
          <w:szCs w:val="16"/>
          <w:color w:val="auto"/>
        </w:rPr>
      </w:pPr>
    </w:p>
    <w:p>
      <w:pPr>
        <w:jc w:val="both"/>
        <w:ind w:left="560" w:hanging="303"/>
        <w:spacing w:after="0" w:line="258" w:lineRule="auto"/>
        <w:tabs>
          <w:tab w:leader="none" w:pos="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(i) a sale, lease or other disposition of all or substantially all of the capital stock or assets of the Company, (ii) a merger or consolidation of the Company, or (iii) a reverse merger in which the Company is the surviving corporation but the shares of Common Stock outstanding immediately preceding the merger are converted by virtue of the merger into other property, whether in the form of securities, cash or otherwise.</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71755</wp:posOffset>
            </wp:positionV>
            <wp:extent cx="72510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660" w:top="488" w:right="239" w:bottom="1440" w:gutter="0" w:footer="0" w:header="0"/>
        </w:sectPr>
      </w:pPr>
    </w:p>
    <w:bookmarkStart w:id="39" w:name="page40"/>
    <w:bookmarkEnd w:id="39"/>
    <w:p>
      <w:pPr>
        <w:ind w:left="353" w:right="20" w:hanging="263"/>
        <w:spacing w:after="0" w:line="340" w:lineRule="auto"/>
        <w:tabs>
          <w:tab w:leader="none" w:pos="3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means the chief executive officer and the four other highest compensated officers of the Company for whom total compensation is required to be reported to stockholders under the Exchange Act, as determined for purposes of Section 162(m) of the Code.</w:t>
      </w:r>
    </w:p>
    <w:p>
      <w:pPr>
        <w:spacing w:after="0" w:line="123" w:lineRule="exact"/>
        <w:rPr>
          <w:rFonts w:ascii="Arial" w:cs="Arial" w:eastAsia="Arial" w:hAnsi="Arial"/>
          <w:sz w:val="16"/>
          <w:szCs w:val="16"/>
          <w:color w:val="auto"/>
        </w:rPr>
      </w:pPr>
    </w:p>
    <w:p>
      <w:pPr>
        <w:ind w:left="353" w:hanging="26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of Directors of the Company.</w:t>
      </w:r>
    </w:p>
    <w:p>
      <w:pPr>
        <w:spacing w:after="0" w:line="223" w:lineRule="exact"/>
        <w:rPr>
          <w:rFonts w:ascii="Arial" w:cs="Arial" w:eastAsia="Arial" w:hAnsi="Arial"/>
          <w:sz w:val="18"/>
          <w:szCs w:val="18"/>
          <w:color w:val="auto"/>
        </w:rPr>
      </w:pPr>
    </w:p>
    <w:p>
      <w:pPr>
        <w:ind w:left="353" w:hanging="30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the permanent and total disability of a person within the meaning of Section 22(e)(3) of the Code.</w:t>
      </w:r>
    </w:p>
    <w:p>
      <w:pPr>
        <w:spacing w:after="0" w:line="223" w:lineRule="exact"/>
        <w:rPr>
          <w:rFonts w:ascii="Arial" w:cs="Arial" w:eastAsia="Arial" w:hAnsi="Arial"/>
          <w:sz w:val="18"/>
          <w:szCs w:val="18"/>
          <w:color w:val="auto"/>
        </w:rPr>
      </w:pPr>
    </w:p>
    <w:p>
      <w:pPr>
        <w:ind w:left="353" w:hanging="26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of the Company or of an Affiliate within the meaning of the Code.</w:t>
      </w:r>
    </w:p>
    <w:p>
      <w:pPr>
        <w:spacing w:after="0" w:line="223" w:lineRule="exact"/>
        <w:rPr>
          <w:rFonts w:ascii="Arial" w:cs="Arial" w:eastAsia="Arial" w:hAnsi="Arial"/>
          <w:sz w:val="18"/>
          <w:szCs w:val="18"/>
          <w:color w:val="auto"/>
        </w:rPr>
      </w:pPr>
    </w:p>
    <w:p>
      <w:pPr>
        <w:ind w:left="353" w:hanging="35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3" w:lineRule="exact"/>
        <w:rPr>
          <w:rFonts w:ascii="Arial" w:cs="Arial" w:eastAsia="Arial" w:hAnsi="Arial"/>
          <w:sz w:val="18"/>
          <w:szCs w:val="18"/>
          <w:color w:val="auto"/>
        </w:rPr>
      </w:pPr>
    </w:p>
    <w:p>
      <w:pPr>
        <w:ind w:left="353" w:hanging="30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value of the Common Stock determined as follows:</w:t>
      </w:r>
    </w:p>
    <w:p>
      <w:pPr>
        <w:spacing w:after="0" w:line="223" w:lineRule="exact"/>
        <w:rPr>
          <w:rFonts w:ascii="Arial" w:cs="Arial" w:eastAsia="Arial" w:hAnsi="Arial"/>
          <w:sz w:val="18"/>
          <w:szCs w:val="18"/>
          <w:color w:val="auto"/>
        </w:rPr>
      </w:pPr>
    </w:p>
    <w:p>
      <w:pPr>
        <w:jc w:val="both"/>
        <w:ind w:left="673" w:hanging="261"/>
        <w:spacing w:after="0" w:line="258" w:lineRule="auto"/>
        <w:tabs>
          <w:tab w:leader="none" w:pos="673"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including the Nasdaq Stock Market, the Fair Market Value of a share of Common Stock shall be the closing sales price for such stock (or the closing bid, if no sales were reported) as quoted on such exchange (or the exchange with the greatest volume of trading in the Common Stock) on the day of determination,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such other source as the Board deems reliable; or</w:t>
      </w:r>
    </w:p>
    <w:p>
      <w:pPr>
        <w:spacing w:after="0" w:line="185" w:lineRule="exact"/>
        <w:rPr>
          <w:rFonts w:ascii="Arial" w:cs="Arial" w:eastAsia="Arial" w:hAnsi="Arial"/>
          <w:sz w:val="18"/>
          <w:szCs w:val="18"/>
          <w:color w:val="auto"/>
        </w:rPr>
      </w:pPr>
    </w:p>
    <w:p>
      <w:pPr>
        <w:ind w:left="673" w:hanging="310"/>
        <w:spacing w:after="0"/>
        <w:tabs>
          <w:tab w:leader="none" w:pos="673"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the absence of such listing of the Common Stock, the Fair Market Value shall be determined in good faith by the Board.</w:t>
      </w:r>
    </w:p>
    <w:p>
      <w:pPr>
        <w:spacing w:after="0" w:line="223" w:lineRule="exact"/>
        <w:rPr>
          <w:rFonts w:ascii="Arial" w:cs="Arial" w:eastAsia="Arial" w:hAnsi="Arial"/>
          <w:sz w:val="18"/>
          <w:szCs w:val="18"/>
          <w:color w:val="auto"/>
        </w:rPr>
      </w:pPr>
    </w:p>
    <w:p>
      <w:pPr>
        <w:ind w:left="353" w:hanging="303"/>
        <w:spacing w:after="0" w:line="275" w:lineRule="auto"/>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353" w:hanging="30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is considered a “non-employee director” within the meaning of Rule 16b-3.</w:t>
      </w:r>
    </w:p>
    <w:p>
      <w:pPr>
        <w:spacing w:after="0" w:line="223" w:lineRule="exact"/>
        <w:rPr>
          <w:rFonts w:ascii="Arial" w:cs="Arial" w:eastAsia="Arial" w:hAnsi="Arial"/>
          <w:sz w:val="18"/>
          <w:szCs w:val="18"/>
          <w:color w:val="auto"/>
        </w:rPr>
      </w:pPr>
    </w:p>
    <w:p>
      <w:pPr>
        <w:ind w:left="353" w:hanging="30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not intended to qualify as an Incentive Stock Option.</w:t>
      </w:r>
    </w:p>
    <w:p>
      <w:pPr>
        <w:spacing w:after="0" w:line="223" w:lineRule="exact"/>
        <w:rPr>
          <w:rFonts w:ascii="Arial" w:cs="Arial" w:eastAsia="Arial" w:hAnsi="Arial"/>
          <w:sz w:val="18"/>
          <w:szCs w:val="18"/>
          <w:color w:val="auto"/>
        </w:rPr>
      </w:pPr>
    </w:p>
    <w:p>
      <w:pPr>
        <w:ind w:left="353" w:hanging="273"/>
        <w:spacing w:after="0" w:line="275" w:lineRule="auto"/>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353" w:hanging="28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Incentive Stock Option or a Nonstatutory Stock Option granted pursuant to the Plan.</w:t>
      </w:r>
    </w:p>
    <w:p>
      <w:pPr>
        <w:spacing w:after="0" w:line="223" w:lineRule="exact"/>
        <w:rPr>
          <w:rFonts w:ascii="Arial" w:cs="Arial" w:eastAsia="Arial" w:hAnsi="Arial"/>
          <w:sz w:val="18"/>
          <w:szCs w:val="18"/>
          <w:color w:val="auto"/>
        </w:rPr>
      </w:pPr>
    </w:p>
    <w:p>
      <w:pPr>
        <w:ind w:left="353" w:hanging="263"/>
        <w:spacing w:after="0" w:line="275" w:lineRule="auto"/>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agreement between the Company and an Optionholder evidencing the terms and conditions of an individual Option grant. Each Option Agreement shall be subject to the terms and conditions of the Plan.</w:t>
      </w:r>
    </w:p>
    <w:p>
      <w:pPr>
        <w:spacing w:after="0" w:line="170" w:lineRule="exact"/>
        <w:rPr>
          <w:rFonts w:ascii="Arial" w:cs="Arial" w:eastAsia="Arial" w:hAnsi="Arial"/>
          <w:sz w:val="18"/>
          <w:szCs w:val="18"/>
          <w:color w:val="auto"/>
        </w:rPr>
      </w:pPr>
    </w:p>
    <w:p>
      <w:pPr>
        <w:ind w:left="353" w:hanging="303"/>
        <w:spacing w:after="0" w:line="275" w:lineRule="auto"/>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color w:val="auto"/>
        </w:rPr>
      </w:pPr>
    </w:p>
    <w:p>
      <w:pPr>
        <w:ind w:left="353" w:hanging="303"/>
        <w:spacing w:after="0"/>
        <w:tabs>
          <w:tab w:leader="none" w:pos="3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considered an “outside director” within the meaning of Section 162(m) of the Code.</w:t>
      </w:r>
    </w:p>
    <w:p>
      <w:pPr>
        <w:spacing w:after="0" w:line="371" w:lineRule="exact"/>
        <w:rPr>
          <w:sz w:val="20"/>
          <w:szCs w:val="20"/>
          <w:color w:val="auto"/>
        </w:rPr>
      </w:pPr>
    </w:p>
    <w:p>
      <w:pPr>
        <w:ind w:left="4953"/>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71755</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93"/>
          </w:cols>
          <w:pgMar w:left="867" w:top="488" w:right="239" w:bottom="1440" w:gutter="0" w:footer="0" w:header="0"/>
        </w:sectPr>
      </w:pPr>
    </w:p>
    <w:bookmarkStart w:id="40" w:name="page41"/>
    <w:bookmarkEnd w:id="40"/>
    <w:p>
      <w:pPr>
        <w:ind w:left="560" w:hanging="343"/>
        <w:spacing w:after="0" w:line="275"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70" w:lineRule="exact"/>
        <w:rPr>
          <w:rFonts w:ascii="Arial" w:cs="Arial" w:eastAsia="Arial" w:hAnsi="Arial"/>
          <w:sz w:val="18"/>
          <w:szCs w:val="18"/>
          <w:color w:val="auto"/>
        </w:rPr>
      </w:pPr>
    </w:p>
    <w:p>
      <w:pPr>
        <w:ind w:left="560" w:right="20" w:hanging="303"/>
        <w:spacing w:after="0" w:line="275"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Reading International, Inc. 2010 Stock Incentive Plan as originally adopted by the Board on March 11, 2010, and as it may be amended from time to time.</w:t>
      </w:r>
    </w:p>
    <w:p>
      <w:pPr>
        <w:spacing w:after="0" w:line="170" w:lineRule="exact"/>
        <w:rPr>
          <w:rFonts w:ascii="Arial" w:cs="Arial" w:eastAsia="Arial" w:hAnsi="Arial"/>
          <w:sz w:val="18"/>
          <w:szCs w:val="18"/>
          <w:color w:val="auto"/>
        </w:rPr>
      </w:pPr>
    </w:p>
    <w:p>
      <w:pPr>
        <w:ind w:left="560" w:hanging="303"/>
        <w:spacing w:after="0"/>
        <w:tabs>
          <w:tab w:leader="none" w:pos="5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4" w:lineRule="exact"/>
        <w:rPr>
          <w:rFonts w:ascii="Arial" w:cs="Arial" w:eastAsia="Arial" w:hAnsi="Arial"/>
          <w:sz w:val="17"/>
          <w:szCs w:val="17"/>
          <w:color w:val="auto"/>
        </w:rPr>
      </w:pPr>
    </w:p>
    <w:p>
      <w:pPr>
        <w:ind w:left="560" w:hanging="293"/>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3" w:lineRule="exact"/>
        <w:rPr>
          <w:sz w:val="20"/>
          <w:szCs w:val="20"/>
          <w:color w:val="auto"/>
        </w:rPr>
      </w:pPr>
    </w:p>
    <w:p>
      <w:pPr>
        <w:ind w:left="560" w:right="20" w:hanging="372"/>
        <w:spacing w:after="0" w:line="275" w:lineRule="auto"/>
        <w:tabs>
          <w:tab w:leader="none" w:pos="5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Award</w:t>
      </w:r>
      <w:r>
        <w:rPr>
          <w:rFonts w:ascii="Arial" w:cs="Arial" w:eastAsia="Arial" w:hAnsi="Arial"/>
          <w:sz w:val="18"/>
          <w:szCs w:val="18"/>
          <w:color w:val="auto"/>
        </w:rPr>
        <w:t>” means any right granted under the Plan, including an Option, a stock bonus, a right to acquire restricted stock and a stock appreciation right.</w:t>
      </w:r>
    </w:p>
    <w:p>
      <w:pPr>
        <w:spacing w:after="0" w:line="170" w:lineRule="exact"/>
        <w:rPr>
          <w:rFonts w:ascii="Arial" w:cs="Arial" w:eastAsia="Arial" w:hAnsi="Arial"/>
          <w:sz w:val="18"/>
          <w:szCs w:val="18"/>
          <w:color w:val="auto"/>
        </w:rPr>
      </w:pPr>
    </w:p>
    <w:p>
      <w:pPr>
        <w:jc w:val="both"/>
        <w:ind w:left="560" w:hanging="393"/>
        <w:spacing w:after="0" w:line="253" w:lineRule="auto"/>
        <w:tabs>
          <w:tab w:leader="none" w:pos="5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w:t>
      </w:r>
      <w:r>
        <w:rPr>
          <w:rFonts w:ascii="Arial" w:cs="Arial" w:eastAsia="Arial" w:hAnsi="Arial"/>
          <w:sz w:val="18"/>
          <w:szCs w:val="18"/>
          <w:color w:val="auto"/>
        </w:rPr>
        <w:t>” means a Participant’s service with the Company or with an Affiliate, whether as a Director, Employee or Consultant. For purposes of the Plan, a Participant’s Service shall not be deemed to have terminated solely because of a change in the capacity in which the Participant renders services to the Company or an Affiliate or a change in the entity for which the Participant renders such Service. By way of example, a change in status from an Employee of the Company to a Consultant or a Director, by itself, will not constitute a termination of Service. The Board or the Chief Executive Officer of the Company, in that party’s sole discretion, may determine whether a Participant’s Service shall be considered interrupte d in the case of the Participant’s leave of absence approved by that party, including sick leave, military leave or any other personal leave.</w:t>
      </w:r>
    </w:p>
    <w:p>
      <w:pPr>
        <w:spacing w:after="0" w:line="193" w:lineRule="exact"/>
        <w:rPr>
          <w:rFonts w:ascii="Arial" w:cs="Arial" w:eastAsia="Arial" w:hAnsi="Arial"/>
          <w:sz w:val="18"/>
          <w:szCs w:val="18"/>
          <w:color w:val="auto"/>
        </w:rPr>
      </w:pPr>
    </w:p>
    <w:p>
      <w:pPr>
        <w:ind w:left="560" w:hanging="372"/>
        <w:spacing w:after="0" w:line="306" w:lineRule="auto"/>
        <w:tabs>
          <w:tab w:leader="none" w:pos="5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Award Agreement</w:t>
      </w:r>
      <w:r>
        <w:rPr>
          <w:rFonts w:ascii="Arial" w:cs="Arial" w:eastAsia="Arial" w:hAnsi="Arial"/>
          <w:sz w:val="17"/>
          <w:szCs w:val="17"/>
          <w:color w:val="auto"/>
        </w:rPr>
        <w:t>” means a written agreement between the Company and a holder of a Stock Award evidencing the terms and conditions of an individual Stock Award grant. Each Stock Award Agreement shall be subject to the terms and conditions of the Plan.</w:t>
      </w:r>
    </w:p>
    <w:p>
      <w:pPr>
        <w:spacing w:after="0" w:line="146" w:lineRule="exact"/>
        <w:rPr>
          <w:rFonts w:ascii="Arial" w:cs="Arial" w:eastAsia="Arial" w:hAnsi="Arial"/>
          <w:sz w:val="17"/>
          <w:szCs w:val="17"/>
          <w:color w:val="auto"/>
        </w:rPr>
      </w:pPr>
    </w:p>
    <w:p>
      <w:pPr>
        <w:ind w:left="560" w:hanging="393"/>
        <w:spacing w:after="0" w:line="275" w:lineRule="auto"/>
        <w:tabs>
          <w:tab w:leader="none" w:pos="5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Stockholder</w:t>
      </w:r>
      <w:r>
        <w:rPr>
          <w:rFonts w:ascii="Arial" w:cs="Arial" w:eastAsia="Arial" w:hAnsi="Arial"/>
          <w:sz w:val="18"/>
          <w:szCs w:val="18"/>
          <w:color w:val="auto"/>
        </w:rPr>
        <w:t>” means a person who owns (or is deemed to own pursuant to Section 424(d) of the Code) stock possessing more than ten percent of the total combined voting power of all classes of stock of the Company or of any Affiliate.</w:t>
      </w:r>
    </w:p>
    <w:p>
      <w:pPr>
        <w:spacing w:after="0" w:line="166" w:lineRule="exact"/>
        <w:rPr>
          <w:rFonts w:ascii="Arial" w:cs="Arial" w:eastAsia="Arial" w:hAnsi="Arial"/>
          <w:sz w:val="18"/>
          <w:szCs w:val="18"/>
          <w:color w:val="auto"/>
        </w:rPr>
      </w:pPr>
    </w:p>
    <w:p>
      <w:pPr>
        <w:ind w:left="240" w:hanging="231"/>
        <w:spacing w:after="0"/>
        <w:tabs>
          <w:tab w:leader="none" w:pos="2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223" w:lineRule="exact"/>
        <w:rPr>
          <w:rFonts w:ascii="Arial" w:cs="Arial" w:eastAsia="Arial" w:hAnsi="Arial"/>
          <w:sz w:val="18"/>
          <w:szCs w:val="18"/>
          <w:b w:val="1"/>
          <w:bCs w:val="1"/>
          <w:color w:val="auto"/>
        </w:rPr>
      </w:pPr>
    </w:p>
    <w:p>
      <w:pPr>
        <w:ind w:left="560" w:right="20" w:hanging="293"/>
        <w:spacing w:after="0" w:line="280" w:lineRule="auto"/>
        <w:tabs>
          <w:tab w:leader="none" w:pos="56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shall administer the Plan unless and to the extent the Board delegates administration to a Committee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subsection 3(c).</w:t>
      </w:r>
    </w:p>
    <w:p>
      <w:pPr>
        <w:spacing w:after="0" w:line="162" w:lineRule="exact"/>
        <w:rPr>
          <w:rFonts w:ascii="Arial" w:cs="Arial" w:eastAsia="Arial" w:hAnsi="Arial"/>
          <w:sz w:val="18"/>
          <w:szCs w:val="18"/>
          <w:color w:val="auto"/>
        </w:rPr>
      </w:pPr>
    </w:p>
    <w:p>
      <w:pPr>
        <w:ind w:left="560" w:hanging="303"/>
        <w:spacing w:after="0"/>
        <w:tabs>
          <w:tab w:leader="none" w:pos="56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shall have the power, subject to, and within the limitations of, the express provisions of the Plan:</w:t>
      </w:r>
    </w:p>
    <w:p>
      <w:pPr>
        <w:spacing w:after="0" w:line="227" w:lineRule="exact"/>
        <w:rPr>
          <w:rFonts w:ascii="Arial" w:cs="Arial" w:eastAsia="Arial" w:hAnsi="Arial"/>
          <w:sz w:val="18"/>
          <w:szCs w:val="18"/>
          <w:color w:val="auto"/>
        </w:rPr>
      </w:pPr>
    </w:p>
    <w:p>
      <w:pPr>
        <w:jc w:val="both"/>
        <w:ind w:left="880" w:hanging="261"/>
        <w:spacing w:after="0" w:line="258" w:lineRule="auto"/>
        <w:tabs>
          <w:tab w:leader="none" w:pos="8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determine from time to time who, among the persons eligible under the Plan, shall be granted Stock Awards; when and how each Stock Award shall be granted; what type or combination of types of Stock Award shall be granted; the number of shares of Common Stock with respect to which a Stock Award shall be granted; and the other terms and provisions of each Stock Award granted (which need not be identical).</w:t>
      </w:r>
    </w:p>
    <w:p>
      <w:pPr>
        <w:spacing w:after="0" w:line="185" w:lineRule="exact"/>
        <w:rPr>
          <w:rFonts w:ascii="Arial" w:cs="Arial" w:eastAsia="Arial" w:hAnsi="Arial"/>
          <w:sz w:val="18"/>
          <w:szCs w:val="18"/>
          <w:color w:val="auto"/>
        </w:rPr>
      </w:pPr>
    </w:p>
    <w:p>
      <w:pPr>
        <w:ind w:left="880" w:hanging="310"/>
        <w:spacing w:after="0" w:line="275" w:lineRule="auto"/>
        <w:tabs>
          <w:tab w:leader="none" w:pos="8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reprice any outstanding Stock Awards under the Plan, cancel and re-grant any outstanding Stock Awards under the Plan and effect any other action that is treated as a repricing for financial accounting purposes.</w:t>
      </w:r>
    </w:p>
    <w:p>
      <w:pPr>
        <w:spacing w:after="0" w:line="3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71755</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660" w:top="488" w:right="239" w:bottom="1440" w:gutter="0" w:footer="0" w:header="0"/>
        </w:sectPr>
      </w:pPr>
    </w:p>
    <w:bookmarkStart w:id="41" w:name="page42"/>
    <w:bookmarkEnd w:id="41"/>
    <w:p>
      <w:pPr>
        <w:jc w:val="both"/>
        <w:ind w:left="880" w:hanging="360"/>
        <w:spacing w:after="0" w:line="285" w:lineRule="auto"/>
        <w:tabs>
          <w:tab w:leader="none" w:pos="880" w:val="left"/>
        </w:tabs>
        <w:numPr>
          <w:ilvl w:val="2"/>
          <w:numId w:val="24"/>
        </w:numPr>
        <w:rPr>
          <w:rFonts w:ascii="Arial" w:cs="Arial" w:eastAsia="Arial" w:hAnsi="Arial"/>
          <w:sz w:val="17"/>
          <w:szCs w:val="17"/>
          <w:color w:val="auto"/>
        </w:rPr>
      </w:pPr>
      <w:r>
        <w:rPr>
          <w:rFonts w:ascii="Arial" w:cs="Arial" w:eastAsia="Arial" w:hAnsi="Arial"/>
          <w:sz w:val="17"/>
          <w:szCs w:val="17"/>
          <w:color w:val="auto"/>
        </w:rPr>
        <w:t>To construe and interpret the Plan and all Stock Awards, and to establish, amend and revoke rules and regulations for the Plan’s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163" w:lineRule="exact"/>
        <w:rPr>
          <w:rFonts w:ascii="Arial" w:cs="Arial" w:eastAsia="Arial" w:hAnsi="Arial"/>
          <w:sz w:val="17"/>
          <w:szCs w:val="17"/>
          <w:color w:val="auto"/>
        </w:rPr>
      </w:pPr>
    </w:p>
    <w:p>
      <w:pPr>
        <w:ind w:left="880" w:hanging="350"/>
        <w:spacing w:after="0"/>
        <w:tabs>
          <w:tab w:leader="none" w:pos="8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amend the Plan or a Stock Award as provided in Section 12.</w:t>
      </w:r>
    </w:p>
    <w:p>
      <w:pPr>
        <w:spacing w:after="0" w:line="223" w:lineRule="exact"/>
        <w:rPr>
          <w:rFonts w:ascii="Arial" w:cs="Arial" w:eastAsia="Arial" w:hAnsi="Arial"/>
          <w:sz w:val="18"/>
          <w:szCs w:val="18"/>
          <w:color w:val="auto"/>
        </w:rPr>
      </w:pPr>
    </w:p>
    <w:p>
      <w:pPr>
        <w:ind w:left="880" w:hanging="300"/>
        <w:spacing w:after="0"/>
        <w:tabs>
          <w:tab w:leader="none" w:pos="8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terminate or suspend the Plan as provided in Section 13.</w:t>
      </w:r>
    </w:p>
    <w:p>
      <w:pPr>
        <w:spacing w:after="0" w:line="223" w:lineRule="exact"/>
        <w:rPr>
          <w:rFonts w:ascii="Arial" w:cs="Arial" w:eastAsia="Arial" w:hAnsi="Arial"/>
          <w:sz w:val="18"/>
          <w:szCs w:val="18"/>
          <w:color w:val="auto"/>
        </w:rPr>
      </w:pPr>
    </w:p>
    <w:p>
      <w:pPr>
        <w:ind w:left="880" w:hanging="350"/>
        <w:spacing w:after="0" w:line="275" w:lineRule="auto"/>
        <w:tabs>
          <w:tab w:leader="none" w:pos="8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w:t>
      </w:r>
    </w:p>
    <w:p>
      <w:pPr>
        <w:spacing w:after="0" w:line="166" w:lineRule="exact"/>
        <w:rPr>
          <w:rFonts w:ascii="Arial" w:cs="Arial" w:eastAsia="Arial" w:hAnsi="Arial"/>
          <w:sz w:val="18"/>
          <w:szCs w:val="18"/>
          <w:color w:val="auto"/>
        </w:rPr>
      </w:pPr>
    </w:p>
    <w:p>
      <w:pPr>
        <w:ind w:left="560" w:hanging="293"/>
        <w:spacing w:after="0"/>
        <w:tabs>
          <w:tab w:leader="none" w:pos="56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Delegation to Committee.</w:t>
      </w:r>
    </w:p>
    <w:p>
      <w:pPr>
        <w:spacing w:after="0" w:line="26" w:lineRule="exact"/>
        <w:rPr>
          <w:rFonts w:ascii="Arial" w:cs="Arial" w:eastAsia="Arial" w:hAnsi="Arial"/>
          <w:sz w:val="18"/>
          <w:szCs w:val="18"/>
          <w:color w:val="auto"/>
        </w:rPr>
      </w:pPr>
    </w:p>
    <w:p>
      <w:pPr>
        <w:jc w:val="both"/>
        <w:ind w:left="880" w:hanging="261"/>
        <w:spacing w:after="0" w:line="250" w:lineRule="auto"/>
        <w:tabs>
          <w:tab w:leader="none" w:pos="880" w:val="left"/>
        </w:tabs>
        <w:numPr>
          <w:ilvl w:val="2"/>
          <w:numId w:val="25"/>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Board may delegate administration of the Plan to a Committee of one or more Directors, and the term “Committee”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any Director or Directors to whom such authority has been delegated. If administration is delegated to a Committee, the Committee shall have, in connection with the administration of the Plan, all of the powers theretofore possessed by the Board, including the power to delegate nondiscretionary administrative duties to such employees of the Company as the Committee deems proper (and references in this Plan to the Board shall thereafter be to the Committee), subject, however, to such resolutions, not inconsistent with the provisions of the Plan, as may be adopted from time to time by the Board. The Board may abolish the Commit tee at any time and restore to the Board the administration of the Plan.</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jc w:val="both"/>
        <w:ind w:left="880" w:hanging="310"/>
        <w:spacing w:after="0" w:line="275" w:lineRule="auto"/>
        <w:tabs>
          <w:tab w:leader="none" w:pos="880" w:val="left"/>
        </w:tabs>
        <w:numPr>
          <w:ilvl w:val="2"/>
          <w:numId w:val="25"/>
        </w:numPr>
        <w:rPr>
          <w:rFonts w:ascii="Arial" w:cs="Arial" w:eastAsia="Arial" w:hAnsi="Arial"/>
          <w:sz w:val="17"/>
          <w:szCs w:val="17"/>
          <w:color w:val="auto"/>
        </w:rPr>
      </w:pPr>
      <w:r>
        <w:rPr>
          <w:rFonts w:ascii="Arial" w:cs="Arial" w:eastAsia="Arial" w:hAnsi="Arial"/>
          <w:sz w:val="17"/>
          <w:szCs w:val="17"/>
          <w:b w:val="1"/>
          <w:bCs w:val="1"/>
          <w:color w:val="auto"/>
        </w:rPr>
        <w:t>Committee Composition</w:t>
      </w:r>
      <w:r>
        <w:rPr>
          <w:rFonts w:ascii="Arial" w:cs="Arial" w:eastAsia="Arial" w:hAnsi="Arial"/>
          <w:sz w:val="17"/>
          <w:szCs w:val="17"/>
          <w:color w:val="auto"/>
        </w:rPr>
        <w:t>. In the discretion of the Board, the Committee may consist solely of two or more Outside Directors or two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Non-Employee Directors. Within the scope of the Committee’s delegated authority, the Committee may delegate to the Chairman of the Board the authority to grant Stock Awards to eligible persons who are not (a) then Covered Employees and are not expected to be Covered Employees at the time of recognition of income resulting from such Stock Award or (b) persons with respect to whom the Company wishes to comply with Section 162(m) of the Code or (c) persons who are then subject to Section 16 of the Exchange Act.</w:t>
      </w:r>
    </w:p>
    <w:p>
      <w:pPr>
        <w:spacing w:after="0" w:line="170" w:lineRule="exact"/>
        <w:rPr>
          <w:rFonts w:ascii="Arial" w:cs="Arial" w:eastAsia="Arial" w:hAnsi="Arial"/>
          <w:sz w:val="17"/>
          <w:szCs w:val="17"/>
          <w:color w:val="auto"/>
        </w:rPr>
      </w:pPr>
    </w:p>
    <w:p>
      <w:pPr>
        <w:ind w:left="560" w:hanging="303"/>
        <w:spacing w:after="0" w:line="280" w:lineRule="auto"/>
        <w:tabs>
          <w:tab w:leader="none" w:pos="56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shall not be subject to review</w:t>
      </w:r>
      <w:r>
        <w:rPr>
          <w:rFonts w:ascii="Arial" w:cs="Arial" w:eastAsia="Arial" w:hAnsi="Arial"/>
          <w:sz w:val="18"/>
          <w:szCs w:val="18"/>
          <w:b w:val="1"/>
          <w:bCs w:val="1"/>
          <w:color w:val="auto"/>
        </w:rPr>
        <w:t xml:space="preserve"> </w:t>
      </w:r>
      <w:r>
        <w:rPr>
          <w:rFonts w:ascii="Arial" w:cs="Arial" w:eastAsia="Arial" w:hAnsi="Arial"/>
          <w:sz w:val="18"/>
          <w:szCs w:val="18"/>
          <w:color w:val="auto"/>
        </w:rPr>
        <w:t>by any person and shall be final, binding and conclusive on all persons.</w:t>
      </w:r>
    </w:p>
    <w:p>
      <w:pPr>
        <w:spacing w:after="0" w:line="162" w:lineRule="exact"/>
        <w:rPr>
          <w:rFonts w:ascii="Arial" w:cs="Arial" w:eastAsia="Arial" w:hAnsi="Arial"/>
          <w:sz w:val="18"/>
          <w:szCs w:val="18"/>
          <w:color w:val="auto"/>
        </w:rPr>
      </w:pPr>
    </w:p>
    <w:p>
      <w:pPr>
        <w:ind w:left="240" w:hanging="231"/>
        <w:spacing w:after="0"/>
        <w:tabs>
          <w:tab w:leader="none" w:pos="2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r>
        <w:rPr>
          <w:rFonts w:ascii="Arial" w:cs="Arial" w:eastAsia="Arial" w:hAnsi="Arial"/>
          <w:sz w:val="18"/>
          <w:szCs w:val="18"/>
          <w:color w:val="auto"/>
        </w:rPr>
        <w:t>.</w:t>
      </w:r>
    </w:p>
    <w:p>
      <w:pPr>
        <w:spacing w:after="0" w:line="223" w:lineRule="exact"/>
        <w:rPr>
          <w:rFonts w:ascii="Arial" w:cs="Arial" w:eastAsia="Arial" w:hAnsi="Arial"/>
          <w:sz w:val="18"/>
          <w:szCs w:val="18"/>
          <w:b w:val="1"/>
          <w:bCs w:val="1"/>
          <w:color w:val="auto"/>
        </w:rPr>
      </w:pPr>
    </w:p>
    <w:p>
      <w:pPr>
        <w:jc w:val="both"/>
        <w:ind w:left="560" w:hanging="293"/>
        <w:spacing w:after="0" w:line="257" w:lineRule="auto"/>
        <w:tabs>
          <w:tab w:leader="none" w:pos="56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the provisions of subsection 11(a) relating to adjustments upon changes in Common Stock, the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may be issued pursuant to Stock Awards shall not exceed in the aggregate 1,250,000 shares of Common Stock. Subject to subsection 4(b), the number of shares available for issuance under the Plan shall be reduced by (i) one share for each share of Common Stock issued pursuant to a Stock Award granted under Section 6 or Section 7 and (ii) one share for each Common Stock equivalent subject to a stock appreciation right granted under subsection 7(c).</w:t>
      </w:r>
    </w:p>
    <w:p>
      <w:pPr>
        <w:spacing w:after="0" w:line="33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71755</wp:posOffset>
            </wp:positionV>
            <wp:extent cx="725106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660" w:top="488" w:right="239" w:bottom="1440" w:gutter="0" w:footer="0" w:header="0"/>
        </w:sectPr>
      </w:pPr>
    </w:p>
    <w:bookmarkStart w:id="42" w:name="page43"/>
    <w:bookmarkEnd w:id="42"/>
    <w:p>
      <w:pPr>
        <w:ind w:left="560" w:hanging="303"/>
        <w:spacing w:after="0"/>
        <w:tabs>
          <w:tab w:leader="none" w:pos="56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Reversion of Shares to the Share Reserve.</w:t>
      </w:r>
    </w:p>
    <w:p>
      <w:pPr>
        <w:spacing w:after="0" w:line="223" w:lineRule="exact"/>
        <w:rPr>
          <w:rFonts w:ascii="Arial" w:cs="Arial" w:eastAsia="Arial" w:hAnsi="Arial"/>
          <w:sz w:val="18"/>
          <w:szCs w:val="18"/>
          <w:color w:val="auto"/>
        </w:rPr>
      </w:pPr>
    </w:p>
    <w:p>
      <w:pPr>
        <w:jc w:val="both"/>
        <w:ind w:left="880" w:hanging="261"/>
        <w:spacing w:after="0" w:line="275" w:lineRule="auto"/>
        <w:tabs>
          <w:tab w:leader="none" w:pos="880" w:val="left"/>
        </w:tabs>
        <w:numPr>
          <w:ilvl w:val="2"/>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Shares Available For Subsequent Issuance. </w:t>
      </w:r>
      <w:r>
        <w:rPr>
          <w:rFonts w:ascii="Arial" w:cs="Arial" w:eastAsia="Arial" w:hAnsi="Arial"/>
          <w:sz w:val="17"/>
          <w:szCs w:val="17"/>
          <w:color w:val="auto"/>
        </w:rPr>
        <w:t>If any (i) Stock Award shall for any reason expire or otherwise terminate, in whole or in part,</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having been exercised or paid in full or (ii) shares of Common Stock issued to a Participant pursuant to a Stock Award are forfeited to or repurchased by the Company, including any repurchase or forfeiture caused by the failure to meet a contingency or condition required for the vesting of such shares, then the shares of Common Stock not issued under such Stock Award, or forfeited to or repurchased by the Company, shall revert to and again become available for issuance under the Plan.</w:t>
      </w:r>
    </w:p>
    <w:p>
      <w:pPr>
        <w:spacing w:after="0" w:line="170" w:lineRule="exact"/>
        <w:rPr>
          <w:rFonts w:ascii="Arial" w:cs="Arial" w:eastAsia="Arial" w:hAnsi="Arial"/>
          <w:sz w:val="17"/>
          <w:szCs w:val="17"/>
          <w:color w:val="auto"/>
        </w:rPr>
      </w:pPr>
    </w:p>
    <w:p>
      <w:pPr>
        <w:jc w:val="both"/>
        <w:ind w:left="880" w:hanging="310"/>
        <w:spacing w:after="0" w:line="273" w:lineRule="auto"/>
        <w:tabs>
          <w:tab w:leader="none" w:pos="880" w:val="left"/>
        </w:tabs>
        <w:numPr>
          <w:ilvl w:val="2"/>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Shares Not Available For Subsequent Issuance. </w:t>
      </w:r>
      <w:r>
        <w:rPr>
          <w:rFonts w:ascii="Arial" w:cs="Arial" w:eastAsia="Arial" w:hAnsi="Arial"/>
          <w:sz w:val="17"/>
          <w:szCs w:val="17"/>
          <w:color w:val="auto"/>
        </w:rPr>
        <w:t>If any shares subject to a Stock Award are not delivered to a Participant because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 Award is exercised through a reduction of shares subject to the Stock Award (</w:t>
      </w:r>
      <w:r>
        <w:rPr>
          <w:rFonts w:ascii="Arial" w:cs="Arial" w:eastAsia="Arial" w:hAnsi="Arial"/>
          <w:sz w:val="17"/>
          <w:szCs w:val="17"/>
          <w:i w:val="1"/>
          <w:iCs w:val="1"/>
          <w:color w:val="auto"/>
        </w:rPr>
        <w:t>i.e</w:t>
      </w:r>
      <w:r>
        <w:rPr>
          <w:rFonts w:ascii="Arial" w:cs="Arial" w:eastAsia="Arial" w:hAnsi="Arial"/>
          <w:sz w:val="17"/>
          <w:szCs w:val="17"/>
          <w:color w:val="auto"/>
        </w:rPr>
        <w:t>., a “net exercise”), the number of shares that are not delivered to the Participant shall no longer be available for issuance under the Plan. If any shares subject to a Stock Award are not delivered to a Participant because such shares are withheld in satisfaction of the withholding of taxes incurred in connection with the exercise of an Option or a SAR, or the issuance of shares under a stock bonus award or restricted stock award, the number of shares that are not delivered to the Participan t shall no longer be available for subsequent issuance under the Plan.</w:t>
      </w:r>
    </w:p>
    <w:p>
      <w:pPr>
        <w:spacing w:after="0" w:line="171" w:lineRule="exact"/>
        <w:rPr>
          <w:rFonts w:ascii="Arial" w:cs="Arial" w:eastAsia="Arial" w:hAnsi="Arial"/>
          <w:sz w:val="17"/>
          <w:szCs w:val="17"/>
          <w:color w:val="auto"/>
        </w:rPr>
      </w:pPr>
    </w:p>
    <w:p>
      <w:pPr>
        <w:ind w:left="560" w:hanging="293"/>
        <w:spacing w:after="0"/>
        <w:tabs>
          <w:tab w:leader="none" w:pos="56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shares of Common Stock subject to the Plan may be unissued shares or treasury shares.</w:t>
      </w:r>
    </w:p>
    <w:p>
      <w:pPr>
        <w:spacing w:after="0" w:line="223" w:lineRule="exact"/>
        <w:rPr>
          <w:rFonts w:ascii="Arial" w:cs="Arial" w:eastAsia="Arial" w:hAnsi="Arial"/>
          <w:sz w:val="18"/>
          <w:szCs w:val="18"/>
          <w:color w:val="auto"/>
        </w:rPr>
      </w:pPr>
    </w:p>
    <w:p>
      <w:pPr>
        <w:ind w:left="240" w:hanging="231"/>
        <w:spacing w:after="0"/>
        <w:tabs>
          <w:tab w:leader="none" w:pos="2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3" w:lineRule="exact"/>
        <w:rPr>
          <w:rFonts w:ascii="Arial" w:cs="Arial" w:eastAsia="Arial" w:hAnsi="Arial"/>
          <w:sz w:val="18"/>
          <w:szCs w:val="18"/>
          <w:b w:val="1"/>
          <w:bCs w:val="1"/>
          <w:color w:val="auto"/>
        </w:rPr>
      </w:pPr>
    </w:p>
    <w:p>
      <w:pPr>
        <w:ind w:left="560" w:hanging="293"/>
        <w:spacing w:after="0" w:line="280" w:lineRule="auto"/>
        <w:tabs>
          <w:tab w:leader="none" w:pos="56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Eligibility for Specific Stock Awards. </w:t>
      </w:r>
      <w:r>
        <w:rPr>
          <w:rFonts w:ascii="Arial" w:cs="Arial" w:eastAsia="Arial" w:hAnsi="Arial"/>
          <w:sz w:val="18"/>
          <w:szCs w:val="18"/>
          <w:color w:val="auto"/>
        </w:rPr>
        <w:t>Incentive Stock Options may be granted only to Employees. Stock Awards other than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granted to Employees, Directors and Consultants.</w:t>
      </w:r>
    </w:p>
    <w:p>
      <w:pPr>
        <w:spacing w:after="0" w:line="162" w:lineRule="exact"/>
        <w:rPr>
          <w:rFonts w:ascii="Arial" w:cs="Arial" w:eastAsia="Arial" w:hAnsi="Arial"/>
          <w:sz w:val="18"/>
          <w:szCs w:val="18"/>
          <w:color w:val="auto"/>
        </w:rPr>
      </w:pPr>
    </w:p>
    <w:p>
      <w:pPr>
        <w:jc w:val="both"/>
        <w:ind w:left="560" w:hanging="303"/>
        <w:spacing w:after="0" w:line="264" w:lineRule="auto"/>
        <w:tabs>
          <w:tab w:leader="none" w:pos="56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Ten Percent Stockholders. </w:t>
      </w:r>
      <w:r>
        <w:rPr>
          <w:rFonts w:ascii="Arial" w:cs="Arial" w:eastAsia="Arial" w:hAnsi="Arial"/>
          <w:sz w:val="18"/>
          <w:szCs w:val="18"/>
          <w:color w:val="auto"/>
        </w:rPr>
        <w:t>A Ten Percent Stockholder shall not be granted an Incentive Stock Option unless the exercise price of such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is at least 110% of the Fair Market Value of the Common Stock at the date of grant and the Option is not exercisable after the expiration of five years from the date of grant.</w:t>
      </w:r>
    </w:p>
    <w:p>
      <w:pPr>
        <w:spacing w:after="0" w:line="177" w:lineRule="exact"/>
        <w:rPr>
          <w:rFonts w:ascii="Arial" w:cs="Arial" w:eastAsia="Arial" w:hAnsi="Arial"/>
          <w:sz w:val="18"/>
          <w:szCs w:val="18"/>
          <w:color w:val="auto"/>
        </w:rPr>
      </w:pPr>
    </w:p>
    <w:p>
      <w:pPr>
        <w:ind w:left="560" w:hanging="293"/>
        <w:spacing w:after="0" w:line="345" w:lineRule="auto"/>
        <w:tabs>
          <w:tab w:leader="none" w:pos="560" w:val="left"/>
        </w:tabs>
        <w:numPr>
          <w:ilvl w:val="1"/>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Section 162(m) Limitation. </w:t>
      </w:r>
      <w:r>
        <w:rPr>
          <w:rFonts w:ascii="Arial" w:cs="Arial" w:eastAsia="Arial" w:hAnsi="Arial"/>
          <w:sz w:val="16"/>
          <w:szCs w:val="16"/>
          <w:color w:val="auto"/>
        </w:rPr>
        <w:t>Subject to the provisions of Section 11 relating to adjustments upon changes in the shares of Common Stock, no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be eligible to be granted Options covering more than 1,000,000 shares of Common Stock during any twelve-month period.</w:t>
      </w:r>
    </w:p>
    <w:p>
      <w:pPr>
        <w:spacing w:after="0" w:line="116" w:lineRule="exact"/>
        <w:rPr>
          <w:rFonts w:ascii="Arial" w:cs="Arial" w:eastAsia="Arial" w:hAnsi="Arial"/>
          <w:sz w:val="16"/>
          <w:szCs w:val="16"/>
          <w:color w:val="auto"/>
        </w:rPr>
      </w:pPr>
    </w:p>
    <w:p>
      <w:pPr>
        <w:jc w:val="both"/>
        <w:ind w:left="560" w:hanging="303"/>
        <w:spacing w:after="0" w:line="254" w:lineRule="auto"/>
        <w:tabs>
          <w:tab w:leader="none" w:pos="56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A Consultant shall not be eligible for the grant of a Stock Award if, at the time of grant, a Form S-8 Registration Statement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(“Form S-8”)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S-8, unless the Company determines both (i) that such grant (A) shall be registered in another manner under the Securities Act (e.g., on a Form S-3 Registration Statement) or (B) does not require registration under the Securities Act in order to comply with the requirements of the Securities A ct, if applicable, and (ii) that such grant complies with the securities laws of all other relevant jurisdictions.</w:t>
      </w:r>
    </w:p>
    <w:p>
      <w:pPr>
        <w:spacing w:after="0" w:line="33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71755</wp:posOffset>
            </wp:positionV>
            <wp:extent cx="725106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660" w:top="484" w:right="239" w:bottom="1440" w:gutter="0" w:footer="0" w:header="0"/>
        </w:sectPr>
      </w:pPr>
    </w:p>
    <w:bookmarkStart w:id="43" w:name="page44"/>
    <w:bookmarkEnd w:id="43"/>
    <w:p>
      <w:pPr>
        <w:ind w:left="240" w:hanging="231"/>
        <w:spacing w:after="0"/>
        <w:tabs>
          <w:tab w:leader="none" w:pos="2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OPTION PROVISIONS.</w:t>
      </w:r>
    </w:p>
    <w:p>
      <w:pPr>
        <w:spacing w:after="0" w:line="223" w:lineRule="exact"/>
        <w:rPr>
          <w:rFonts w:ascii="Arial" w:cs="Arial" w:eastAsia="Arial" w:hAnsi="Arial"/>
          <w:sz w:val="18"/>
          <w:szCs w:val="18"/>
          <w:b w:val="1"/>
          <w:bCs w:val="1"/>
          <w:color w:val="auto"/>
        </w:rPr>
      </w:pPr>
    </w:p>
    <w:p>
      <w:pPr>
        <w:jc w:val="both"/>
        <w:ind w:left="560" w:hanging="293"/>
        <w:spacing w:after="0" w:line="257" w:lineRule="auto"/>
        <w:tabs>
          <w:tab w:leader="none" w:pos="560"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Each Option shall be in such form and shall contain such terms and conditions as the Board shall deem appropriate. All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designated as Incentive Stock Options or Nonstatutory Stock Options at the time of grant, and, if certificates are issued, a separate certificate or certificates will be issued for shares of Common Stock purchased on exercise of each type of Option. The provisions of separate Options need not be identical, but each Option shall include (through inclusion or incorporation by reference in the Option or otherwise) the substance of each of the following provisions:</w:t>
      </w:r>
    </w:p>
    <w:p>
      <w:pPr>
        <w:spacing w:after="0" w:line="182" w:lineRule="exact"/>
        <w:rPr>
          <w:rFonts w:ascii="Arial" w:cs="Arial" w:eastAsia="Arial" w:hAnsi="Arial"/>
          <w:sz w:val="18"/>
          <w:szCs w:val="18"/>
          <w:color w:val="auto"/>
        </w:rPr>
      </w:pPr>
    </w:p>
    <w:p>
      <w:pPr>
        <w:ind w:left="880" w:hanging="261"/>
        <w:spacing w:after="0" w:line="280" w:lineRule="auto"/>
        <w:tabs>
          <w:tab w:leader="none" w:pos="880" w:val="left"/>
        </w:tabs>
        <w:numPr>
          <w:ilvl w:val="2"/>
          <w:numId w:val="29"/>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Subject to the provisions of subsection 5(b) regarding Ten Percent Stockholders, no Option shall be exercisable after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ten years from the date it was granted.</w:t>
      </w:r>
    </w:p>
    <w:p>
      <w:pPr>
        <w:spacing w:after="0" w:line="162" w:lineRule="exact"/>
        <w:rPr>
          <w:rFonts w:ascii="Arial" w:cs="Arial" w:eastAsia="Arial" w:hAnsi="Arial"/>
          <w:sz w:val="18"/>
          <w:szCs w:val="18"/>
          <w:color w:val="auto"/>
        </w:rPr>
      </w:pPr>
    </w:p>
    <w:p>
      <w:pPr>
        <w:jc w:val="both"/>
        <w:ind w:left="880" w:hanging="310"/>
        <w:spacing w:after="0" w:line="264" w:lineRule="auto"/>
        <w:tabs>
          <w:tab w:leader="none" w:pos="880" w:val="left"/>
        </w:tabs>
        <w:numPr>
          <w:ilvl w:val="2"/>
          <w:numId w:val="29"/>
        </w:numPr>
        <w:rPr>
          <w:rFonts w:ascii="Arial" w:cs="Arial" w:eastAsia="Arial" w:hAnsi="Arial"/>
          <w:sz w:val="18"/>
          <w:szCs w:val="18"/>
          <w:color w:val="auto"/>
        </w:rPr>
      </w:pPr>
      <w:r>
        <w:rPr>
          <w:rFonts w:ascii="Arial" w:cs="Arial" w:eastAsia="Arial" w:hAnsi="Arial"/>
          <w:sz w:val="18"/>
          <w:szCs w:val="18"/>
          <w:b w:val="1"/>
          <w:bCs w:val="1"/>
          <w:color w:val="auto"/>
        </w:rPr>
        <w:t>Exercise Price of an Incentive Stock Option</w:t>
      </w:r>
      <w:r>
        <w:rPr>
          <w:rFonts w:ascii="Arial" w:cs="Arial" w:eastAsia="Arial" w:hAnsi="Arial"/>
          <w:sz w:val="18"/>
          <w:szCs w:val="18"/>
          <w:color w:val="auto"/>
        </w:rPr>
        <w:t>. Subject to the provisions of subsection 5(b) regarding Ten Percent Stockholders,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each Incentive Stock Option shall be not less than the Fair Market Value of the Common Stock subject to the Option on the date the Option is granted.</w:t>
      </w:r>
    </w:p>
    <w:p>
      <w:pPr>
        <w:spacing w:after="0" w:line="177" w:lineRule="exact"/>
        <w:rPr>
          <w:rFonts w:ascii="Arial" w:cs="Arial" w:eastAsia="Arial" w:hAnsi="Arial"/>
          <w:sz w:val="18"/>
          <w:szCs w:val="18"/>
          <w:color w:val="auto"/>
        </w:rPr>
      </w:pPr>
    </w:p>
    <w:p>
      <w:pPr>
        <w:ind w:left="880" w:hanging="360"/>
        <w:spacing w:after="0" w:line="280" w:lineRule="auto"/>
        <w:tabs>
          <w:tab w:leader="none" w:pos="880" w:val="left"/>
        </w:tabs>
        <w:numPr>
          <w:ilvl w:val="2"/>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of a Nonstatutory Stock Option. </w:t>
      </w:r>
      <w:r>
        <w:rPr>
          <w:rFonts w:ascii="Arial" w:cs="Arial" w:eastAsia="Arial" w:hAnsi="Arial"/>
          <w:sz w:val="18"/>
          <w:szCs w:val="18"/>
          <w:color w:val="auto"/>
        </w:rPr>
        <w:t>The exercise price of each Nonstatutory Stock Option shall be not less than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the Common Stock subject to the Option on the date the Option is granted.</w:t>
      </w:r>
    </w:p>
    <w:p>
      <w:pPr>
        <w:spacing w:after="0" w:line="162" w:lineRule="exact"/>
        <w:rPr>
          <w:rFonts w:ascii="Arial" w:cs="Arial" w:eastAsia="Arial" w:hAnsi="Arial"/>
          <w:sz w:val="18"/>
          <w:szCs w:val="18"/>
          <w:color w:val="auto"/>
        </w:rPr>
      </w:pPr>
    </w:p>
    <w:p>
      <w:pPr>
        <w:jc w:val="both"/>
        <w:ind w:left="880" w:hanging="350"/>
        <w:spacing w:after="0" w:line="282" w:lineRule="auto"/>
        <w:tabs>
          <w:tab w:leader="none" w:pos="880" w:val="left"/>
        </w:tabs>
        <w:numPr>
          <w:ilvl w:val="2"/>
          <w:numId w:val="29"/>
        </w:numPr>
        <w:rPr>
          <w:rFonts w:ascii="Arial" w:cs="Arial" w:eastAsia="Arial" w:hAnsi="Arial"/>
          <w:sz w:val="16"/>
          <w:szCs w:val="16"/>
          <w:color w:val="auto"/>
        </w:rPr>
      </w:pPr>
      <w:r>
        <w:rPr>
          <w:rFonts w:ascii="Arial" w:cs="Arial" w:eastAsia="Arial" w:hAnsi="Arial"/>
          <w:sz w:val="16"/>
          <w:szCs w:val="16"/>
          <w:b w:val="1"/>
          <w:bCs w:val="1"/>
          <w:color w:val="auto"/>
        </w:rPr>
        <w:t>Consideration</w:t>
      </w:r>
      <w:r>
        <w:rPr>
          <w:rFonts w:ascii="Arial" w:cs="Arial" w:eastAsia="Arial" w:hAnsi="Arial"/>
          <w:sz w:val="16"/>
          <w:szCs w:val="16"/>
          <w:color w:val="auto"/>
        </w:rPr>
        <w:t>. The purchase price of Common Stock acquired pursuant to an Option shall be paid, to the extent permitted by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statutes and regulations, either (i) in cash at the time the Option is exercised or (ii) at the discretion of the Board (1) by delivery to the Company of other Common Stock; (2) according to a deferred payment or other similar arrangement with the Optionholder; (3) by a “net exercise” arrangement pursuant to which the Company will reduce the number of shares of Common Stock issued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accept cash or other payment from the Participant to the extent of any remaining balance of the aggregate exercise price not satisfied by such holding back of whole shares;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shares of Common Stock will no longer be outstanding under an Option to the extent that (i) shares are used to pay the exercise price pursuant to the “net exercise,” (ii) shares are delivered to the Participant as a result of such exercise, and (iii) shares are withheld to satisfy tax withholding obligations; (4) by means of so-called cashless exercises as permitted under applicable rules and regulations of the Securities and Exchange Commission and the Federal Reserve Board; or</w:t>
      </w:r>
    </w:p>
    <w:p>
      <w:pPr>
        <w:spacing w:after="0" w:line="7" w:lineRule="exact"/>
        <w:rPr>
          <w:rFonts w:ascii="Arial" w:cs="Arial" w:eastAsia="Arial" w:hAnsi="Arial"/>
          <w:sz w:val="16"/>
          <w:szCs w:val="16"/>
          <w:color w:val="auto"/>
        </w:rPr>
      </w:pPr>
    </w:p>
    <w:p>
      <w:pPr>
        <w:jc w:val="both"/>
        <w:ind w:left="880"/>
        <w:spacing w:after="0" w:line="272" w:lineRule="auto"/>
        <w:rPr>
          <w:rFonts w:ascii="Arial" w:cs="Arial" w:eastAsia="Arial" w:hAnsi="Arial"/>
          <w:sz w:val="16"/>
          <w:szCs w:val="16"/>
          <w:color w:val="auto"/>
        </w:rPr>
      </w:pPr>
      <w:r>
        <w:rPr>
          <w:rFonts w:ascii="Arial" w:cs="Arial" w:eastAsia="Arial" w:hAnsi="Arial"/>
          <w:sz w:val="17"/>
          <w:szCs w:val="17"/>
          <w:color w:val="auto"/>
        </w:rPr>
        <w:t>(5) in any other form of legal consideration that may be acceptable to the Board. Payment of the Common Stock’s par value, if any, shall not be made by deferred payment. In the case of any deferred payment arrangement, interest shall be compounded at least ann ually and shall be charged at the minimum rate of interest necessary to avoid (1) the treatment as interest, under any applicable provisions of the Code, of any amounts other than amounts stated to be interest under the deferred payment arrangement.</w:t>
      </w:r>
    </w:p>
    <w:p>
      <w:pPr>
        <w:spacing w:after="0" w:line="170" w:lineRule="exact"/>
        <w:rPr>
          <w:rFonts w:ascii="Arial" w:cs="Arial" w:eastAsia="Arial" w:hAnsi="Arial"/>
          <w:sz w:val="16"/>
          <w:szCs w:val="16"/>
          <w:color w:val="auto"/>
        </w:rPr>
      </w:pPr>
    </w:p>
    <w:p>
      <w:pPr>
        <w:jc w:val="both"/>
        <w:ind w:left="880" w:hanging="300"/>
        <w:spacing w:after="0" w:line="279" w:lineRule="auto"/>
        <w:tabs>
          <w:tab w:leader="none" w:pos="880" w:val="left"/>
        </w:tabs>
        <w:numPr>
          <w:ilvl w:val="2"/>
          <w:numId w:val="29"/>
        </w:numPr>
        <w:rPr>
          <w:rFonts w:ascii="Arial" w:cs="Arial" w:eastAsia="Arial" w:hAnsi="Arial"/>
          <w:sz w:val="17"/>
          <w:szCs w:val="17"/>
          <w:color w:val="auto"/>
        </w:rPr>
      </w:pPr>
      <w:r>
        <w:rPr>
          <w:rFonts w:ascii="Arial" w:cs="Arial" w:eastAsia="Arial" w:hAnsi="Arial"/>
          <w:sz w:val="17"/>
          <w:szCs w:val="17"/>
          <w:b w:val="1"/>
          <w:bCs w:val="1"/>
          <w:color w:val="auto"/>
        </w:rPr>
        <w:t>Transferability of an Incentive Stock Option</w:t>
      </w:r>
      <w:r>
        <w:rPr>
          <w:rFonts w:ascii="Arial" w:cs="Arial" w:eastAsia="Arial" w:hAnsi="Arial"/>
          <w:sz w:val="17"/>
          <w:szCs w:val="17"/>
          <w:color w:val="auto"/>
        </w:rPr>
        <w:t>. An Incentive Stock Option shall not be transferable except by will or by the laws of descent</w:t>
      </w:r>
      <w:r>
        <w:rPr>
          <w:rFonts w:ascii="Arial" w:cs="Arial" w:eastAsia="Arial" w:hAnsi="Arial"/>
          <w:sz w:val="17"/>
          <w:szCs w:val="17"/>
          <w:b w:val="1"/>
          <w:bCs w:val="1"/>
          <w:color w:val="auto"/>
        </w:rPr>
        <w:t xml:space="preserve"> </w:t>
      </w:r>
      <w:r>
        <w:rPr>
          <w:rFonts w:ascii="Arial" w:cs="Arial" w:eastAsia="Arial" w:hAnsi="Arial"/>
          <w:sz w:val="17"/>
          <w:szCs w:val="17"/>
          <w:color w:val="auto"/>
        </w:rPr>
        <w:t>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3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71755</wp:posOffset>
            </wp:positionV>
            <wp:extent cx="725106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660" w:top="484" w:right="239" w:bottom="1440" w:gutter="0" w:footer="0" w:header="0"/>
        </w:sectPr>
      </w:pPr>
    </w:p>
    <w:bookmarkStart w:id="44" w:name="page45"/>
    <w:bookmarkEnd w:id="44"/>
    <w:p>
      <w:pPr>
        <w:jc w:val="both"/>
        <w:ind w:left="450" w:hanging="350"/>
        <w:spacing w:after="0" w:line="296" w:lineRule="auto"/>
        <w:tabs>
          <w:tab w:leader="none" w:pos="45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Transferability of a Nonstatutory Stock Option</w:t>
      </w:r>
      <w:r>
        <w:rPr>
          <w:rFonts w:ascii="Arial" w:cs="Arial" w:eastAsia="Arial" w:hAnsi="Arial"/>
          <w:sz w:val="16"/>
          <w:szCs w:val="16"/>
          <w:color w:val="auto"/>
        </w:rPr>
        <w:t>. A Nonstatutory Stock Option shall be transferable to the extent provided in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If the Nonstatutory Stock Option does not provide for transferability, then the Nonstatutory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55" w:lineRule="exact"/>
        <w:rPr>
          <w:rFonts w:ascii="Arial" w:cs="Arial" w:eastAsia="Arial" w:hAnsi="Arial"/>
          <w:sz w:val="16"/>
          <w:szCs w:val="16"/>
          <w:color w:val="auto"/>
        </w:rPr>
      </w:pPr>
    </w:p>
    <w:p>
      <w:pPr>
        <w:jc w:val="both"/>
        <w:ind w:left="450" w:hanging="400"/>
        <w:spacing w:after="0" w:line="275" w:lineRule="auto"/>
        <w:tabs>
          <w:tab w:leader="none" w:pos="45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The total number of shares of Common Stock subject to an Option may, but need not, vest and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The provisions of this subsection 6(a)(vii) are subject to any Option provisions governing the minimum number of shares of Common Stock as to which an Option may be exercised.</w:t>
      </w:r>
    </w:p>
    <w:p>
      <w:pPr>
        <w:spacing w:after="0" w:line="170" w:lineRule="exact"/>
        <w:rPr>
          <w:rFonts w:ascii="Arial" w:cs="Arial" w:eastAsia="Arial" w:hAnsi="Arial"/>
          <w:sz w:val="17"/>
          <w:szCs w:val="17"/>
          <w:color w:val="auto"/>
        </w:rPr>
      </w:pPr>
    </w:p>
    <w:p>
      <w:pPr>
        <w:jc w:val="both"/>
        <w:ind w:left="450" w:hanging="450"/>
        <w:spacing w:after="0" w:line="273" w:lineRule="auto"/>
        <w:tabs>
          <w:tab w:leader="none" w:pos="45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Termination of Service</w:t>
      </w:r>
      <w:r>
        <w:rPr>
          <w:rFonts w:ascii="Arial" w:cs="Arial" w:eastAsia="Arial" w:hAnsi="Arial"/>
          <w:sz w:val="17"/>
          <w:szCs w:val="17"/>
          <w:color w:val="auto"/>
        </w:rPr>
        <w:t>. In the event an Optionholder’s Service terminates (other than upon the Optionholder’s death or Disability),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 may exercise his or her Option (to the extent that the Optionholder was entitled to exercise such Option as of the date of termination) but only within such period of time ending on the earlier of (i) the date three months following the termination of the Optionholder’s Service (or such longer or shorter period specified in the Option Agreement), or (ii) the expiration of the term of the Option as set forth in the Option Agreement. If, after termination, the Optionholder does not exercise his or her Option within the time specified herein or in the Option Agreement (as applicable), the Option shall terminate.&lt; /div&gt;</w:t>
      </w:r>
    </w:p>
    <w:p>
      <w:pPr>
        <w:spacing w:after="0" w:line="171" w:lineRule="exact"/>
        <w:rPr>
          <w:rFonts w:ascii="Arial" w:cs="Arial" w:eastAsia="Arial" w:hAnsi="Arial"/>
          <w:sz w:val="17"/>
          <w:szCs w:val="17"/>
          <w:color w:val="auto"/>
        </w:rPr>
      </w:pPr>
    </w:p>
    <w:p>
      <w:pPr>
        <w:jc w:val="both"/>
        <w:ind w:left="450" w:hanging="350"/>
        <w:spacing w:after="0" w:line="255" w:lineRule="auto"/>
        <w:tabs>
          <w:tab w:leader="none" w:pos="45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Extension of Termination Date</w:t>
      </w:r>
      <w:r>
        <w:rPr>
          <w:rFonts w:ascii="Arial" w:cs="Arial" w:eastAsia="Arial" w:hAnsi="Arial"/>
          <w:sz w:val="18"/>
          <w:szCs w:val="18"/>
          <w:color w:val="auto"/>
        </w:rPr>
        <w:t>. An Optionholder’s Option Agreement may provide that, if the exercise of the Option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the Optionholder’s Service (other than upon the Optionholder’s death or Disability) would be prohibited at any time solely because the issuance of shares of Common Stock would violate the registration requirements under the Securities Act, then the Option shall terminate on the earlier of (i) the expiration of the term of the Option set forth in the Option Agreement or (ii) the expiration of a period of three months after the termination of the Optionholder’s Service during which the exercise of the Option would not be in violation of such registration requirements.</w:t>
      </w:r>
    </w:p>
    <w:p>
      <w:pPr>
        <w:spacing w:after="0" w:line="186" w:lineRule="exact"/>
        <w:rPr>
          <w:rFonts w:ascii="Arial" w:cs="Arial" w:eastAsia="Arial" w:hAnsi="Arial"/>
          <w:sz w:val="18"/>
          <w:szCs w:val="18"/>
          <w:color w:val="auto"/>
        </w:rPr>
      </w:pPr>
    </w:p>
    <w:p>
      <w:pPr>
        <w:jc w:val="both"/>
        <w:ind w:left="450" w:hanging="300"/>
        <w:spacing w:after="0" w:line="255" w:lineRule="auto"/>
        <w:tabs>
          <w:tab w:leader="none" w:pos="45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Disability of Optionholder</w:t>
      </w:r>
      <w:r>
        <w:rPr>
          <w:rFonts w:ascii="Arial" w:cs="Arial" w:eastAsia="Arial" w:hAnsi="Arial"/>
          <w:sz w:val="18"/>
          <w:szCs w:val="18"/>
          <w:color w:val="auto"/>
        </w:rPr>
        <w:t>. In the event that an Optionholder’s Service terminates as a result of the Optionholder’s Disability,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Optionholder may exercise his or her Option (to the extent that the Optionholder was entitled to exercise such Option as of the date of termination), but only within such period of time ending on the earlier of (i) the date twelve months following such termination (or such longer or shorter period specified in the Option Agreement) or (ii) the expiration of the term of the Option as set forth in the Option Agreement. If, after termination, the Optionholder does not exercise his or her Option within the time specified herein, the Option shall terminate.</w:t>
      </w:r>
    </w:p>
    <w:p>
      <w:pPr>
        <w:spacing w:after="0" w:line="338" w:lineRule="exact"/>
        <w:rPr>
          <w:sz w:val="20"/>
          <w:szCs w:val="20"/>
          <w:color w:val="auto"/>
        </w:rPr>
      </w:pPr>
    </w:p>
    <w:p>
      <w:pPr>
        <w:ind w:left="473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71755</wp:posOffset>
            </wp:positionV>
            <wp:extent cx="725106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570"/>
          </w:cols>
          <w:pgMar w:left="1090" w:top="484" w:right="239" w:bottom="1440" w:gutter="0" w:footer="0" w:header="0"/>
        </w:sectPr>
      </w:pPr>
    </w:p>
    <w:bookmarkStart w:id="45" w:name="page46"/>
    <w:bookmarkEnd w:id="45"/>
    <w:p>
      <w:pPr>
        <w:jc w:val="both"/>
        <w:ind w:left="880" w:hanging="350"/>
        <w:spacing w:after="0" w:line="270" w:lineRule="auto"/>
        <w:tabs>
          <w:tab w:leader="none" w:pos="880" w:val="left"/>
        </w:tabs>
        <w:numPr>
          <w:ilvl w:val="2"/>
          <w:numId w:val="31"/>
        </w:numPr>
        <w:rPr>
          <w:rFonts w:ascii="Arial" w:cs="Arial" w:eastAsia="Arial" w:hAnsi="Arial"/>
          <w:sz w:val="17"/>
          <w:szCs w:val="17"/>
          <w:color w:val="auto"/>
        </w:rPr>
      </w:pPr>
      <w:r>
        <w:rPr>
          <w:rFonts w:ascii="Arial" w:cs="Arial" w:eastAsia="Arial" w:hAnsi="Arial"/>
          <w:sz w:val="17"/>
          <w:szCs w:val="17"/>
          <w:b w:val="1"/>
          <w:bCs w:val="1"/>
          <w:color w:val="auto"/>
        </w:rPr>
        <w:t>Death of Optionholder</w:t>
      </w:r>
      <w:r>
        <w:rPr>
          <w:rFonts w:ascii="Arial" w:cs="Arial" w:eastAsia="Arial" w:hAnsi="Arial"/>
          <w:sz w:val="17"/>
          <w:szCs w:val="17"/>
          <w:color w:val="auto"/>
        </w:rPr>
        <w:t>. In the event (i) an Optionholder’s Service terminates as a result of the Optionholder’s death or (ii)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 dies within the period (if any) specified in the Option Agreement after the termination of the Optionholder’s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pursuant to subsection 6(a)(v) or 6(a)(vi), but only within the period ending on the earlier of (1) the date twelve months following the date of death (or such longer or shorter period specified in the Option Agreement) or (2) the expiration of the term of such Option as set forth in the Option Agreement. If, after death, the Option is not exercised within the time specified herein, the Option shall terminate.</w:t>
      </w:r>
    </w:p>
    <w:p>
      <w:pPr>
        <w:spacing w:after="0" w:line="176" w:lineRule="exact"/>
        <w:rPr>
          <w:rFonts w:ascii="Arial" w:cs="Arial" w:eastAsia="Arial" w:hAnsi="Arial"/>
          <w:sz w:val="17"/>
          <w:szCs w:val="17"/>
          <w:color w:val="auto"/>
        </w:rPr>
      </w:pPr>
    </w:p>
    <w:p>
      <w:pPr>
        <w:ind w:left="240" w:hanging="231"/>
        <w:spacing w:after="0"/>
        <w:tabs>
          <w:tab w:leader="none" w:pos="2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w:t>
      </w:r>
    </w:p>
    <w:p>
      <w:pPr>
        <w:spacing w:after="0" w:line="223" w:lineRule="exact"/>
        <w:rPr>
          <w:rFonts w:ascii="Arial" w:cs="Arial" w:eastAsia="Arial" w:hAnsi="Arial"/>
          <w:sz w:val="18"/>
          <w:szCs w:val="18"/>
          <w:b w:val="1"/>
          <w:bCs w:val="1"/>
          <w:color w:val="auto"/>
        </w:rPr>
      </w:pPr>
    </w:p>
    <w:p>
      <w:pPr>
        <w:jc w:val="both"/>
        <w:ind w:left="560" w:hanging="293"/>
        <w:spacing w:after="0" w:line="259" w:lineRule="auto"/>
        <w:tabs>
          <w:tab w:leader="none" w:pos="560" w:val="left"/>
        </w:tabs>
        <w:numPr>
          <w:ilvl w:val="1"/>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Stock Bonus Awards. </w:t>
      </w:r>
      <w:r>
        <w:rPr>
          <w:rFonts w:ascii="Arial" w:cs="Arial" w:eastAsia="Arial" w:hAnsi="Arial"/>
          <w:sz w:val="18"/>
          <w:szCs w:val="18"/>
          <w:color w:val="auto"/>
        </w:rPr>
        <w:t>Each stock bonus agreement shall be in such form and shall contain such terms and conditions as the Board shall deem</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The terms and conditions of stock bonus agreements may change from time to time, and the terms and conditions of separate stock bonus agreements need not be identical, but each stock bonus agreement shall include (through incorporation of provisions hereof by reference in the agreement or otherwise) the substance of each of the following provisions:</w:t>
      </w:r>
    </w:p>
    <w:p>
      <w:pPr>
        <w:spacing w:after="0" w:line="181" w:lineRule="exact"/>
        <w:rPr>
          <w:rFonts w:ascii="Arial" w:cs="Arial" w:eastAsia="Arial" w:hAnsi="Arial"/>
          <w:sz w:val="18"/>
          <w:szCs w:val="18"/>
          <w:color w:val="auto"/>
        </w:rPr>
      </w:pPr>
    </w:p>
    <w:p>
      <w:pPr>
        <w:ind w:left="880" w:hanging="261"/>
        <w:spacing w:after="0" w:line="280" w:lineRule="auto"/>
        <w:tabs>
          <w:tab w:leader="none" w:pos="880" w:val="left"/>
        </w:tabs>
        <w:numPr>
          <w:ilvl w:val="2"/>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stock bonus may be awarded in consideration for past services actually rendered to or for the benefit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 Affiliate.</w:t>
      </w:r>
    </w:p>
    <w:p>
      <w:pPr>
        <w:spacing w:after="0" w:line="162" w:lineRule="exact"/>
        <w:rPr>
          <w:rFonts w:ascii="Arial" w:cs="Arial" w:eastAsia="Arial" w:hAnsi="Arial"/>
          <w:sz w:val="18"/>
          <w:szCs w:val="18"/>
          <w:color w:val="auto"/>
        </w:rPr>
      </w:pPr>
    </w:p>
    <w:p>
      <w:pPr>
        <w:jc w:val="both"/>
        <w:ind w:left="880" w:hanging="310"/>
        <w:spacing w:after="0" w:line="259" w:lineRule="auto"/>
        <w:tabs>
          <w:tab w:leader="none" w:pos="880" w:val="left"/>
        </w:tabs>
        <w:numPr>
          <w:ilvl w:val="2"/>
          <w:numId w:val="32"/>
        </w:numPr>
        <w:rPr>
          <w:rFonts w:ascii="Arial" w:cs="Arial" w:eastAsia="Arial" w:hAnsi="Arial"/>
          <w:sz w:val="18"/>
          <w:szCs w:val="18"/>
          <w:color w:val="auto"/>
        </w:rPr>
      </w:pPr>
      <w:r>
        <w:rPr>
          <w:rFonts w:ascii="Arial" w:cs="Arial" w:eastAsia="Arial" w:hAnsi="Arial"/>
          <w:sz w:val="18"/>
          <w:szCs w:val="18"/>
          <w:b w:val="1"/>
          <w:bCs w:val="1"/>
          <w:color w:val="auto"/>
        </w:rPr>
        <w:t>Vesting Generally</w:t>
      </w:r>
      <w:r>
        <w:rPr>
          <w:rFonts w:ascii="Arial" w:cs="Arial" w:eastAsia="Arial" w:hAnsi="Arial"/>
          <w:sz w:val="18"/>
          <w:szCs w:val="18"/>
          <w:color w:val="auto"/>
        </w:rPr>
        <w:t>. Shares of Common Stock awarded under the stock bonus agreement may, but need not, be subject to a share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 favor of the Company in accordance with a vesting schedule to be determined by the Board. Notwithstanding the foregoing, unless the stock bonus agreement otherwise provides, all shares subject to the agreement shall become fully vested upon the occurrence of a Corporate Transaction.</w:t>
      </w:r>
    </w:p>
    <w:p>
      <w:pPr>
        <w:spacing w:after="0" w:line="181" w:lineRule="exact"/>
        <w:rPr>
          <w:rFonts w:ascii="Arial" w:cs="Arial" w:eastAsia="Arial" w:hAnsi="Arial"/>
          <w:sz w:val="18"/>
          <w:szCs w:val="18"/>
          <w:color w:val="auto"/>
        </w:rPr>
      </w:pPr>
    </w:p>
    <w:p>
      <w:pPr>
        <w:jc w:val="both"/>
        <w:ind w:left="880" w:hanging="360"/>
        <w:spacing w:after="0" w:line="257" w:lineRule="auto"/>
        <w:tabs>
          <w:tab w:leader="none" w:pos="880" w:val="left"/>
        </w:tabs>
        <w:numPr>
          <w:ilvl w:val="2"/>
          <w:numId w:val="32"/>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In the event a Participant’s Service terminates, the Company may reacquire any or all of the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held by the Participant which have not vested as of the date of termination under the terms of the stock bonus agreement. The Company will not exercise its repurchase option until at least six months (or such longer or shorter period of time required to avoid a change to earnings for financial accounting purposes) have elapsed following receipt of the stock bonus unless otherwise specifically provided in the stock bonus agreement.</w:t>
      </w:r>
    </w:p>
    <w:p>
      <w:pPr>
        <w:spacing w:after="0" w:line="182" w:lineRule="exact"/>
        <w:rPr>
          <w:rFonts w:ascii="Arial" w:cs="Arial" w:eastAsia="Arial" w:hAnsi="Arial"/>
          <w:sz w:val="18"/>
          <w:szCs w:val="18"/>
          <w:color w:val="auto"/>
        </w:rPr>
      </w:pPr>
    </w:p>
    <w:p>
      <w:pPr>
        <w:jc w:val="both"/>
        <w:ind w:left="880" w:hanging="350"/>
        <w:spacing w:after="0" w:line="287" w:lineRule="auto"/>
        <w:tabs>
          <w:tab w:leader="none" w:pos="880" w:val="left"/>
        </w:tabs>
        <w:numPr>
          <w:ilvl w:val="2"/>
          <w:numId w:val="32"/>
        </w:numPr>
        <w:rPr>
          <w:rFonts w:ascii="Arial" w:cs="Arial" w:eastAsia="Arial" w:hAnsi="Arial"/>
          <w:sz w:val="17"/>
          <w:szCs w:val="17"/>
          <w:color w:val="auto"/>
        </w:rPr>
      </w:pPr>
      <w:r>
        <w:rPr>
          <w:rFonts w:ascii="Arial" w:cs="Arial" w:eastAsia="Arial" w:hAnsi="Arial"/>
          <w:sz w:val="17"/>
          <w:szCs w:val="17"/>
          <w:b w:val="1"/>
          <w:bCs w:val="1"/>
          <w:color w:val="auto"/>
        </w:rPr>
        <w:t>Transferability</w:t>
      </w:r>
      <w:r>
        <w:rPr>
          <w:rFonts w:ascii="Arial" w:cs="Arial" w:eastAsia="Arial" w:hAnsi="Arial"/>
          <w:sz w:val="17"/>
          <w:szCs w:val="17"/>
          <w:color w:val="auto"/>
        </w:rPr>
        <w:t>. Rights to acquire shares of Common Stock under the stock bonus agreement shall be transferable by the Participant only</w:t>
      </w:r>
      <w:r>
        <w:rPr>
          <w:rFonts w:ascii="Arial" w:cs="Arial" w:eastAsia="Arial" w:hAnsi="Arial"/>
          <w:sz w:val="17"/>
          <w:szCs w:val="17"/>
          <w:b w:val="1"/>
          <w:bCs w:val="1"/>
          <w:color w:val="auto"/>
        </w:rPr>
        <w:t xml:space="preserve"> </w:t>
      </w:r>
      <w:r>
        <w:rPr>
          <w:rFonts w:ascii="Arial" w:cs="Arial" w:eastAsia="Arial" w:hAnsi="Arial"/>
          <w:sz w:val="17"/>
          <w:szCs w:val="17"/>
          <w:color w:val="auto"/>
        </w:rPr>
        <w:t>upon such terms and conditions as are set forth in the stock bonus agreement, as the Board shall determine in its discretion, so long as Common Stock awarded under the stock bonus agreement remains subject to the terms of the stock bonus agreement.</w:t>
      </w:r>
    </w:p>
    <w:p>
      <w:pPr>
        <w:spacing w:after="0" w:line="159" w:lineRule="exact"/>
        <w:rPr>
          <w:rFonts w:ascii="Arial" w:cs="Arial" w:eastAsia="Arial" w:hAnsi="Arial"/>
          <w:sz w:val="17"/>
          <w:szCs w:val="17"/>
          <w:color w:val="auto"/>
        </w:rPr>
      </w:pPr>
    </w:p>
    <w:p>
      <w:pPr>
        <w:jc w:val="both"/>
        <w:ind w:left="560" w:hanging="303"/>
        <w:spacing w:after="0" w:line="302" w:lineRule="auto"/>
        <w:tabs>
          <w:tab w:leader="none" w:pos="560" w:val="left"/>
        </w:tabs>
        <w:numPr>
          <w:ilvl w:val="1"/>
          <w:numId w:val="32"/>
        </w:numPr>
        <w:rPr>
          <w:rFonts w:ascii="Arial" w:cs="Arial" w:eastAsia="Arial" w:hAnsi="Arial"/>
          <w:sz w:val="16"/>
          <w:szCs w:val="16"/>
          <w:color w:val="auto"/>
        </w:rPr>
      </w:pPr>
      <w:r>
        <w:rPr>
          <w:rFonts w:ascii="Arial" w:cs="Arial" w:eastAsia="Arial" w:hAnsi="Arial"/>
          <w:sz w:val="16"/>
          <w:szCs w:val="16"/>
          <w:b w:val="1"/>
          <w:bCs w:val="1"/>
          <w:color w:val="auto"/>
        </w:rPr>
        <w:t>Restricted Stock Awards</w:t>
      </w:r>
      <w:r>
        <w:rPr>
          <w:rFonts w:ascii="Arial" w:cs="Arial" w:eastAsia="Arial" w:hAnsi="Arial"/>
          <w:sz w:val="16"/>
          <w:szCs w:val="16"/>
          <w:color w:val="auto"/>
        </w:rPr>
        <w:t>. Each restricted stock purchase agreement shall be in such form and shall contain such terms and conditions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shall deem appropriate. The terms and conditions of the restricted stock purchase agreements may change from time to time, and the terms and conditions of separate restricted stock purchase agreements need not be identical, but each restricted stock purchase agreement shall include (through inclusion or incorporation by reference in the agreement or otherwise) the substance of each of the following provisions:</w:t>
      </w:r>
    </w:p>
    <w:p>
      <w:pPr>
        <w:spacing w:after="0" w:line="3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71755</wp:posOffset>
            </wp:positionV>
            <wp:extent cx="725106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660" w:top="484" w:right="239" w:bottom="1440" w:gutter="0" w:footer="0" w:header="0"/>
        </w:sectPr>
      </w:pPr>
    </w:p>
    <w:bookmarkStart w:id="46" w:name="page47"/>
    <w:bookmarkEnd w:id="46"/>
    <w:p>
      <w:pPr>
        <w:jc w:val="both"/>
        <w:ind w:left="613" w:hanging="261"/>
        <w:spacing w:after="0" w:line="264" w:lineRule="auto"/>
        <w:tabs>
          <w:tab w:leader="none" w:pos="613"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under each restricted stock purchase agreement shall be such amount as the Board shall determine and</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 in such restricted stock purchase agreement. The purchase price shall not be less than the par value, if any, of the Common Stock on the date such award is made or at the time the purchase is consummated.</w:t>
      </w:r>
    </w:p>
    <w:p>
      <w:pPr>
        <w:spacing w:after="0" w:line="177" w:lineRule="exact"/>
        <w:rPr>
          <w:rFonts w:ascii="Arial" w:cs="Arial" w:eastAsia="Arial" w:hAnsi="Arial"/>
          <w:sz w:val="18"/>
          <w:szCs w:val="18"/>
          <w:color w:val="auto"/>
        </w:rPr>
      </w:pPr>
    </w:p>
    <w:p>
      <w:pPr>
        <w:jc w:val="both"/>
        <w:ind w:left="613" w:hanging="310"/>
        <w:spacing w:after="0" w:line="279" w:lineRule="auto"/>
        <w:tabs>
          <w:tab w:leader="none" w:pos="613" w:val="left"/>
        </w:tabs>
        <w:numPr>
          <w:ilvl w:val="1"/>
          <w:numId w:val="33"/>
        </w:numPr>
        <w:rPr>
          <w:rFonts w:ascii="Arial" w:cs="Arial" w:eastAsia="Arial" w:hAnsi="Arial"/>
          <w:sz w:val="17"/>
          <w:szCs w:val="17"/>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The purchase price of Common Stock acquired pursuant to the restricted stock purchase agreement shall be paid either: (i)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cash at the time of purchase; (ii) at the discretion of the Board, according to a deferred payment or other similar arrangement with the Participant; or (iii) in any other form of legal consideration that may be acceptable to the Board in its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payment of the Common Stock’s par value, if any, shall not be made by deferred payment.</w:t>
      </w:r>
    </w:p>
    <w:p>
      <w:pPr>
        <w:spacing w:after="0" w:line="166" w:lineRule="exact"/>
        <w:rPr>
          <w:rFonts w:ascii="Arial" w:cs="Arial" w:eastAsia="Arial" w:hAnsi="Arial"/>
          <w:sz w:val="17"/>
          <w:szCs w:val="17"/>
          <w:color w:val="auto"/>
        </w:rPr>
      </w:pPr>
    </w:p>
    <w:p>
      <w:pPr>
        <w:ind w:left="613" w:hanging="360"/>
        <w:spacing w:after="0" w:line="310" w:lineRule="auto"/>
        <w:tabs>
          <w:tab w:leader="none" w:pos="613" w:val="left"/>
        </w:tabs>
        <w:numPr>
          <w:ilvl w:val="1"/>
          <w:numId w:val="33"/>
        </w:numPr>
        <w:rPr>
          <w:rFonts w:ascii="Arial" w:cs="Arial" w:eastAsia="Arial" w:hAnsi="Arial"/>
          <w:sz w:val="17"/>
          <w:szCs w:val="17"/>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Shares of Common Stock acquired under the restricted stock purchase agreement may, but need not,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forfeiture to the Company or other restrictions that will lapse in accordance with a vesting schedule to be determined by the Board.</w:t>
      </w:r>
    </w:p>
    <w:p>
      <w:pPr>
        <w:spacing w:after="0" w:line="140" w:lineRule="exact"/>
        <w:rPr>
          <w:rFonts w:ascii="Arial" w:cs="Arial" w:eastAsia="Arial" w:hAnsi="Arial"/>
          <w:sz w:val="17"/>
          <w:szCs w:val="17"/>
          <w:color w:val="auto"/>
        </w:rPr>
      </w:pPr>
    </w:p>
    <w:p>
      <w:pPr>
        <w:jc w:val="both"/>
        <w:ind w:left="613" w:hanging="350"/>
        <w:spacing w:after="0" w:line="264" w:lineRule="auto"/>
        <w:tabs>
          <w:tab w:leader="none" w:pos="613"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Participant’s Service. </w:t>
      </w:r>
      <w:r>
        <w:rPr>
          <w:rFonts w:ascii="Arial" w:cs="Arial" w:eastAsia="Arial" w:hAnsi="Arial"/>
          <w:sz w:val="18"/>
          <w:szCs w:val="18"/>
          <w:color w:val="auto"/>
        </w:rPr>
        <w:t>In the event a Participant’s Service terminates, any or all of the shares of Common Stock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that have not vested as of the date of termination under the terms of the restricted stock purchase agreement shall be forfeited to the Company in accordance with the restricted stock purchase agreement.</w:t>
      </w:r>
    </w:p>
    <w:p>
      <w:pPr>
        <w:spacing w:after="0" w:line="177" w:lineRule="exact"/>
        <w:rPr>
          <w:rFonts w:ascii="Arial" w:cs="Arial" w:eastAsia="Arial" w:hAnsi="Arial"/>
          <w:sz w:val="18"/>
          <w:szCs w:val="18"/>
          <w:color w:val="auto"/>
        </w:rPr>
      </w:pPr>
    </w:p>
    <w:p>
      <w:pPr>
        <w:jc w:val="both"/>
        <w:ind w:left="613" w:hanging="300"/>
        <w:spacing w:after="0" w:line="259" w:lineRule="auto"/>
        <w:tabs>
          <w:tab w:leader="none" w:pos="613"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purchase agreement shall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purchase agreement, as the Board shall determine in its discretion, so long as Common Stock awarded under the restricted stock purchase agreement remains subject to the terms of the restricted stock purchase agreement.</w:t>
      </w:r>
    </w:p>
    <w:p>
      <w:pPr>
        <w:spacing w:after="0" w:line="181" w:lineRule="exact"/>
        <w:rPr>
          <w:rFonts w:ascii="Arial" w:cs="Arial" w:eastAsia="Arial" w:hAnsi="Arial"/>
          <w:sz w:val="18"/>
          <w:szCs w:val="18"/>
          <w:color w:val="auto"/>
        </w:rPr>
      </w:pPr>
    </w:p>
    <w:p>
      <w:pPr>
        <w:jc w:val="both"/>
        <w:ind w:left="293" w:hanging="293"/>
        <w:spacing w:after="0" w:line="257" w:lineRule="auto"/>
        <w:tabs>
          <w:tab w:leader="none" w:pos="29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Each stock appreciation right agreement shall be in such form and shall contain such terms and conditions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 shall deem appropriate. The terms and conditions of stock appreciation right agreements may be changed from time to time, and the terms and conditions of separate stock appreciation right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stock appreciation right agreement shall include (through incorporation of the provisions hereof by reference in the agreement or otherwise) the substance of each of the following provisions:</w:t>
      </w:r>
    </w:p>
    <w:p>
      <w:pPr>
        <w:spacing w:after="0" w:line="182" w:lineRule="exact"/>
        <w:rPr>
          <w:rFonts w:ascii="Arial" w:cs="Arial" w:eastAsia="Arial" w:hAnsi="Arial"/>
          <w:sz w:val="18"/>
          <w:szCs w:val="18"/>
          <w:color w:val="auto"/>
        </w:rPr>
      </w:pPr>
    </w:p>
    <w:p>
      <w:pPr>
        <w:jc w:val="both"/>
        <w:ind w:left="613" w:hanging="261"/>
        <w:spacing w:after="0" w:line="270" w:lineRule="auto"/>
        <w:tabs>
          <w:tab w:leader="none" w:pos="613" w:val="left"/>
        </w:tabs>
        <w:numPr>
          <w:ilvl w:val="1"/>
          <w:numId w:val="34"/>
        </w:numPr>
        <w:rPr>
          <w:rFonts w:ascii="Arial" w:cs="Arial" w:eastAsia="Arial" w:hAnsi="Arial"/>
          <w:sz w:val="17"/>
          <w:szCs w:val="17"/>
          <w:color w:val="auto"/>
        </w:rPr>
      </w:pPr>
      <w:r>
        <w:rPr>
          <w:rFonts w:ascii="Arial" w:cs="Arial" w:eastAsia="Arial" w:hAnsi="Arial"/>
          <w:sz w:val="17"/>
          <w:szCs w:val="17"/>
          <w:b w:val="1"/>
          <w:bCs w:val="1"/>
          <w:color w:val="auto"/>
        </w:rPr>
        <w:t>Strike Price and Calculation of Appreciation</w:t>
      </w:r>
      <w:r>
        <w:rPr>
          <w:rFonts w:ascii="Arial" w:cs="Arial" w:eastAsia="Arial" w:hAnsi="Arial"/>
          <w:sz w:val="17"/>
          <w:szCs w:val="17"/>
          <w:color w:val="auto"/>
        </w:rPr>
        <w:t>. Each stock appreciation right will be denominated in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equivalents. The appreciation distribution payable on the exercise of a stock appreciation right will not be greater than an amount equal to the excess of (i)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(ii) an amount (the “strike price”) that will be determined by the Board at the time of grant of the stock appreciation right;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strike price of a stock appreciation right granted to a Director or Employee shall be not less than the Fair Market Value of the Common Stock equivalents subject to the stock appreciation right on the date the stock appreciation right is granted.</w:t>
      </w:r>
    </w:p>
    <w:p>
      <w:pPr>
        <w:spacing w:after="0" w:line="328" w:lineRule="exact"/>
        <w:rPr>
          <w:sz w:val="20"/>
          <w:szCs w:val="20"/>
          <w:color w:val="auto"/>
        </w:rPr>
      </w:pPr>
    </w:p>
    <w:p>
      <w:pPr>
        <w:ind w:left="4893"/>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71755</wp:posOffset>
            </wp:positionV>
            <wp:extent cx="725106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33"/>
          </w:cols>
          <w:pgMar w:left="927" w:top="484" w:right="239" w:bottom="1440" w:gutter="0" w:footer="0" w:header="0"/>
        </w:sectPr>
      </w:pPr>
    </w:p>
    <w:bookmarkStart w:id="47" w:name="page48"/>
    <w:bookmarkEnd w:id="47"/>
    <w:p>
      <w:pPr>
        <w:ind w:left="880" w:hanging="310"/>
        <w:spacing w:after="0" w:line="280" w:lineRule="auto"/>
        <w:tabs>
          <w:tab w:leader="none" w:pos="880" w:val="left"/>
        </w:tabs>
        <w:numPr>
          <w:ilvl w:val="2"/>
          <w:numId w:val="35"/>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stock appreciation right, the Board may impose such restrictions or conditions to vesting of such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as it, in its sole discretion, deems appropriate.</w:t>
      </w:r>
    </w:p>
    <w:p>
      <w:pPr>
        <w:spacing w:after="0" w:line="162" w:lineRule="exact"/>
        <w:rPr>
          <w:rFonts w:ascii="Arial" w:cs="Arial" w:eastAsia="Arial" w:hAnsi="Arial"/>
          <w:sz w:val="18"/>
          <w:szCs w:val="18"/>
          <w:color w:val="auto"/>
        </w:rPr>
      </w:pPr>
    </w:p>
    <w:p>
      <w:pPr>
        <w:ind w:left="880" w:hanging="360"/>
        <w:spacing w:after="0" w:line="280" w:lineRule="auto"/>
        <w:tabs>
          <w:tab w:leader="none" w:pos="880" w:val="left"/>
        </w:tabs>
        <w:numPr>
          <w:ilvl w:val="2"/>
          <w:numId w:val="35"/>
        </w:numPr>
        <w:rPr>
          <w:rFonts w:ascii="Arial" w:cs="Arial" w:eastAsia="Arial" w:hAnsi="Arial"/>
          <w:sz w:val="18"/>
          <w:szCs w:val="18"/>
          <w:color w:val="auto"/>
        </w:rPr>
      </w:pPr>
      <w:r>
        <w:rPr>
          <w:rFonts w:ascii="Arial" w:cs="Arial" w:eastAsia="Arial" w:hAnsi="Arial"/>
          <w:sz w:val="18"/>
          <w:szCs w:val="18"/>
          <w:b w:val="1"/>
          <w:bCs w:val="1"/>
          <w:color w:val="auto"/>
        </w:rPr>
        <w:t>Exercise</w:t>
      </w:r>
      <w:r>
        <w:rPr>
          <w:rFonts w:ascii="Arial" w:cs="Arial" w:eastAsia="Arial" w:hAnsi="Arial"/>
          <w:sz w:val="18"/>
          <w:szCs w:val="18"/>
          <w:color w:val="auto"/>
        </w:rPr>
        <w:t>. To exercise any outstanding stock appreciation right, the Participant must provide written notice to exercise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provisions of the stock appreciation right agreement evidencing such stock appreciation right.</w:t>
      </w:r>
    </w:p>
    <w:p>
      <w:pPr>
        <w:spacing w:after="0" w:line="162" w:lineRule="exact"/>
        <w:rPr>
          <w:rFonts w:ascii="Arial" w:cs="Arial" w:eastAsia="Arial" w:hAnsi="Arial"/>
          <w:sz w:val="18"/>
          <w:szCs w:val="18"/>
          <w:color w:val="auto"/>
        </w:rPr>
      </w:pPr>
    </w:p>
    <w:p>
      <w:pPr>
        <w:jc w:val="both"/>
        <w:ind w:left="880" w:hanging="350"/>
        <w:spacing w:after="0" w:line="264" w:lineRule="auto"/>
        <w:tabs>
          <w:tab w:leader="none" w:pos="880" w:val="left"/>
        </w:tabs>
        <w:numPr>
          <w:ilvl w:val="2"/>
          <w:numId w:val="35"/>
        </w:numPr>
        <w:rPr>
          <w:rFonts w:ascii="Arial" w:cs="Arial" w:eastAsia="Arial" w:hAnsi="Arial"/>
          <w:sz w:val="18"/>
          <w:szCs w:val="18"/>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The appreciation distribution in respect to a stock appreciation right may be paid in shares of Common Stock, in cash,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shares of Common Stock and cash, or in any other form of consideration, as determined by the Board and contained in the stock appreciation right agreement evidencing such stock appreciation right.</w:t>
      </w:r>
    </w:p>
    <w:p>
      <w:pPr>
        <w:spacing w:after="0" w:line="177" w:lineRule="exact"/>
        <w:rPr>
          <w:rFonts w:ascii="Arial" w:cs="Arial" w:eastAsia="Arial" w:hAnsi="Arial"/>
          <w:sz w:val="18"/>
          <w:szCs w:val="18"/>
          <w:color w:val="auto"/>
        </w:rPr>
      </w:pPr>
    </w:p>
    <w:p>
      <w:pPr>
        <w:jc w:val="both"/>
        <w:ind w:left="880" w:hanging="300"/>
        <w:spacing w:after="0" w:line="293" w:lineRule="auto"/>
        <w:tabs>
          <w:tab w:leader="none" w:pos="880" w:val="left"/>
        </w:tabs>
        <w:numPr>
          <w:ilvl w:val="2"/>
          <w:numId w:val="35"/>
        </w:numPr>
        <w:rPr>
          <w:rFonts w:ascii="Arial" w:cs="Arial" w:eastAsia="Arial" w:hAnsi="Arial"/>
          <w:sz w:val="16"/>
          <w:szCs w:val="16"/>
          <w:color w:val="auto"/>
        </w:rPr>
      </w:pPr>
      <w:r>
        <w:rPr>
          <w:rFonts w:ascii="Arial" w:cs="Arial" w:eastAsia="Arial" w:hAnsi="Arial"/>
          <w:sz w:val="16"/>
          <w:szCs w:val="16"/>
          <w:b w:val="1"/>
          <w:bCs w:val="1"/>
          <w:color w:val="auto"/>
        </w:rPr>
        <w:t>Termination of Service</w:t>
      </w:r>
      <w:r>
        <w:rPr>
          <w:rFonts w:ascii="Arial" w:cs="Arial" w:eastAsia="Arial" w:hAnsi="Arial"/>
          <w:sz w:val="16"/>
          <w:szCs w:val="16"/>
          <w:color w:val="auto"/>
        </w:rPr>
        <w:t>. In the event that a Participant’s Service terminates, the Participant may exercise his or her stock appreciation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the Participant was entitled to exercise such stock appreciation right as of the date of termination) but only within such period of time ending on the earlier of (i) the date three months following the termination of the Participant’s Service (or such longer or shorter period specified in the stock appreciation right agreement), or (ii) the expiration of the term of the stock appreciation right as set forth in the stock appreciation right agreement. If, after termination, the Participant does not exercise his or her stock appreciation right within the time specified herein or in the stock app reciation right agreement (as applicable), the stock appreciation right shall terminate.</w:t>
      </w:r>
    </w:p>
    <w:p>
      <w:pPr>
        <w:spacing w:after="0" w:line="157" w:lineRule="exact"/>
        <w:rPr>
          <w:rFonts w:ascii="Arial" w:cs="Arial" w:eastAsia="Arial" w:hAnsi="Arial"/>
          <w:sz w:val="16"/>
          <w:szCs w:val="16"/>
          <w:color w:val="auto"/>
        </w:rPr>
      </w:pPr>
    </w:p>
    <w:p>
      <w:pPr>
        <w:ind w:left="240" w:hanging="231"/>
        <w:spacing w:after="0"/>
        <w:tabs>
          <w:tab w:leader="none" w:pos="2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223" w:lineRule="exact"/>
        <w:rPr>
          <w:rFonts w:ascii="Arial" w:cs="Arial" w:eastAsia="Arial" w:hAnsi="Arial"/>
          <w:sz w:val="18"/>
          <w:szCs w:val="18"/>
          <w:b w:val="1"/>
          <w:bCs w:val="1"/>
          <w:color w:val="auto"/>
        </w:rPr>
      </w:pPr>
    </w:p>
    <w:p>
      <w:pPr>
        <w:ind w:left="560" w:hanging="293"/>
        <w:spacing w:after="0" w:line="280" w:lineRule="auto"/>
        <w:tabs>
          <w:tab w:leader="none" w:pos="56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required to satisfy such Stock Awards.</w:t>
      </w:r>
    </w:p>
    <w:p>
      <w:pPr>
        <w:spacing w:after="0" w:line="162" w:lineRule="exact"/>
        <w:rPr>
          <w:rFonts w:ascii="Arial" w:cs="Arial" w:eastAsia="Arial" w:hAnsi="Arial"/>
          <w:sz w:val="18"/>
          <w:szCs w:val="18"/>
          <w:color w:val="auto"/>
        </w:rPr>
      </w:pPr>
    </w:p>
    <w:p>
      <w:pPr>
        <w:jc w:val="both"/>
        <w:ind w:left="560" w:hanging="303"/>
        <w:spacing w:after="0" w:line="271" w:lineRule="auto"/>
        <w:tabs>
          <w:tab w:leader="none" w:pos="560" w:val="left"/>
        </w:tabs>
        <w:numPr>
          <w:ilvl w:val="1"/>
          <w:numId w:val="36"/>
        </w:numPr>
        <w:rPr>
          <w:rFonts w:ascii="Arial" w:cs="Arial" w:eastAsia="Arial" w:hAnsi="Arial"/>
          <w:sz w:val="17"/>
          <w:szCs w:val="17"/>
          <w:color w:val="auto"/>
        </w:rPr>
      </w:pPr>
      <w:r>
        <w:rPr>
          <w:rFonts w:ascii="Arial" w:cs="Arial" w:eastAsia="Arial" w:hAnsi="Arial"/>
          <w:sz w:val="17"/>
          <w:szCs w:val="17"/>
          <w:b w:val="1"/>
          <w:bCs w:val="1"/>
          <w:color w:val="auto"/>
        </w:rPr>
        <w:t>Securities Law Compliance</w:t>
      </w:r>
      <w:r>
        <w:rPr>
          <w:rFonts w:ascii="Arial" w:cs="Arial" w:eastAsia="Arial" w:hAnsi="Arial"/>
          <w:sz w:val="17"/>
          <w:szCs w:val="17"/>
          <w:color w:val="auto"/>
        </w:rPr>
        <w:t>. The Company shall seek to obtain from each regulatory commission or agency having jurisdiction over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authority as may be required to grant Stock Awards and to issue and sell shares of Common Stock upon exercise of the Stock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shall not require the Company to register under the Securities Act the Plan, any Stock Award or any</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 l be relieved from any liability for failure to issue and sell Common Stock upon exercise of such Stock Awards unless and until such authority is obtained.</w:t>
      </w:r>
    </w:p>
    <w:p>
      <w:pPr>
        <w:spacing w:after="0" w:line="175" w:lineRule="exact"/>
        <w:rPr>
          <w:rFonts w:ascii="Arial" w:cs="Arial" w:eastAsia="Arial" w:hAnsi="Arial"/>
          <w:sz w:val="17"/>
          <w:szCs w:val="17"/>
          <w:color w:val="auto"/>
        </w:rPr>
      </w:pPr>
    </w:p>
    <w:p>
      <w:pPr>
        <w:ind w:left="240" w:hanging="231"/>
        <w:spacing w:after="0"/>
        <w:tabs>
          <w:tab w:leader="none" w:pos="2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STOCK.</w:t>
      </w:r>
    </w:p>
    <w:p>
      <w:pPr>
        <w:spacing w:after="0" w:line="22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Proceeds from the sale of Common Stock pursuant to Stock Awards shall constitute general funds of the Company.</w:t>
      </w:r>
    </w:p>
    <w:p>
      <w:pPr>
        <w:spacing w:after="0" w:line="37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71755</wp:posOffset>
            </wp:positionV>
            <wp:extent cx="725106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00"/>
          </w:cols>
          <w:pgMar w:left="660" w:top="484" w:right="239" w:bottom="1440" w:gutter="0" w:footer="0" w:header="0"/>
        </w:sectPr>
      </w:pPr>
    </w:p>
    <w:bookmarkStart w:id="48" w:name="page49"/>
    <w:bookmarkEnd w:id="48"/>
    <w:p>
      <w:pPr>
        <w:ind w:left="321" w:hanging="321"/>
        <w:spacing w:after="0"/>
        <w:tabs>
          <w:tab w:leader="none" w:pos="321"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3" w:lineRule="exact"/>
        <w:rPr>
          <w:rFonts w:ascii="Arial" w:cs="Arial" w:eastAsia="Arial" w:hAnsi="Arial"/>
          <w:sz w:val="18"/>
          <w:szCs w:val="18"/>
          <w:b w:val="1"/>
          <w:bCs w:val="1"/>
          <w:color w:val="auto"/>
        </w:rPr>
      </w:pPr>
    </w:p>
    <w:p>
      <w:pPr>
        <w:jc w:val="both"/>
        <w:ind w:left="641" w:hanging="293"/>
        <w:spacing w:after="0" w:line="264" w:lineRule="auto"/>
        <w:tabs>
          <w:tab w:leader="none" w:pos="641" w:val="left"/>
        </w:tabs>
        <w:numPr>
          <w:ilvl w:val="1"/>
          <w:numId w:val="37"/>
        </w:numPr>
        <w:rPr>
          <w:rFonts w:ascii="Arial" w:cs="Arial" w:eastAsia="Arial" w:hAnsi="Arial"/>
          <w:sz w:val="18"/>
          <w:szCs w:val="18"/>
          <w:color w:val="auto"/>
        </w:rPr>
      </w:pPr>
      <w:r>
        <w:rPr>
          <w:rFonts w:ascii="Arial" w:cs="Arial" w:eastAsia="Arial" w:hAnsi="Arial"/>
          <w:sz w:val="18"/>
          <w:szCs w:val="18"/>
          <w:b w:val="1"/>
          <w:bCs w:val="1"/>
          <w:color w:val="auto"/>
        </w:rPr>
        <w:t>Acceleration of Exercisability and Vesting</w:t>
      </w:r>
      <w:r>
        <w:rPr>
          <w:rFonts w:ascii="Arial" w:cs="Arial" w:eastAsia="Arial" w:hAnsi="Arial"/>
          <w:sz w:val="18"/>
          <w:szCs w:val="18"/>
          <w:color w:val="auto"/>
        </w:rPr>
        <w:t>. The Board shall have the power to accelerate the time at which a Stock Award may first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77" w:lineRule="exact"/>
        <w:rPr>
          <w:rFonts w:ascii="Arial" w:cs="Arial" w:eastAsia="Arial" w:hAnsi="Arial"/>
          <w:sz w:val="18"/>
          <w:szCs w:val="18"/>
          <w:color w:val="auto"/>
        </w:rPr>
      </w:pPr>
    </w:p>
    <w:p>
      <w:pPr>
        <w:jc w:val="both"/>
        <w:ind w:left="641" w:hanging="303"/>
        <w:spacing w:after="0" w:line="255" w:lineRule="auto"/>
        <w:tabs>
          <w:tab w:leader="none" w:pos="641" w:val="left"/>
        </w:tabs>
        <w:numPr>
          <w:ilvl w:val="1"/>
          <w:numId w:val="37"/>
        </w:numPr>
        <w:rPr>
          <w:rFonts w:ascii="Arial" w:cs="Arial" w:eastAsia="Arial" w:hAnsi="Arial"/>
          <w:sz w:val="18"/>
          <w:szCs w:val="18"/>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No Participant shall be deemed to have dividend rights or other rights as a stockholder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an Option or stock appreciation right unless and until such Participant has properly exercised the Option or stock appreciation right. A Participant will have all of the rights of a stockholder as to any stock bonuses and shares of Common Stock acquired under a restricted stock purchase agreement as of the date of such Stock Awards, whether or not then vested, except as otherwise provided in the Stock Award Agreement, and unless and until the stock bonus or restricted stock is forfeited to the Company in accordance with applicable vesting requirements, if any.</w:t>
      </w:r>
    </w:p>
    <w:p>
      <w:pPr>
        <w:spacing w:after="0" w:line="186" w:lineRule="exact"/>
        <w:rPr>
          <w:rFonts w:ascii="Arial" w:cs="Arial" w:eastAsia="Arial" w:hAnsi="Arial"/>
          <w:sz w:val="18"/>
          <w:szCs w:val="18"/>
          <w:color w:val="auto"/>
        </w:rPr>
      </w:pPr>
    </w:p>
    <w:p>
      <w:pPr>
        <w:jc w:val="both"/>
        <w:ind w:left="641" w:hanging="293"/>
        <w:spacing w:after="0" w:line="273" w:lineRule="auto"/>
        <w:tabs>
          <w:tab w:leader="none" w:pos="641" w:val="left"/>
        </w:tabs>
        <w:numPr>
          <w:ilvl w:val="1"/>
          <w:numId w:val="37"/>
        </w:numPr>
        <w:rPr>
          <w:rFonts w:ascii="Arial" w:cs="Arial" w:eastAsia="Arial" w:hAnsi="Arial"/>
          <w:sz w:val="17"/>
          <w:szCs w:val="17"/>
          <w:color w:val="auto"/>
        </w:rPr>
      </w:pPr>
      <w:r>
        <w:rPr>
          <w:rFonts w:ascii="Arial" w:cs="Arial" w:eastAsia="Arial" w:hAnsi="Arial"/>
          <w:sz w:val="17"/>
          <w:szCs w:val="17"/>
          <w:b w:val="1"/>
          <w:bCs w:val="1"/>
          <w:color w:val="auto"/>
        </w:rPr>
        <w:t>No Employment or other Service Rights</w:t>
      </w:r>
      <w:r>
        <w:rPr>
          <w:rFonts w:ascii="Arial" w:cs="Arial" w:eastAsia="Arial" w:hAnsi="Arial"/>
          <w:sz w:val="17"/>
          <w:szCs w:val="17"/>
          <w:color w:val="auto"/>
        </w:rPr>
        <w:t>. Nothing in the Plan or any instrument executed or Stock Award granted pursuant hereto shall confer</w:t>
      </w:r>
      <w:r>
        <w:rPr>
          <w:rFonts w:ascii="Arial" w:cs="Arial" w:eastAsia="Arial" w:hAnsi="Arial"/>
          <w:sz w:val="17"/>
          <w:szCs w:val="17"/>
          <w:b w:val="1"/>
          <w:bCs w:val="1"/>
          <w:color w:val="auto"/>
        </w:rPr>
        <w:t xml:space="preserve"> </w:t>
      </w:r>
      <w:r>
        <w:rPr>
          <w:rFonts w:ascii="Arial" w:cs="Arial" w:eastAsia="Arial" w:hAnsi="Arial"/>
          <w:sz w:val="17"/>
          <w:szCs w:val="17"/>
          <w:color w:val="auto"/>
        </w:rPr>
        <w:t>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1" w:lineRule="exact"/>
        <w:rPr>
          <w:rFonts w:ascii="Arial" w:cs="Arial" w:eastAsia="Arial" w:hAnsi="Arial"/>
          <w:sz w:val="17"/>
          <w:szCs w:val="17"/>
          <w:color w:val="auto"/>
        </w:rPr>
      </w:pPr>
    </w:p>
    <w:p>
      <w:pPr>
        <w:jc w:val="both"/>
        <w:ind w:left="641" w:hanging="303"/>
        <w:spacing w:after="0" w:line="259" w:lineRule="auto"/>
        <w:tabs>
          <w:tab w:leader="none" w:pos="641" w:val="left"/>
        </w:tabs>
        <w:numPr>
          <w:ilvl w:val="1"/>
          <w:numId w:val="37"/>
        </w:numPr>
        <w:rPr>
          <w:rFonts w:ascii="Arial" w:cs="Arial" w:eastAsia="Arial" w:hAnsi="Arial"/>
          <w:sz w:val="18"/>
          <w:szCs w:val="18"/>
          <w:color w:val="auto"/>
        </w:rPr>
      </w:pPr>
      <w:r>
        <w:rPr>
          <w:rFonts w:ascii="Arial" w:cs="Arial" w:eastAsia="Arial" w:hAnsi="Arial"/>
          <w:sz w:val="18"/>
          <w:szCs w:val="18"/>
          <w:b w:val="1"/>
          <w:bCs w:val="1"/>
          <w:color w:val="auto"/>
        </w:rPr>
        <w:t>Incentive Stock Option Dollar Limitation</w:t>
      </w:r>
      <w:r>
        <w:rPr>
          <w:rFonts w:ascii="Arial" w:cs="Arial" w:eastAsia="Arial" w:hAnsi="Arial"/>
          <w:sz w:val="18"/>
          <w:szCs w:val="18"/>
          <w:color w:val="auto"/>
        </w:rPr>
        <w:t>. To the extent that the aggregate Fair Market Value (determined at the time of grant)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Nonstatutory Stock Options.</w:t>
      </w:r>
    </w:p>
    <w:p>
      <w:pPr>
        <w:spacing w:after="0" w:line="181" w:lineRule="exact"/>
        <w:rPr>
          <w:rFonts w:ascii="Arial" w:cs="Arial" w:eastAsia="Arial" w:hAnsi="Arial"/>
          <w:sz w:val="18"/>
          <w:szCs w:val="18"/>
          <w:color w:val="auto"/>
        </w:rPr>
      </w:pPr>
    </w:p>
    <w:p>
      <w:pPr>
        <w:jc w:val="both"/>
        <w:ind w:left="641" w:hanging="293"/>
        <w:spacing w:after="0" w:line="286" w:lineRule="auto"/>
        <w:tabs>
          <w:tab w:leader="none" w:pos="641" w:val="left"/>
        </w:tabs>
        <w:numPr>
          <w:ilvl w:val="1"/>
          <w:numId w:val="37"/>
        </w:numPr>
        <w:rPr>
          <w:rFonts w:ascii="Arial" w:cs="Arial" w:eastAsia="Arial" w:hAnsi="Arial"/>
          <w:sz w:val="16"/>
          <w:szCs w:val="16"/>
          <w:color w:val="auto"/>
        </w:rPr>
      </w:pPr>
      <w:r>
        <w:rPr>
          <w:rFonts w:ascii="Arial" w:cs="Arial" w:eastAsia="Arial" w:hAnsi="Arial"/>
          <w:sz w:val="16"/>
          <w:szCs w:val="16"/>
          <w:b w:val="1"/>
          <w:bCs w:val="1"/>
          <w:color w:val="auto"/>
        </w:rPr>
        <w:t>Investment Assurances</w:t>
      </w:r>
      <w:r>
        <w:rPr>
          <w:rFonts w:ascii="Arial" w:cs="Arial" w:eastAsia="Arial" w:hAnsi="Arial"/>
          <w:sz w:val="16"/>
          <w:szCs w:val="16"/>
          <w:color w:val="auto"/>
        </w:rPr>
        <w:t>. The Company may require a Participant, as a condition of exercising or acquiring Common Stock under 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 resent intention of selling or otherwise distributing the Common Stock. The foregoing requirements, and any assurances given pursuant to such requirements, shall be inoperative if (1) 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71755</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81"/>
          </w:cols>
          <w:pgMar w:left="579" w:top="484" w:right="239" w:bottom="1440" w:gutter="0" w:footer="0" w:header="0"/>
        </w:sectPr>
      </w:pPr>
    </w:p>
    <w:bookmarkStart w:id="49" w:name="page50"/>
    <w:bookmarkEnd w:id="49"/>
    <w:p>
      <w:pPr>
        <w:jc w:val="both"/>
        <w:ind w:left="641" w:hanging="273"/>
        <w:spacing w:after="0" w:line="288" w:lineRule="auto"/>
        <w:tabs>
          <w:tab w:leader="none" w:pos="641" w:val="left"/>
        </w:tabs>
        <w:numPr>
          <w:ilvl w:val="1"/>
          <w:numId w:val="38"/>
        </w:numPr>
        <w:rPr>
          <w:rFonts w:ascii="Arial" w:cs="Arial" w:eastAsia="Arial" w:hAnsi="Arial"/>
          <w:sz w:val="16"/>
          <w:szCs w:val="16"/>
          <w:color w:val="auto"/>
        </w:rPr>
      </w:pPr>
      <w:r>
        <w:rPr>
          <w:rFonts w:ascii="Arial" w:cs="Arial" w:eastAsia="Arial" w:hAnsi="Arial"/>
          <w:sz w:val="16"/>
          <w:szCs w:val="16"/>
          <w:b w:val="1"/>
          <w:bCs w:val="1"/>
          <w:color w:val="auto"/>
        </w:rPr>
        <w:t>Withholding Obligations</w:t>
      </w:r>
      <w:r>
        <w:rPr>
          <w:rFonts w:ascii="Arial" w:cs="Arial" w:eastAsia="Arial" w:hAnsi="Arial"/>
          <w:sz w:val="16"/>
          <w:szCs w:val="16"/>
          <w:color w:val="auto"/>
        </w:rPr>
        <w:t>. To the extent provided by the terms of a Stock Award Agreement, the Participant may satisfy any federal, state or</w:t>
      </w:r>
      <w:r>
        <w:rPr>
          <w:rFonts w:ascii="Arial" w:cs="Arial" w:eastAsia="Arial" w:hAnsi="Arial"/>
          <w:sz w:val="16"/>
          <w:szCs w:val="16"/>
          <w:b w:val="1"/>
          <w:bCs w:val="1"/>
          <w:color w:val="auto"/>
        </w:rPr>
        <w:t xml:space="preserve"> </w:t>
      </w:r>
      <w:r>
        <w:rPr>
          <w:rFonts w:ascii="Arial" w:cs="Arial" w:eastAsia="Arial" w:hAnsi="Arial"/>
          <w:sz w:val="16"/>
          <w:szCs w:val="16"/>
          <w:color w:val="auto"/>
        </w:rPr>
        <w:t>local tax withholding obligation relating to the exercise or acquisition of Common Stock under a Stock Award by any of the following means (in addition to the Company’s right to withhold from any compensation paid to the Participant by the Company) or by a combination of such means:</w:t>
      </w:r>
    </w:p>
    <w:p>
      <w:pPr>
        <w:spacing w:after="0" w:line="1" w:lineRule="exact"/>
        <w:rPr>
          <w:rFonts w:ascii="Arial" w:cs="Arial" w:eastAsia="Arial" w:hAnsi="Arial"/>
          <w:sz w:val="16"/>
          <w:szCs w:val="16"/>
          <w:color w:val="auto"/>
        </w:rPr>
      </w:pPr>
    </w:p>
    <w:p>
      <w:pPr>
        <w:jc w:val="both"/>
        <w:ind w:left="641" w:hanging="5"/>
        <w:spacing w:after="0" w:line="251" w:lineRule="auto"/>
        <w:tabs>
          <w:tab w:leader="none" w:pos="867" w:val="left"/>
        </w:tabs>
        <w:numPr>
          <w:ilvl w:val="2"/>
          <w:numId w:val="38"/>
        </w:numPr>
        <w:rPr>
          <w:rFonts w:ascii="Arial" w:cs="Arial" w:eastAsia="Arial" w:hAnsi="Arial"/>
          <w:sz w:val="18"/>
          <w:szCs w:val="18"/>
          <w:color w:val="auto"/>
        </w:rPr>
      </w:pPr>
      <w:r>
        <w:rPr>
          <w:rFonts w:ascii="Arial" w:cs="Arial" w:eastAsia="Arial" w:hAnsi="Arial"/>
          <w:sz w:val="18"/>
          <w:szCs w:val="18"/>
          <w:color w:val="auto"/>
        </w:rPr>
        <w:t xml:space="preserve">tendering a cash payment; (ii) authorizing the Company to withhold shares of Common Stock from the shares of Common Stock otherwise issuable to the Participant as a result of the exercise or acquisition of Common Stock under the Stock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shares of Common Stock are withheld w ith a Fair Market Value exceeding the minimum amount of tax required to be withheld by law (or such lesser amount as may be necessary to avoid variable award accounting); or (iii) delivering to the Company owned and unencumbered shares of Common Stock of the Company.</w:t>
      </w:r>
    </w:p>
    <w:p>
      <w:pPr>
        <w:spacing w:after="0" w:line="189" w:lineRule="exact"/>
        <w:rPr>
          <w:rFonts w:ascii="Arial" w:cs="Arial" w:eastAsia="Arial" w:hAnsi="Arial"/>
          <w:sz w:val="18"/>
          <w:szCs w:val="18"/>
          <w:color w:val="auto"/>
        </w:rPr>
      </w:pPr>
    </w:p>
    <w:p>
      <w:pPr>
        <w:ind w:left="321" w:hanging="311"/>
        <w:spacing w:after="0"/>
        <w:tabs>
          <w:tab w:leader="none" w:pos="321"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STOCK.</w:t>
      </w:r>
    </w:p>
    <w:p>
      <w:pPr>
        <w:spacing w:after="0" w:line="223" w:lineRule="exact"/>
        <w:rPr>
          <w:rFonts w:ascii="Arial" w:cs="Arial" w:eastAsia="Arial" w:hAnsi="Arial"/>
          <w:sz w:val="18"/>
          <w:szCs w:val="18"/>
          <w:b w:val="1"/>
          <w:bCs w:val="1"/>
          <w:color w:val="auto"/>
        </w:rPr>
      </w:pPr>
    </w:p>
    <w:p>
      <w:pPr>
        <w:jc w:val="both"/>
        <w:ind w:left="641" w:hanging="293"/>
        <w:spacing w:after="0" w:line="269" w:lineRule="auto"/>
        <w:tabs>
          <w:tab w:leader="none" w:pos="641" w:val="left"/>
        </w:tabs>
        <w:numPr>
          <w:ilvl w:val="1"/>
          <w:numId w:val="39"/>
        </w:numPr>
        <w:rPr>
          <w:rFonts w:ascii="Arial" w:cs="Arial" w:eastAsia="Arial" w:hAnsi="Arial"/>
          <w:sz w:val="17"/>
          <w:szCs w:val="17"/>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If any change is made in the Common Stock subject to the Plan, or subject to any Stock Award,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 and maximum number of shares subject to the Plan pursuant to subsection 4(a) and the maximum number of shares subject to award to any person pursuant to subsection 5(c), and the outstanding Stock Awards will be appropriately adjusted in the cl ass and number of shares and price per share of Common Stock subject to such outstanding Stock Awards. The Board shall make such adjustments, and its determination shall be final, binding and conclusive. For clarity, the conversion of any convertible securities of the Company shall not be treated as a transaction “without receipt of consideration” by the Company.</w:t>
      </w:r>
    </w:p>
    <w:p>
      <w:pPr>
        <w:spacing w:after="0" w:line="179" w:lineRule="exact"/>
        <w:rPr>
          <w:rFonts w:ascii="Arial" w:cs="Arial" w:eastAsia="Arial" w:hAnsi="Arial"/>
          <w:sz w:val="17"/>
          <w:szCs w:val="17"/>
          <w:color w:val="auto"/>
        </w:rPr>
      </w:pPr>
    </w:p>
    <w:p>
      <w:pPr>
        <w:jc w:val="both"/>
        <w:ind w:left="641" w:hanging="303"/>
        <w:spacing w:after="0" w:line="259" w:lineRule="auto"/>
        <w:tabs>
          <w:tab w:leader="none" w:pos="641"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In the event of a dissolution or liquidation of the Company, all outstanding Stock Awards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such event, and shares of bonus stock and restricted stock subject to the Company’s repurchase option or to forfeiture under subsections 7(a)(iii) and 7(b)(iii) may be repurchased by the Company or forfeited notwithstanding the fact that the holder of such stock is still in Service.</w:t>
      </w:r>
    </w:p>
    <w:p>
      <w:pPr>
        <w:spacing w:after="0" w:line="181" w:lineRule="exact"/>
        <w:rPr>
          <w:rFonts w:ascii="Arial" w:cs="Arial" w:eastAsia="Arial" w:hAnsi="Arial"/>
          <w:sz w:val="18"/>
          <w:szCs w:val="18"/>
          <w:color w:val="auto"/>
        </w:rPr>
      </w:pPr>
    </w:p>
    <w:p>
      <w:pPr>
        <w:jc w:val="both"/>
        <w:ind w:left="641" w:hanging="293"/>
        <w:spacing w:after="0" w:line="296" w:lineRule="auto"/>
        <w:tabs>
          <w:tab w:leader="none" w:pos="641"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Corporate Transaction</w:t>
      </w:r>
      <w:r>
        <w:rPr>
          <w:rFonts w:ascii="Arial" w:cs="Arial" w:eastAsia="Arial" w:hAnsi="Arial"/>
          <w:sz w:val="16"/>
          <w:szCs w:val="16"/>
          <w:color w:val="auto"/>
        </w:rPr>
        <w:t>. In the event of a Corporate Transaction, any surviving corporation or acquiring corporation may assume 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Awards outstanding under the Plan or may substitute similar stock awards (including an award to acquire the same consideration paid to the stockholders in the transaction described in this subsection 11(c)) for those outstanding under the Plan. Unless the Stock Award Agreement otherwise provides, in the event any surviving corporation or acquiring corporation does not assume such Stock Awards or substitute similar stock awards for those outstanding under the Plan, then the Stock Awards shall terminate if not exercised at or prior to such event.</w:t>
      </w:r>
    </w:p>
    <w:p>
      <w:pPr>
        <w:spacing w:after="0" w:line="155" w:lineRule="exact"/>
        <w:rPr>
          <w:rFonts w:ascii="Arial" w:cs="Arial" w:eastAsia="Arial" w:hAnsi="Arial"/>
          <w:sz w:val="16"/>
          <w:szCs w:val="16"/>
          <w:color w:val="auto"/>
        </w:rPr>
      </w:pPr>
    </w:p>
    <w:p>
      <w:pPr>
        <w:ind w:left="321" w:hanging="321"/>
        <w:spacing w:after="0"/>
        <w:tabs>
          <w:tab w:leader="none" w:pos="321"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AND STOCK AWARDS.</w:t>
      </w:r>
    </w:p>
    <w:p>
      <w:pPr>
        <w:spacing w:after="0" w:line="223" w:lineRule="exact"/>
        <w:rPr>
          <w:rFonts w:ascii="Arial" w:cs="Arial" w:eastAsia="Arial" w:hAnsi="Arial"/>
          <w:sz w:val="18"/>
          <w:szCs w:val="18"/>
          <w:b w:val="1"/>
          <w:bCs w:val="1"/>
          <w:color w:val="auto"/>
        </w:rPr>
      </w:pPr>
    </w:p>
    <w:p>
      <w:pPr>
        <w:jc w:val="both"/>
        <w:ind w:left="641" w:hanging="293"/>
        <w:spacing w:after="0" w:line="259" w:lineRule="auto"/>
        <w:tabs>
          <w:tab w:leader="none" w:pos="641"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Amendment of Plan</w:t>
      </w:r>
      <w:r>
        <w:rPr>
          <w:rFonts w:ascii="Arial" w:cs="Arial" w:eastAsia="Arial" w:hAnsi="Arial"/>
          <w:sz w:val="18"/>
          <w:szCs w:val="18"/>
          <w:color w:val="auto"/>
        </w:rPr>
        <w:t>. The Board at any time, and from time to time, may amend the Plan. However, except as provided in Section 11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upon changes in Common Stock, no amendment shall be effective unless approved by the stockholders of the Company to the extent stockholder approval is necessary to satisfy the requirements of Section 422 of the Code, Rule 16b-3 or any securities exchange listing requirements.</w:t>
      </w: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71755</wp:posOffset>
            </wp:positionV>
            <wp:extent cx="725106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81"/>
          </w:cols>
          <w:pgMar w:left="579" w:top="484" w:right="239" w:bottom="1440" w:gutter="0" w:footer="0" w:header="0"/>
        </w:sectPr>
      </w:pPr>
    </w:p>
    <w:bookmarkStart w:id="50" w:name="page51"/>
    <w:bookmarkEnd w:id="50"/>
    <w:p>
      <w:pPr>
        <w:jc w:val="both"/>
        <w:ind w:left="980" w:hanging="303"/>
        <w:spacing w:after="0" w:line="259"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The Board may, in its sole discretion, submit any other amendment to the Plan for stockholder approval,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amendments to the Plan intended to satisfy the requirements of Section 162(m) of the Code and the regulations thereunder regarding the exclusion of performance-based compensation from the limit on corporate deductibility of compensation paid to certain executive officers.</w:t>
      </w:r>
    </w:p>
    <w:p>
      <w:pPr>
        <w:spacing w:after="0" w:line="181" w:lineRule="exact"/>
        <w:rPr>
          <w:rFonts w:ascii="Arial" w:cs="Arial" w:eastAsia="Arial" w:hAnsi="Arial"/>
          <w:sz w:val="18"/>
          <w:szCs w:val="18"/>
          <w:color w:val="auto"/>
        </w:rPr>
      </w:pPr>
    </w:p>
    <w:p>
      <w:pPr>
        <w:jc w:val="both"/>
        <w:ind w:left="980" w:hanging="293"/>
        <w:spacing w:after="0" w:line="259"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Contemplated Amendments</w:t>
      </w:r>
      <w:r>
        <w:rPr>
          <w:rFonts w:ascii="Arial" w:cs="Arial" w:eastAsia="Arial" w:hAnsi="Arial"/>
          <w:sz w:val="18"/>
          <w:szCs w:val="18"/>
          <w:color w:val="auto"/>
        </w:rPr>
        <w:t>. It is expressly contemplated that the Board may amend the Plan in any respect the Board deems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to provide eligible Employees with the maximum benefits provided or to be provided under the provisions of the Code and the regulations promulgated thereunder relating to Incentive Stock Options or to bring the Plan or Incentive Stock Options granted under it into compliance therewith.</w:t>
      </w:r>
    </w:p>
    <w:p>
      <w:pPr>
        <w:spacing w:after="0" w:line="181" w:lineRule="exact"/>
        <w:rPr>
          <w:rFonts w:ascii="Arial" w:cs="Arial" w:eastAsia="Arial" w:hAnsi="Arial"/>
          <w:sz w:val="18"/>
          <w:szCs w:val="18"/>
          <w:color w:val="auto"/>
        </w:rPr>
      </w:pPr>
    </w:p>
    <w:p>
      <w:pPr>
        <w:ind w:left="980" w:hanging="303"/>
        <w:spacing w:after="0" w:line="280"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Rights under any Stock Award granted before amendment of the Plan shall not be impaired by any amendment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unless the Participant consents thereto in writing.</w:t>
      </w:r>
    </w:p>
    <w:p>
      <w:pPr>
        <w:spacing w:after="0" w:line="162" w:lineRule="exact"/>
        <w:rPr>
          <w:rFonts w:ascii="Arial" w:cs="Arial" w:eastAsia="Arial" w:hAnsi="Arial"/>
          <w:sz w:val="18"/>
          <w:szCs w:val="18"/>
          <w:color w:val="auto"/>
        </w:rPr>
      </w:pPr>
    </w:p>
    <w:p>
      <w:pPr>
        <w:jc w:val="both"/>
        <w:ind w:left="980" w:hanging="293"/>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Amendment of Stock Awards</w:t>
      </w:r>
      <w:r>
        <w:rPr>
          <w:rFonts w:ascii="Arial" w:cs="Arial" w:eastAsia="Arial" w:hAnsi="Arial"/>
          <w:sz w:val="18"/>
          <w:szCs w:val="18"/>
          <w:color w:val="auto"/>
        </w:rPr>
        <w:t>. The Board at any time, and from time to time, may amend the terms of any one or more Stock Awards;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rights under any Stock Award shall not be impaired by any such amendment unless the Participant consents thereto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w:t>
      </w:r>
    </w:p>
    <w:p>
      <w:pPr>
        <w:spacing w:after="0" w:line="177" w:lineRule="exact"/>
        <w:rPr>
          <w:rFonts w:ascii="Arial" w:cs="Arial" w:eastAsia="Arial" w:hAnsi="Arial"/>
          <w:sz w:val="18"/>
          <w:szCs w:val="18"/>
          <w:color w:val="auto"/>
        </w:rPr>
      </w:pPr>
    </w:p>
    <w:p>
      <w:pPr>
        <w:ind w:left="660" w:hanging="321"/>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SUSPENSION OF THE PLAN.</w:t>
      </w:r>
    </w:p>
    <w:p>
      <w:pPr>
        <w:spacing w:after="0" w:line="223" w:lineRule="exact"/>
        <w:rPr>
          <w:rFonts w:ascii="Arial" w:cs="Arial" w:eastAsia="Arial" w:hAnsi="Arial"/>
          <w:sz w:val="18"/>
          <w:szCs w:val="18"/>
          <w:b w:val="1"/>
          <w:bCs w:val="1"/>
          <w:color w:val="auto"/>
        </w:rPr>
      </w:pPr>
    </w:p>
    <w:p>
      <w:pPr>
        <w:jc w:val="both"/>
        <w:ind w:left="980" w:hanging="293"/>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Plan Term</w:t>
      </w:r>
      <w:r>
        <w:rPr>
          <w:rFonts w:ascii="Arial" w:cs="Arial" w:eastAsia="Arial" w:hAnsi="Arial"/>
          <w:sz w:val="18"/>
          <w:szCs w:val="18"/>
          <w:color w:val="auto"/>
        </w:rPr>
        <w:t>. Unless sooner terminated by the Board pursuant to Section 3, the Plan shall automatically terminate on the day before the tenth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date the Plan is adopted by the Board. No Stock Awards may be granted under the Plan while the Plan is suspended or after it is terminated.</w:t>
      </w:r>
    </w:p>
    <w:p>
      <w:pPr>
        <w:spacing w:after="0" w:line="177" w:lineRule="exact"/>
        <w:rPr>
          <w:rFonts w:ascii="Arial" w:cs="Arial" w:eastAsia="Arial" w:hAnsi="Arial"/>
          <w:sz w:val="18"/>
          <w:szCs w:val="18"/>
          <w:color w:val="auto"/>
        </w:rPr>
      </w:pPr>
    </w:p>
    <w:p>
      <w:pPr>
        <w:ind w:left="980" w:hanging="303"/>
        <w:spacing w:after="0" w:line="280"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Suspension or termination of the Plan shall not impair rights and obligations under any Stock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with the written consent of the Participant.</w:t>
      </w:r>
    </w:p>
    <w:p>
      <w:pPr>
        <w:spacing w:after="0" w:line="162" w:lineRule="exact"/>
        <w:rPr>
          <w:rFonts w:ascii="Arial" w:cs="Arial" w:eastAsia="Arial" w:hAnsi="Arial"/>
          <w:sz w:val="18"/>
          <w:szCs w:val="18"/>
          <w:color w:val="auto"/>
        </w:rPr>
      </w:pPr>
    </w:p>
    <w:p>
      <w:pPr>
        <w:ind w:left="660" w:hanging="321"/>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2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Plan shall become effective upon approval of the stockholders of the Company, provided that such approval is received before the expiration of</w:t>
      </w:r>
    </w:p>
    <w:p>
      <w:pPr>
        <w:spacing w:after="0" w:line="46"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one year from the date the Plan is approved by the Board of Directors, and provided further that the Board of Directors may grant Options (but not award bonus stock, restricted stock, or stock appreciation rights) pursuant to the Plan prior to stockholder approval if the exercise of such Options by its terms is contingent upon stockholder approval of the Plan as provided above.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CHOICE OF LAW.</w:t>
      </w:r>
    </w:p>
    <w:p>
      <w:pPr>
        <w:spacing w:after="0" w:line="227" w:lineRule="exact"/>
        <w:rPr>
          <w:sz w:val="20"/>
          <w:szCs w:val="20"/>
          <w:color w:val="auto"/>
        </w:rPr>
      </w:pPr>
    </w:p>
    <w:p>
      <w:pPr>
        <w:ind w:right="240" w:firstLine="645"/>
        <w:spacing w:after="0" w:line="275" w:lineRule="auto"/>
        <w:rPr>
          <w:sz w:val="20"/>
          <w:szCs w:val="20"/>
          <w:color w:val="auto"/>
        </w:rPr>
      </w:pPr>
      <w:r>
        <w:rPr>
          <w:rFonts w:ascii="Arial" w:cs="Arial" w:eastAsia="Arial" w:hAnsi="Arial"/>
          <w:sz w:val="18"/>
          <w:szCs w:val="18"/>
          <w:color w:val="auto"/>
        </w:rPr>
        <w:t>The law of the State of Nevada shall govern all questions concerning the construction, validity and interpretation of this Plan, without regard to the choice of law rules.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22"/>
          <w:szCs w:val="22"/>
          <w:b w:val="1"/>
          <w:bCs w:val="1"/>
          <w:color w:val="auto"/>
        </w:rPr>
        <w:t>READING INTERNATIONAL, INC.</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FOR THE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13, 2010</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undersigned hereby appoints James J. Cotter and Andrzej Matyczynski, and each of them, the attorneys, agents, and proxies of the undersigned, with full powers of substitution to each, to attend and act as proxy or proxies of the undersigned at the Annual Meeting of Stockholders of Reading International, Inc. to be held at Montage Beverly Hills, 225 North Canon Drive, Beverly Hills, California, on Thursday, May 13, 2010 at 11:00 a.m., local time, and at and with respect to any and all adjournments or postponements thereof, and to vote as specified herein the number of shares which the undersigned, if personally present, would be entitled to vote.</w:t>
      </w:r>
    </w:p>
    <w:p>
      <w:pPr>
        <w:spacing w:after="0" w:line="19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The undersigned hereby ratifies and confirms all that the attorneys and proxies, or any of them, or their substitutes, shall lawfully do or cause to be done by virtue hereof, and hereby revokes any and all proxies heretofore given by the undersigned to vote at the meeting. The undersigned acknowledges receipt of the Notice of Annual Meeting and the Proxy Statement accompanying such notice.</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color w:val="auto"/>
        </w:rPr>
        <w:t>THE BOARD OF DIRECTORS RECOMMENDS A VOTE “FOR” THE PROPOSAL TO APPROVE THE ADOPTION OF THE 2010 STOCK INCENTIVE PLAN AND THE ELECTION OF DIRECTORS NOMINATED BY THE BOARD OF DIRECTORS. THE PROXY, WHEN PROPERLY EXECUTED, WILL BE VOTED AS DIRECTED. IF NO DIRECTION IS MADE, IT WILL BE VOTED “FOR” THE PROPOSAL TO APPROVE THE ADOPTION OF THE 2010 STOCK INCENTIVE PLAN AND THE ELECTION OF DIRECTORS NOMINATED BY THE BOARD OF DIRECTORS.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AND DATE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25106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75" w:right="259" w:bottom="1440" w:gutter="0" w:footer="0" w:header="0"/>
        </w:sectPr>
      </w:pPr>
    </w:p>
    <w:bookmarkStart w:id="52" w:name="page53"/>
    <w:bookmarkEnd w:id="52"/>
    <w:p>
      <w:pPr>
        <w:ind w:left="5700"/>
        <w:spacing w:after="0"/>
        <w:rPr>
          <w:sz w:val="20"/>
          <w:szCs w:val="20"/>
          <w:color w:val="auto"/>
        </w:rPr>
      </w:pPr>
      <w:r>
        <w:rPr>
          <w:rFonts w:ascii="Arial" w:cs="Arial" w:eastAsia="Arial" w:hAnsi="Arial"/>
          <w:sz w:val="18"/>
          <w:szCs w:val="18"/>
          <w:b w:val="1"/>
          <w:bCs w:val="1"/>
          <w:color w:val="auto"/>
        </w:rPr>
        <w:t>Electronic Voting Instructions</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You can vote by Internet or telephone!</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Instead of mailing your proxy, you may choose one of the two voting methods</w:t>
      </w:r>
    </w:p>
    <w:p>
      <w:pPr>
        <w:spacing w:after="0" w:line="3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outlined below to vote your proxy.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VALIDATION DETAILS ARE LOCATED BELOW IN THE TITLE BAR</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Proxies submitted by the Internet or telephone must be received by 1:00</w:t>
      </w:r>
    </w:p>
    <w:p>
      <w:pPr>
        <w:spacing w:after="0" w:line="3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a.m., Central Time, on May 13, 2010.</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Vote by Internet</w:t>
      </w:r>
    </w:p>
    <w:p>
      <w:pPr>
        <w:spacing w:after="0" w:line="8" w:lineRule="exact"/>
        <w:rPr>
          <w:sz w:val="20"/>
          <w:szCs w:val="20"/>
          <w:color w:val="auto"/>
        </w:rPr>
      </w:pPr>
    </w:p>
    <w:p>
      <w:pPr>
        <w:ind w:left="5700"/>
        <w:spacing w:after="0"/>
        <w:tabs>
          <w:tab w:leader="none" w:pos="5940" w:val="left"/>
        </w:tabs>
        <w:rPr>
          <w:sz w:val="20"/>
          <w:szCs w:val="20"/>
          <w:color w:val="auto"/>
        </w:rPr>
      </w:pPr>
      <w:r>
        <w:rPr>
          <w:rFonts w:ascii="Arial" w:cs="Arial" w:eastAsia="Arial" w:hAnsi="Arial"/>
          <w:sz w:val="18"/>
          <w:szCs w:val="18"/>
          <w:color w:val="auto"/>
        </w:rPr>
        <w:t>·</w:t>
        <w:tab/>
        <w:t xml:space="preserve">Log on to the Internet and go to </w:t>
      </w:r>
      <w:r>
        <w:rPr>
          <w:rFonts w:ascii="Arial" w:cs="Arial" w:eastAsia="Arial" w:hAnsi="Arial"/>
          <w:sz w:val="18"/>
          <w:szCs w:val="18"/>
          <w:b w:val="1"/>
          <w:bCs w:val="1"/>
          <w:color w:val="auto"/>
        </w:rPr>
        <w:t>www.investorvote.com/RDI</w:t>
      </w:r>
    </w:p>
    <w:p>
      <w:pPr>
        <w:spacing w:after="0" w:line="8" w:lineRule="exact"/>
        <w:rPr>
          <w:sz w:val="20"/>
          <w:szCs w:val="20"/>
          <w:color w:val="auto"/>
        </w:rPr>
      </w:pPr>
    </w:p>
    <w:p>
      <w:pPr>
        <w:ind w:left="5700"/>
        <w:spacing w:after="0"/>
        <w:tabs>
          <w:tab w:leader="none" w:pos="5940" w:val="left"/>
        </w:tabs>
        <w:rPr>
          <w:sz w:val="20"/>
          <w:szCs w:val="20"/>
          <w:color w:val="auto"/>
        </w:rPr>
      </w:pPr>
      <w:r>
        <w:rPr>
          <w:rFonts w:ascii="Arial" w:cs="Arial" w:eastAsia="Arial" w:hAnsi="Arial"/>
          <w:sz w:val="18"/>
          <w:szCs w:val="18"/>
          <w:color w:val="auto"/>
        </w:rPr>
        <w:t>·</w:t>
        <w:tab/>
        <w:t>Follow the steps outlined on the secured website.</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Vote by telephone</w:t>
      </w:r>
    </w:p>
    <w:p>
      <w:pPr>
        <w:spacing w:after="0" w:line="8" w:lineRule="exact"/>
        <w:rPr>
          <w:sz w:val="20"/>
          <w:szCs w:val="20"/>
          <w:color w:val="auto"/>
        </w:rPr>
      </w:pPr>
    </w:p>
    <w:p>
      <w:pPr>
        <w:ind w:left="5700"/>
        <w:spacing w:after="0"/>
        <w:tabs>
          <w:tab w:leader="none" w:pos="5940" w:val="left"/>
        </w:tabs>
        <w:rPr>
          <w:sz w:val="20"/>
          <w:szCs w:val="20"/>
          <w:color w:val="auto"/>
        </w:rPr>
      </w:pPr>
      <w:r>
        <w:rPr>
          <w:rFonts w:ascii="Arial" w:cs="Arial" w:eastAsia="Arial" w:hAnsi="Arial"/>
          <w:sz w:val="17"/>
          <w:szCs w:val="17"/>
          <w:color w:val="auto"/>
        </w:rPr>
        <w:t>·</w:t>
        <w:tab/>
        <w:t>Call toll free 1-800-652-VOTE (8683) within the USA, US territories &amp;</w:t>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 xml:space="preserve">Canada any time on a touch tone telephone. There is </w:t>
      </w:r>
      <w:r>
        <w:rPr>
          <w:rFonts w:ascii="Arial" w:cs="Arial" w:eastAsia="Arial" w:hAnsi="Arial"/>
          <w:sz w:val="16"/>
          <w:szCs w:val="16"/>
          <w:b w:val="1"/>
          <w:bCs w:val="1"/>
          <w:color w:val="auto"/>
        </w:rPr>
        <w:t>NO CHARGE</w:t>
      </w:r>
      <w:r>
        <w:rPr>
          <w:rFonts w:ascii="Arial" w:cs="Arial" w:eastAsia="Arial" w:hAnsi="Arial"/>
          <w:sz w:val="16"/>
          <w:szCs w:val="16"/>
          <w:color w:val="auto"/>
        </w:rPr>
        <w:t xml:space="preserve"> to you for</w:t>
      </w:r>
    </w:p>
    <w:p>
      <w:pPr>
        <w:spacing w:after="0" w:line="3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call.</w:t>
      </w:r>
    </w:p>
    <w:p>
      <w:pPr>
        <w:spacing w:after="0" w:line="8" w:lineRule="exact"/>
        <w:rPr>
          <w:sz w:val="20"/>
          <w:szCs w:val="20"/>
          <w:color w:val="auto"/>
        </w:rPr>
      </w:pPr>
    </w:p>
    <w:p>
      <w:pPr>
        <w:ind w:left="5700"/>
        <w:spacing w:after="0"/>
        <w:tabs>
          <w:tab w:leader="none" w:pos="5940" w:val="left"/>
        </w:tabs>
        <w:rPr>
          <w:sz w:val="20"/>
          <w:szCs w:val="20"/>
          <w:color w:val="auto"/>
        </w:rPr>
      </w:pPr>
      <w:r>
        <w:rPr>
          <w:rFonts w:ascii="Arial" w:cs="Arial" w:eastAsia="Arial" w:hAnsi="Arial"/>
          <w:sz w:val="18"/>
          <w:szCs w:val="18"/>
          <w:color w:val="auto"/>
        </w:rPr>
        <w:t>·</w:t>
        <w:tab/>
        <w:t>Follow the instructions provided by the recorded message.</w:t>
      </w:r>
    </w:p>
    <w:p>
      <w:pPr>
        <w:spacing w:after="0" w:line="8"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b w:val="1"/>
          <w:bCs w:val="1"/>
          <w:u w:val="single" w:color="auto"/>
          <w:color w:val="auto"/>
        </w:rPr>
        <w:t>Annual Meeting Proxy Card</w:t>
      </w:r>
      <w:r>
        <w:rPr>
          <w:sz w:val="20"/>
          <w:szCs w:val="20"/>
          <w:color w:val="auto"/>
        </w:rPr>
        <w:tab/>
      </w:r>
      <w:r>
        <w:rPr>
          <w:rFonts w:ascii="Arial" w:cs="Arial" w:eastAsia="Arial" w:hAnsi="Arial"/>
          <w:sz w:val="15"/>
          <w:szCs w:val="15"/>
          <w:b w:val="1"/>
          <w:bCs w:val="1"/>
          <w:color w:val="auto"/>
        </w:rPr>
        <w:t>60;</w:t>
      </w:r>
    </w:p>
    <w:p>
      <w:pPr>
        <w:spacing w:after="0" w:line="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IF YOU HAVE NOT VOTED VIA THE INTERNET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TELEPHONE, FOLD ALONG THE PERFORATION,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6821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Proposals</w:t>
      </w:r>
    </w:p>
    <w:p>
      <w:pPr>
        <w:spacing w:after="0" w:line="27" w:lineRule="exact"/>
        <w:rPr>
          <w:sz w:val="20"/>
          <w:szCs w:val="20"/>
          <w:color w:val="auto"/>
        </w:rPr>
      </w:pPr>
    </w:p>
    <w:p>
      <w:pPr>
        <w:ind w:right="380" w:firstLine="8"/>
        <w:spacing w:after="0" w:line="258" w:lineRule="auto"/>
        <w:tabs>
          <w:tab w:leader="none" w:pos="2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Adoption of 2010 Stock Incentive Plan – The Board of Directors recommends a vote FOR approval of adoption of the 2010 Stock Incentive Plan.</w:t>
      </w:r>
    </w:p>
    <w:p>
      <w:pPr>
        <w:sectPr>
          <w:pgSz w:w="11900" w:h="16838" w:orient="portrait"/>
          <w:cols w:equalWidth="0" w:num="1">
            <w:col w:w="11400"/>
          </w:cols>
          <w:pgMar w:left="240" w:top="484" w:right="259" w:bottom="1440" w:gutter="0" w:footer="0" w:header="0"/>
        </w:sectPr>
      </w:pPr>
    </w:p>
    <w:p>
      <w:pPr>
        <w:spacing w:after="0" w:line="18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2460"/>
        <w:spacing w:after="0"/>
        <w:rPr>
          <w:sz w:val="20"/>
          <w:szCs w:val="20"/>
          <w:color w:val="auto"/>
        </w:rPr>
      </w:pPr>
      <w:r>
        <w:rPr>
          <w:rFonts w:ascii="Arial" w:cs="Arial" w:eastAsia="Arial" w:hAnsi="Arial"/>
          <w:sz w:val="16"/>
          <w:szCs w:val="16"/>
          <w:color w:val="auto"/>
        </w:rPr>
        <w:t>Against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Withhold</w:t>
      </w:r>
    </w:p>
    <w:p>
      <w:pPr>
        <w:spacing w:after="0" w:line="34" w:lineRule="exact"/>
        <w:rPr>
          <w:sz w:val="20"/>
          <w:szCs w:val="20"/>
          <w:color w:val="auto"/>
        </w:rPr>
      </w:pPr>
    </w:p>
    <w:p>
      <w:pPr>
        <w:sectPr>
          <w:pgSz w:w="11900" w:h="16838" w:orient="portrait"/>
          <w:cols w:equalWidth="0" w:num="3">
            <w:col w:w="4720" w:space="720"/>
            <w:col w:w="3020" w:space="720"/>
            <w:col w:w="2220"/>
          </w:cols>
          <w:pgMar w:left="240" w:top="484" w:right="259" w:bottom="1440" w:gutter="0" w:footer="0" w:header="0"/>
          <w:type w:val="continuous"/>
        </w:sectPr>
      </w:pPr>
    </w:p>
    <w:p>
      <w:pPr>
        <w:ind w:left="18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2880"/>
        <w:spacing w:after="0" w:line="181" w:lineRule="exact"/>
        <w:rPr>
          <w:sz w:val="20"/>
          <w:szCs w:val="20"/>
          <w:color w:val="auto"/>
        </w:rPr>
      </w:pP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r>
        <w:rPr>
          <w:rFonts w:ascii="MS PGothic" w:cs="MS PGothic" w:eastAsia="MS PGothic" w:hAnsi="MS PGothic"/>
          <w:sz w:val="20"/>
          <w:szCs w:val="20"/>
          <w:color w:val="auto"/>
        </w:rPr>
        <w:t>☐</w:t>
      </w:r>
    </w:p>
    <w:p>
      <w:pPr>
        <w:spacing w:after="0" w:line="200" w:lineRule="exact"/>
        <w:rPr>
          <w:sz w:val="20"/>
          <w:szCs w:val="20"/>
          <w:color w:val="auto"/>
        </w:rPr>
      </w:pPr>
    </w:p>
    <w:p>
      <w:pPr>
        <w:sectPr>
          <w:pgSz w:w="11900" w:h="16838" w:orient="portrait"/>
          <w:cols w:equalWidth="0" w:num="3">
            <w:col w:w="4900" w:space="720"/>
            <w:col w:w="3080" w:space="720"/>
            <w:col w:w="1980"/>
          </w:cols>
          <w:pgMar w:left="240" w:top="484" w:right="259" w:bottom="1440" w:gutter="0" w:footer="0" w:header="0"/>
          <w:type w:val="continuous"/>
        </w:sectPr>
      </w:pPr>
    </w:p>
    <w:p>
      <w:pPr>
        <w:spacing w:after="0" w:line="52" w:lineRule="exact"/>
        <w:rPr>
          <w:sz w:val="20"/>
          <w:szCs w:val="20"/>
          <w:color w:val="auto"/>
        </w:rPr>
      </w:pPr>
    </w:p>
    <w:p>
      <w:pPr>
        <w:ind w:left="980" w:right="3920" w:hanging="972"/>
        <w:spacing w:after="0" w:line="280" w:lineRule="auto"/>
        <w:tabs>
          <w:tab w:leader="none" w:pos="23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Election of Directors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w:t>
      </w:r>
      <w:r>
        <w:rPr>
          <w:rFonts w:ascii="Arial" w:cs="Arial" w:eastAsia="Arial" w:hAnsi="Arial"/>
          <w:sz w:val="18"/>
          <w:szCs w:val="18"/>
          <w:color w:val="auto"/>
        </w:rPr>
        <w:t>Nominees: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For</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Against</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Withhold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For</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Against</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Withhold</w:t>
            </w:r>
          </w:p>
        </w:tc>
        <w:tc>
          <w:tcPr>
            <w:tcW w:w="1400" w:type="dxa"/>
            <w:vAlign w:val="bottom"/>
          </w:tcPr>
          <w:p>
            <w:pPr>
              <w:spacing w:after="0"/>
              <w:rPr>
                <w:sz w:val="18"/>
                <w:szCs w:val="18"/>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For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Against</w:t>
            </w:r>
          </w:p>
        </w:tc>
        <w:tc>
          <w:tcPr>
            <w:tcW w:w="800" w:type="dxa"/>
            <w:vAlign w:val="bottom"/>
          </w:tcPr>
          <w:p>
            <w:pPr>
              <w:jc w:val="center"/>
              <w:ind w:left="18"/>
              <w:spacing w:after="0"/>
              <w:rPr>
                <w:sz w:val="20"/>
                <w:szCs w:val="20"/>
                <w:color w:val="auto"/>
              </w:rPr>
            </w:pPr>
            <w:r>
              <w:rPr>
                <w:rFonts w:ascii="Arial" w:cs="Arial" w:eastAsia="Arial" w:hAnsi="Arial"/>
                <w:sz w:val="18"/>
                <w:szCs w:val="18"/>
                <w:color w:val="auto"/>
                <w:w w:val="97"/>
              </w:rPr>
              <w:t>Withhold</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0"/>
                <w:szCs w:val="20"/>
                <w:color w:val="auto"/>
              </w:rPr>
            </w:pPr>
            <w:r>
              <w:rPr>
                <w:rFonts w:ascii="Arial" w:cs="Arial" w:eastAsia="Arial" w:hAnsi="Arial"/>
                <w:sz w:val="18"/>
                <w:szCs w:val="18"/>
                <w:color w:val="auto"/>
                <w:w w:val="89"/>
              </w:rPr>
              <w:t>01</w:t>
            </w:r>
          </w:p>
        </w:tc>
        <w:tc>
          <w:tcPr>
            <w:tcW w:w="1080" w:type="dxa"/>
            <w:vAlign w:val="bottom"/>
          </w:tcPr>
          <w:p>
            <w:pPr>
              <w:ind w:left="40"/>
              <w:spacing w:after="0"/>
              <w:rPr>
                <w:sz w:val="20"/>
                <w:szCs w:val="20"/>
                <w:color w:val="auto"/>
              </w:rPr>
            </w:pPr>
            <w:r>
              <w:rPr>
                <w:rFonts w:ascii="Arial" w:cs="Arial" w:eastAsia="Arial" w:hAnsi="Arial"/>
                <w:sz w:val="18"/>
                <w:szCs w:val="18"/>
                <w:color w:val="auto"/>
              </w:rPr>
              <w:t>- James J.</w:t>
            </w:r>
          </w:p>
        </w:tc>
        <w:tc>
          <w:tcPr>
            <w:tcW w:w="72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89"/>
              </w:rPr>
              <w:t>02</w:t>
            </w:r>
          </w:p>
        </w:tc>
        <w:tc>
          <w:tcPr>
            <w:tcW w:w="1140" w:type="dxa"/>
            <w:vAlign w:val="bottom"/>
          </w:tcPr>
          <w:p>
            <w:pPr>
              <w:ind w:left="20"/>
              <w:spacing w:after="0"/>
              <w:rPr>
                <w:sz w:val="20"/>
                <w:szCs w:val="20"/>
                <w:color w:val="auto"/>
              </w:rPr>
            </w:pPr>
            <w:r>
              <w:rPr>
                <w:rFonts w:ascii="Arial" w:cs="Arial" w:eastAsia="Arial" w:hAnsi="Arial"/>
                <w:sz w:val="18"/>
                <w:szCs w:val="18"/>
                <w:color w:val="auto"/>
              </w:rPr>
              <w:t>- Eric Barr</w:t>
            </w:r>
          </w:p>
        </w:tc>
        <w:tc>
          <w:tcPr>
            <w:tcW w:w="68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03 - James J.</w:t>
            </w:r>
          </w:p>
        </w:tc>
        <w:tc>
          <w:tcPr>
            <w:tcW w:w="68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9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800" w:type="dxa"/>
            <w:vAlign w:val="bottom"/>
          </w:tcPr>
          <w:p>
            <w:pPr>
              <w:jc w:val="center"/>
              <w:ind w:left="18"/>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14"/>
        </w:trPr>
        <w:tc>
          <w:tcPr>
            <w:tcW w:w="1280" w:type="dxa"/>
            <w:vAlign w:val="bottom"/>
            <w:gridSpan w:val="2"/>
          </w:tcPr>
          <w:p>
            <w:pPr>
              <w:spacing w:after="0"/>
              <w:rPr>
                <w:sz w:val="20"/>
                <w:szCs w:val="20"/>
                <w:color w:val="auto"/>
              </w:rPr>
            </w:pPr>
            <w:r>
              <w:rPr>
                <w:rFonts w:ascii="Arial" w:cs="Arial" w:eastAsia="Arial" w:hAnsi="Arial"/>
                <w:sz w:val="18"/>
                <w:szCs w:val="18"/>
                <w:color w:val="auto"/>
              </w:rPr>
              <w:t>Cotter</w:t>
            </w:r>
          </w:p>
        </w:tc>
        <w:tc>
          <w:tcPr>
            <w:tcW w:w="720" w:type="dxa"/>
            <w:vAlign w:val="bottom"/>
            <w:vMerge w:val="restart"/>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vMerge w:val="restart"/>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Cotter, Jr.</w:t>
            </w:r>
          </w:p>
        </w:tc>
        <w:tc>
          <w:tcPr>
            <w:tcW w:w="680" w:type="dxa"/>
            <w:vAlign w:val="bottom"/>
            <w:vMerge w:val="restart"/>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9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800" w:type="dxa"/>
            <w:vAlign w:val="bottom"/>
            <w:vMerge w:val="restart"/>
          </w:tcPr>
          <w:p>
            <w:pPr>
              <w:jc w:val="center"/>
              <w:ind w:left="18"/>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04</w:t>
            </w:r>
          </w:p>
        </w:tc>
        <w:tc>
          <w:tcPr>
            <w:tcW w:w="1080" w:type="dxa"/>
            <w:vAlign w:val="bottom"/>
          </w:tcPr>
          <w:p>
            <w:pPr>
              <w:ind w:left="40"/>
              <w:spacing w:after="0"/>
              <w:rPr>
                <w:sz w:val="20"/>
                <w:szCs w:val="20"/>
                <w:color w:val="auto"/>
              </w:rPr>
            </w:pPr>
            <w:r>
              <w:rPr>
                <w:rFonts w:ascii="Arial" w:cs="Arial" w:eastAsia="Arial" w:hAnsi="Arial"/>
                <w:sz w:val="18"/>
                <w:szCs w:val="18"/>
                <w:color w:val="auto"/>
              </w:rPr>
              <w:t>- Margaret</w:t>
            </w:r>
          </w:p>
        </w:tc>
        <w:tc>
          <w:tcPr>
            <w:tcW w:w="7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89"/>
              </w:rPr>
              <w:t>05</w:t>
            </w:r>
          </w:p>
        </w:tc>
        <w:tc>
          <w:tcPr>
            <w:tcW w:w="1140" w:type="dxa"/>
            <w:vAlign w:val="bottom"/>
          </w:tcPr>
          <w:p>
            <w:pPr>
              <w:ind w:left="20"/>
              <w:spacing w:after="0"/>
              <w:rPr>
                <w:sz w:val="20"/>
                <w:szCs w:val="20"/>
                <w:color w:val="auto"/>
              </w:rPr>
            </w:pPr>
            <w:r>
              <w:rPr>
                <w:rFonts w:ascii="Arial" w:cs="Arial" w:eastAsia="Arial" w:hAnsi="Arial"/>
                <w:sz w:val="18"/>
                <w:szCs w:val="18"/>
                <w:color w:val="auto"/>
              </w:rPr>
              <w:t>- William D.</w:t>
            </w:r>
          </w:p>
        </w:tc>
        <w:tc>
          <w:tcPr>
            <w:tcW w:w="6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00" w:type="dxa"/>
            <w:vAlign w:val="bottom"/>
          </w:tcPr>
          <w:p>
            <w:pPr>
              <w:ind w:left="60"/>
              <w:spacing w:after="0"/>
              <w:rPr>
                <w:sz w:val="20"/>
                <w:szCs w:val="20"/>
                <w:color w:val="auto"/>
              </w:rPr>
            </w:pPr>
            <w:r>
              <w:rPr>
                <w:rFonts w:ascii="Arial" w:cs="Arial" w:eastAsia="Arial" w:hAnsi="Arial"/>
                <w:sz w:val="18"/>
                <w:szCs w:val="18"/>
                <w:color w:val="auto"/>
              </w:rPr>
              <w:t>06 - Edward L.</w:t>
            </w:r>
          </w:p>
        </w:tc>
        <w:tc>
          <w:tcPr>
            <w:tcW w:w="6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gridSpan w:val="2"/>
          </w:tcPr>
          <w:p>
            <w:pPr>
              <w:spacing w:after="0"/>
              <w:rPr>
                <w:sz w:val="20"/>
                <w:szCs w:val="20"/>
                <w:color w:val="auto"/>
              </w:rPr>
            </w:pPr>
            <w:r>
              <w:rPr>
                <w:rFonts w:ascii="Arial" w:cs="Arial" w:eastAsia="Arial" w:hAnsi="Arial"/>
                <w:sz w:val="18"/>
                <w:szCs w:val="18"/>
                <w:color w:val="auto"/>
              </w:rPr>
              <w:t>Cotter</w:t>
            </w:r>
          </w:p>
        </w:tc>
        <w:tc>
          <w:tcPr>
            <w:tcW w:w="720" w:type="dxa"/>
            <w:vAlign w:val="bottom"/>
            <w:vMerge w:val="restart"/>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Gould</w:t>
            </w:r>
          </w:p>
        </w:tc>
        <w:tc>
          <w:tcPr>
            <w:tcW w:w="680" w:type="dxa"/>
            <w:vAlign w:val="bottom"/>
            <w:vMerge w:val="restart"/>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8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400" w:type="dxa"/>
            <w:vAlign w:val="bottom"/>
          </w:tcPr>
          <w:p>
            <w:pPr>
              <w:ind w:left="60"/>
              <w:spacing w:after="0"/>
              <w:rPr>
                <w:sz w:val="20"/>
                <w:szCs w:val="20"/>
                <w:color w:val="auto"/>
              </w:rPr>
            </w:pPr>
            <w:r>
              <w:rPr>
                <w:rFonts w:ascii="Arial" w:cs="Arial" w:eastAsia="Arial" w:hAnsi="Arial"/>
                <w:sz w:val="18"/>
                <w:szCs w:val="18"/>
                <w:color w:val="auto"/>
              </w:rPr>
              <w:t>Kane</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07</w:t>
            </w:r>
          </w:p>
        </w:tc>
        <w:tc>
          <w:tcPr>
            <w:tcW w:w="1080" w:type="dxa"/>
            <w:vAlign w:val="bottom"/>
          </w:tcPr>
          <w:p>
            <w:pPr>
              <w:ind w:left="40"/>
              <w:spacing w:after="0"/>
              <w:rPr>
                <w:sz w:val="20"/>
                <w:szCs w:val="20"/>
                <w:color w:val="auto"/>
              </w:rPr>
            </w:pPr>
            <w:r>
              <w:rPr>
                <w:rFonts w:ascii="Arial" w:cs="Arial" w:eastAsia="Arial" w:hAnsi="Arial"/>
                <w:sz w:val="18"/>
                <w:szCs w:val="18"/>
                <w:color w:val="auto"/>
              </w:rPr>
              <w:t>- Gerard P.</w:t>
            </w:r>
          </w:p>
        </w:tc>
        <w:tc>
          <w:tcPr>
            <w:tcW w:w="7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89"/>
              </w:rPr>
              <w:t>08</w:t>
            </w:r>
          </w:p>
        </w:tc>
        <w:tc>
          <w:tcPr>
            <w:tcW w:w="1140" w:type="dxa"/>
            <w:vAlign w:val="bottom"/>
          </w:tcPr>
          <w:p>
            <w:pPr>
              <w:ind w:left="20"/>
              <w:spacing w:after="0"/>
              <w:rPr>
                <w:sz w:val="20"/>
                <w:szCs w:val="20"/>
                <w:color w:val="auto"/>
              </w:rPr>
            </w:pPr>
            <w:r>
              <w:rPr>
                <w:rFonts w:ascii="Arial" w:cs="Arial" w:eastAsia="Arial" w:hAnsi="Arial"/>
                <w:sz w:val="18"/>
                <w:szCs w:val="18"/>
                <w:color w:val="auto"/>
              </w:rPr>
              <w:t>- Alfred</w:t>
            </w:r>
          </w:p>
        </w:tc>
        <w:tc>
          <w:tcPr>
            <w:tcW w:w="6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Laheney</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Villaseñor</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8"/>
        <w:spacing w:after="0" w:line="264" w:lineRule="auto"/>
        <w:tabs>
          <w:tab w:leader="none" w:pos="22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Business</w:t>
      </w:r>
      <w:r>
        <w:rPr>
          <w:rFonts w:ascii="Arial" w:cs="Arial" w:eastAsia="Arial" w:hAnsi="Arial"/>
          <w:sz w:val="18"/>
          <w:szCs w:val="18"/>
          <w:color w:val="auto"/>
        </w:rPr>
        <w:t>. In their discretion, the proxies are authorized to vote upon such other business as may properly come before the meeting and at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and all adjournments or postponements thereof. The Board of Directors at present knows of no other business to be presented by or on behalf of the Company or the Board of Directors at the meeting</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6920" w:type="dxa"/>
            <w:vAlign w:val="bottom"/>
          </w:tcPr>
          <w:p>
            <w:pPr>
              <w:spacing w:after="0"/>
              <w:rPr>
                <w:sz w:val="20"/>
                <w:szCs w:val="20"/>
                <w:color w:val="auto"/>
              </w:rPr>
            </w:pPr>
            <w:r>
              <w:rPr>
                <w:rFonts w:ascii="Arial" w:cs="Arial" w:eastAsia="Arial" w:hAnsi="Arial"/>
                <w:sz w:val="18"/>
                <w:szCs w:val="18"/>
                <w:b w:val="1"/>
                <w:bCs w:val="1"/>
                <w:color w:val="auto"/>
              </w:rPr>
              <w:t>B. Non-Voting Items</w:t>
            </w:r>
          </w:p>
        </w:tc>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Meeting Attendance</w:t>
            </w:r>
          </w:p>
        </w:tc>
        <w:tc>
          <w:tcPr>
            <w:tcW w:w="0" w:type="dxa"/>
            <w:vAlign w:val="bottom"/>
          </w:tcPr>
          <w:p>
            <w:pPr>
              <w:spacing w:after="0"/>
              <w:rPr>
                <w:sz w:val="1"/>
                <w:szCs w:val="1"/>
                <w:color w:val="auto"/>
              </w:rPr>
            </w:pPr>
          </w:p>
        </w:tc>
      </w:tr>
      <w:tr>
        <w:trPr>
          <w:trHeight w:val="226"/>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of Address – Please print new address below.</w:t>
            </w:r>
          </w:p>
        </w:tc>
        <w:tc>
          <w:tcPr>
            <w:tcW w:w="3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6920" w:type="dxa"/>
            <w:vAlign w:val="bottom"/>
            <w:tcBorders>
              <w:left w:val="single" w:sz="8" w:color="auto"/>
              <w:right w:val="single" w:sz="8" w:color="auto"/>
            </w:tcBorders>
          </w:tcPr>
          <w:p>
            <w:pPr>
              <w:spacing w:after="0"/>
              <w:rPr>
                <w:sz w:val="16"/>
                <w:szCs w:val="16"/>
                <w:color w:val="auto"/>
              </w:rPr>
            </w:pPr>
          </w:p>
        </w:tc>
        <w:tc>
          <w:tcPr>
            <w:tcW w:w="3940" w:type="dxa"/>
            <w:vAlign w:val="bottom"/>
          </w:tcPr>
          <w:p>
            <w:pPr>
              <w:spacing w:after="0" w:line="185" w:lineRule="exact"/>
              <w:rPr>
                <w:sz w:val="20"/>
                <w:szCs w:val="20"/>
                <w:color w:val="auto"/>
              </w:rPr>
            </w:pPr>
            <w:r>
              <w:rPr>
                <w:rFonts w:ascii="Arial" w:cs="Arial" w:eastAsia="Arial" w:hAnsi="Arial"/>
                <w:sz w:val="13"/>
                <w:szCs w:val="13"/>
                <w:color w:val="auto"/>
              </w:rPr>
              <w:t xml:space="preserve">Mark the box to the right if you plan to attend the  </w:t>
            </w:r>
            <w:r>
              <w:rPr>
                <w:rFonts w:ascii="MS PGothic" w:cs="MS PGothic" w:eastAsia="MS PGothic" w:hAnsi="MS PGothic"/>
                <w:sz w:val="21"/>
                <w:szCs w:val="21"/>
                <w:color w:val="auto"/>
                <w:vertAlign w:val="subscript"/>
              </w:rPr>
              <w:t>☐</w:t>
            </w:r>
          </w:p>
        </w:tc>
        <w:tc>
          <w:tcPr>
            <w:tcW w:w="0" w:type="dxa"/>
            <w:vAlign w:val="bottom"/>
          </w:tcPr>
          <w:p>
            <w:pPr>
              <w:spacing w:after="0"/>
              <w:rPr>
                <w:sz w:val="1"/>
                <w:szCs w:val="1"/>
                <w:color w:val="auto"/>
              </w:rPr>
            </w:pPr>
          </w:p>
        </w:tc>
      </w:tr>
      <w:tr>
        <w:trPr>
          <w:trHeight w:val="212"/>
        </w:trPr>
        <w:tc>
          <w:tcPr>
            <w:tcW w:w="6920" w:type="dxa"/>
            <w:vAlign w:val="bottom"/>
            <w:tcBorders>
              <w:left w:val="single" w:sz="8" w:color="auto"/>
              <w:bottom w:val="single" w:sz="8" w:color="auto"/>
              <w:right w:val="single" w:sz="8" w:color="auto"/>
            </w:tcBorders>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Authorized Signatures – This section must be completed for your vote to be counted. – Date and Sign Below</w:t>
      </w:r>
    </w:p>
    <w:p>
      <w:pPr>
        <w:spacing w:after="0" w:line="22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Please date this proxy card and sign above exactly as your name appears on this card. Joint owners should each sign personally. Corporate proxies should be signed by an authorized officer. Executors, administrators, trustees, etc., should give their full titles.</w:t>
      </w:r>
    </w:p>
    <w:p>
      <w:pPr>
        <w:spacing w:after="0" w:line="171" w:lineRule="exact"/>
        <w:rPr>
          <w:sz w:val="20"/>
          <w:szCs w:val="20"/>
          <w:color w:val="auto"/>
        </w:rPr>
      </w:pPr>
    </w:p>
    <w:p>
      <w:pPr>
        <w:spacing w:after="0"/>
        <w:tabs>
          <w:tab w:leader="none" w:pos="3800" w:val="left"/>
          <w:tab w:leader="none" w:pos="7600" w:val="left"/>
        </w:tabs>
        <w:rPr>
          <w:sz w:val="20"/>
          <w:szCs w:val="20"/>
          <w:color w:val="auto"/>
        </w:rPr>
      </w:pPr>
      <w:r>
        <w:rPr>
          <w:rFonts w:ascii="Arial" w:cs="Arial" w:eastAsia="Arial" w:hAnsi="Arial"/>
          <w:sz w:val="18"/>
          <w:szCs w:val="18"/>
          <w:color w:val="auto"/>
        </w:rPr>
        <w:t>Date (mm/dd/yyyy) – Please print date below.</w:t>
      </w:r>
      <w:r>
        <w:rPr>
          <w:sz w:val="20"/>
          <w:szCs w:val="20"/>
          <w:color w:val="auto"/>
        </w:rPr>
        <w:tab/>
      </w:r>
      <w:r>
        <w:rPr>
          <w:rFonts w:ascii="Arial" w:cs="Arial" w:eastAsia="Arial" w:hAnsi="Arial"/>
          <w:sz w:val="18"/>
          <w:szCs w:val="18"/>
          <w:color w:val="auto"/>
        </w:rPr>
        <w:t>Signature 1 – Please keep signature within the box.</w:t>
      </w:r>
      <w:r>
        <w:rPr>
          <w:sz w:val="20"/>
          <w:szCs w:val="20"/>
          <w:color w:val="auto"/>
        </w:rPr>
        <w:tab/>
      </w:r>
      <w:r>
        <w:rPr>
          <w:rFonts w:ascii="Arial" w:cs="Arial" w:eastAsia="Arial" w:hAnsi="Arial"/>
          <w:sz w:val="16"/>
          <w:szCs w:val="16"/>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49160" cy="158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9160" cy="1581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541655</wp:posOffset>
            </wp:positionV>
            <wp:extent cx="725106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type w:val="continuous"/>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lvl w:ilvl="1">
      <w:lvlJc w:val="left"/>
      <w:lvlText w:val="(%2)"/>
      <w:numFmt w:val="decimal"/>
      <w:start w:val="1"/>
    </w:lvl>
  </w:abstractNum>
  <w:abstractNum w:abstractNumId="7">
    <w:nsid w:val="B03E0C6"/>
    <w:multiLevelType w:val="hybridMultilevel"/>
    <w:lvl w:ilvl="0">
      <w:lvlJc w:val="left"/>
      <w:lvlText w:val="(%1)"/>
      <w:numFmt w:val="decimal"/>
      <w:start w:val="4"/>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lowerRoman"/>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lvl w:ilvl="1">
      <w:lvlJc w:val="left"/>
      <w:lvlText w:val="(%2)"/>
      <w:numFmt w:val="lowerLetter"/>
      <w:start w:val="1"/>
    </w:lvl>
  </w:abstractNum>
  <w:abstractNum w:abstractNumId="19">
    <w:nsid w:val="6CEAF087"/>
    <w:multiLevelType w:val="hybridMultilevel"/>
    <w:lvl w:ilvl="0">
      <w:lvlJc w:val="left"/>
      <w:lvlText w:val="(%1)"/>
      <w:numFmt w:val="lowerLetter"/>
      <w:start w:val="9"/>
    </w:lvl>
    <w:lvl w:ilvl="1">
      <w:lvlJc w:val="left"/>
      <w:lvlText w:val="(%2)"/>
      <w:numFmt w:val="lowerRoman"/>
      <w:start w:val="1"/>
    </w:lvl>
  </w:abstractNum>
  <w:abstractNum w:abstractNumId="20">
    <w:nsid w:val="22221A70"/>
    <w:multiLevelType w:val="hybridMultilevel"/>
    <w:lvl w:ilvl="0">
      <w:lvlJc w:val="left"/>
      <w:lvlText w:val="(%1)"/>
      <w:numFmt w:val="lowerLetter"/>
      <w:start w:val="23"/>
    </w:lvl>
  </w:abstractNum>
  <w:abstractNum w:abstractNumId="21">
    <w:nsid w:val="4516DDE9"/>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22">
    <w:nsid w:val="3006C8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4">
    <w:nsid w:val="419AC2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
    <w:nsid w:val="5577F8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
    <w:nsid w:val="440BADF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
    <w:nsid w:val="50723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
    <w:nsid w:val="3804823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
    <w:nsid w:val="77465F01"/>
    <w:multiLevelType w:val="hybridMultilevel"/>
    <w:lvl w:ilvl="0">
      <w:lvlJc w:val="left"/>
      <w:lvlText w:val="(%1)"/>
      <w:numFmt w:val="lowerRoman"/>
      <w:start w:val="6"/>
    </w:lvl>
  </w:abstractNum>
  <w:abstractNum w:abstractNumId="30">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31">
    <w:nsid w:val="5C482A9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
    <w:nsid w:val="2463B9EA"/>
    <w:multiLevelType w:val="hybridMultilevel"/>
    <w:lvl w:ilvl="0">
      <w:lvlJc w:val="left"/>
      <w:lvlText w:val="%1"/>
      <w:numFmt w:val="lowerLetter"/>
      <w:start w:val="1"/>
    </w:lvl>
    <w:lvl w:ilvl="1">
      <w:lvlJc w:val="left"/>
      <w:lvlText w:val="(%2)"/>
      <w:numFmt w:val="lowerRoman"/>
      <w:start w:val="1"/>
    </w:lvl>
  </w:abstractNum>
  <w:abstractNum w:abstractNumId="33">
    <w:nsid w:val="5E884ADC"/>
    <w:multiLevelType w:val="hybridMultilevel"/>
    <w:lvl w:ilvl="0">
      <w:lvlJc w:val="left"/>
      <w:lvlText w:val="(%1)"/>
      <w:numFmt w:val="lowerLetter"/>
      <w:start w:val="3"/>
    </w:lvl>
    <w:lvl w:ilvl="1">
      <w:lvlJc w:val="left"/>
      <w:lvlText w:val="(%2)"/>
      <w:numFmt w:val="lowerRoman"/>
      <w:start w:val="1"/>
    </w:lvl>
  </w:abstractNum>
  <w:abstractNum w:abstractNumId="34">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5">
    <w:nsid w:val="2D51779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6">
    <w:nsid w:val="580BD78F"/>
    <w:multiLevelType w:val="hybridMultilevel"/>
    <w:lvl w:ilvl="0">
      <w:lvlJc w:val="left"/>
      <w:lvlText w:val="%1."/>
      <w:numFmt w:val="decimal"/>
      <w:start w:val="10"/>
    </w:lvl>
    <w:lvl w:ilvl="1">
      <w:lvlJc w:val="left"/>
      <w:lvlText w:val="(%2)"/>
      <w:numFmt w:val="lowerLetter"/>
      <w:start w:val="1"/>
    </w:lvl>
  </w:abstractNum>
  <w:abstractNum w:abstractNumId="37">
    <w:nsid w:val="153EA438"/>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9"/>
    </w:lvl>
  </w:abstractNum>
  <w:abstractNum w:abstractNumId="38">
    <w:nsid w:val="3855585C"/>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2"/>
    </w:lvl>
  </w:abstractNum>
  <w:abstractNum w:abstractNumId="40">
    <w:nsid w:val="6A2342EC"/>
    <w:multiLevelType w:val="hybridMultilevel"/>
    <w:lvl w:ilvl="0">
      <w:lvlJc w:val="left"/>
      <w:lvlText w:val="%1."/>
      <w:numFmt w:val="decimal"/>
      <w:start w:val="13"/>
    </w:lvl>
    <w:lvl w:ilvl="1">
      <w:lvlJc w:val="left"/>
      <w:lvlText w:val="(%2)"/>
      <w:numFmt w:val="lowerLetter"/>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2"/>
    </w:lvl>
  </w:abstractNum>
  <w:abstractNum w:abstractNumId="43">
    <w:nsid w:val="725A06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2020-01-30T01:44:20Z</dcterms:created>
  <dcterms:modified xsi:type="dcterms:W3CDTF">2020-01-30T01:44:20Z</dcterms:modified>
</cp:coreProperties>
</file>